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spacing w:after="0" w:line="237"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9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04"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50" w:lineRule="exact"/>
        <w:rPr>
          <w:sz w:val="24"/>
          <w:szCs w:val="24"/>
          <w:color w:val="auto"/>
        </w:rPr>
      </w:pPr>
    </w:p>
    <w:p>
      <w:pPr>
        <w:ind w:left="440" w:right="1660" w:hanging="414"/>
        <w:spacing w:after="0" w:line="237" w:lineRule="auto"/>
        <w:tabs>
          <w:tab w:leader="none" w:pos="44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000-50189</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CROWN HOLDINGS, INC.</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660" w:type="dxa"/>
            <w:vAlign w:val="bottom"/>
          </w:tcPr>
          <w:p>
            <w:pPr>
              <w:spacing w:after="0"/>
              <w:rPr>
                <w:sz w:val="15"/>
                <w:szCs w:val="15"/>
                <w:color w:val="auto"/>
              </w:rPr>
            </w:pPr>
          </w:p>
        </w:tc>
        <w:tc>
          <w:tcPr>
            <w:tcW w:w="7580" w:type="dxa"/>
            <w:vAlign w:val="bottom"/>
            <w:gridSpan w:val="3"/>
          </w:tcPr>
          <w:p>
            <w:pPr>
              <w:jc w:val="center"/>
              <w:ind w:right="3564"/>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191"/>
        </w:trPr>
        <w:tc>
          <w:tcPr>
            <w:tcW w:w="3660" w:type="dxa"/>
            <w:vAlign w:val="bottom"/>
          </w:tcPr>
          <w:p>
            <w:pPr>
              <w:jc w:val="center"/>
              <w:ind w:left="1224"/>
              <w:spacing w:after="0"/>
              <w:rPr>
                <w:sz w:val="20"/>
                <w:szCs w:val="20"/>
                <w:color w:val="auto"/>
              </w:rPr>
            </w:pPr>
            <w:r>
              <w:rPr>
                <w:rFonts w:ascii="Arial" w:cs="Arial" w:eastAsia="Arial" w:hAnsi="Arial"/>
                <w:sz w:val="14"/>
                <w:szCs w:val="14"/>
                <w:color w:val="auto"/>
                <w:w w:val="91"/>
              </w:rPr>
              <w:t>Pennsylvania</w:t>
            </w:r>
          </w:p>
        </w:tc>
        <w:tc>
          <w:tcPr>
            <w:tcW w:w="2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700" w:type="dxa"/>
            <w:vAlign w:val="bottom"/>
          </w:tcPr>
          <w:p>
            <w:pPr>
              <w:jc w:val="center"/>
              <w:ind w:right="164"/>
              <w:spacing w:after="0"/>
              <w:rPr>
                <w:sz w:val="20"/>
                <w:szCs w:val="20"/>
                <w:color w:val="auto"/>
              </w:rPr>
            </w:pPr>
            <w:r>
              <w:rPr>
                <w:rFonts w:ascii="Arial" w:cs="Arial" w:eastAsia="Arial" w:hAnsi="Arial"/>
                <w:sz w:val="14"/>
                <w:szCs w:val="14"/>
                <w:color w:val="auto"/>
                <w:w w:val="93"/>
              </w:rPr>
              <w:t>75-3099507</w:t>
            </w:r>
          </w:p>
        </w:tc>
      </w:tr>
      <w:tr>
        <w:trPr>
          <w:trHeight w:val="147"/>
        </w:trPr>
        <w:tc>
          <w:tcPr>
            <w:tcW w:w="3660" w:type="dxa"/>
            <w:vAlign w:val="bottom"/>
          </w:tcPr>
          <w:p>
            <w:pPr>
              <w:jc w:val="center"/>
              <w:ind w:left="1224"/>
              <w:spacing w:after="0" w:line="147" w:lineRule="exact"/>
              <w:rPr>
                <w:sz w:val="20"/>
                <w:szCs w:val="20"/>
                <w:color w:val="auto"/>
              </w:rPr>
            </w:pPr>
            <w:r>
              <w:rPr>
                <w:rFonts w:ascii="Arial" w:cs="Arial" w:eastAsia="Arial" w:hAnsi="Arial"/>
                <w:sz w:val="14"/>
                <w:szCs w:val="14"/>
                <w:color w:val="auto"/>
                <w:w w:val="95"/>
              </w:rPr>
              <w:t>(State or other jurisdiction of</w:t>
            </w:r>
          </w:p>
        </w:tc>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700" w:type="dxa"/>
            <w:vAlign w:val="bottom"/>
          </w:tcPr>
          <w:p>
            <w:pPr>
              <w:jc w:val="center"/>
              <w:ind w:right="164"/>
              <w:spacing w:after="0" w:line="147" w:lineRule="exact"/>
              <w:rPr>
                <w:sz w:val="20"/>
                <w:szCs w:val="20"/>
                <w:color w:val="auto"/>
              </w:rPr>
            </w:pPr>
            <w:r>
              <w:rPr>
                <w:rFonts w:ascii="Arial" w:cs="Arial" w:eastAsia="Arial" w:hAnsi="Arial"/>
                <w:sz w:val="14"/>
                <w:szCs w:val="14"/>
                <w:color w:val="auto"/>
                <w:w w:val="95"/>
              </w:rPr>
              <w:t>(I.R.S. Employer</w:t>
            </w:r>
          </w:p>
        </w:tc>
      </w:tr>
      <w:tr>
        <w:trPr>
          <w:trHeight w:val="182"/>
        </w:trPr>
        <w:tc>
          <w:tcPr>
            <w:tcW w:w="3660" w:type="dxa"/>
            <w:vAlign w:val="bottom"/>
          </w:tcPr>
          <w:p>
            <w:pPr>
              <w:jc w:val="center"/>
              <w:ind w:left="1224"/>
              <w:spacing w:after="0"/>
              <w:rPr>
                <w:sz w:val="20"/>
                <w:szCs w:val="20"/>
                <w:color w:val="auto"/>
              </w:rPr>
            </w:pPr>
            <w:r>
              <w:rPr>
                <w:rFonts w:ascii="Arial" w:cs="Arial" w:eastAsia="Arial" w:hAnsi="Arial"/>
                <w:sz w:val="14"/>
                <w:szCs w:val="14"/>
                <w:color w:val="auto"/>
                <w:w w:val="94"/>
              </w:rPr>
              <w:t>incorporation or organization)</w:t>
            </w:r>
          </w:p>
        </w:tc>
        <w:tc>
          <w:tcPr>
            <w:tcW w:w="2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700" w:type="dxa"/>
            <w:vAlign w:val="bottom"/>
          </w:tcPr>
          <w:p>
            <w:pPr>
              <w:jc w:val="center"/>
              <w:ind w:right="184"/>
              <w:spacing w:after="0"/>
              <w:rPr>
                <w:sz w:val="20"/>
                <w:szCs w:val="20"/>
                <w:color w:val="auto"/>
              </w:rPr>
            </w:pPr>
            <w:r>
              <w:rPr>
                <w:rFonts w:ascii="Arial" w:cs="Arial" w:eastAsia="Arial" w:hAnsi="Arial"/>
                <w:sz w:val="14"/>
                <w:szCs w:val="14"/>
                <w:color w:val="auto"/>
                <w:w w:val="99"/>
              </w:rPr>
              <w:t>Identification No.)</w:t>
            </w:r>
          </w:p>
        </w:tc>
      </w:tr>
      <w:tr>
        <w:trPr>
          <w:trHeight w:val="346"/>
        </w:trPr>
        <w:tc>
          <w:tcPr>
            <w:tcW w:w="3660" w:type="dxa"/>
            <w:vAlign w:val="bottom"/>
          </w:tcPr>
          <w:p>
            <w:pPr>
              <w:jc w:val="center"/>
              <w:ind w:left="1224"/>
              <w:spacing w:after="0"/>
              <w:rPr>
                <w:sz w:val="20"/>
                <w:szCs w:val="20"/>
                <w:color w:val="auto"/>
              </w:rPr>
            </w:pPr>
            <w:r>
              <w:rPr>
                <w:rFonts w:ascii="Arial" w:cs="Arial" w:eastAsia="Arial" w:hAnsi="Arial"/>
                <w:sz w:val="14"/>
                <w:szCs w:val="14"/>
                <w:color w:val="auto"/>
                <w:w w:val="92"/>
              </w:rPr>
              <w:t>770 Township Line Road</w:t>
            </w:r>
          </w:p>
        </w:tc>
        <w:tc>
          <w:tcPr>
            <w:tcW w:w="2060" w:type="dxa"/>
            <w:vAlign w:val="bottom"/>
          </w:tcPr>
          <w:p>
            <w:pPr>
              <w:ind w:left="1400"/>
              <w:spacing w:after="0"/>
              <w:rPr>
                <w:sz w:val="20"/>
                <w:szCs w:val="20"/>
                <w:color w:val="auto"/>
              </w:rPr>
            </w:pPr>
            <w:r>
              <w:rPr>
                <w:rFonts w:ascii="Arial" w:cs="Arial" w:eastAsia="Arial" w:hAnsi="Arial"/>
                <w:sz w:val="14"/>
                <w:szCs w:val="14"/>
                <w:color w:val="auto"/>
              </w:rPr>
              <w:t>Yardley</w:t>
            </w:r>
          </w:p>
        </w:tc>
        <w:tc>
          <w:tcPr>
            <w:tcW w:w="820" w:type="dxa"/>
            <w:vAlign w:val="bottom"/>
          </w:tcPr>
          <w:p>
            <w:pPr>
              <w:ind w:left="160"/>
              <w:spacing w:after="0"/>
              <w:rPr>
                <w:sz w:val="20"/>
                <w:szCs w:val="20"/>
                <w:color w:val="auto"/>
              </w:rPr>
            </w:pPr>
            <w:r>
              <w:rPr>
                <w:rFonts w:ascii="Arial" w:cs="Arial" w:eastAsia="Arial" w:hAnsi="Arial"/>
                <w:sz w:val="14"/>
                <w:szCs w:val="14"/>
                <w:color w:val="auto"/>
              </w:rPr>
              <w:t>PA</w:t>
            </w:r>
          </w:p>
        </w:tc>
        <w:tc>
          <w:tcPr>
            <w:tcW w:w="4700" w:type="dxa"/>
            <w:vAlign w:val="bottom"/>
          </w:tcPr>
          <w:p>
            <w:pPr>
              <w:jc w:val="center"/>
              <w:ind w:right="164"/>
              <w:spacing w:after="0"/>
              <w:rPr>
                <w:sz w:val="20"/>
                <w:szCs w:val="20"/>
                <w:color w:val="auto"/>
              </w:rPr>
            </w:pPr>
            <w:r>
              <w:rPr>
                <w:rFonts w:ascii="Arial" w:cs="Arial" w:eastAsia="Arial" w:hAnsi="Arial"/>
                <w:sz w:val="14"/>
                <w:szCs w:val="14"/>
                <w:color w:val="auto"/>
                <w:w w:val="93"/>
              </w:rPr>
              <w:t>19067-4232</w:t>
            </w:r>
          </w:p>
        </w:tc>
      </w:tr>
      <w:tr>
        <w:trPr>
          <w:trHeight w:val="189"/>
        </w:trPr>
        <w:tc>
          <w:tcPr>
            <w:tcW w:w="3660" w:type="dxa"/>
            <w:vAlign w:val="bottom"/>
          </w:tcPr>
          <w:p>
            <w:pPr>
              <w:jc w:val="center"/>
              <w:ind w:left="1224"/>
              <w:spacing w:after="0"/>
              <w:rPr>
                <w:sz w:val="20"/>
                <w:szCs w:val="20"/>
                <w:color w:val="auto"/>
              </w:rPr>
            </w:pPr>
            <w:r>
              <w:rPr>
                <w:rFonts w:ascii="Arial" w:cs="Arial" w:eastAsia="Arial" w:hAnsi="Arial"/>
                <w:sz w:val="14"/>
                <w:szCs w:val="14"/>
                <w:color w:val="auto"/>
                <w:w w:val="95"/>
              </w:rPr>
              <w:t>(Address of principal executive offices)</w:t>
            </w:r>
          </w:p>
        </w:tc>
        <w:tc>
          <w:tcPr>
            <w:tcW w:w="2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700" w:type="dxa"/>
            <w:vAlign w:val="bottom"/>
          </w:tcPr>
          <w:p>
            <w:pPr>
              <w:jc w:val="center"/>
              <w:ind w:right="184"/>
              <w:spacing w:after="0"/>
              <w:rPr>
                <w:sz w:val="20"/>
                <w:szCs w:val="20"/>
                <w:color w:val="auto"/>
              </w:rPr>
            </w:pPr>
            <w:r>
              <w:rPr>
                <w:rFonts w:ascii="Arial" w:cs="Arial" w:eastAsia="Arial" w:hAnsi="Arial"/>
                <w:sz w:val="14"/>
                <w:szCs w:val="14"/>
                <w:color w:val="auto"/>
                <w:w w:val="96"/>
              </w:rPr>
              <w:t>(Zip Code)</w:t>
            </w:r>
          </w:p>
        </w:tc>
      </w:tr>
      <w:tr>
        <w:trPr>
          <w:trHeight w:val="250"/>
        </w:trPr>
        <w:tc>
          <w:tcPr>
            <w:tcW w:w="3660" w:type="dxa"/>
            <w:vAlign w:val="bottom"/>
          </w:tcPr>
          <w:p>
            <w:pPr>
              <w:spacing w:after="0"/>
              <w:rPr>
                <w:sz w:val="21"/>
                <w:szCs w:val="21"/>
                <w:color w:val="auto"/>
              </w:rPr>
            </w:pPr>
          </w:p>
        </w:tc>
        <w:tc>
          <w:tcPr>
            <w:tcW w:w="7580" w:type="dxa"/>
            <w:vAlign w:val="bottom"/>
            <w:gridSpan w:val="3"/>
          </w:tcPr>
          <w:p>
            <w:pPr>
              <w:jc w:val="center"/>
              <w:ind w:right="3584"/>
              <w:spacing w:after="0"/>
              <w:rPr>
                <w:sz w:val="20"/>
                <w:szCs w:val="20"/>
                <w:color w:val="auto"/>
              </w:rPr>
            </w:pPr>
            <w:r>
              <w:rPr>
                <w:rFonts w:ascii="Arial" w:cs="Arial" w:eastAsia="Arial" w:hAnsi="Arial"/>
                <w:sz w:val="14"/>
                <w:szCs w:val="14"/>
                <w:color w:val="auto"/>
                <w:w w:val="92"/>
              </w:rPr>
              <w:t>Registrant’s telephone number, including area code: 215-698-5100</w:t>
            </w:r>
          </w:p>
        </w:tc>
      </w:tr>
      <w:tr>
        <w:trPr>
          <w:trHeight w:val="182"/>
        </w:trPr>
        <w:tc>
          <w:tcPr>
            <w:tcW w:w="3660" w:type="dxa"/>
            <w:vAlign w:val="bottom"/>
          </w:tcPr>
          <w:p>
            <w:pPr>
              <w:spacing w:after="0"/>
              <w:rPr>
                <w:sz w:val="15"/>
                <w:szCs w:val="15"/>
                <w:color w:val="auto"/>
              </w:rPr>
            </w:pPr>
          </w:p>
        </w:tc>
        <w:tc>
          <w:tcPr>
            <w:tcW w:w="2880" w:type="dxa"/>
            <w:vAlign w:val="bottom"/>
            <w:gridSpan w:val="2"/>
          </w:tcPr>
          <w:p>
            <w:pPr>
              <w:jc w:val="center"/>
              <w:ind w:left="964"/>
              <w:spacing w:after="0"/>
              <w:rPr>
                <w:sz w:val="20"/>
                <w:szCs w:val="20"/>
                <w:color w:val="auto"/>
              </w:rPr>
            </w:pPr>
            <w:r>
              <w:rPr>
                <w:rFonts w:ascii="Arial" w:cs="Arial" w:eastAsia="Arial" w:hAnsi="Arial"/>
                <w:sz w:val="14"/>
                <w:szCs w:val="14"/>
                <w:color w:val="auto"/>
                <w:w w:val="92"/>
              </w:rPr>
              <w:t>____________________</w:t>
            </w:r>
          </w:p>
        </w:tc>
        <w:tc>
          <w:tcPr>
            <w:tcW w:w="4700" w:type="dxa"/>
            <w:vAlign w:val="bottom"/>
          </w:tcPr>
          <w:p>
            <w:pPr>
              <w:spacing w:after="0"/>
              <w:rPr>
                <w:sz w:val="15"/>
                <w:szCs w:val="15"/>
                <w:color w:val="auto"/>
              </w:rPr>
            </w:pPr>
          </w:p>
        </w:tc>
      </w:tr>
      <w:tr>
        <w:trPr>
          <w:trHeight w:val="290"/>
        </w:trPr>
        <w:tc>
          <w:tcPr>
            <w:tcW w:w="5720" w:type="dxa"/>
            <w:vAlign w:val="bottom"/>
            <w:gridSpan w:val="2"/>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8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33"/>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2880" w:type="dxa"/>
            <w:vAlign w:val="bottom"/>
            <w:tcBorders>
              <w:bottom w:val="single" w:sz="8" w:color="auto"/>
            </w:tcBorders>
            <w:gridSpan w:val="2"/>
          </w:tcPr>
          <w:p>
            <w:pPr>
              <w:ind w:left="1420"/>
              <w:spacing w:after="0"/>
              <w:rPr>
                <w:sz w:val="20"/>
                <w:szCs w:val="20"/>
                <w:color w:val="auto"/>
              </w:rPr>
            </w:pPr>
            <w:r>
              <w:rPr>
                <w:rFonts w:ascii="Arial" w:cs="Arial" w:eastAsia="Arial" w:hAnsi="Arial"/>
                <w:sz w:val="16"/>
                <w:szCs w:val="16"/>
                <w:color w:val="auto"/>
              </w:rPr>
              <w:t>Trading Symbols</w:t>
            </w:r>
          </w:p>
        </w:tc>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Name of each exchange on which registered</w:t>
            </w:r>
          </w:p>
        </w:tc>
      </w:tr>
      <w:tr>
        <w:trPr>
          <w:trHeight w:val="206"/>
        </w:trPr>
        <w:tc>
          <w:tcPr>
            <w:tcW w:w="366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2060" w:type="dxa"/>
            <w:vAlign w:val="bottom"/>
          </w:tcPr>
          <w:p>
            <w:pPr>
              <w:ind w:left="1420"/>
              <w:spacing w:after="0"/>
              <w:rPr>
                <w:sz w:val="20"/>
                <w:szCs w:val="20"/>
                <w:color w:val="auto"/>
              </w:rPr>
            </w:pPr>
            <w:r>
              <w:rPr>
                <w:rFonts w:ascii="Arial" w:cs="Arial" w:eastAsia="Arial" w:hAnsi="Arial"/>
                <w:sz w:val="16"/>
                <w:szCs w:val="16"/>
                <w:color w:val="auto"/>
              </w:rPr>
              <w:t>CCK</w:t>
            </w:r>
          </w:p>
        </w:tc>
        <w:tc>
          <w:tcPr>
            <w:tcW w:w="820" w:type="dxa"/>
            <w:vAlign w:val="bottom"/>
          </w:tcPr>
          <w:p>
            <w:pPr>
              <w:spacing w:after="0"/>
              <w:rPr>
                <w:sz w:val="17"/>
                <w:szCs w:val="17"/>
                <w:color w:val="auto"/>
              </w:rPr>
            </w:pPr>
          </w:p>
        </w:tc>
        <w:tc>
          <w:tcPr>
            <w:tcW w:w="4700" w:type="dxa"/>
            <w:vAlign w:val="bottom"/>
          </w:tcPr>
          <w:p>
            <w:pPr>
              <w:ind w:left="180"/>
              <w:spacing w:after="0"/>
              <w:rPr>
                <w:sz w:val="20"/>
                <w:szCs w:val="20"/>
                <w:color w:val="auto"/>
              </w:rPr>
            </w:pPr>
            <w:r>
              <w:rPr>
                <w:rFonts w:ascii="Arial" w:cs="Arial" w:eastAsia="Arial" w:hAnsi="Arial"/>
                <w:sz w:val="16"/>
                <w:szCs w:val="16"/>
                <w:color w:val="auto"/>
              </w:rPr>
              <w:t>New York Stock Exchange</w:t>
            </w:r>
          </w:p>
        </w:tc>
      </w:tr>
      <w:tr>
        <w:trPr>
          <w:trHeight w:val="216"/>
        </w:trPr>
        <w:tc>
          <w:tcPr>
            <w:tcW w:w="366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2060" w:type="dxa"/>
            <w:vAlign w:val="bottom"/>
          </w:tcPr>
          <w:p>
            <w:pPr>
              <w:ind w:left="1420"/>
              <w:spacing w:after="0"/>
              <w:rPr>
                <w:sz w:val="20"/>
                <w:szCs w:val="20"/>
                <w:color w:val="auto"/>
              </w:rPr>
            </w:pPr>
            <w:r>
              <w:rPr>
                <w:rFonts w:ascii="Arial" w:cs="Arial" w:eastAsia="Arial" w:hAnsi="Arial"/>
                <w:sz w:val="16"/>
                <w:szCs w:val="16"/>
                <w:color w:val="auto"/>
              </w:rPr>
              <w:t>CCK26</w:t>
            </w:r>
          </w:p>
        </w:tc>
        <w:tc>
          <w:tcPr>
            <w:tcW w:w="8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6"/>
                <w:szCs w:val="16"/>
                <w:color w:val="auto"/>
              </w:rPr>
              <w:t>New York Stock Exchange</w:t>
            </w:r>
          </w:p>
        </w:tc>
      </w:tr>
      <w:tr>
        <w:trPr>
          <w:trHeight w:val="216"/>
        </w:trPr>
        <w:tc>
          <w:tcPr>
            <w:tcW w:w="366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2060" w:type="dxa"/>
            <w:vAlign w:val="bottom"/>
          </w:tcPr>
          <w:p>
            <w:pPr>
              <w:ind w:left="1420"/>
              <w:spacing w:after="0"/>
              <w:rPr>
                <w:sz w:val="20"/>
                <w:szCs w:val="20"/>
                <w:color w:val="auto"/>
              </w:rPr>
            </w:pPr>
            <w:r>
              <w:rPr>
                <w:rFonts w:ascii="Arial" w:cs="Arial" w:eastAsia="Arial" w:hAnsi="Arial"/>
                <w:sz w:val="16"/>
                <w:szCs w:val="16"/>
                <w:color w:val="auto"/>
              </w:rPr>
              <w:t>CCK96</w:t>
            </w:r>
          </w:p>
        </w:tc>
        <w:tc>
          <w:tcPr>
            <w:tcW w:w="8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6"/>
                <w:szCs w:val="16"/>
                <w:color w:val="auto"/>
              </w:rPr>
              <w:t>New York Stock Exchange</w:t>
            </w:r>
          </w:p>
        </w:tc>
      </w:tr>
    </w:tbl>
    <w:p>
      <w:pPr>
        <w:spacing w:after="0" w:line="1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(Title of Class)</w:t>
      </w:r>
    </w:p>
    <w:p>
      <w:pPr>
        <w:spacing w:after="0" w:line="6" w:lineRule="exact"/>
        <w:rPr>
          <w:sz w:val="24"/>
          <w:szCs w:val="24"/>
          <w:color w:val="auto"/>
        </w:rPr>
      </w:pPr>
    </w:p>
    <w:p>
      <w:pPr>
        <w:ind w:left="5100"/>
        <w:spacing w:after="0"/>
        <w:rPr>
          <w:sz w:val="20"/>
          <w:szCs w:val="20"/>
          <w:color w:val="auto"/>
        </w:rPr>
      </w:pPr>
      <w:r>
        <w:rPr>
          <w:rFonts w:ascii="Arial" w:cs="Arial" w:eastAsia="Arial" w:hAnsi="Arial"/>
          <w:sz w:val="11"/>
          <w:szCs w:val="11"/>
          <w:color w:val="auto"/>
        </w:rPr>
        <w:t>____________________</w:t>
      </w:r>
    </w:p>
    <w:p>
      <w:pPr>
        <w:spacing w:after="0" w:line="194" w:lineRule="exact"/>
        <w:rPr>
          <w:sz w:val="24"/>
          <w:szCs w:val="24"/>
          <w:color w:val="auto"/>
        </w:rPr>
      </w:pPr>
    </w:p>
    <w:p>
      <w:pPr>
        <w:spacing w:after="0" w:line="161" w:lineRule="exact"/>
        <w:tabs>
          <w:tab w:leader="none" w:pos="6880" w:val="left"/>
          <w:tab w:leader="none" w:pos="7400" w:val="left"/>
        </w:tabs>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231" w:lineRule="exact"/>
        <w:rPr>
          <w:sz w:val="24"/>
          <w:szCs w:val="24"/>
          <w:color w:val="auto"/>
        </w:rPr>
      </w:pPr>
    </w:p>
    <w:p>
      <w:pPr>
        <w:spacing w:after="0" w:line="161" w:lineRule="exact"/>
        <w:tabs>
          <w:tab w:leader="none" w:pos="7620" w:val="left"/>
          <w:tab w:leader="none" w:pos="814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44" w:lineRule="exact"/>
        <w:rPr>
          <w:sz w:val="24"/>
          <w:szCs w:val="24"/>
          <w:color w:val="auto"/>
        </w:rPr>
      </w:pPr>
    </w:p>
    <w:p>
      <w:pPr>
        <w:jc w:val="both"/>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filings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line="14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jc w:val="both"/>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80" w:lineRule="exact"/>
        <w:rPr>
          <w:sz w:val="24"/>
          <w:szCs w:val="24"/>
          <w:color w:val="auto"/>
        </w:rPr>
      </w:pPr>
    </w:p>
    <w:p>
      <w:pPr>
        <w:jc w:val="both"/>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0" w:type="dxa"/>
        <w:tblCellMar>
          <w:top w:w="0" w:type="dxa"/>
          <w:left w:w="0" w:type="dxa"/>
          <w:bottom w:w="0" w:type="dxa"/>
          <w:right w:w="0" w:type="dxa"/>
        </w:tblCellMar>
      </w:tblPr>
      <w:tr>
        <w:trPr>
          <w:trHeight w:val="182"/>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88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4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88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800" w:type="dxa"/>
            <w:vAlign w:val="bottom"/>
          </w:tcPr>
          <w:p>
            <w:pPr>
              <w:ind w:left="288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5" w:lineRule="exact"/>
        <w:rPr>
          <w:sz w:val="24"/>
          <w:szCs w:val="24"/>
          <w:color w:val="auto"/>
        </w:rPr>
      </w:pPr>
    </w:p>
    <w:p>
      <w:pPr>
        <w:ind w:right="60"/>
        <w:spacing w:after="0" w:line="17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1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2" w:lineRule="exact"/>
        <w:rPr>
          <w:sz w:val="24"/>
          <w:szCs w:val="24"/>
          <w:color w:val="auto"/>
        </w:rPr>
      </w:pPr>
    </w:p>
    <w:p>
      <w:pPr>
        <w:ind w:right="160"/>
        <w:spacing w:after="0" w:line="229" w:lineRule="auto"/>
        <w:rPr>
          <w:sz w:val="20"/>
          <w:szCs w:val="20"/>
          <w:color w:val="auto"/>
        </w:rPr>
      </w:pPr>
      <w:r>
        <w:rPr>
          <w:rFonts w:ascii="Arial" w:cs="Arial" w:eastAsia="Arial" w:hAnsi="Arial"/>
          <w:sz w:val="14"/>
          <w:szCs w:val="14"/>
          <w:color w:val="auto"/>
        </w:rPr>
        <w:t>As of June 30, 2021, 132,157,477 shares of the Registrant’s Common Stock, excluding shares held in Treasury, were issued and outstanding, and the aggregate market value of such shares held by non-affiliates of the Registrant on such date was $13,507,815,724 based on the New York Stock Exchange closing price for such shares on that date.</w:t>
      </w: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23, 2022, 124,572,262 shares of the Registrant’s Common Stock were issued and outstanding.</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4220" w:type="dxa"/>
            <w:vAlign w:val="bottom"/>
            <w:gridSpan w:val="2"/>
          </w:tcPr>
          <w:p>
            <w:pPr>
              <w:ind w:left="580"/>
              <w:spacing w:after="0"/>
              <w:rPr>
                <w:sz w:val="20"/>
                <w:szCs w:val="20"/>
                <w:color w:val="auto"/>
              </w:rPr>
            </w:pPr>
            <w:r>
              <w:rPr>
                <w:rFonts w:ascii="Arial" w:cs="Arial" w:eastAsia="Arial" w:hAnsi="Arial"/>
                <w:sz w:val="14"/>
                <w:szCs w:val="14"/>
                <w:b w:val="1"/>
                <w:bCs w:val="1"/>
                <w:color w:val="auto"/>
              </w:rPr>
              <w:t>DOCUMENTS INCORPORATED BY REFERENCE</w:t>
            </w: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0"/>
        </w:trPr>
        <w:tc>
          <w:tcPr>
            <w:tcW w:w="3400" w:type="dxa"/>
            <w:vAlign w:val="bottom"/>
          </w:tcPr>
          <w:p>
            <w:pPr>
              <w:spacing w:after="0"/>
              <w:rPr>
                <w:sz w:val="13"/>
                <w:szCs w:val="13"/>
                <w:color w:val="auto"/>
              </w:rPr>
            </w:pPr>
          </w:p>
        </w:tc>
        <w:tc>
          <w:tcPr>
            <w:tcW w:w="4220" w:type="dxa"/>
            <w:vAlign w:val="bottom"/>
            <w:gridSpan w:val="2"/>
          </w:tcPr>
          <w:p>
            <w:pPr>
              <w:spacing w:after="0"/>
              <w:rPr>
                <w:sz w:val="20"/>
                <w:szCs w:val="20"/>
                <w:color w:val="auto"/>
              </w:rPr>
            </w:pPr>
            <w:r>
              <w:rPr>
                <w:rFonts w:ascii="Arial" w:cs="Arial" w:eastAsia="Arial" w:hAnsi="Arial"/>
                <w:sz w:val="14"/>
                <w:szCs w:val="14"/>
                <w:color w:val="auto"/>
              </w:rPr>
              <w:t>Document</w:t>
            </w:r>
          </w:p>
        </w:tc>
        <w:tc>
          <w:tcPr>
            <w:tcW w:w="3620" w:type="dxa"/>
            <w:vAlign w:val="bottom"/>
            <w:gridSpan w:val="3"/>
          </w:tcPr>
          <w:p>
            <w:pPr>
              <w:jc w:val="center"/>
              <w:ind w:right="780"/>
              <w:spacing w:after="0"/>
              <w:rPr>
                <w:sz w:val="20"/>
                <w:szCs w:val="20"/>
                <w:color w:val="auto"/>
              </w:rPr>
            </w:pPr>
            <w:r>
              <w:rPr>
                <w:rFonts w:ascii="Arial" w:cs="Arial" w:eastAsia="Arial" w:hAnsi="Arial"/>
                <w:sz w:val="14"/>
                <w:szCs w:val="14"/>
                <w:color w:val="auto"/>
                <w:w w:val="95"/>
              </w:rPr>
              <w:t>Parts Into Which Incorporated</w:t>
            </w:r>
          </w:p>
        </w:tc>
      </w:tr>
      <w:tr>
        <w:trPr>
          <w:trHeight w:val="20"/>
        </w:trPr>
        <w:tc>
          <w:tcPr>
            <w:tcW w:w="3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8"/>
        </w:trPr>
        <w:tc>
          <w:tcPr>
            <w:tcW w:w="7620" w:type="dxa"/>
            <w:vAlign w:val="bottom"/>
            <w:gridSpan w:val="3"/>
          </w:tcPr>
          <w:p>
            <w:pPr>
              <w:ind w:left="720"/>
              <w:spacing w:after="0"/>
              <w:rPr>
                <w:sz w:val="20"/>
                <w:szCs w:val="20"/>
                <w:color w:val="auto"/>
              </w:rPr>
            </w:pPr>
            <w:r>
              <w:rPr>
                <w:rFonts w:ascii="Arial" w:cs="Arial" w:eastAsia="Arial" w:hAnsi="Arial"/>
                <w:sz w:val="14"/>
                <w:szCs w:val="14"/>
                <w:color w:val="auto"/>
              </w:rPr>
              <w:t>Proxy Statement for the Annual Meeting of Shareholders to be held April 28, 2022</w:t>
            </w:r>
          </w:p>
        </w:tc>
        <w:tc>
          <w:tcPr>
            <w:tcW w:w="3620" w:type="dxa"/>
            <w:vAlign w:val="bottom"/>
            <w:gridSpan w:val="3"/>
          </w:tcPr>
          <w:p>
            <w:pPr>
              <w:jc w:val="center"/>
              <w:ind w:right="780"/>
              <w:spacing w:after="0"/>
              <w:rPr>
                <w:sz w:val="20"/>
                <w:szCs w:val="20"/>
                <w:color w:val="auto"/>
              </w:rPr>
            </w:pPr>
            <w:r>
              <w:rPr>
                <w:rFonts w:ascii="Arial" w:cs="Arial" w:eastAsia="Arial" w:hAnsi="Arial"/>
                <w:sz w:val="14"/>
                <w:szCs w:val="14"/>
                <w:color w:val="auto"/>
                <w:w w:val="94"/>
              </w:rPr>
              <w:t>Part III to the extent described therein</w:t>
            </w:r>
          </w:p>
        </w:tc>
      </w:tr>
      <w:tr>
        <w:trPr>
          <w:trHeight w:val="208"/>
        </w:trPr>
        <w:tc>
          <w:tcPr>
            <w:tcW w:w="3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0"/>
        </w:trPr>
        <w:tc>
          <w:tcPr>
            <w:tcW w:w="3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695"/>
        </w:trPr>
        <w:tc>
          <w:tcPr>
            <w:tcW w:w="3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80" w:type="dxa"/>
            <w:vAlign w:val="bottom"/>
            <w:gridSpan w:val="9"/>
          </w:tcPr>
          <w:p>
            <w:pPr>
              <w:jc w:val="center"/>
              <w:ind w:right="3560"/>
              <w:spacing w:after="0"/>
              <w:rPr>
                <w:sz w:val="20"/>
                <w:szCs w:val="20"/>
                <w:color w:val="auto"/>
              </w:rPr>
            </w:pPr>
            <w:r>
              <w:rPr>
                <w:rFonts w:ascii="Arial" w:cs="Arial" w:eastAsia="Arial" w:hAnsi="Arial"/>
                <w:sz w:val="18"/>
                <w:szCs w:val="18"/>
                <w:b w:val="1"/>
                <w:bCs w:val="1"/>
                <w:color w:val="auto"/>
                <w:w w:val="91"/>
              </w:rPr>
              <w:t>Crown Holdings, Inc.</w:t>
            </w:r>
          </w:p>
        </w:tc>
        <w:tc>
          <w:tcPr>
            <w:tcW w:w="1100" w:type="dxa"/>
            <w:vAlign w:val="bottom"/>
          </w:tcPr>
          <w:p>
            <w:pPr>
              <w:spacing w:after="0"/>
              <w:rPr>
                <w:sz w:val="20"/>
                <w:szCs w:val="20"/>
                <w:color w:val="auto"/>
              </w:rPr>
            </w:pPr>
          </w:p>
        </w:tc>
      </w:tr>
      <w:tr>
        <w:trPr>
          <w:trHeight w:val="891"/>
        </w:trPr>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60" w:type="dxa"/>
            <w:vAlign w:val="bottom"/>
            <w:gridSpan w:val="12"/>
          </w:tcPr>
          <w:p>
            <w:pPr>
              <w:jc w:val="center"/>
              <w:ind w:right="2260"/>
              <w:spacing w:after="0"/>
              <w:rPr>
                <w:sz w:val="20"/>
                <w:szCs w:val="20"/>
                <w:color w:val="auto"/>
              </w:rPr>
            </w:pPr>
            <w:r>
              <w:rPr>
                <w:rFonts w:ascii="Arial" w:cs="Arial" w:eastAsia="Arial" w:hAnsi="Arial"/>
                <w:sz w:val="18"/>
                <w:szCs w:val="18"/>
                <w:color w:val="auto"/>
                <w:w w:val="95"/>
              </w:rPr>
              <w:t>2021 FORM 10-K ANNUAL REPORT</w:t>
            </w:r>
          </w:p>
        </w:tc>
        <w:tc>
          <w:tcPr>
            <w:tcW w:w="1100" w:type="dxa"/>
            <w:vAlign w:val="bottom"/>
          </w:tcPr>
          <w:p>
            <w:pPr>
              <w:spacing w:after="0"/>
              <w:rPr>
                <w:sz w:val="24"/>
                <w:szCs w:val="24"/>
                <w:color w:val="auto"/>
              </w:rPr>
            </w:pPr>
          </w:p>
        </w:tc>
      </w:tr>
      <w:tr>
        <w:trPr>
          <w:trHeight w:val="459"/>
        </w:trPr>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9"/>
          </w:tcPr>
          <w:p>
            <w:pPr>
              <w:jc w:val="center"/>
              <w:ind w:right="3540"/>
              <w:spacing w:after="0"/>
              <w:rPr>
                <w:sz w:val="20"/>
                <w:szCs w:val="20"/>
                <w:color w:val="auto"/>
              </w:rPr>
            </w:pPr>
            <w:r>
              <w:rPr>
                <w:rFonts w:ascii="Arial" w:cs="Arial" w:eastAsia="Arial" w:hAnsi="Arial"/>
                <w:sz w:val="18"/>
                <w:szCs w:val="18"/>
                <w:color w:val="auto"/>
                <w:w w:val="95"/>
              </w:rPr>
              <w:t>TABLE OF CONTENTS</w:t>
            </w:r>
          </w:p>
        </w:tc>
        <w:tc>
          <w:tcPr>
            <w:tcW w:w="1100" w:type="dxa"/>
            <w:vAlign w:val="bottom"/>
          </w:tcPr>
          <w:p>
            <w:pPr>
              <w:spacing w:after="0"/>
              <w:rPr>
                <w:sz w:val="24"/>
                <w:szCs w:val="24"/>
                <w:color w:val="auto"/>
              </w:rPr>
            </w:pPr>
          </w:p>
        </w:tc>
      </w:tr>
      <w:tr>
        <w:trPr>
          <w:trHeight w:val="256"/>
        </w:trPr>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80" w:type="dxa"/>
            <w:vAlign w:val="bottom"/>
            <w:gridSpan w:val="9"/>
          </w:tcPr>
          <w:p>
            <w:pPr>
              <w:jc w:val="center"/>
              <w:ind w:right="3620"/>
              <w:spacing w:after="0"/>
              <w:rPr>
                <w:sz w:val="20"/>
                <w:szCs w:val="20"/>
                <w:color w:val="auto"/>
              </w:rPr>
            </w:pPr>
            <w:r>
              <w:rPr>
                <w:rFonts w:ascii="Arial" w:cs="Arial" w:eastAsia="Arial" w:hAnsi="Arial"/>
                <w:sz w:val="18"/>
                <w:szCs w:val="18"/>
                <w:color w:val="auto"/>
                <w:w w:val="92"/>
              </w:rPr>
              <w:t>PART I</w:t>
            </w:r>
          </w:p>
        </w:tc>
        <w:tc>
          <w:tcPr>
            <w:tcW w:w="1100" w:type="dxa"/>
            <w:vAlign w:val="bottom"/>
          </w:tcPr>
          <w:p>
            <w:pPr>
              <w:spacing w:after="0"/>
              <w:rPr>
                <w:sz w:val="22"/>
                <w:szCs w:val="22"/>
                <w:color w:val="auto"/>
              </w:rPr>
            </w:pPr>
          </w:p>
        </w:tc>
      </w:tr>
      <w:tr>
        <w:trPr>
          <w:trHeight w:val="351"/>
        </w:trPr>
        <w:tc>
          <w:tcPr>
            <w:tcW w:w="14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Item 1</w:t>
              </w:r>
            </w:hyperlink>
          </w:p>
        </w:tc>
        <w:tc>
          <w:tcPr>
            <w:tcW w:w="680" w:type="dxa"/>
            <w:vAlign w:val="bottom"/>
            <w:gridSpan w:val="3"/>
          </w:tcPr>
          <w:p>
            <w:pPr>
              <w:spacing w:after="0"/>
              <w:rPr>
                <w:sz w:val="24"/>
                <w:szCs w:val="24"/>
                <w:color w:val="auto"/>
              </w:rPr>
            </w:pPr>
          </w:p>
        </w:tc>
        <w:tc>
          <w:tcPr>
            <w:tcW w:w="8840" w:type="dxa"/>
            <w:vAlign w:val="bottom"/>
            <w:gridSpan w:val="21"/>
          </w:tcPr>
          <w:p>
            <w:pPr>
              <w:ind w:left="40"/>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FF"/>
                <w:w w:val="83"/>
              </w:rPr>
            </w:pPr>
            <w:hyperlink w:anchor="page8">
              <w:r>
                <w:rPr>
                  <w:rFonts w:ascii="Arial" w:cs="Arial" w:eastAsia="Arial" w:hAnsi="Arial"/>
                  <w:sz w:val="18"/>
                  <w:szCs w:val="18"/>
                  <w:color w:val="0000FF"/>
                  <w:w w:val="83"/>
                </w:rPr>
                <w:t>Item 1A</w:t>
              </w:r>
            </w:hyperlink>
          </w:p>
        </w:tc>
        <w:tc>
          <w:tcPr>
            <w:tcW w:w="600" w:type="dxa"/>
            <w:vAlign w:val="bottom"/>
            <w:gridSpan w:val="2"/>
          </w:tcPr>
          <w:p>
            <w:pPr>
              <w:spacing w:after="0"/>
              <w:rPr>
                <w:sz w:val="24"/>
                <w:szCs w:val="24"/>
                <w:color w:val="auto"/>
              </w:rPr>
            </w:pPr>
          </w:p>
        </w:tc>
        <w:tc>
          <w:tcPr>
            <w:tcW w:w="8840" w:type="dxa"/>
            <w:vAlign w:val="bottom"/>
            <w:gridSpan w:val="21"/>
          </w:tcPr>
          <w:p>
            <w:pPr>
              <w:ind w:left="40"/>
              <w:spacing w:after="0"/>
              <w:rPr>
                <w:rFonts w:ascii="Arial" w:cs="Arial" w:eastAsia="Arial" w:hAnsi="Arial"/>
                <w:sz w:val="18"/>
                <w:szCs w:val="18"/>
                <w:color w:val="0000FF"/>
              </w:rPr>
            </w:pPr>
            <w:hyperlink w:anchor="page8">
              <w:r>
                <w:rPr>
                  <w:rFonts w:ascii="Arial" w:cs="Arial" w:eastAsia="Arial" w:hAnsi="Arial"/>
                  <w:sz w:val="18"/>
                  <w:szCs w:val="18"/>
                  <w:color w:val="0000FF"/>
                </w:rPr>
                <w:t>Risk Factors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6</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FF"/>
                <w:w w:val="83"/>
              </w:rPr>
            </w:pPr>
            <w:hyperlink w:anchor="page23">
              <w:r>
                <w:rPr>
                  <w:rFonts w:ascii="Arial" w:cs="Arial" w:eastAsia="Arial" w:hAnsi="Arial"/>
                  <w:sz w:val="18"/>
                  <w:szCs w:val="18"/>
                  <w:color w:val="0000FF"/>
                  <w:w w:val="83"/>
                </w:rPr>
                <w:t>Item 1B</w:t>
              </w:r>
            </w:hyperlink>
          </w:p>
        </w:tc>
        <w:tc>
          <w:tcPr>
            <w:tcW w:w="600" w:type="dxa"/>
            <w:vAlign w:val="bottom"/>
            <w:gridSpan w:val="2"/>
          </w:tcPr>
          <w:p>
            <w:pPr>
              <w:spacing w:after="0"/>
              <w:rPr>
                <w:sz w:val="24"/>
                <w:szCs w:val="24"/>
                <w:color w:val="auto"/>
              </w:rPr>
            </w:pPr>
          </w:p>
        </w:tc>
        <w:tc>
          <w:tcPr>
            <w:tcW w:w="8840" w:type="dxa"/>
            <w:vAlign w:val="bottom"/>
            <w:gridSpan w:val="21"/>
          </w:tcPr>
          <w:p>
            <w:pPr>
              <w:ind w:left="40"/>
              <w:spacing w:after="0"/>
              <w:rPr>
                <w:rFonts w:ascii="Arial" w:cs="Arial" w:eastAsia="Arial" w:hAnsi="Arial"/>
                <w:sz w:val="18"/>
                <w:szCs w:val="18"/>
                <w:color w:val="0000FF"/>
              </w:rPr>
            </w:pPr>
            <w:hyperlink w:anchor="page23">
              <w:r>
                <w:rPr>
                  <w:rFonts w:ascii="Arial" w:cs="Arial" w:eastAsia="Arial" w:hAnsi="Arial"/>
                  <w:sz w:val="18"/>
                  <w:szCs w:val="18"/>
                  <w:color w:val="0000FF"/>
                </w:rPr>
                <w:t>Unresolved Staff Comments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21</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0000FF"/>
                <w:w w:val="91"/>
              </w:rPr>
              <w:t>Item 2</w:t>
            </w:r>
          </w:p>
        </w:tc>
        <w:tc>
          <w:tcPr>
            <w:tcW w:w="8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8840" w:type="dxa"/>
            <w:vAlign w:val="bottom"/>
            <w:gridSpan w:val="21"/>
          </w:tcPr>
          <w:p>
            <w:pPr>
              <w:ind w:left="40"/>
              <w:spacing w:after="0"/>
              <w:rPr>
                <w:sz w:val="20"/>
                <w:szCs w:val="20"/>
                <w:color w:val="auto"/>
              </w:rPr>
            </w:pPr>
            <w:r>
              <w:rPr>
                <w:rFonts w:ascii="Arial" w:cs="Arial" w:eastAsia="Arial" w:hAnsi="Arial"/>
                <w:sz w:val="18"/>
                <w:szCs w:val="18"/>
                <w:color w:val="0000FF"/>
              </w:rPr>
              <w:t>Properties</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21</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4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Item 3</w:t>
              </w:r>
            </w:hyperlink>
          </w:p>
        </w:tc>
        <w:tc>
          <w:tcPr>
            <w:tcW w:w="680" w:type="dxa"/>
            <w:vAlign w:val="bottom"/>
            <w:gridSpan w:val="3"/>
          </w:tcPr>
          <w:p>
            <w:pPr>
              <w:spacing w:after="0"/>
              <w:rPr>
                <w:sz w:val="24"/>
                <w:szCs w:val="24"/>
                <w:color w:val="auto"/>
              </w:rPr>
            </w:pPr>
          </w:p>
        </w:tc>
        <w:tc>
          <w:tcPr>
            <w:tcW w:w="8840" w:type="dxa"/>
            <w:vAlign w:val="bottom"/>
            <w:gridSpan w:val="21"/>
          </w:tcPr>
          <w:p>
            <w:pPr>
              <w:ind w:left="40"/>
              <w:spacing w:after="0"/>
              <w:rPr>
                <w:rFonts w:ascii="Arial" w:cs="Arial" w:eastAsia="Arial" w:hAnsi="Arial"/>
                <w:sz w:val="18"/>
                <w:szCs w:val="18"/>
                <w:color w:val="0000FF"/>
              </w:rPr>
            </w:pPr>
            <w:hyperlink w:anchor="page24">
              <w:r>
                <w:rPr>
                  <w:rFonts w:ascii="Arial" w:cs="Arial" w:eastAsia="Arial" w:hAnsi="Arial"/>
                  <w:sz w:val="18"/>
                  <w:szCs w:val="18"/>
                  <w:color w:val="0000FF"/>
                </w:rPr>
                <w:t>Legal Proceedings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23</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FF"/>
                <w:w w:val="91"/>
              </w:rPr>
            </w:pPr>
            <w:hyperlink w:anchor="page25">
              <w:r>
                <w:rPr>
                  <w:rFonts w:ascii="Arial" w:cs="Arial" w:eastAsia="Arial" w:hAnsi="Arial"/>
                  <w:sz w:val="18"/>
                  <w:szCs w:val="18"/>
                  <w:color w:val="0000FF"/>
                  <w:w w:val="91"/>
                </w:rPr>
                <w:t>Item 4</w:t>
              </w:r>
            </w:hyperlink>
          </w:p>
        </w:tc>
        <w:tc>
          <w:tcPr>
            <w:tcW w:w="680" w:type="dxa"/>
            <w:vAlign w:val="bottom"/>
            <w:gridSpan w:val="3"/>
          </w:tcPr>
          <w:p>
            <w:pPr>
              <w:spacing w:after="0"/>
              <w:rPr>
                <w:sz w:val="24"/>
                <w:szCs w:val="24"/>
                <w:color w:val="auto"/>
              </w:rPr>
            </w:pPr>
          </w:p>
        </w:tc>
        <w:tc>
          <w:tcPr>
            <w:tcW w:w="8840" w:type="dxa"/>
            <w:vAlign w:val="bottom"/>
            <w:gridSpan w:val="21"/>
          </w:tcPr>
          <w:p>
            <w:pPr>
              <w:ind w:left="40"/>
              <w:spacing w:after="0"/>
              <w:rPr>
                <w:rFonts w:ascii="Arial" w:cs="Arial" w:eastAsia="Arial" w:hAnsi="Arial"/>
                <w:sz w:val="18"/>
                <w:szCs w:val="18"/>
                <w:color w:val="0000FF"/>
              </w:rPr>
            </w:pPr>
            <w:hyperlink w:anchor="page25">
              <w:r>
                <w:rPr>
                  <w:rFonts w:ascii="Arial" w:cs="Arial" w:eastAsia="Arial" w:hAnsi="Arial"/>
                  <w:sz w:val="18"/>
                  <w:szCs w:val="18"/>
                  <w:color w:val="0000FF"/>
                </w:rPr>
                <w:t>Mine Safety Disclosures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23</w:t>
            </w:r>
          </w:p>
        </w:tc>
      </w:tr>
      <w:tr>
        <w:trPr>
          <w:trHeight w:val="412"/>
        </w:trPr>
        <w:tc>
          <w:tcPr>
            <w:tcW w:w="14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9"/>
          </w:tcPr>
          <w:p>
            <w:pPr>
              <w:jc w:val="center"/>
              <w:ind w:right="3640"/>
              <w:spacing w:after="0"/>
              <w:rPr>
                <w:sz w:val="20"/>
                <w:szCs w:val="20"/>
                <w:color w:val="auto"/>
              </w:rPr>
            </w:pPr>
            <w:r>
              <w:rPr>
                <w:rFonts w:ascii="Arial" w:cs="Arial" w:eastAsia="Arial" w:hAnsi="Arial"/>
                <w:sz w:val="18"/>
                <w:szCs w:val="18"/>
                <w:color w:val="auto"/>
                <w:w w:val="95"/>
              </w:rPr>
              <w:t>PART II</w:t>
            </w:r>
          </w:p>
        </w:tc>
        <w:tc>
          <w:tcPr>
            <w:tcW w:w="1100" w:type="dxa"/>
            <w:vAlign w:val="bottom"/>
          </w:tcPr>
          <w:p>
            <w:pPr>
              <w:spacing w:after="0"/>
              <w:rPr>
                <w:sz w:val="24"/>
                <w:szCs w:val="24"/>
                <w:color w:val="auto"/>
              </w:rPr>
            </w:pPr>
          </w:p>
        </w:tc>
      </w:tr>
      <w:tr>
        <w:trPr>
          <w:trHeight w:val="351"/>
        </w:trPr>
        <w:tc>
          <w:tcPr>
            <w:tcW w:w="14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5</w:t>
              </w:r>
            </w:hyperlink>
          </w:p>
        </w:tc>
        <w:tc>
          <w:tcPr>
            <w:tcW w:w="600" w:type="dxa"/>
            <w:vAlign w:val="bottom"/>
            <w:gridSpan w:val="2"/>
          </w:tcPr>
          <w:p>
            <w:pPr>
              <w:spacing w:after="0"/>
              <w:rPr>
                <w:sz w:val="24"/>
                <w:szCs w:val="24"/>
                <w:color w:val="auto"/>
              </w:rPr>
            </w:pPr>
          </w:p>
        </w:tc>
        <w:tc>
          <w:tcPr>
            <w:tcW w:w="8840" w:type="dxa"/>
            <w:vAlign w:val="bottom"/>
            <w:gridSpan w:val="21"/>
          </w:tcPr>
          <w:p>
            <w:pPr>
              <w:ind w:left="40"/>
              <w:spacing w:after="0"/>
              <w:rPr>
                <w:rFonts w:ascii="Arial" w:cs="Arial" w:eastAsia="Arial" w:hAnsi="Arial"/>
                <w:sz w:val="18"/>
                <w:szCs w:val="18"/>
                <w:color w:val="0000FF"/>
                <w:w w:val="98"/>
              </w:rPr>
            </w:pPr>
            <w:hyperlink w:anchor="page25">
              <w:r>
                <w:rPr>
                  <w:rFonts w:ascii="Arial" w:cs="Arial" w:eastAsia="Arial" w:hAnsi="Arial"/>
                  <w:sz w:val="18"/>
                  <w:szCs w:val="18"/>
                  <w:color w:val="0000FF"/>
                  <w:w w:val="98"/>
                </w:rPr>
                <w:t>Market for Registrant’s Common Equity, Related Stockholder Matters and Issuer Purchases of Equity Securities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23</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4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Item 6</w:t>
              </w:r>
            </w:hyperlink>
          </w:p>
        </w:tc>
        <w:tc>
          <w:tcPr>
            <w:tcW w:w="8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8840" w:type="dxa"/>
            <w:vAlign w:val="bottom"/>
            <w:gridSpan w:val="21"/>
          </w:tcPr>
          <w:p>
            <w:pPr>
              <w:ind w:left="40"/>
              <w:spacing w:after="0"/>
              <w:rPr>
                <w:rFonts w:ascii="Arial" w:cs="Arial" w:eastAsia="Arial" w:hAnsi="Arial"/>
                <w:sz w:val="18"/>
                <w:szCs w:val="18"/>
                <w:color w:val="0000FF"/>
              </w:rPr>
            </w:pPr>
            <w:hyperlink w:anchor="page26">
              <w:r>
                <w:rPr>
                  <w:rFonts w:ascii="Arial" w:cs="Arial" w:eastAsia="Arial" w:hAnsi="Arial"/>
                  <w:sz w:val="18"/>
                  <w:szCs w:val="18"/>
                  <w:color w:val="0000FF"/>
                </w:rPr>
                <w:t>Reserved</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24</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4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Item 7</w:t>
              </w:r>
            </w:hyperlink>
          </w:p>
        </w:tc>
        <w:tc>
          <w:tcPr>
            <w:tcW w:w="680" w:type="dxa"/>
            <w:vAlign w:val="bottom"/>
            <w:gridSpan w:val="3"/>
          </w:tcPr>
          <w:p>
            <w:pPr>
              <w:spacing w:after="0"/>
              <w:rPr>
                <w:sz w:val="24"/>
                <w:szCs w:val="24"/>
                <w:color w:val="auto"/>
              </w:rPr>
            </w:pPr>
          </w:p>
        </w:tc>
        <w:tc>
          <w:tcPr>
            <w:tcW w:w="8840" w:type="dxa"/>
            <w:vAlign w:val="bottom"/>
            <w:gridSpan w:val="21"/>
          </w:tcPr>
          <w:p>
            <w:pPr>
              <w:ind w:left="40"/>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25</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100" w:type="dxa"/>
            <w:vAlign w:val="bottom"/>
            <w:gridSpan w:val="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7A</w:t>
              </w:r>
            </w:hyperlink>
          </w:p>
        </w:tc>
        <w:tc>
          <w:tcPr>
            <w:tcW w:w="60" w:type="dxa"/>
            <w:vAlign w:val="bottom"/>
          </w:tcPr>
          <w:p>
            <w:pPr>
              <w:spacing w:after="0"/>
              <w:rPr>
                <w:sz w:val="24"/>
                <w:szCs w:val="24"/>
                <w:color w:val="auto"/>
              </w:rPr>
            </w:pPr>
          </w:p>
        </w:tc>
        <w:tc>
          <w:tcPr>
            <w:tcW w:w="8840" w:type="dxa"/>
            <w:vAlign w:val="bottom"/>
            <w:gridSpan w:val="21"/>
          </w:tcPr>
          <w:p>
            <w:pPr>
              <w:ind w:left="40"/>
              <w:spacing w:after="0"/>
              <w:rPr>
                <w:rFonts w:ascii="Arial" w:cs="Arial" w:eastAsia="Arial" w:hAnsi="Arial"/>
                <w:sz w:val="18"/>
                <w:szCs w:val="18"/>
                <w:color w:val="0000FF"/>
              </w:rPr>
            </w:pPr>
            <w:hyperlink w:anchor="page41">
              <w:r>
                <w:rPr>
                  <w:rFonts w:ascii="Arial" w:cs="Arial" w:eastAsia="Arial" w:hAnsi="Arial"/>
                  <w:sz w:val="18"/>
                  <w:szCs w:val="18"/>
                  <w:color w:val="0000FF"/>
                </w:rPr>
                <w:t>Quantitative and Qualitative Disclosures About Market Risk</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39</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Item 8</w:t>
              </w:r>
            </w:hyperlink>
          </w:p>
        </w:tc>
        <w:tc>
          <w:tcPr>
            <w:tcW w:w="6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8840" w:type="dxa"/>
            <w:vAlign w:val="bottom"/>
            <w:gridSpan w:val="21"/>
          </w:tcPr>
          <w:p>
            <w:pPr>
              <w:ind w:left="40"/>
              <w:spacing w:after="0"/>
              <w:rPr>
                <w:rFonts w:ascii="Arial" w:cs="Arial" w:eastAsia="Arial" w:hAnsi="Arial"/>
                <w:sz w:val="18"/>
                <w:szCs w:val="18"/>
                <w:color w:val="0000FF"/>
              </w:rPr>
            </w:pPr>
            <w:hyperlink w:anchor="page41">
              <w:r>
                <w:rPr>
                  <w:rFonts w:ascii="Arial" w:cs="Arial" w:eastAsia="Arial" w:hAnsi="Arial"/>
                  <w:sz w:val="18"/>
                  <w:szCs w:val="18"/>
                  <w:color w:val="0000FF"/>
                </w:rPr>
                <w:t>Financial Statements and Supplementary Data</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40</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4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FF"/>
                <w:w w:val="91"/>
              </w:rPr>
            </w:pPr>
            <w:hyperlink w:anchor="page87">
              <w:r>
                <w:rPr>
                  <w:rFonts w:ascii="Arial" w:cs="Arial" w:eastAsia="Arial" w:hAnsi="Arial"/>
                  <w:sz w:val="18"/>
                  <w:szCs w:val="18"/>
                  <w:color w:val="0000FF"/>
                  <w:w w:val="91"/>
                </w:rPr>
                <w:t>Item 9</w:t>
              </w:r>
            </w:hyperlink>
          </w:p>
        </w:tc>
        <w:tc>
          <w:tcPr>
            <w:tcW w:w="680" w:type="dxa"/>
            <w:vAlign w:val="bottom"/>
            <w:gridSpan w:val="3"/>
          </w:tcPr>
          <w:p>
            <w:pPr>
              <w:spacing w:after="0"/>
              <w:rPr>
                <w:sz w:val="24"/>
                <w:szCs w:val="24"/>
                <w:color w:val="auto"/>
              </w:rPr>
            </w:pPr>
          </w:p>
        </w:tc>
        <w:tc>
          <w:tcPr>
            <w:tcW w:w="8840" w:type="dxa"/>
            <w:vAlign w:val="bottom"/>
            <w:gridSpan w:val="21"/>
          </w:tcPr>
          <w:p>
            <w:pPr>
              <w:ind w:left="40"/>
              <w:spacing w:after="0"/>
              <w:rPr>
                <w:rFonts w:ascii="Arial" w:cs="Arial" w:eastAsia="Arial" w:hAnsi="Arial"/>
                <w:sz w:val="18"/>
                <w:szCs w:val="18"/>
                <w:color w:val="0000FF"/>
              </w:rPr>
            </w:pPr>
            <w:hyperlink w:anchor="page87">
              <w:r>
                <w:rPr>
                  <w:rFonts w:ascii="Arial" w:cs="Arial" w:eastAsia="Arial" w:hAnsi="Arial"/>
                  <w:sz w:val="18"/>
                  <w:szCs w:val="18"/>
                  <w:color w:val="0000FF"/>
                </w:rPr>
                <w:t>Changes in and Disagreements with Accountants on Accounting and Financial Disclosure</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85</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FF"/>
                <w:w w:val="83"/>
              </w:rPr>
            </w:pPr>
            <w:hyperlink w:anchor="page87">
              <w:r>
                <w:rPr>
                  <w:rFonts w:ascii="Arial" w:cs="Arial" w:eastAsia="Arial" w:hAnsi="Arial"/>
                  <w:sz w:val="18"/>
                  <w:szCs w:val="18"/>
                  <w:color w:val="0000FF"/>
                  <w:w w:val="83"/>
                </w:rPr>
                <w:t>Item 9A</w:t>
              </w:r>
            </w:hyperlink>
          </w:p>
        </w:tc>
        <w:tc>
          <w:tcPr>
            <w:tcW w:w="600" w:type="dxa"/>
            <w:vAlign w:val="bottom"/>
            <w:gridSpan w:val="2"/>
          </w:tcPr>
          <w:p>
            <w:pPr>
              <w:spacing w:after="0"/>
              <w:rPr>
                <w:sz w:val="24"/>
                <w:szCs w:val="24"/>
                <w:color w:val="auto"/>
              </w:rPr>
            </w:pPr>
          </w:p>
        </w:tc>
        <w:tc>
          <w:tcPr>
            <w:tcW w:w="8840" w:type="dxa"/>
            <w:vAlign w:val="bottom"/>
            <w:gridSpan w:val="21"/>
          </w:tcPr>
          <w:p>
            <w:pPr>
              <w:ind w:left="40"/>
              <w:spacing w:after="0"/>
              <w:rPr>
                <w:rFonts w:ascii="Arial" w:cs="Arial" w:eastAsia="Arial" w:hAnsi="Arial"/>
                <w:sz w:val="18"/>
                <w:szCs w:val="18"/>
                <w:color w:val="0000FF"/>
              </w:rPr>
            </w:pPr>
            <w:hyperlink w:anchor="page87">
              <w:r>
                <w:rPr>
                  <w:rFonts w:ascii="Arial" w:cs="Arial" w:eastAsia="Arial" w:hAnsi="Arial"/>
                  <w:sz w:val="18"/>
                  <w:szCs w:val="18"/>
                  <w:color w:val="0000FF"/>
                </w:rPr>
                <w:t>Controls and Procedures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85</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4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FF"/>
                <w:w w:val="83"/>
              </w:rPr>
            </w:pPr>
            <w:hyperlink w:anchor="page87">
              <w:r>
                <w:rPr>
                  <w:rFonts w:ascii="Arial" w:cs="Arial" w:eastAsia="Arial" w:hAnsi="Arial"/>
                  <w:sz w:val="18"/>
                  <w:szCs w:val="18"/>
                  <w:color w:val="0000FF"/>
                  <w:w w:val="83"/>
                </w:rPr>
                <w:t>Item 9B</w:t>
              </w:r>
            </w:hyperlink>
          </w:p>
        </w:tc>
        <w:tc>
          <w:tcPr>
            <w:tcW w:w="600" w:type="dxa"/>
            <w:vAlign w:val="bottom"/>
            <w:gridSpan w:val="2"/>
          </w:tcPr>
          <w:p>
            <w:pPr>
              <w:spacing w:after="0"/>
              <w:rPr>
                <w:sz w:val="24"/>
                <w:szCs w:val="24"/>
                <w:color w:val="auto"/>
              </w:rPr>
            </w:pPr>
          </w:p>
        </w:tc>
        <w:tc>
          <w:tcPr>
            <w:tcW w:w="8840" w:type="dxa"/>
            <w:vAlign w:val="bottom"/>
            <w:gridSpan w:val="21"/>
          </w:tcPr>
          <w:p>
            <w:pPr>
              <w:ind w:left="40"/>
              <w:spacing w:after="0"/>
              <w:rPr>
                <w:rFonts w:ascii="Arial" w:cs="Arial" w:eastAsia="Arial" w:hAnsi="Arial"/>
                <w:sz w:val="18"/>
                <w:szCs w:val="18"/>
                <w:color w:val="0000FF"/>
              </w:rPr>
            </w:pPr>
            <w:hyperlink w:anchor="page87">
              <w:r>
                <w:rPr>
                  <w:rFonts w:ascii="Arial" w:cs="Arial" w:eastAsia="Arial" w:hAnsi="Arial"/>
                  <w:sz w:val="18"/>
                  <w:szCs w:val="18"/>
                  <w:color w:val="0000FF"/>
                </w:rPr>
                <w:t>Other Information</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86</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FF"/>
                <w:w w:val="82"/>
              </w:rPr>
            </w:pPr>
            <w:hyperlink w:anchor="page88">
              <w:r>
                <w:rPr>
                  <w:rFonts w:ascii="Arial" w:cs="Arial" w:eastAsia="Arial" w:hAnsi="Arial"/>
                  <w:sz w:val="18"/>
                  <w:szCs w:val="18"/>
                  <w:color w:val="0000FF"/>
                  <w:w w:val="82"/>
                </w:rPr>
                <w:t>Item 9C</w:t>
              </w:r>
            </w:hyperlink>
          </w:p>
        </w:tc>
        <w:tc>
          <w:tcPr>
            <w:tcW w:w="600" w:type="dxa"/>
            <w:vAlign w:val="bottom"/>
            <w:gridSpan w:val="2"/>
          </w:tcPr>
          <w:p>
            <w:pPr>
              <w:spacing w:after="0"/>
              <w:rPr>
                <w:sz w:val="24"/>
                <w:szCs w:val="24"/>
                <w:color w:val="auto"/>
              </w:rPr>
            </w:pPr>
          </w:p>
        </w:tc>
        <w:tc>
          <w:tcPr>
            <w:tcW w:w="8840" w:type="dxa"/>
            <w:vAlign w:val="bottom"/>
            <w:gridSpan w:val="21"/>
          </w:tcPr>
          <w:p>
            <w:pPr>
              <w:ind w:left="40"/>
              <w:spacing w:after="0"/>
              <w:rPr>
                <w:rFonts w:ascii="Arial" w:cs="Arial" w:eastAsia="Arial" w:hAnsi="Arial"/>
                <w:sz w:val="18"/>
                <w:szCs w:val="18"/>
                <w:color w:val="0000FF"/>
              </w:rPr>
            </w:pPr>
            <w:hyperlink w:anchor="page88">
              <w:r>
                <w:rPr>
                  <w:rFonts w:ascii="Arial" w:cs="Arial" w:eastAsia="Arial" w:hAnsi="Arial"/>
                  <w:sz w:val="18"/>
                  <w:szCs w:val="18"/>
                  <w:color w:val="0000FF"/>
                </w:rPr>
                <w:t>Disclosure Regarding Foreign Jurisdictions that Prevent Inspections</w:t>
              </w:r>
            </w:hyperlink>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86</w:t>
            </w:r>
          </w:p>
        </w:tc>
      </w:tr>
      <w:tr>
        <w:trPr>
          <w:trHeight w:val="250"/>
        </w:trPr>
        <w:tc>
          <w:tcPr>
            <w:tcW w:w="140" w:type="dxa"/>
            <w:vAlign w:val="bottom"/>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580" w:type="dxa"/>
            <w:vAlign w:val="bottom"/>
            <w:tcBorders>
              <w:top w:val="single" w:sz="8" w:color="0000FF"/>
            </w:tcBorders>
            <w:gridSpan w:val="3"/>
          </w:tcPr>
          <w:p>
            <w:pPr>
              <w:jc w:val="center"/>
              <w:ind w:left="190"/>
              <w:spacing w:after="0"/>
              <w:rPr>
                <w:sz w:val="20"/>
                <w:szCs w:val="20"/>
                <w:color w:val="auto"/>
              </w:rPr>
            </w:pPr>
            <w:r>
              <w:rPr>
                <w:rFonts w:ascii="Arial" w:cs="Arial" w:eastAsia="Arial" w:hAnsi="Arial"/>
                <w:sz w:val="18"/>
                <w:szCs w:val="18"/>
                <w:color w:val="auto"/>
                <w:w w:val="96"/>
              </w:rPr>
              <w:t>PART III</w:t>
            </w:r>
          </w:p>
        </w:tc>
        <w:tc>
          <w:tcPr>
            <w:tcW w:w="3900" w:type="dxa"/>
            <w:vAlign w:val="bottom"/>
            <w:gridSpan w:val="6"/>
          </w:tcPr>
          <w:p>
            <w:pPr>
              <w:spacing w:after="0"/>
              <w:rPr>
                <w:sz w:val="21"/>
                <w:szCs w:val="21"/>
                <w:color w:val="auto"/>
              </w:rPr>
            </w:pPr>
          </w:p>
        </w:tc>
        <w:tc>
          <w:tcPr>
            <w:tcW w:w="1100" w:type="dxa"/>
            <w:vAlign w:val="bottom"/>
          </w:tcPr>
          <w:p>
            <w:pPr>
              <w:spacing w:after="0"/>
              <w:rPr>
                <w:sz w:val="21"/>
                <w:szCs w:val="21"/>
                <w:color w:val="auto"/>
              </w:rPr>
            </w:pPr>
          </w:p>
        </w:tc>
      </w:tr>
      <w:tr>
        <w:trPr>
          <w:trHeight w:val="351"/>
        </w:trPr>
        <w:tc>
          <w:tcPr>
            <w:tcW w:w="140" w:type="dxa"/>
            <w:vAlign w:val="bottom"/>
          </w:tcPr>
          <w:p>
            <w:pPr>
              <w:spacing w:after="0"/>
              <w:rPr>
                <w:sz w:val="24"/>
                <w:szCs w:val="24"/>
                <w:color w:val="auto"/>
              </w:rPr>
            </w:pPr>
          </w:p>
        </w:tc>
        <w:tc>
          <w:tcPr>
            <w:tcW w:w="1160" w:type="dxa"/>
            <w:vAlign w:val="bottom"/>
            <w:gridSpan w:val="4"/>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Item 10</w:t>
              </w:r>
            </w:hyperlink>
          </w:p>
        </w:tc>
        <w:tc>
          <w:tcPr>
            <w:tcW w:w="8840" w:type="dxa"/>
            <w:vAlign w:val="bottom"/>
            <w:gridSpan w:val="21"/>
          </w:tcPr>
          <w:p>
            <w:pPr>
              <w:ind w:left="40"/>
              <w:spacing w:after="0"/>
              <w:rPr>
                <w:rFonts w:ascii="Arial" w:cs="Arial" w:eastAsia="Arial" w:hAnsi="Arial"/>
                <w:sz w:val="18"/>
                <w:szCs w:val="18"/>
                <w:color w:val="0000FF"/>
              </w:rPr>
            </w:pPr>
            <w:hyperlink w:anchor="page88">
              <w:r>
                <w:rPr>
                  <w:rFonts w:ascii="Arial" w:cs="Arial" w:eastAsia="Arial" w:hAnsi="Arial"/>
                  <w:sz w:val="18"/>
                  <w:szCs w:val="18"/>
                  <w:color w:val="0000FF"/>
                </w:rPr>
                <w:t>Directors, Executive Officers and Corporate Governance</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86</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FF"/>
                <w:w w:val="86"/>
              </w:rPr>
            </w:pPr>
            <w:hyperlink w:anchor="page88">
              <w:r>
                <w:rPr>
                  <w:rFonts w:ascii="Arial" w:cs="Arial" w:eastAsia="Arial" w:hAnsi="Arial"/>
                  <w:sz w:val="18"/>
                  <w:szCs w:val="18"/>
                  <w:color w:val="0000FF"/>
                  <w:w w:val="86"/>
                </w:rPr>
                <w:t>Item 11</w:t>
              </w:r>
            </w:hyperlink>
          </w:p>
        </w:tc>
        <w:tc>
          <w:tcPr>
            <w:tcW w:w="600" w:type="dxa"/>
            <w:vAlign w:val="bottom"/>
            <w:gridSpan w:val="2"/>
          </w:tcPr>
          <w:p>
            <w:pPr>
              <w:spacing w:after="0"/>
              <w:rPr>
                <w:sz w:val="24"/>
                <w:szCs w:val="24"/>
                <w:color w:val="auto"/>
              </w:rPr>
            </w:pPr>
          </w:p>
        </w:tc>
        <w:tc>
          <w:tcPr>
            <w:tcW w:w="8840" w:type="dxa"/>
            <w:vAlign w:val="bottom"/>
            <w:gridSpan w:val="21"/>
          </w:tcPr>
          <w:p>
            <w:pPr>
              <w:ind w:left="40"/>
              <w:spacing w:after="0"/>
              <w:rPr>
                <w:rFonts w:ascii="Arial" w:cs="Arial" w:eastAsia="Arial" w:hAnsi="Arial"/>
                <w:sz w:val="18"/>
                <w:szCs w:val="18"/>
                <w:color w:val="0000FF"/>
              </w:rPr>
            </w:pPr>
            <w:hyperlink w:anchor="page88">
              <w:r>
                <w:rPr>
                  <w:rFonts w:ascii="Arial" w:cs="Arial" w:eastAsia="Arial" w:hAnsi="Arial"/>
                  <w:sz w:val="18"/>
                  <w:szCs w:val="18"/>
                  <w:color w:val="0000FF"/>
                </w:rPr>
                <w:t>Executive Compensation</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86</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40" w:type="dxa"/>
            <w:vAlign w:val="bottom"/>
          </w:tcPr>
          <w:p>
            <w:pPr>
              <w:spacing w:after="0"/>
              <w:rPr>
                <w:sz w:val="24"/>
                <w:szCs w:val="24"/>
                <w:color w:val="auto"/>
              </w:rPr>
            </w:pPr>
          </w:p>
        </w:tc>
        <w:tc>
          <w:tcPr>
            <w:tcW w:w="1160" w:type="dxa"/>
            <w:vAlign w:val="bottom"/>
            <w:gridSpan w:val="4"/>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Item 12</w:t>
              </w:r>
            </w:hyperlink>
          </w:p>
        </w:tc>
        <w:tc>
          <w:tcPr>
            <w:tcW w:w="8840" w:type="dxa"/>
            <w:vAlign w:val="bottom"/>
            <w:gridSpan w:val="21"/>
          </w:tcPr>
          <w:p>
            <w:pPr>
              <w:ind w:left="40"/>
              <w:spacing w:after="0"/>
              <w:rPr>
                <w:rFonts w:ascii="Arial" w:cs="Arial" w:eastAsia="Arial" w:hAnsi="Arial"/>
                <w:sz w:val="18"/>
                <w:szCs w:val="18"/>
                <w:color w:val="0000FF"/>
              </w:rPr>
            </w:pPr>
            <w:hyperlink w:anchor="page88">
              <w:r>
                <w:rPr>
                  <w:rFonts w:ascii="Arial" w:cs="Arial" w:eastAsia="Arial" w:hAnsi="Arial"/>
                  <w:sz w:val="18"/>
                  <w:szCs w:val="18"/>
                  <w:color w:val="0000FF"/>
                </w:rPr>
                <w:t>Security Ownership of Certain Beneficial Owners and Management and Related Stockholder Matters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87</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160" w:type="dxa"/>
            <w:vAlign w:val="bottom"/>
            <w:gridSpan w:val="4"/>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Item 13</w:t>
              </w:r>
            </w:hyperlink>
          </w:p>
        </w:tc>
        <w:tc>
          <w:tcPr>
            <w:tcW w:w="8840" w:type="dxa"/>
            <w:vAlign w:val="bottom"/>
            <w:gridSpan w:val="21"/>
          </w:tcPr>
          <w:p>
            <w:pPr>
              <w:ind w:left="40"/>
              <w:spacing w:after="0"/>
              <w:rPr>
                <w:rFonts w:ascii="Arial" w:cs="Arial" w:eastAsia="Arial" w:hAnsi="Arial"/>
                <w:sz w:val="18"/>
                <w:szCs w:val="18"/>
                <w:color w:val="0000FF"/>
              </w:rPr>
            </w:pPr>
            <w:hyperlink w:anchor="page89">
              <w:r>
                <w:rPr>
                  <w:rFonts w:ascii="Arial" w:cs="Arial" w:eastAsia="Arial" w:hAnsi="Arial"/>
                  <w:sz w:val="18"/>
                  <w:szCs w:val="18"/>
                  <w:color w:val="0000FF"/>
                </w:rPr>
                <w:t>Certain Relationships and Related Transactions, and Director Independence</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87</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40" w:type="dxa"/>
            <w:vAlign w:val="bottom"/>
          </w:tcPr>
          <w:p>
            <w:pPr>
              <w:spacing w:after="0"/>
              <w:rPr>
                <w:sz w:val="24"/>
                <w:szCs w:val="24"/>
                <w:color w:val="auto"/>
              </w:rPr>
            </w:pPr>
          </w:p>
        </w:tc>
        <w:tc>
          <w:tcPr>
            <w:tcW w:w="1160" w:type="dxa"/>
            <w:vAlign w:val="bottom"/>
            <w:gridSpan w:val="4"/>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Item 14</w:t>
              </w:r>
            </w:hyperlink>
          </w:p>
        </w:tc>
        <w:tc>
          <w:tcPr>
            <w:tcW w:w="8840" w:type="dxa"/>
            <w:vAlign w:val="bottom"/>
            <w:gridSpan w:val="21"/>
          </w:tcPr>
          <w:p>
            <w:pPr>
              <w:ind w:left="40"/>
              <w:spacing w:after="0"/>
              <w:rPr>
                <w:rFonts w:ascii="Arial" w:cs="Arial" w:eastAsia="Arial" w:hAnsi="Arial"/>
                <w:sz w:val="18"/>
                <w:szCs w:val="18"/>
                <w:color w:val="0000FF"/>
              </w:rPr>
            </w:pPr>
            <w:hyperlink w:anchor="page89">
              <w:r>
                <w:rPr>
                  <w:rFonts w:ascii="Arial" w:cs="Arial" w:eastAsia="Arial" w:hAnsi="Arial"/>
                  <w:sz w:val="18"/>
                  <w:szCs w:val="18"/>
                  <w:color w:val="0000FF"/>
                </w:rPr>
                <w:t>Principal Accounting Fees and Services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87</w:t>
            </w:r>
          </w:p>
        </w:tc>
      </w:tr>
      <w:tr>
        <w:trPr>
          <w:trHeight w:val="412"/>
        </w:trPr>
        <w:tc>
          <w:tcPr>
            <w:tcW w:w="14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9"/>
          </w:tcPr>
          <w:p>
            <w:pPr>
              <w:jc w:val="center"/>
              <w:ind w:right="3640"/>
              <w:spacing w:after="0"/>
              <w:rPr>
                <w:sz w:val="20"/>
                <w:szCs w:val="20"/>
                <w:color w:val="auto"/>
              </w:rPr>
            </w:pPr>
            <w:r>
              <w:rPr>
                <w:rFonts w:ascii="Arial" w:cs="Arial" w:eastAsia="Arial" w:hAnsi="Arial"/>
                <w:sz w:val="18"/>
                <w:szCs w:val="18"/>
                <w:color w:val="auto"/>
                <w:w w:val="97"/>
              </w:rPr>
              <w:t>PART IV</w:t>
            </w:r>
          </w:p>
        </w:tc>
        <w:tc>
          <w:tcPr>
            <w:tcW w:w="1100" w:type="dxa"/>
            <w:vAlign w:val="bottom"/>
          </w:tcPr>
          <w:p>
            <w:pPr>
              <w:spacing w:after="0"/>
              <w:rPr>
                <w:sz w:val="24"/>
                <w:szCs w:val="24"/>
                <w:color w:val="auto"/>
              </w:rPr>
            </w:pPr>
          </w:p>
        </w:tc>
      </w:tr>
      <w:tr>
        <w:trPr>
          <w:trHeight w:val="351"/>
        </w:trPr>
        <w:tc>
          <w:tcPr>
            <w:tcW w:w="140" w:type="dxa"/>
            <w:vAlign w:val="bottom"/>
          </w:tcPr>
          <w:p>
            <w:pPr>
              <w:spacing w:after="0"/>
              <w:rPr>
                <w:sz w:val="24"/>
                <w:szCs w:val="24"/>
                <w:color w:val="auto"/>
              </w:rPr>
            </w:pPr>
          </w:p>
        </w:tc>
        <w:tc>
          <w:tcPr>
            <w:tcW w:w="1160" w:type="dxa"/>
            <w:vAlign w:val="bottom"/>
            <w:gridSpan w:val="4"/>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Item 15</w:t>
              </w:r>
            </w:hyperlink>
          </w:p>
        </w:tc>
        <w:tc>
          <w:tcPr>
            <w:tcW w:w="8840" w:type="dxa"/>
            <w:vAlign w:val="bottom"/>
            <w:gridSpan w:val="21"/>
          </w:tcPr>
          <w:p>
            <w:pPr>
              <w:ind w:left="40"/>
              <w:spacing w:after="0"/>
              <w:rPr>
                <w:rFonts w:ascii="Arial" w:cs="Arial" w:eastAsia="Arial" w:hAnsi="Arial"/>
                <w:sz w:val="18"/>
                <w:szCs w:val="18"/>
                <w:color w:val="0000FF"/>
              </w:rPr>
            </w:pPr>
            <w:hyperlink w:anchor="page90">
              <w:r>
                <w:rPr>
                  <w:rFonts w:ascii="Arial" w:cs="Arial" w:eastAsia="Arial" w:hAnsi="Arial"/>
                  <w:sz w:val="18"/>
                  <w:szCs w:val="18"/>
                  <w:color w:val="0000FF"/>
                </w:rPr>
                <w:t>Exhibits and Financial Statement Schedules</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88</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640" w:type="dxa"/>
            <w:vAlign w:val="bottom"/>
            <w:gridSpan w:val="1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160" w:type="dxa"/>
            <w:vAlign w:val="bottom"/>
            <w:gridSpan w:val="4"/>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Item 16</w:t>
              </w:r>
            </w:hyperlink>
          </w:p>
        </w:tc>
        <w:tc>
          <w:tcPr>
            <w:tcW w:w="8840" w:type="dxa"/>
            <w:vAlign w:val="bottom"/>
            <w:gridSpan w:val="21"/>
          </w:tcPr>
          <w:p>
            <w:pPr>
              <w:ind w:left="40"/>
              <w:spacing w:after="0"/>
              <w:rPr>
                <w:rFonts w:ascii="Arial" w:cs="Arial" w:eastAsia="Arial" w:hAnsi="Arial"/>
                <w:sz w:val="18"/>
                <w:szCs w:val="18"/>
                <w:color w:val="0000FF"/>
              </w:rPr>
            </w:pPr>
            <w:hyperlink w:anchor="page95">
              <w:r>
                <w:rPr>
                  <w:rFonts w:ascii="Arial" w:cs="Arial" w:eastAsia="Arial" w:hAnsi="Arial"/>
                  <w:sz w:val="18"/>
                  <w:szCs w:val="18"/>
                  <w:color w:val="0000FF"/>
                </w:rPr>
                <w:t>Form 10-K Summary</w:t>
              </w:r>
            </w:hyperlink>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93</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4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Arial" w:cs="Arial" w:eastAsia="Arial" w:hAnsi="Arial"/>
                <w:sz w:val="18"/>
                <w:szCs w:val="18"/>
                <w:color w:val="0000FF"/>
                <w:w w:val="97"/>
              </w:rPr>
              <w:t>SIGNATURES</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94</w:t>
            </w:r>
          </w:p>
        </w:tc>
      </w:tr>
      <w:tr>
        <w:trPr>
          <w:trHeight w:val="878"/>
        </w:trPr>
        <w:tc>
          <w:tcPr>
            <w:tcW w:w="140" w:type="dxa"/>
            <w:vAlign w:val="bottom"/>
            <w:tcBorders>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54"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BUSINESS</w:t>
      </w:r>
    </w:p>
    <w:p>
      <w:pPr>
        <w:spacing w:after="0" w:line="3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Crown Holdings, Inc. (the "Company" or the "Registrant") (where the context requires, the "Company" shall include reference to the Company and its consolidated subsidiary companies) is a Pennsylvania corporation.</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a worldwide leader in the design, manufacture and sale of packaging products for consumer goods and industrial products. The Company's consumer packaging solutions primarily support the beverage and food industries through the sale of aluminum and steel cans. The Company's packaging for industrial products includes steel and plastic consumables and equipment, paper-based protective packaging, and plastic film consumables and equipment, which are sold into the metals, food and beverage, construction, agricultural, corrugated and general industries.</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December 31, 2021, the Company operated 200 plants along with sales and service facilities throughout 40 countries and had approximately 26,000 employees. In 2021, consolidated net sales for the Company were $11.4 billion with 63% derived from operations outside the United States ("U.S.")</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strategy is to deploy capital into its global beverage can operations to expand production capacity to support growing customer demand in alcoholic and non-alcoholic drink categories. Beverage cans are the world’s most sustainable and recycled beverage packaging and continue to gain market share in new beverage product launches. The Company continues to drive brand differentiation by increasing its ability to offer multiple specialty can sizes. Size variations include slim and sleek cans, as well as larger sizes to help customers differentiate their products.</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Approximately 64% of the Company's consolidated net sales were derived from the Company's global beverage can operations. The Company’s beverage can business is built around local, regional and global markets, which has served to develop the Company’s understanding of global customer and consumer expectations. The Company expects to continue to responsibly add beverage can capacity in many of its growing markets around the world.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REPORTABLE SEGMENTS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business is generally organized by product line and geography. The reportable segments are: Americas Beverage, European Beverage, Asia Pacific and Transit Packaging.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BEVERAGE</w:t>
      </w:r>
    </w:p>
    <w:p>
      <w:pPr>
        <w:spacing w:after="0" w:line="256"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Americas Beverage segment manufactures aluminum beverage cans and ends, glass bottles, steel crowns and aluminum caps. Manufacturing facilities are located in the U.S., Brazil, Canada, Colombia and Mexico. Americas Beverage had net sales in 2021 of $4.4 billion and segment income (as defined under </w:t>
      </w:r>
      <w:hyperlink w:anchor="page84">
        <w:r>
          <w:rPr>
            <w:rFonts w:ascii="Arial" w:cs="Arial" w:eastAsia="Arial" w:hAnsi="Arial"/>
            <w:sz w:val="18"/>
            <w:szCs w:val="18"/>
            <w:u w:val="single" w:color="auto"/>
            <w:color w:val="0000FF"/>
          </w:rPr>
          <w:t>Note Y</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of $756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BEVERAGE</w:t>
      </w:r>
    </w:p>
    <w:p>
      <w:pPr>
        <w:spacing w:after="0" w:line="256" w:lineRule="exact"/>
        <w:rPr>
          <w:sz w:val="20"/>
          <w:szCs w:val="20"/>
          <w:color w:val="auto"/>
        </w:rPr>
      </w:pPr>
    </w:p>
    <w:p>
      <w:pPr>
        <w:jc w:val="both"/>
        <w:spacing w:after="0" w:line="342" w:lineRule="auto"/>
        <w:rPr>
          <w:rFonts w:ascii="Arial" w:cs="Arial" w:eastAsia="Arial" w:hAnsi="Arial"/>
          <w:sz w:val="16"/>
          <w:szCs w:val="16"/>
          <w:color w:val="auto"/>
        </w:rPr>
      </w:pPr>
      <w:r>
        <w:rPr>
          <w:rFonts w:ascii="Arial" w:cs="Arial" w:eastAsia="Arial" w:hAnsi="Arial"/>
          <w:sz w:val="16"/>
          <w:szCs w:val="16"/>
          <w:color w:val="auto"/>
        </w:rPr>
        <w:t xml:space="preserve">The European Beverage segment manufactures aluminum beverage cans and ends in Europe, the Middle East and North Africa. European Beverage had net sales in 2021 of $1.8 billion and segment income (as defined under </w:t>
      </w:r>
      <w:hyperlink w:anchor="page84">
        <w:r>
          <w:rPr>
            <w:rFonts w:ascii="Arial" w:cs="Arial" w:eastAsia="Arial" w:hAnsi="Arial"/>
            <w:sz w:val="16"/>
            <w:szCs w:val="16"/>
            <w:u w:val="single" w:color="auto"/>
            <w:color w:val="0000FF"/>
          </w:rPr>
          <w:t>Note Y</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 of $259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 PACIFIC</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Asia Pacific segment primarily consisting of beverage can operations in Cambodia, China, Indonesia, Malaysia, Myanmar, Singapore, Thailand and Vietnam and also includes non-beverage can operations, primarily food cans and specialty packaging.</w:t>
      </w:r>
    </w:p>
    <w:p>
      <w:pPr>
        <w:spacing w:after="0" w:line="197"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Asia Pacific had net sales in 2021 of $1.3 billion and segment income (as defined under </w:t>
      </w:r>
      <w:hyperlink w:anchor="page84">
        <w:r>
          <w:rPr>
            <w:rFonts w:ascii="Arial" w:cs="Arial" w:eastAsia="Arial" w:hAnsi="Arial"/>
            <w:sz w:val="18"/>
            <w:szCs w:val="18"/>
            <w:u w:val="single" w:color="auto"/>
            <w:color w:val="0000FF"/>
          </w:rPr>
          <w:t>Note Y</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of $182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 PACKAGING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Transit Packaging segment includes the Company’s worldwide industrial and protective solutions and equipment and tools businesses. Industrial solutions include steel strap, plastic strap, industrial film and other related products that are used in a wide range of industries. Protective solutions include transit protection products, such as airbags, edge protectors, and honeycomb products that help prevent movement of, and/or damage to, a wide range of industrial and consumer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goods during transport. Equipment and tools includes manual, semi-automatic and automatic equipment and tools, which are primarily used in end-of-line operations to apply consumables such as strap and film.</w:t>
      </w:r>
    </w:p>
    <w:p>
      <w:pPr>
        <w:spacing w:after="0" w:line="197"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Transit Packaging had net sales in 2021 of $2.5 billion and segment income (as defined under </w:t>
      </w:r>
      <w:hyperlink w:anchor="page84">
        <w:r>
          <w:rPr>
            <w:rFonts w:ascii="Arial" w:cs="Arial" w:eastAsia="Arial" w:hAnsi="Arial"/>
            <w:sz w:val="18"/>
            <w:szCs w:val="18"/>
            <w:u w:val="single" w:color="auto"/>
            <w:color w:val="0000FF"/>
          </w:rPr>
          <w:t>Note Y</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of $318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other segments ("Other") include the Company's food can, aerosol can and closures business in North America, and beverage tooling and equipment operations in the U.S. and United Kingdom ("U.K."). The Company manufactures a variety of food and aerosol cans and ends and aerosol cans in assorted shapes and sizes. The Company’s customers include manufacturers of food, personal care, household and industrial products.</w:t>
      </w:r>
    </w:p>
    <w:p>
      <w:pPr>
        <w:spacing w:after="0" w:line="176" w:lineRule="exact"/>
        <w:rPr>
          <w:sz w:val="20"/>
          <w:szCs w:val="20"/>
          <w:color w:val="auto"/>
        </w:rPr>
      </w:pPr>
    </w:p>
    <w:p>
      <w:pPr>
        <w:jc w:val="both"/>
        <w:ind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Additional financial information concerning the Company’s reportable segments is set forth within “Management’s Discussion and Analysis of Financial Condition and Results of Operations” of this Annual Report and under </w:t>
      </w:r>
      <w:hyperlink w:anchor="page84">
        <w:r>
          <w:rPr>
            <w:rFonts w:ascii="Arial" w:cs="Arial" w:eastAsia="Arial" w:hAnsi="Arial"/>
            <w:sz w:val="18"/>
            <w:szCs w:val="18"/>
            <w:u w:val="single" w:color="auto"/>
            <w:color w:val="0000FF"/>
          </w:rPr>
          <w:t>Note Y</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 AND DISTRIBUTION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Global marketers qualify suppliers on the basis of their ability to provide global service, innovative designs and technologies in a cost-effective manner.</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its global reach, the Company primarily markets and sells products to customers through its own sales and marketing staff. In some instances, contracts with customers are centrally negotiated, but products are ordered through and distributed directly by the Company’s local facilities. The Company’s facilities are generally located in proximity to their respective major customers. The Company works closely with customers in order to develop new business and to extend the duration of existing contracts.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customers provide the Company with quarterly or annual estimates of product requirements along with related quantities pursuant to which periodic commitments are given. Such estimates assist the Company in managing production and controlling use of working capital. The Company schedules its production to meet customer requirements. Because the production time for the Company’s products is short, any backlog of customer orders in relation to overall sales is not significant.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Most of the Company’s packaging products for consumer goods are sold in highly competitive markets, primarily based on price, quality, service and performance. The Company competes with other packaging manufacturers as well as with fillers, food processors and packers, some of whom manufacture containers for their own use and for sale to others. The Company’s competitors include, but are not limited to, Ardagh Metal Packaging, Ball Corporation, Ball Metalpack, Mauser Packaging Solutions, Can-Pack S.A., Metal Container Corporation, Silgan Holdings Inc., and Trivium Packaging.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Transit Packaging also faces substantial competition from many regional and local competitors of various sizes in the manufacture, distribution and sale of its products. Transit Packaging differentiates itself from the competition by leveraging its global scale, broad product portfolio and established brand reputation. Transit Packaging products compete, to some extent, with various other packaging materials, including other products made of paper, plastics, wood and various types of metal.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largest beverage can customers consist of many of the leading manufacturers and marketers of packaged consumer products in the world, including Anheuser-Busch InBev, Coca-Cola, Heineken, Keurig Dr Pepper, Molson Coors, Pepsi-Cola and Refresco, among others. Consolidation trends among beverage marketers have led to a concentrated customer base. The Company’s top ten global customers represented in the aggregate approximately 47% of its 2021 consolidated net sales.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2021, two customers each accounted for 11% of the Company's consolidated net sales. These customers are global beverage companies served by the Company's beverage operations in the Americas, Europe and Asia. These same two customers accounted for 11% and 10%, respectively, of the Company's consolidated net sales in 2020. For the year ended December 31, 2019, one of these customers accounted for 12% of the Company's consolidated net sales.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reportable segment, with the exception of Transit Packaging, has major customers and the loss of one or more of these major customers could have a material adverse effect on an individual segment or the Company as a whole. In addition to sales to Coca-Cola and Pepsi-Cola, the Company also supplies independent licensees of Coca-Cola and Pepsi-Cola.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global Research, Development &amp; Engineering ("RD&amp;E") Center for packaging products for consumer goods is located in Wantage, U.K. The Company utilizes its centralized corporate RD&amp;E capabilities to advance and deliver technologies for the Company's worldwide packaging activities that (1) promote development of value-added metal packaging systems for its customers, (2) design cost-efficient manufacturing processes, systems and materials and material-efficient container designs that further the sustainability of metal packaging, (3) provide continuous quality and/or production efficiency improvements in its manufacturing facilities, (4) advance customer and supplier relationships, and (5) provide value-added engineering services and technical support. These capabilities facilitate (1) the identification of new and/or expanded market opportunities by working directly with customers to develop new packaging products or enhance existing packaging products through the application of new technologies that better differentiate customers' products in the retail environment (for example, the creation of new packaging shapes, novel decoration methods, or the addition of digital content through unique codes) and/or the incorporation of consumer-valued features (for example, improved openability and/or ease of use) and (2) the reduction of manufacturing costs by reducing the material content of the Company's products (while retaining necessary performance characteristics), reducing spoilage, and increasing operating efficiencies in manufacturing facilities. The corporate RD&amp;E Center is also applying technical expertise to advance product design and manufacturing capabilities for the Company's Transit Packaging segment, supplementing their existing product developments.</w:t>
      </w:r>
    </w:p>
    <w:p>
      <w:pPr>
        <w:spacing w:after="0" w:line="19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maintains a substantial portfolio of patents and other intellectual property ("IP") in the field of metal packaging systems and seeks strategic partnerships to extend its IP in existing and emerging markets. As a result, the Company has licensed IP in geographic regions where the Company has a limited market presence today. Existing technologies such as SuperEnd® beverage ends, 360 End™ beverage ends, Easy-Flow™ beverage ends, Eole™ easy-open food ends, Orbit</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easy-open metal vacuum closures, EcoPeel</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peelable food ends, PeelFit</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peelable food ends and can shaping have been licensed in Europe, Australia, Japan, and Africa to provide customers with global access to Crown's brand building innovations.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Transit Packaging is well known throughout its markets for its ability to drive product innovation and leadership in new technologies. Transit Packaging focuses on market driven innovation and has a long history of creating product and service solutions that solve problems and create value for its customers. Transit Packaging platforms are primarily responsible for designing and executing their own research and development projects and the development process is comprised of a customer-oriented, "outside-in" approach. They work with customers to determine their most pressing industrial packaging challenges, utilizing a rigorous multi-step product development process to ensure that they shape the ultimate product for both the customer and the broader market. Transit Packaging's track record of new product innovation is largely due to the success of this model.</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Transit Packaging has been an industry leader in industrial packaging innovation over the last 100 years as evidenced by their introduction of the first strap packaging product (1913), the first fully-automatic strapping machine (1946), the industry's first battery operated plastic strap hand tools (1995), and most recently the industry's first battery-operated steel strap hand tools (2013). At the core of its intellectual property strategy is a focus on obtaining quality patents that cover key products and technologies, in alignment with its business objectives. Transit Packaging has grown its global patent portfolio to over 320 U.S. issued patents or pending patent applications and over 1,130 foreign issued patents or pending patent applications. The portfolio broadly covers about 320 customized technologies and spans diverse business platforms, as well as the different countries in which it operates.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spent $47 million in 2021, $48 million in 2020, and $50 million in 2019 in its RD&amp;E activities. Certain of these activities are expected to improve and expand the Company's product lines in the future. These expenditures include projects to improve manufacturing efficiencies, reduce unit costs, and develop new and improved value-added packaging systems.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MATERIALS AND SUPPLIERS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various raw materials, primarily aluminum and steel, in its manufacturing operations. Transit Packaging also uses materials derived from crude oil and natural gas, such as polyethylene and polypropylene. In general, these raw materials are purchased in highly competitive, price-sensitive markets, which have historically exhibited price and demand cyclicality. These and other materials used in the manufacturing process have historically been available in adequate supply from multiple sources.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agreements for what it considers adequate supplies of raw materials. However, sufficient quantities may not be available in the future due to, among other things, shortages due to excessive demand, weather or other factors, including disruptions in supply caused by raw material transportation or production delays. From time to time, some of the raw materials have been in short supply but, to date, these shortages have not had a significant impact on the Company’s operations.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2021, consumption of aluminum and steel represented 43% and 8%, respectively, of consolidated cost of products sold, excluding depreciation and amortization. Due to the significance of these raw materials to the overall cost of products sold, raw material efficiency is a critical cost component of the products manufactured. Supplier consolidations, changes in ownership, government regulations, political unrest and increased demand for raw materials in the packaging and other industries, among other risk factors, could cause uncertainty as to the availability of and the level of prices at which the Company might be able to source such raw materials in the future. Moreover, the prices of aluminum and steel can be subject to significant volatility. The Company’s raw material supply contracts vary as to terms and duration, with aluminum contracts typically multi-year in duration with fluctuating prices based on aluminum ingot costs and steel contracts typically one year in duration with fixed prices or set repricing dates. The Company generally attempts to mitigate its aluminum and steel price risk by matching its purchase obligations with its sales agreements; however, there can be no assurance that the Company will be able to fully mitigate that risk.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uses commodity and foreign currency forwards in an attempt to manage its exposure to aluminum price volatility.</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can be no assurance that the Company will be able to fully recover from its customers the impact of aluminum and steel price increases or that the use of derivative instruments will effectively manage the Company’s exposure to price volatility. In addition, if the Company were unable to purchase aluminum and steel for a significant period of time, its operations would be disrupted, and if the Company were unable to fully recover the higher cost of aluminum and steel, its financial results may be adversely affected. As a result of continuing global supply and demand pressures, other commodity-related costs affecting the Company’s business may increase as well, including utility and freight-related costs. The Company will attempt to increase prices on its products accordingly in order to recover these costs. Certain of the Company's sales contracts contain non-metal pass-through provisions that include annual selling price adjustments based on a producer price index. In certain years the referenced index may be negative, requiring the Company to reduce its selling price while its actual costs may have increased.</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volatility of raw material prices, ongoing productivity and cost reduction efforts in recent years have focused on improving raw material cost management. The Company’s manufacturing facilities are dependent, in varying degrees, upon the availability of water and processed energy, such as natural gas and electricity. Certain of these may become difficult or impossible to obtain on acceptable terms due to external factors, which could increase the Company’s costs or interrupt its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SUSTAINABILITY AND ENVIRONMENTAL MATTERS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a Corporate Environmental Sustainability Policy, a Human Rights Policy, a Responsible and Ethical Sourcing Policy, a Conflict Minerals Policy, and an Environmental, Health and Safety Policy. In addition, in 2020, the Company debuted its Twentyby30 Sustainability program, which creates an opportunity for the Company to move beyond the challenges of addressing regulatory and supply chain disruption risks caused by environmental, social and governance ("ESG") concerns. The program identifies five distinct pillars of action - Climate Action, Resource Efficiency, Optimum Circularity, Working Together and Never Compromise - that represent topics of urgent global concern and areas of the business in which the Company can create notable impact and twenty measurable ESG goals to be completed by 2030 or sooner. The Company has committed to reporting on each aspect of the Twentyby30 program annually.</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committed to continuous improvement in product design and manufacturing practices to provide the best outcome for the environment, both now and in the future. The Company's Climate Action strategy focuses on production efficiency, product and process innovation, strategic material procurement and utilization of renewable electricity to reduce greenhouse gas emissions.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Aluminum and steel, by their very nature, can be recycled at high effectiveness and can be repeatedly reused to form new consumer packaging with no degradation in performance, quality or safety. By recycling these metals, large amounts of energy and water can be saved and significant carbon dioxide emissions avoided. In addition to the original goals included in the Twentyby30 program the Company has recently announced its further commitment to work with industry partners to achieve new global recycling rate goals for aluminum beverage cans as part of the Company's Optimum Circularity pillar. The targets are connected to the regions where the Company maintains operations.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operations are subject to numerous laws and regulations governing the protection of the environment, disposal of waste, discharges into water, emissions into the atmosphere and the protection of employee health and safety. Future regulations may impose stricter environmental requirements on the packaging industry and may require additional capital investment. Anticipated future restrictions in some jurisdictions on the use of certain coatings may require the Company to employ additional control equipment or process modifications.</w:t>
      </w:r>
    </w:p>
    <w:p>
      <w:pPr>
        <w:spacing w:after="0" w:line="214"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There can be no assurance that current or future environmental laws or liabilities will not have a material effect on the Company’s consolidated financial condition, liquidity or results of operations. Discussion of the Company’s environmental matters is contained within “Management’s Discussion and Analysis of Financial Condition and Results of Operations” of this Annual Report under the caption “Environmental Matters,” and under </w:t>
      </w:r>
      <w:hyperlink w:anchor="page69">
        <w:r>
          <w:rPr>
            <w:rFonts w:ascii="Arial" w:cs="Arial" w:eastAsia="Arial" w:hAnsi="Arial"/>
            <w:sz w:val="18"/>
            <w:szCs w:val="18"/>
            <w:u w:val="single" w:color="auto"/>
            <w:color w:val="0000FF"/>
          </w:rPr>
          <w:t>Note P</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 CAPITAL</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2021, the Company had approximately 26,000 employees worldwide, with approximately 6,000 employed by the Americas Beverage segment, 3,500 employed by the European Beverage segment, 4,500 employed by the Asia Pacific segment, 8,500 employed by the Transit Packaging segment and 3,500 employed by Other.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the Company’s workforce is unionized. Collective bargaining agreements with varying terms and expiration dates cover approximately 12,000 employees. The Company did not experience any union-initiated work stoppages during the 2021 fiscal year and believes that its employee relations remain good. The Company does not expect that renegotiation of any collective bargaining agreements expiring in 2022 will have a material adverse effect on its consolidated results of operations, financial position or cash flow.</w:t>
      </w:r>
    </w:p>
    <w:p>
      <w:pPr>
        <w:spacing w:after="0" w:line="214"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The Company believes that its employees are key to achieving the Company’s business goals and growth strategy. Attracting, developing and retaining the best people globally is crucial to all aspects of the Company’s activities. Towards this end, the Company has cultivated a senior management team with extensive industry experience and highly specialized skills and has consistently re</w:t>
      </w:r>
      <w:r>
        <w:rPr>
          <w:rFonts w:ascii="MS PGothic" w:cs="MS PGothic" w:eastAsia="MS PGothic" w:hAnsi="MS PGothic"/>
          <w:sz w:val="16"/>
          <w:szCs w:val="16"/>
          <w:color w:val="auto"/>
        </w:rPr>
        <w:t>‑</w:t>
      </w:r>
      <w:r>
        <w:rPr>
          <w:rFonts w:ascii="Arial" w:cs="Arial" w:eastAsia="Arial" w:hAnsi="Arial"/>
          <w:sz w:val="16"/>
          <w:szCs w:val="16"/>
          <w:color w:val="auto"/>
        </w:rPr>
        <w:t>invested in necessary resources to effectively staff and efficiently support its businesses. The Company aspires to offer market rate competitive salaries for the regions in which it operates, and to engage employees with rewarding opportunities that both contribute to the Company’s success and maximize their personal potential.</w:t>
      </w:r>
    </w:p>
    <w:p>
      <w:pPr>
        <w:spacing w:after="0" w:line="2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committed to the health and safety of its employees and their families. Since the outbreak of the coronavirus disease 2019 ("COVID-19") pandemic, the Company has taken specific actions to ensure the safety of its employees. The Company’s COVID-19 Task Teams have been actively monitoring scientific developments and government actions related to the virus; instituting policies and procedures to minimize risk for the Company’s global team members and facilities and to enable the Company to continue serving its customers in a safe and timely manner; sharing information with the workforce about the virus and actions to prevent its spread; and assisting personnel in their efforts to get vaccinated. The Company has updated many of its policies to adapt to the pandemic environment and has instituted increased safety measures in its manufacturing facilities to ensure the safety of employees and the products they produce. The Company's policies are informed by the latest updates from the U.S. Centers for Disease Control and Prevention and the World Health Organization and are compliant with the directives of local governmental authorities. The Company has implemented a variety of other precautionary measures, including sanitizing efforts, modifications of workspaces, distribution of personal protective equipment in its manufacturing facilities and offices, and expansion of remote working opportunities.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Company’s COVID-19 related efforts, the Company supports the well-being of its employees and their families with a variety of physical, mental and social wellness programs. These programs differ by region, but include Company-sponsored or subsidized medical insurance over and above government provisions, annual medical, cancer and audiometry screenings, voluntary health fairs and employee mental health assistance programs to improve health and wellness. The Company has built a Total Safety Culture that provides the framework for all health and safety initiatives across the Company and empowers employees to take a proactive role in their safety and that of their fellow employees. The Company’s focus is on behaviors and attitudes and achieving success in incident, injury and near-miss reductions.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recognizes that a diverse and inclusive workforce is critical to its future business success. It has therefore integrated Diversity &amp; Inclusion (D&amp;I) as a dimension of its Twentyby30 sustainability program aiming first to embed D&amp;I awareness in its organizational culture. The Company believes different backgrounds, experiences and perspectives generate powerful new ideas and foster good and sustainable decision making. The Company’s approach includes deployment of D&amp;I training initiatives, such as psychological safety and unconscious bias trainings, and improvement of its recruitment and onboarding processes. Recruitment programs to attract diverse talent into the organization include a new three-year program, first focused on engineering skills, which includes assignments in various businesses and countries to encourage broader thinking and a flexible mindset. This program provides an opportunity for diversity candidates to progress more quickly to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higher functions within the organization. Finally, the Company continues to focus on developing and empowering women and share progress and achievements on internal and external social media.</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places a high value on skills management and lifelong learning opportunities that benefit both the individual employee and the whole Company. The Company provides a variety of educational opportunities, including a mix of mandatory and voluntary training programs that occur in classrooms, online or on the job. The Company also recognizes the importance of multifunctional teams and as such, management training includes international exposure and cross divisional activity to develop common approaches and values. Talent development programs vary by region, but include leadership programs designed to support operations leadership, lean manufacturing operations and employee performance management.</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maintains a written Code of Business Conduct and Ethics which describes its policies with respect to, among other things, anti-corruption, protection of confidential information, and environmental, health and safety matters, as well as the Company’s commitment to ensuring that all of its employees are treated with respect and dignity and are able to work in an environment free from all forms of unlawful employment discrimination. The Company’s Compliance Teams are responsible for implementing these policies. The Company's compliance program includes a mechanism for employees to report suspected violations of Company policies on a confidential basis, including anonymous reporting where permitted by local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WORKING CAPITAL</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generally uses cash during the first nine months of the year to finance seasonal working capital needs. The Company’s working capital requirements are funded by cash flows from operations, revolving credit facilities and receivables securitization and factoring programs.</w:t>
      </w:r>
    </w:p>
    <w:p>
      <w:pPr>
        <w:spacing w:after="0" w:line="173" w:lineRule="exact"/>
        <w:rPr>
          <w:sz w:val="20"/>
          <w:szCs w:val="20"/>
          <w:color w:val="auto"/>
        </w:rPr>
      </w:pPr>
    </w:p>
    <w:p>
      <w:pPr>
        <w:jc w:val="both"/>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Further information relating to the Company’s liquidity and capital resources is set forth within “Management’s Discussion and Analysis of Financial Condition and Results of Operations” of this Annual Report under the caption “Liquidity” and under </w:t>
      </w:r>
      <w:hyperlink w:anchor="page62">
        <w:r>
          <w:rPr>
            <w:rFonts w:ascii="Arial" w:cs="Arial" w:eastAsia="Arial" w:hAnsi="Arial"/>
            <w:sz w:val="17"/>
            <w:szCs w:val="17"/>
            <w:u w:val="single" w:color="auto"/>
            <w:color w:val="0000FF"/>
          </w:rPr>
          <w:t>Note M</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Company’s website address is </w:t>
      </w:r>
      <w:r>
        <w:rPr>
          <w:rFonts w:ascii="Arial" w:cs="Arial" w:eastAsia="Arial" w:hAnsi="Arial"/>
          <w:sz w:val="17"/>
          <w:szCs w:val="17"/>
          <w:u w:val="single" w:color="auto"/>
          <w:color w:val="auto"/>
        </w:rPr>
        <w:t>www.crowncork.com</w:t>
      </w:r>
      <w:r>
        <w:rPr>
          <w:rFonts w:ascii="Arial" w:cs="Arial" w:eastAsia="Arial" w:hAnsi="Arial"/>
          <w:sz w:val="17"/>
          <w:szCs w:val="17"/>
          <w:color w:val="auto"/>
        </w:rPr>
        <w:t xml:space="preserve">. Information on the Company’s website is not incorporated by reference in this Annual Report on Form 10-K. The Company’s Annual Report on Form 10-K, Quarterly Reports on Form 10-Q, Current Reports on Form 8-K and all amendments to those reports filed by the Company with the U.S. Securities and Exchange Commission pursuant to sections 13(a) and 15(d) of the Securities Exchange Act of 1934, as amended, are accessible free of charge through the Company’s website as soon as reasonably practicable after the documents are filed with, or otherwise furnished to, the U. S. Securities and Exchange Commission ("SEC"). The SEC maintains a website that contains reports, proxy and information statements, and other information regarding issuers, including the Company, that file electronically with the SEC. The public can obtain any documents that the Company files with the SEC at </w:t>
      </w:r>
      <w:r>
        <w:rPr>
          <w:rFonts w:ascii="Arial" w:cs="Arial" w:eastAsia="Arial" w:hAnsi="Arial"/>
          <w:sz w:val="17"/>
          <w:szCs w:val="17"/>
          <w:u w:val="single" w:color="auto"/>
          <w:color w:val="auto"/>
        </w:rPr>
        <w:t>http://www.sec.gov</w:t>
      </w:r>
      <w:r>
        <w:rPr>
          <w:rFonts w:ascii="Arial" w:cs="Arial" w:eastAsia="Arial" w:hAnsi="Arial"/>
          <w:sz w:val="17"/>
          <w:szCs w:val="17"/>
          <w:color w:val="auto"/>
        </w:rPr>
        <w:t>.</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Code of Business Conduct and Ethics, its Corporate Governance Guidelines, and the charters of its Audit, Compensation and Nominating and Corporate Governance committees are available on the Company’s website. These documents are also available in print to any shareholder who requests them. Amendments to and waivers of the Code of Business Conduct and Ethics requiring disclosure under applicable SEC rules will be disclosed on the Company's website.</w:t>
      </w:r>
    </w:p>
    <w:p>
      <w:pPr>
        <w:spacing w:after="0" w:line="254"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3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to factors discussed elsewhere in this Annual Report and in "Management's Discussion and Analysis of Financial Condition and Results of Operations," the following are some of the important factors that could materially and adversely affect the Company's business,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the Company's Business and Industry</w:t>
      </w:r>
    </w:p>
    <w:p>
      <w:pPr>
        <w:spacing w:after="0" w:line="23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The Company's profits will decline if the price of raw materials or energy rises and it cannot increase the price of its products, and the Company's financial results could be adversely affected if the Company was not able to obtain sufficient quantities of raw materials.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various raw materials, such as aluminum, steel, tin, water, natural gas, electricity and other processed energy, as well as materials derived from crude oil and natural gas, such as polyethylene and polypropylene resins, in its manufacturing operations. Sufficient quantities of these raw materials may not be available in the future or may be available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only at increased prices. The Company's raw material supply contracts vary as to terms and duration, with aluminum contracts typically multi-year in duration with fluctuating prices based on aluminum ingot costs and steel contracts typically one year in duration with fixed prices. The availability of various raw materials and their prices depends on global and local supply and demand forces, governmental regulations (including tariffs and duties), level of production, resource availability, transportation, and other factors, including natural disasters such as floods and earthquakes, and the COVID-19 pandemic. In particular, in recent years the consolidation of steel suppliers, shortage of raw materials affecting the production of steel and the increased global demand for steel, including in China and other developing countries, have contributed to an overall tighter supply for steel, resulting in increased steel prices and, in some cases, special surcharges and allocated cut backs of products by steel suppliers. In addition, new tariffs and potential limits on steel supply in the U.S. from certain foreign countries could further negatively impact the Company's ability to obtain sufficient quantities of steel at competitive prices. Moreover, future steel supply contracts may provide for prices that fluctuate or adjust rather than provide a fixed price during a one-year period. As a result of continuing global supply and demand pressures, other commodity-related costs affecting the Company's business may increase as well, including natural gas, electricity and freight-related costs.</w:t>
      </w:r>
    </w:p>
    <w:p>
      <w:pPr>
        <w:spacing w:after="0" w:line="20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prices of certain raw materials used by the Company, such as aluminum, steel resins and processed energy, have historically been subject to volatility. In 2021, consumption of aluminum and steel represented 43% and 8% of the Company's consolidated cost of products sold, excluding depreciation and amortization. While certain, but not all, of the Company's contracts pass through raw material costs to customers, the Company may be unable to increase its prices to offset increases in raw material costs without suffering reductions in unit volume, revenue and operating income. In addition, any price increases may take effect after related cost increases, reducing operating income in the near term. Significant increases in raw material costs may increase the Company's working capital requirements, which may increase the Company's average outstanding indebtedness and interest expense and may exceed the amounts available under the Company's senior secured credit facilities and other sources of liquidity. In addition, the Company hedges raw material costs on behalf of certain customers and may suffer losses if such customers are unable to satisfy their purchase obligations.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Company is unable to purchase aluminum, steel, resins or other raw materials for a significant period of time, the Company's operations would be disrupted and any such disruption may adversely affect the Company's financial results. If customers believe that the Company's competitors have greater access to raw materials, perceived certainty of supply at the Company's competitors may put the Company at a competitive disadvantage regarding pricing and product volumes.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Company's principal markets may be subject to overcapacity and intense competition, which could reduce the Company's net sales and net income.</w:t>
      </w:r>
    </w:p>
    <w:p>
      <w:pPr>
        <w:spacing w:after="0" w:line="2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Beverage and food cans are standardized products, allowing for relatively little differentiation among competitors. This could lead to overcapacity and price competition among beverage and food can producers if capacity growth outpaced the growth in demand for beverage and food cans and overall manufacturing capacity exceeded demand. These market conditions could reduce product prices and contribute to declining revenue and net income. Competitive pricing pressures, overcapacity, the failure to develop new product designs and technologies for products, as well as other factors, such as consolidation among the Company's competitors, could cause the Company to lose existing business or opportunities to generate new business and could result in decreased cash flow and net income.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competition from substitute products and decreases in demand for its products, which could result in lower profits and reduced cash flows.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subject to substantial competition from producers of alternative packaging made from glass, paper, flexible materials and plastic. The Company's sales depend heavily on the volumes of sales by the Company's customers in the beverage and food markets. Changes in preferences for products and packaging by consumers of beverage cans and prepackaged food cans significantly influence the Company's sales. Changes in packaging by the Company's customers may require the Company to re-tool manufacturing operations, which could require material expenditures. In addition, a decrease in the costs of, or a further increase in consumer demand for, alternative packaging could result in lower profits and reduced cash flows for the Company. For example, increases in the price of aluminum and steel and decreases in the price of plastic resin, which is a petrochemical product and may fluctuate with prices in the oil and gas market, may increase substitution of plastic food and beverage containers for metal containers or increases in the price of steel may increase substitution of aluminum packaging for aerosol products. Moreover, due to its high percentage of fixed costs, the Company may be unable to maintain its gross margin at past levels if it is not able to achieve high capacity utilization rates for its production equipment. In periods of low worldwide demand for its products or in situations where industry expansion created excess capacity, the Company experiences relatively low capacity utilization rates in its operations, which can lead to reduced margins during that period and can have an adverse effect on the Company's business.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business results depend on its ability to understand its customers' specific preferences and requirements, and to develop, manufacture and market products that meet customer demand.</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ability to develop new product offerings for a diverse group of global customers with differing preferences, while maintaining functionality and spurring innovation, is critical to its success. This requires a thorough understanding of the Company's existing and potential customers on a global basis, particularly in potential high developing markets, including South America, Eastern Europe and Asia (including India). Failure to deliver quality products that meet customer needs ahead of competitors could have a significant adverse effect on the Company's business.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Loss of third-party transportation providers upon whom the Company depends or increases in fuel prices could increase the Company's costs or cause a disruption in the Company's operations.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depends generally upon third-party transportation providers for delivery of products to customers. Strikes, slowdowns, transportation disruptions or other conditions in the transportation industry, including, but not limited to, shortages of truck drivers, disruptions in rail service, decreases in the availability of vessels or increases in fuel prices, could increase the Company's costs and disrupt Company’s operations and its ability to service customers on a timely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business is seasonal and weather conditions could reduce the Company's net sales.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manufactures metal and glass packaging primarily for the beverage and food can market. Its sales can be affected by weather conditions. Due principally to the seasonal nature of the soft drink, brewing, iced tea and other beverage industries, in which demand is stronger during the summer months, sales of the Company's products have varied and are expected to vary by quarter. Shipments in the U.S. and Europe are typically greater in the second and third quarters of the year. Unseasonably cool weather can reduce consumer demand for certain beverages packaged in its containers. In addition, poor weather conditions that reduce crop yields of packaged foods can decrease customer demand for its food containers.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has a significant amount of goodwill that, if impaired in the future, would result in lower reported net income and a reduction of its net worth.</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Impairment of the Company's goodwill would require a write down of goodwill, which would reduce the Company's net income in the period of any such write down. At December 31, 2021, the carrying value of the Company's goodwill was $3.0 billion. The Company is required to evaluate goodwill reflected on its balance sheet at least annually, or when circumstances indicate a potential impairment. If it determines that the goodwill is impaired, the Company would be required to write off a portion or all of the goodwill.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the Company's workforce is unionized and labor disruptions could increase the Company's costs and prevent the Company from supplying its customers.</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significant portion of the Company's workforce is unionized and a prolonged work stoppage or strike at any facility with unionized employees could increase its costs and prevent the Company from supplying its customers. In addition, upon the expiration of existing collective bargaining agreements, the Company may not reach new agreements without union action in certain jurisdictions and any such new agreements may not be on terms satisfactory to the Company. If the Company is unable to negotiate acceptable collective bargaining agreements, it may become subject to union-initiated work stoppages, including strikes. Moreover, additional groups of currently non-unionized employees may seek union representation in the future.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by the Company's joint venture partners to observe their obligations could adversely affect the business and operations of the joint ventures and, in turn, the business and operations of the Company.</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portion of the Company's operations, including certain beverage can operations in Asia, the Middle East and South America, is conducted through joint ventures. The Company participates in these ventures with third parties. In the event that the Company's joint venture partners do not observe their obligations or are unable to commit additional capital to the joint ventures, it is possible that the affected joint venture would not be able to operate in accordance with its business plans or that the Company would have to increase its level of commitment to the joint venture.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the Company's intellectual property rights may negatively impact its ability to compete.</w:t>
      </w:r>
    </w:p>
    <w:p>
      <w:pPr>
        <w:spacing w:after="0" w:line="25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If the Company is unable to maintain the proprietary nature of its technologies, its competitors may use its technologies to compete with it. The Company has a number of patents covering various aspects of its products, including its SuperEnd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beverage can end, whose primary patent expired in 2016 and Ideal™ product line. The Company's patents may not withstand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challenge in litigation, and patents do not ensure that competitors will not develop competing products or infringe upon the Company's patents. Moreover, the costs of litigation to defend the Company's patents could be substantial and may outweigh the benefits of enforcing its rights under its patents. The Company markets its products internationally and the patent laws of foreign countries may offer less protection than the patent laws of the U.S. Not all of the Company's domestic patents have been registered in other countries. The Company also relies on trade secrets, know-how and other unpatented proprietary technology, and others may independently develop the same or similar technology or otherwise obtain access to the Company's unpatented technology. In addition, the Company has from time to time received letters from third parties suggesting that it may be infringing on their intellectual property rights, and third parties may bring infringement suits against the Company, which could result in the Company needing to seek licenses from these third parties or refraining altogether from use of the claimed technology.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the Company's International Operations</w:t>
      </w:r>
    </w:p>
    <w:p>
      <w:pPr>
        <w:spacing w:after="0" w:line="2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international operations, which generated approximately 63% of its consolidated net sales in 2021, are subject to various risks that may lead to decreases in its financial results.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an international company, and the risks associated with operating in foreign countries may have a negative impact on the Company's liquidity and net income. The Company's international operations generated approximately 63</w:t>
      </w:r>
      <w:r>
        <w:rPr>
          <w:rFonts w:ascii="Arial" w:cs="Arial" w:eastAsia="Arial" w:hAnsi="Arial"/>
          <w:sz w:val="17"/>
          <w:szCs w:val="17"/>
          <w:b w:val="1"/>
          <w:bCs w:val="1"/>
          <w:i w:val="1"/>
          <w:iCs w:val="1"/>
          <w:color w:val="auto"/>
        </w:rPr>
        <w:t>%</w:t>
      </w:r>
      <w:r>
        <w:rPr>
          <w:rFonts w:ascii="Arial" w:cs="Arial" w:eastAsia="Arial" w:hAnsi="Arial"/>
          <w:sz w:val="17"/>
          <w:szCs w:val="17"/>
          <w:color w:val="auto"/>
        </w:rPr>
        <w:t>, 62% and 64% of its consolidated net sales in the years ended 2021, 2020 and 2019. In addition, the Company's business strategy includes continued expansion of international activities, including within developing markets and areas, such as South America, Eastern Europe and Asia, that may pose greater risk of political or economic instability. Further, if a downturn in European economic conditions ultimately leads to a significant devaluation of the euro, the value of the Company's financial assets that are denominated in euro would be significantly reduced when translated to U.S. dollars for financial reporting purposes. Any of these conditions could ultimately harm the Company's overall business, prospects, operating results, financial condition and cash flows.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Emerging markets are a focus of the Company's international growth strategy. The developing nature of these markets and the nature of the Company's international operations generally are subject to various risks, including:</w:t>
      </w:r>
    </w:p>
    <w:p>
      <w:pPr>
        <w:spacing w:after="0" w:line="19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governments' restrictive trade policies;</w:t>
      </w:r>
    </w:p>
    <w:p>
      <w:pPr>
        <w:spacing w:after="0" w:line="63" w:lineRule="exact"/>
        <w:rPr>
          <w:rFonts w:ascii="Arial" w:cs="Arial" w:eastAsia="Arial" w:hAnsi="Arial"/>
          <w:sz w:val="18"/>
          <w:szCs w:val="18"/>
          <w:color w:val="auto"/>
        </w:rPr>
      </w:pPr>
    </w:p>
    <w:p>
      <w:pPr>
        <w:ind w:left="660" w:right="9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conflicting regulation (including with respect to product labelling, privacy or data protection) or policy changes by foreign agencies or governments;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duties, taxes or government royalties, including the imposition or increase of withholding and other taxes on remittances and other payments by non-U.S. subsidiaries;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customs, import/export control and other trade compliance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exchange rate risks and exchange controls;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 collecting international accounts receivable and potentially longer payment cycles;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in maintaining international manufacturing and marketing efforts;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non-tariff barriers and higher duty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associated with expatriating cash generated or held abroad in a tax-efficient manner and changes in tax laws;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enforcement of contractual obligations and intellectual property rights and difficulties in protecting intellectual property or sensitive commercial and operations data or information technology systems generally;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national and regional labor strikes;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geographic, language and cultural differences between personnel in different areas of the world;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social benefit costs for labor, including costs associated with restructurings;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civil unrest or political, social, legal and economic instability;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boycotts, including with respect to the products of the Company's multi-national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supplier, and investor concerns regarding operations in areas such as the Middle East;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taking of property by nationalization or expropriation without fair compensation;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imposition of limitations on conversions of foreign currencies into dollars or payment of dividends and other payments by non-U.S. subsidiaries;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hyperinflation and currency devaluation in certain foreign countries where such currency devaluation could affect the amount of cash generated by operations in those countries and thereby affect the Company's ability to satisfy its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 civil disturbance, global or regional catastrophic events, natural disasters, and acts of terrorism;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geographical concentration of the Company's factories and operations and regional shifts in its customer base;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periodic health epidemic concerns, such as the ongoing COVID-19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complexity of managing global operations;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applicable anti-corruption, anti-bribery laws and anti-money laundering laws and sanctions.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the Company seeks to expand its business globally, growth opportunities may be impacted by greater political, economic and social uncertainty and the continuing and accelerating globalization of businesses could significantly change the dynamics of the Company's competition, customer base and product offerings.</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efforts to grow its businesses depend to a large extent upon access to, and its success in developing market share and operating profitably in, geographic markets including but not limited to the Middle East, South America, Eastern Europe and Asia. In some cases, countries in these regions have greater political and economic volatility, greater vulnerability to infrastructure and labor disruptions and differing local customer product preferences and requirements than the Company's other markets. Operating and seeking to expand business in a number of different regions and countries exposes the Company to multiple and potentially conflicting cultural practices, business practices and legal and regulatory requirements (including conflicting or inconsistent regulations with respect to product labelling, privacy or data protection) that are subject to change, including those related to tariffs and trade barriers, investments, property ownership rights, taxation, repatriation of earnings and regulation of advanced technologies. Such expansion efforts may also use capital and other resources of the Company that could be invested in other areas. Expanding business operations globally also increases exposure to currency fluctuations which can materially affect the Company's financial results. As emerging geographic markets become more important to the Company, its competitors are also seeking to expand their production capacities and sales in these same markets, which may lead to industry overcapacity that could adversely affect pricing, volumes and financial results in such markets. Although the Company is taking measures to adapt to these changing circumstances, the Company's reputation and/or business results could be negatively affected should these efforts prove unsuccessful.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the effects of fluctuations in foreign exchange rates, which may reduce its net sales and cash flow.</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exposed to fluctuations in foreign currencies as a significant portion of its consolidated net sales, costs, assets and liabilities, are denominated in currencies other than the U.S. dollar. The Company's international operations generated approximately 63</w:t>
      </w:r>
      <w:r>
        <w:rPr>
          <w:rFonts w:ascii="Arial" w:cs="Arial" w:eastAsia="Arial" w:hAnsi="Arial"/>
          <w:sz w:val="16"/>
          <w:szCs w:val="16"/>
          <w:i w:val="1"/>
          <w:iCs w:val="1"/>
          <w:color w:val="auto"/>
        </w:rPr>
        <w:t>%</w:t>
      </w:r>
      <w:r>
        <w:rPr>
          <w:rFonts w:ascii="Arial" w:cs="Arial" w:eastAsia="Arial" w:hAnsi="Arial"/>
          <w:sz w:val="16"/>
          <w:szCs w:val="16"/>
          <w:color w:val="auto"/>
        </w:rPr>
        <w:t>, 62% and 64% of its consolidated net sales in the years ended 2021, 2020 and 2019. Volatility in exchange rates may increase the costs of its products, impair the purchasing power of its customers in different markets, result in significant competitive benefit to certain of its competitors who incur a material part of their costs in other currencies than it does, and increase its hedging costs and limit its ability to hedge exchange rate exposure. In its consolidated financial statements, the Company translates local currency financial results into U.S. dollars based on average exchange rates prevailing during a reporting period. During times of a strengthening U.S. dollar, its reported international revenue and earnings will be reduced because the local currency will translate into fewer U.S. dollars. Conversely, a weakening U.S. dollar will effectively increase the dollar-equivalent of the Company's expenses and liabilities denominated in foreign currencies. See “Management's Discussion and Analysis of Financial Condition and Results of Operations-Liquidity and Capital Resources-Market Risk” and "Quantitative and Qualitative Disclosure about Market Risk" in this Annual Report. Although the Company may use financial instruments such as foreign currency forwards from time to time to reduce its exposure to currency exchange rate fluctuations in some cases, it may not elect or have the ability to implement hedges or, if it does implement them, there can be no assurance that such agreements will achieve the desired effect.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For the year-ended December 31, 2021, a 0.10 movement in the average euro rate would have reduced net income by $7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vote by the U.K. to leave the European Union could adversely affect the Company.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U.K. has ceased to be a member of the European Union (“E.U.”) on January 31, 2020, and the applicable transition period ended on December 31, 2020 (such departure commonly referred to as “Brexit”). The U.K. is also no longer part of the European Economic Area.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24, 2020, the U.K. and the E.U. agreed to a trade and cooperation agreement (the “Trade and Cooperation Agreement”), which took effect on January 1, 2021 and provided for, among other things, zero-rate tariffs and zero quotas on the movement of goods between the U.K. and the E.U. Due to the size and importance of the economy of the U.K., the uncertainty and unpredictability concerning the U.K.’s future laws and regulations (including financial laws and regulations, tax and free trade agreements, immigration laws and employment laws) as well as its legal, political and economic relationships with Europe following its exit of the E.U. may continue to be a source of instability in international markets, create significant currency fluctuations or otherwise adversely affect trading agreements or similar cross-border cooperation arrangements (whether economic, tax, fiscal, legal, regulatory or otherwise) for the foreseeable future. The long-term effects of Brexit will depend on the implementation of the Trade and Cooperation Agreement and any future agreements (or lack thereof) between the U.K. and the E.U. and, in particular, any potential changes in the arrangements for the U.K. to retain access to E.U. markets. Brexit could result in adverse economic effects across the U.K. and Europe, which could, in turn, affect U.K. sovereign ratings, ratings of relevant transaction parties or the performance of other entities or exposures with a U.K. nexus and also contribute to uncertainty and instability in the global financial markets. In particular, Brexit could impact volatility, liquidity and/or the market value of securities. Accordingly, Brexit could adversely affect the Company's business, results of operations, financial condition and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the Company's Indebtedness and Liquidity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substantial indebtedness of the Company could prevent it from fulfilling its obligations under its indebtedness.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substantial outstanding indebtedness. As a result of the Company's substantial indebtedness, a significant portion of the Company's cash flow will be required to pay interest and principal on its outstanding indebtedness, and the Company may not generate sufficient cash flow from operations, or have future borrowings available under its senior secured credit facilities, to enable it to repay its indebtedness or to fund other liquidity needs. As of December 31, 2021, the Company and its subsidiaries had approximately $6.3 billion of indebtedness, excluding unamortized discounts and debt issuance costs.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current sources of liquidity includes a securitization facility with a program limit up to a maximum of $500 that expires in July 2023, a securitization facility with a program limit of $200 that expires in December 2023, and a securitization facility with a program limit of $150 that expires in November 2025. Additional sources of the Company's liquidity include borrowings under its $1,650 billion revolving credit facilities that matures in December 2024.</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indebtedness includes its €335 million ($381 million at December 31, 2021) 2.25% senior notes in February 2023; its €550 million ($626 million at December 31, 2021) 0.75% senior notes in February 2023; its €600 million ($683 million at December 31, 2021) 2.625% senior notes in September 2024; its €600 million ($683 million at December 31, 2021) 3.375% senior notes in May 2025; its $875 million 4.75% senior notes in February 2026; its €500 million ($570 million at December 31, 2021) 2.875% senior notes in February 2026; its $400 million 4.25% senior notes in September 2026; its $350 million 7.375% senior notes in December 2026; its $40 million 7.5% senior notes in December 2096; and its $217 million of other indebtedness in various currencies at various dates through 2026. In addition, the Company’s term loan facilities mature as follows: $81 million in 2022, $81 million in 2023, and $1,184 million in 2024.</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substantial indebtedness of the Company could:</w:t>
      </w:r>
    </w:p>
    <w:p>
      <w:pPr>
        <w:spacing w:after="0" w:line="2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the Company's vulnerability to general adverse economic and industry conditions, including rising interest rates;</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 the Company from making strategic acquisitions or exploiting business opportunities, including any planned expansion in emerging markets;</w:t>
      </w:r>
    </w:p>
    <w:p>
      <w:pPr>
        <w:spacing w:after="0" w:line="2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the Company's ability to make capital expenditures both domestically and internationally in order to grow the Company's business or maintain manufacturing plants in good working order and repair;</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along with the financial and other restrictive covenants under the Company's indebtedness, the Company's ability to obtain additional financing, dispose of assets or pay cash dividends;</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the Company to dedicate a substantial portion of its cash flow from operations to service its indebtedness, thereby reducing the availability of its cash flow to fund future working capital, capital expenditures, research and development expenditures and other general corporate requirements;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the Company to sell assets used in its business;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the Company's ability to refinance its existing indebtedness, particularly during periods of adverse credit market conditions when refinancing indebtedness may not be available under interest rates and other terms acceptable to the Company or at all;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the Company's cost of borrowing;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the Company's flexibility in planning for, or reacting to, changes in its business and the industry in which it operates;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place the Company at a competitive disadvantage compared to its competitors that have less debt.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its financial condition, operating results and liquidity deteriorate, the Company's creditors may restrict its ability to obtain future financing and its suppliers could require prepayment or cash on delivery rather than extend credit, which could further diminish the Company's ability to generate cash flows from operations sufficient to service its debt obligations. In addition, the Company's ability to make payments on and refinance its debt and to fund its operations will depend on the Company's ability to generate cash in the future.</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Some of the Company's indebtedness is subject to floating interest rates, which would result in the Company's interest expense increasing if interest rates rise.</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2021, approximately $1.4 billion of the Company's $6.3 billion of total indebtedness and other outstanding obligations were subject to floating interest rates. Changes in economic conditions could result in higher interest rates, thereby increasing the Company's interest expense and reducing funds available for operations or other purposes. The Company's annual interest expense was $253 million, $290 million and $367 million for 2021, 2020 and 2019, respectively. Based on the amount of variable rate debt outstanding at December 31, 2021, a 0.25% increase in variable interest rates would increase its annual interest expense by approximately $4 million before tax. Accordingly, the Company may experience economic losses and a negative impact on earnings as a result of interest rate fluctuation. The actual effect of a 0.25% increase in these floating interest rates could be more than $4 million as the Company’s average borrowings on its variable rate debt may be higher during the year than the amount at December 31, 2021. In addition, the cost of the Company’s securitization and factoring facilities would also increase with an increase in floating interest rates. Although the Company may use interest rate protection agreements from time to time to reduce its exposure to interest rate fluctuations in some cases, it may not elect or have the ability to implement hedges or, if it does implement them, there can be no assurance that such agreements will achieve the desired effect. See “Management's Discussion and Analysis of Financial Condition and Results of Operations-Liquidity and Capital Resources-Market Risk” and “Quantitative and Qualitative Disclosures About Market Risk” in this Annual Report.</w:t>
      </w: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Restrictive covenants in the debt agreements governing the Company's current or future indebtedness could restrict the Company's operating flexibility.</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indentures and agreements governing the Company's senior secured credit facilities and outstanding notes contain affirmative and negative covenants that limit the ability of the Company and its subsidiaries to take certain actions. These restrictions may limit the Company's ability to operate its businesses and may prohibit or limit its ability to enhance its operations or take advantage of potential business opportunities as they arise. The Company's senior secured credit facilities require the Company to maintain specified financial ratios and satisfy other financial conditions. The agreements or indentures governing the Company's senior secured credit facilities and certain of its outstanding notes restrict, among other things, the ability of the Company and the ability of all or substantially all of its subsidiaries to:</w:t>
      </w:r>
    </w:p>
    <w:p>
      <w:pPr>
        <w:spacing w:after="0" w:line="25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pay dividends or make other distributions, repurchase capital stock, repurchase subordinated debt and make certain investments or loans;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liens and engage in sale and leaseback transactions;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restrictions on the payment of dividends and other amounts to the Company from subsidiaries;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loans, investments and capital expenditures;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 accounting treatment and reporting practices;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agreements restricting the ability of a subsidiary to pay dividends to, make or repay loans to, transfer property to, or guarantee indebtedness of, the Company or any of its subsidiaries;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or acquire assets, enter into leaseback transactions and merge or consolidate with or into other companies;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3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indentures and agreements governing the Company's senior secured credit facilities and certain of its outstanding notes limit, among other things, the ability of the Company to enter into certain transactions, such as mergers, consolidations, joint ventures, asset sales, sale and leaseback transactions and the pledging of assets.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breach of any of these covenants by the Company or the failure by the Company to meet any of these ratios or conditions could result in a default under any or all of such indebtedness. If a default occurs under any such indebtedness, all of the outstanding obligations thereunder could become immediately due and payable, which could result in a default under the Company's other outstanding debt and could lead to an acceleration of obligations related to the Company's senior secured credit facilities, outstanding notes and other outstanding debt. The ability of the Company to comply with these covenants or indentures governing other indebtedness it may incur in the future and its outstanding notes can be affected by events beyond its control and, therefore, it may be unable to meet these ratios and conditions.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Notwithstanding the Company's current indebtedness levels and restrictive covenants, the Company may still be able to incur substantial additional debt or make certain restricted payments, which could exacerbate the risks described above.</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may be able to incur additional debt in the future, including in connection with acquisitions or joint ventures. Although the Company's senior secured credit facilities and indentures governing certain of its outstanding notes contain restrictions on the Company's ability to incur indebtedness, those restrictions are subject to a number of exceptions, and, under certain circumstances, indebtedness incurred in compliance with these restrictions could be substantial. The Company may also consider investments in joint ventures or acquisitions or increased capital expenditures, which may increase the Company's indebtedness. Moreover, although the Company's senior secured credit facilities and indentures governing certain of its outstanding notes contain restrictions on the Company’s ability to make restricted payments, including the declaration and payment of dividends and the repurchase of the Company’s common stock, the Company is able to make such restricted payments under certain circumstances which may increase indebtedness. Adding new debt to current debt levels or making otherwise restricted payments could intensify the related risks that the Company and its subsidiaries now face.</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Company's senior secured credit facilities provide that certain change of control events constitute an event of default. In the event of a change of control, the Company may not be able to satisfy all of its obligations under the senior secured credit facilities or other indebtedness.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not have sufficient assets or be able to obtain sufficient third-party financing on favorable terms to satisfy all of its obligations under the Company's senior secured credit facilities or other indebtedness in the event of a change of control. The Company's senior secured credit facilities provide that certain change of control events constitute an event of default under the senior secured credit facilities. Such an event of default entitles the lenders thereunder to, among other things, cause all outstanding debt obligations under the senior secured credit facilities to become due and payable and to proceed against the collateral securing the senior secured credit facilities. Any event of default or acceleration of the senior secured credit facilities will likely also cause a default under the terms of other indebtedness of the Company. In addition, the indentures governing certain of the Company's outstanding notes require that the Company offer to repurchase the notes at an offer price of 101% of principal upon certain change of control repurchase events.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certain restrictions that may limit its ability to make payments on its debt out of the cash reserves shown on the Company's consolidated financial statements.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ability of the Company's subsidiaries and joint ventures to pay dividends, make distributions, provide loans or make other payments to the Company may be restricted by applicable state and foreign laws, potentially adverse tax consequences and their agreements, including agreements governing their debt. In addition, the equity interests of the Company's joint venture partners or other shareholders in the Company's non-wholly owned subsidiaries in any dividend or other distribution made by these entities would need to be satisfied on a proportionate basis with the Company. As a result, the Company may not be able to access a portion of its cash flow to service the Company's debt.</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 has significant pension plan obligations worldwide and significant unfunded postretirement obligations, which could reduce its cash flow and negatively impact its results of operations and its financial condition.</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sponsors various pension plans worldwide, with the largest funded plans in the U.S. and Canada. In 2021, 2020 and 2019, the Company contributed $236 million, $27 million and $23 million to its pension plans. The 2021 contribution included a $216 million contribution to its U.K. pension plan in advance of full settlement of the plan's obligations. Pension expense was $1,567 million, including settlement charges of $1,511 million and is expected to be $31 million in 2022, using foreign currency exchange rates in effect at December 31, 2021. A 0.25% change in the 2022 expected rate of return assumptions would change 2022 pension expense by approximately $4 million. A 0.25% change in the discount rates assumptions as of December 31, 2021 would change 2022 pension expense by approximately $2 million. The Company may be required to accelerate the timing of its contributions under its pension plans. The actual impact of any accelerated funding will depend upon the interest rates required for determining the plan liabilities and the investment performance of plan assets. An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acceleration in the timing of pension plan contributions could decrease the Company's cash available to pay its outstanding obligations and its net income and increase the Company's outstanding indebtedness.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current assumptions, the Company expects to make pension contributions of $27 million in 2022, $28 million in 2023, $15 million in 2024, $16 million in 2025 and $29 million in 2026. Future changes in the factors used to determine pension contributions, including investment performance of plan assets, could have a significant impact on the Company’s future contributions and its cash flow available for debt reduction, capital expenditures or other purposes.</w:t>
      </w:r>
    </w:p>
    <w:p>
      <w:pPr>
        <w:spacing w:after="0" w:line="214" w:lineRule="exact"/>
        <w:rPr>
          <w:sz w:val="20"/>
          <w:szCs w:val="20"/>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The difference between pension plan obligations and assets, or the funded status of the plans, significantly affects the net periodic benefit costs of the Company's pension plans and the ongoing funding requirements of those plans. Among other factors, significant volatility in the equity markets and in the value of illiquid alternative investments, changes in discount rates, investment returns and the market value of plan assets can substantially increase the Company's future pension plan funding requirements and could have a negative impact on the Company's results of operations and profitability. See </w:t>
      </w:r>
      <w:hyperlink w:anchor="page71">
        <w:r>
          <w:rPr>
            <w:rFonts w:ascii="Arial" w:cs="Arial" w:eastAsia="Arial" w:hAnsi="Arial"/>
            <w:sz w:val="17"/>
            <w:szCs w:val="17"/>
            <w:u w:val="single" w:color="auto"/>
            <w:color w:val="0000FF"/>
          </w:rPr>
          <w:t>Note R</w:t>
        </w:r>
      </w:hyperlink>
      <w:r>
        <w:rPr>
          <w:rFonts w:ascii="Arial" w:cs="Arial" w:eastAsia="Arial" w:hAnsi="Arial"/>
          <w:sz w:val="17"/>
          <w:szCs w:val="17"/>
          <w:color w:val="auto"/>
        </w:rPr>
        <w:t xml:space="preserve"> to the Company's audited consolidated financial statements in this Annual Report. As long as the Company continues to maintain its various pension plans, the Company will continue to incur additional pension obligations. The Company's pension plan assets consist primarily of common stocks and fixed income securities and also include alternative investments such as interests in private equity and hedge funds. If the performance of plan assets does not meet the Company's assumptions or discount rates decline, the underfunding of the pension plans may increase and the Company may have to contribute additional funds to the pension plans, and the Company's pension expense may increase. In addition, certain of the Company's pension and postretirement plans are unfunded.</w:t>
      </w:r>
    </w:p>
    <w:p>
      <w:pPr>
        <w:spacing w:after="0" w:line="212"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Company's U.S. funded pension plan is subject to the Employee Retirement Income Security Act of 1974, or ERISA. Under ERISA, the Pension Benefit Guaranty Corporation, or PBGC, has the authority to terminate an underfunded plan under certain circumstances. In the event its U.S. pension plan is terminated for any reason while the plan is underfunded, the Company will incur a liability to the PBGC that may be equal to the entire amount of the underfunding, which under certain circumstances may be senior to the Company's outstanding notes. In addition, as of December 31, 2021 the unfunded accumulated postretirement benefit obligation, as calculated in accordance with U.S. generally accepted accounting principles, for retiree medical benefits was approximately $137 million, based on assumptions set forth under </w:t>
      </w:r>
      <w:hyperlink w:anchor="page71">
        <w:r>
          <w:rPr>
            <w:rFonts w:ascii="Arial" w:cs="Arial" w:eastAsia="Arial" w:hAnsi="Arial"/>
            <w:sz w:val="18"/>
            <w:szCs w:val="18"/>
            <w:u w:val="single" w:color="auto"/>
            <w:color w:val="0000FF"/>
          </w:rPr>
          <w:t>Note R</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Company's audited consolidated financial statements in this Annual Report.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Litigation and Regulatory Matters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litigation risks which could negatively impact its operations and net income.</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subject to various lawsuits and claims with respect to matters such as governmental, environmental and employee benefits laws and regulations, securities, labor, and actions arising out of the normal course of business, in addition to asbestos-related litigation described under the risk factor titled “Pending and future asbestos litigation and payments to settle asbestos-related claims could reduce the Company's cash flow and negatively impact its financial condition.” The Company is currently unable to determine the total expense or possible loss, if any, that may ultimately be incurred in the resolution of such legal proceedings. Regardless of the ultimate outcome of such legal proceedings, they could result in significant diversion of time by the Company's management. The results of the Company's pending legal proceedings, including any potential settlements, are uncertain and the outcome of these disputes may decrease its cash available for operations and investment, restrict its operations or otherwise negatively impact its business, operating results, financial condition and cash flow.</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2015, the Bundeskartellamt, or German Federal Cartel Office (“FCO”), conducted unannounced inspections of the premises of several metal packaging manufacturers, including one of the Company’s German subsidiaries. The local court order authorizing the inspection cited FCO suspicions of anti-competitive agreements in the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but is unable to predict the ultimate outcome of the Commission’s investigation and is unable to estimate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loss or possible range of losses that could be incurred, and has therefore not recorded a charge in connection with the actions by the Commission. If the Commission finds that the Company or any of its subsidiaries violated competition law, fines levied by the Commission could be material to the Company’s operating results and cash flows for the periods in which they are resolved or become reasonably estimable.</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October 7, 2021, the French </w:t>
      </w:r>
      <w:r>
        <w:rPr>
          <w:rFonts w:ascii="Arial" w:cs="Arial" w:eastAsia="Arial" w:hAnsi="Arial"/>
          <w:sz w:val="16"/>
          <w:szCs w:val="16"/>
          <w:i w:val="1"/>
          <w:iCs w:val="1"/>
          <w:color w:val="auto"/>
        </w:rPr>
        <w:t>Autorité de la concurrence</w:t>
      </w:r>
      <w:r>
        <w:rPr>
          <w:rFonts w:ascii="Arial" w:cs="Arial" w:eastAsia="Arial" w:hAnsi="Arial"/>
          <w:sz w:val="16"/>
          <w:szCs w:val="16"/>
          <w:color w:val="auto"/>
        </w:rPr>
        <w:t xml:space="preserv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If the FCA finds that the Company or its subsidiaries violated competition law, the FCA may levy fines. Proceedings with respect to this matter are ongoing and the Company is unable to predict the ultimate outcome including the amount of fines, if any, that may be levied by the FCA.</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Pending and future asbestos litigation and payments to settle asbestos-related claims could reduce the Company's cash flow and negatively impact its financial condition.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Crown Cork &amp; Seal Company, Inc. (Crown Cork), a wholly-owned subsidiary of the Company, is one of many defendants in a substantial number of lawsuits filed throughout the United States by persons alleging bodily injury as a result of exposure to asbestos. In 1963, Crown Cork acquired a subsidiary that had two operating businesses, one of which is alleged to have manufactured asbestos-containing insulation products. Crown Cork believes that the business ceased manufacturing such products in 1963.</w:t>
      </w:r>
    </w:p>
    <w:p>
      <w:pPr>
        <w:spacing w:after="0" w:line="214"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As of December 31, 2021, Crown Cork's accrual for pending and future asbestos-related claims and related legal costs was $237 million, including $198 million for unasserted claims. The Company determines its accrual without limitation to a specific time period. Assumptions underlying the accrual include that claims for exposure to asbestos that occurred after the sale of the subsidiary's insulation business in 1964 would not be entitled to settlement payouts and that state statutes described under </w:t>
      </w:r>
      <w:hyperlink w:anchor="page67">
        <w:r>
          <w:rPr>
            <w:rFonts w:ascii="Arial" w:cs="Arial" w:eastAsia="Arial" w:hAnsi="Arial"/>
            <w:sz w:val="18"/>
            <w:szCs w:val="18"/>
            <w:u w:val="single" w:color="auto"/>
            <w:color w:val="0000FF"/>
          </w:rPr>
          <w:t>Note O</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Company's audited consolidated financial statements included in this Annual Report, including Texas and Pennsylvania statutes, are expected to have a highly favorable impact on Crown Cork's ability to settle or defend against asbestos-related claims in those states and other states where Pennsylvania law may apply.</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year ended December 31, 2021, Crown Cork received approximately 2,000 new claims, settled or dismissed approximately 1,000 claims, and had approximately 57,000 claims outstanding at the end of the period. Of the Company's outstanding claims, approximately 17,000 claims relate to claimants alleging first exposure to asbestos after 1964 and approximately 40,000 relate to claimants alleging first exposure to asbestos before or during 1964, of which approximately 13,000 were filed in Texas, 1,500 were filed in Pennsylvania, 6,000 were filed in other states that have enacted asbestos legislation and 19,500 were filed in other states. The outstanding claims at December 31, 2021 also exclude approximately 19,000 inactive claims, as well as claims in Texas filed after June 11, 2003. Due to the passage of time, the Company considers it unlikely that the plaintiffs in these cases will pursue further action. The exclusion of these inactive claims had no effect on the calculation of the Company's accrual as the claims were filed in states where the Company's liability is limited by statute. The Company devotes significant time and expense to defend against these various claims, complaints and proceedings, and there can be no assurance that the expenses or distractions from operating the Company's businesses arising from these defenses will not increase materially.</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Crown Cork made cash payments of $19 million, $21 million and $22 million in 2021, 2020 and 2019 to settle asbestos claims and pay related legal and defense costs. These payments and any such future payments will reduce the cash flow available to Crown Cork for its business operations and debt payments.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Asbestos-related payments including defense costs may be significantly higher than those estimated by Crown Cork because the outcome of this type of litigation (and, therefore, Crown Cork's reserve) is subject to a number of assumptions and uncertainties, such as the number or size of asbestos-related claims or settlements, the number of financially viable responsible parties, the extent to which state statutes relating to asbestos liability are upheld and/or applied by the courts, Crown Cork's ability to obtain resolution without payment of asbestos-related claims by persons alleging first exposure to asbestos after 1964, and the potential impact of any pending or future asbestos-related legislation. Accordingly, Crown Cork may be required to make payments for claims substantially in excess of its accrual, which could reduce the Company's cash flow and impair its ability to satisfy its obligations. Further information regarding Crown's Cork's asbestos-related liabilities is presented within “Management's Discussion and Analysis of Financial Condition and Results of Operations” under the headings, “Provision for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Asbestos” and “Critical Accounting Policies” and under </w:t>
      </w:r>
      <w:hyperlink w:anchor="page67">
        <w:r>
          <w:rPr>
            <w:rFonts w:ascii="Arial" w:cs="Arial" w:eastAsia="Arial" w:hAnsi="Arial"/>
            <w:sz w:val="16"/>
            <w:szCs w:val="16"/>
            <w:u w:val="single" w:color="auto"/>
            <w:color w:val="0000FF"/>
          </w:rPr>
          <w:t>Note O</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Company's audited consolidated financial statements included in this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costs and liabilities related to stringent environmental and health and safety standards.</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Laws and regulations relating to environmental protection and health and safety may increase the Company’s costs of operating and reduce its profitability. The Company's operations are subject to numerous U.S. federal and state and non-U.S. laws and regulations governing the protection of the environment, including those relating to operating permits, treatment, storage and disposal of waste, the use of chemicals in the Company's products and manufacturing process, discharges into water, emissions into the atmosphere, remediation of soil and groundwater contamination and protection of employee health and safety. Future regulations may impose stricter environmental or employee safety requirements affecting the Company's operations or may impose additional requirements regarding consumer health and safety, such as potential restrictions on the use of bisphenol-A, a starting material used to produce internal and external coatings for some food, beverage, and aerosol containers and metal closures. In the U.S., the FDA has banned the use of bisphenol-A in baby bottles, children’s drinking cups and epoxy resins that coat infant formula cans as well as in packaging and utensils for all foods and the EPA has considered adding bisphenol-A to the chemical concern list on the basis of environmental effects and using its Design for the Environment program to encourage reductions in bisphenol-A manufacturing and use. In addition, the State of California has declared bisphenol-A a reproductive system hazard and listed it as a hazardous chemical under the state Safe Water and Toxic Environment Act. Certain other nations, including Denmark, Belgium, Canada and France, have implemented or considered implementing legislation restricting the use of bisphenol-A, including imposing product labeling requirements or restrictions on the importation and placement in the market of packaging and utensils containing bisphenol-A, and the European Food Safety Authority has recommended that the tolerable daily intake of bisphenol-A be lowered. Domestic and international, federal, state, municipal or other regulatory authorities could further restrict or prohibit the use of bisphenol-A in the future. In addition, public reports, litigation and other allegations regarding the potential health hazards of bisphenol-A could contribute to a perceived safety risk about the Company's products and adversely impact sales or otherwise disrupt the Company's business. While the Company is exploring various alternatives to the use of bisphenol-A and conversion to alternatives is underway in some applications, there can be no assurance the Company will be completely successful in its efforts or that the alternatives will not be more costly to the Company.</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Also, for example, future restrictions in some jurisdictions on air emissions of volatile organic compounds and the use of certain paint and lacquering ingredients may require the Company to employ additional control equipment or process modifications. The Company’s operations and properties, both in the U.S. and abroad, must comply with these laws and regulations. In addition, a number of governmental authorities in the U.S. and abroad have introduced or are contemplating enacting legal requirements, including emissions limitations, cap and trade systems or mandated changes in energy consumption, in response to the potential impacts of climate change. Given the wide range of potential future climate change regulations in the jurisdictions in which the Company operates, the potential impact of both climate change and climate change regulation is uncertain.</w:t>
      </w:r>
    </w:p>
    <w:p>
      <w:pPr>
        <w:spacing w:after="0" w:line="20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Climate change and evolving laws, regulations and market trends in response to climate change could adversely affect the business and operations of the Company.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may incur significant costs and experience operational disruptions as a result of increases in the frequency, severity or duration of severe weather events caused by climate change (including thunderstorms, hurricanes, blizzards, wildfires, flooding, typhoons and tornados), and may incur additional costs to prepare for, respond to and mitigate the effects of climate change. Furthermore, in the event that severe weather events or temperature shifts resulting from climate change adversely impact crop yields for fruits and vegetables, our customers’ demand for our products may be reduced due to customers’ inability to make products that require packaging in the first instance. The Company is not able to accurately predict the materiality of any potential losses or costs associated with the effects of climate change. The impact of climate change may also vary by geographic location and other circumstances, including weather patterns and any impact to natural resources such as water.</w:t>
      </w:r>
    </w:p>
    <w:p>
      <w:pPr>
        <w:spacing w:after="0" w:line="2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number of governmental authorities both in the U.S. and abroad also have enacted, or are considering, legal requirements relating to environmental conservation and sustainability, energy efficiency deforestation, greenhouse gas emissions, climate change and product stewardship, including mandating recycling, the use of recycled materials and/or limitations on certain kinds of packaging materials such as plastics. In addition, some companies with packaging needs have responded to such developments, and/or to perceived environmental concerns of consumers, by using containers made in whole or in part of recycled materials. Such developments may reduce the demand for some of the Company's products, and/or increase its costs.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Company may experience significant negative effects to its business as a result of new federal, state or local taxes, increases to current taxes or other governmental regulations specifically targeted to decrease the consumption of certain types of beverages.</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Public health and government officials have become increasingly concerned about the health consequences associated with over-consumption of certain types of beverages, such as sugar-sweetened beverages and including those sold by certain of the Company's significant customers. Possible new federal, state or local taxes, increases to current taxes or other governmental regulations specifically targeted to decrease the consumption of these beverages may significantly reduce demand for the beverages of the Company's customers, which could in turn affect demand of the Company's customers for the Company's products. For example, taxes on certain sugar-sweetened beverages and/or energy drinks have been enacted in France, the U.K., Poland, Portugal, Hungary, India, Mexico and Saudi Arabia. Some state and local governments are also considering similar taxes, and several U.S. cities, including in California, Pennsylvania, Illinois, Washington, and Colorado, have enacted taxes on certain sugar-sweetened beverages. The imposition of such taxes may decrease the demand for certain soft drinks and beverages that the Company's customers produce, which may cause the Company's customers to respond by decreasing their purchases from the Company. Consumer tax legislation and future attempts to tax sugar-sweetened or energy drinks by other jurisdictions could reduce the demand for the Company's products and materially adversely affect the Company's business and financial results.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the Company's products could be affected by changes in laws and regulations applicable to food and beverages and changes in consumer preferences.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manufactures and sells metal and glass packaging primarily for the beverage and food can market. As a result, many of the Company's products come into direct contact with beverages and food. Accordingly, the Company's products must comply with various laws and regulations for beverages and food applicable to its customers. Changes in such laws and regulations, such as the sugary-drink taxes discussed above, could negatively impact customers' demand for the Company's products as they comply with such changes and/or require the Company to make changes to its products. Such changes to the Company's products could include modifications to the coatings and compounds that the Company uses, possibly resulting in the incurrence of additional costs. Additionally, because many of the Company's products are used to package consumer goods, the Company is subject to a variety of risks that could influence consumer behavior and negatively impact demand for the Company's products, including changes in consumer preferences driven by various health-related concerns and perceptions.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standards, taxation requirements and other law could negatively affect the Company's financial results.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New accounting standards or pronouncements that may become applicable to the Company from time to time, or changes in the interpretation of existing standards and pronouncements, could have a significant effect on the Company's reported results for the affected periods. The Company is also subject to income tax in the numerous jurisdictions in which the Company operates. Increases in income tax rates or other changes to tax laws could reduce the Company's after-tax income from affected jurisdictions or otherwise affect the Company's tax liability.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Company's products are subject to import and excise duties and/or sales or value-added taxes in many jurisdictions in which it operates.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Increases in indirect taxes could affect the Company's products' affordability and therefore reduce demand for its products.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Company’s business operations and financial position have been and are expected to continue to be adversely affected by the COVID-19 pandemic.</w:t>
      </w:r>
    </w:p>
    <w:p>
      <w:pPr>
        <w:spacing w:after="0" w:line="273"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ongoing global outbreak of COVID-19, which was declared a pandemic by the World Health Organization on March 11, 2020 and a national emergency by the President of the United States on March 13, 2020, has caused and is continuing to cause business slowdowns and shutdowns and turmoil in the financial markets both in the U.S. and abroad. The Company is closely monitoring the impact of COVID-19 on all aspects of its business and geographies, including how it has impacted and will impact the Company’s employees, customers, suppliers and distribution channels. The pandemic, as well as the quarantines and other governmental and non</w:t>
      </w:r>
      <w:r>
        <w:rPr>
          <w:rFonts w:ascii="MS PGothic" w:cs="MS PGothic" w:eastAsia="MS PGothic" w:hAnsi="MS PGothic"/>
          <w:sz w:val="17"/>
          <w:szCs w:val="17"/>
          <w:color w:val="auto"/>
        </w:rPr>
        <w:t>‑</w:t>
      </w:r>
      <w:r>
        <w:rPr>
          <w:rFonts w:ascii="Arial" w:cs="Arial" w:eastAsia="Arial" w:hAnsi="Arial"/>
          <w:sz w:val="17"/>
          <w:szCs w:val="17"/>
          <w:color w:val="auto"/>
        </w:rPr>
        <w:t>governmental restrictions which have been imposed throughout the world in an effort to contain, mitigate, or vaccinate against it and the controversies prompted by such restrictions in some regions, has created significant volatility, uncertainty and economic disruption which is expected to adversely affect the Company’s business operations and may materially and adversely affect the Company’s results of operations, cash flows and financial position or the Company’s ability to execute its short- and long-term business strategies and initiatives. For example, governmental authorities in several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regions (including Pennsylvania, where the Company’s world headquarters are located) have ordered the cessation of all business activity which is deemed non-essential and there is a risk that these shutdown orders will be extended or expanded or that similar shutdown orders will be implemented in other regions (particularly in response to newer variant strains of COVID-19, such as Delta or Omicron); while many beverage and food products are deemed essential, several jurisdictions have implemented restrictions or prohibitions on the sale of alcoholic beverages which have reduced the demand for some of the Company’s products. Likewise, Transit Packaging supplies a wide array of industrial markets which are being negatively affected by a decline in global economic activity.</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magnitude of COVID-19’s ultimate impact on the Company will depend on numerous evolving factors, future developments and cascading effects of the coronavirus pandemic that the Company is not able to predict, including: the severity of the outbreak and the international actions that are being taken to contain and treat it; the duration of the outbreak and the myriad of business restrictions being imposed as a result of it; governmental, business and other responses to the outbreak (including limitations on the Company’s operations and/or mandates that the Company provide products or services); the extent and duration of the effect of the outbreak on consumer confidence and spending, customer demand and buying patterns; the promotion of “social distancing” and the adoption of shelter-in-place orders, vaccine mandates and restrictions on exports affecting customers’ demand for the Company’s products; the extent to which forced remote working arrangements reduce the Company’s ability to effectively manage its global operations; the impact of the outbreak on the Company’s supply chain (including reductions in supply that may result in an inability to meet customer demand); the impact of the outbreak on internal controls (including those over financial reporting); the speed and success of vaccination efforts; any impairment in value of the Company’s tangible or intangible assets which could be recorded as a result of a weaker economic conditions; and the effect of the ongoing disruption in the capital markets on the Company’s ability to access capital on favorable terms and continue to meet its liquidity needs. Moreover, employee absenteeism due to members of the Company’s workforce being quarantined or exposed to COVID-19 may impact the Company’s ability to meet staffing needs which, compounded with the effects of ongoing office and potential factory closures, disruptions to ports and other shipping infrastructure, border closures, and other travel or health-related restrictions, may in turn impair the Company in the manufacture, distribution and sale of its products.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while the Company cannot predict the magnitude of the impact that COVID-19 will have on its customers and suppliers or their financial conditions, any material effect on the Company’s customers or suppliers could adversely impact the Company. For example, certain of the Company’s suppliers have informed the Company that the coronavirus outbreak and the resulting business restrictions may constrain supply of necessary materials and the Company may face difficulty collecting accounts receivable from any of its customers that may be negatively impacted by the pandemic. The impact of COVID-19 may also exacerbate other risk factors discussed in Item 1A of this Annual Report, any of which could have a material effect on the Company. For example, significant volatility in the equity markets could have a negative impact on the market value of the Company's pension plan assets which may substantially increase the Company's future pension plan funding requirements and could have a negative impact on the Company's results of operations, pension plan funded status and future cash flows.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extent of the impact of COVID-19 on the Company’s business is highly uncertain and difficult to predict, as information is rapidly evolving with respect to the duration and severity of the pandemic. At this point, the Company cannot reasonably estimate the duration and severity of the COVID-19 pandemic or its overall impact on the Company’s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 major customer and/or customer consolidation could reduce the Company's net sales and profitability.</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Many of the Company's largest customers have acquired companies with similar or complementary product lines. This consolidation has increased the concentration of the Company's business with its largest customers. In many cases, such consolidation has been accompanied by pressure from customers for lower prices, reflecting the increase in the total volume of product purchased or the elimination of a price differential between the acquiring customer and the company acquired. Increased pricing pressures from the Company's customers may reduce the Company's net sales and net income.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majority of the Company's sales are to companies that have leading market positions in the sale of beverages, packaged food and household products to consumers. The loss of any major customers, a reduction in the purchasing levels of these customers or an adverse change in the terms of supply agreements with these customers could reduce the Company's net sales and net income. A continued consolidation of the Company's customers could exacerbate any such loss. In addition, the Company's relationship with several of its customers, particularly in Transit Packaging, is noncontractual, and as a result its customers may unilaterally reduce their purchases of its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not be able to manage its anticipated growth, and it may experience constraints or inefficiencies caused by unanticipated acceleration and deceleration of customer demand.</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Unanticipated acceleration and deceleration of customer demand for the Company's products may result in constraints or inefficiencies related to the Company's manufacturing, sales force, implementation resources and administrative infrastructure, particularly in emerging markets where the Company is seeking to expand production. Such constraints or inefficiencies may adversely affect the Company as a result of delays, lost potential product sales or loss of current or potential customers due to their dissatisfaction. Similarly, over-expansion, including as a result of overcapacity due to expansion by the Company's competitors, or investments in anticipation of growth that does not materialize, or develops more slowly than the Company expects, could harm the Company's financial results and result in overcapacity.</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manage the Company's anticipated future growth effectively, the Company must continue to enhance its manufacturing capabilities and operations, information technology infrastructure, and financial and accounting systems and controls. Organizational growth and scale-up of operations could strain its existing managerial, operational, financial and other resources. The Company's growth requires significant capital expenditures and may divert financial resources from other projects, such as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development of new products or enhancements of existing products or reduction of the Company's outstanding indebtedness. If the Company's management is unable to effectively manage the Company's growth, its expenses may increase more than expected, its revenue could grow more slowly than expected and it may not be able to achieve its research and development and production goals, any of which could have a material effect on its business, operating results or financial condition.</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Acquisitions, dispositions or investments that the Company is considering, has pursued or may pursue could be unsuccessful, consume significant resources and require the incurrence of additional indebtedness.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completed and may consider acquisitions and investments that complement its existing business or dispositions of portions of its existing business. The actual or potential acquisitions, dispositions and investments, such as the Company's recently completed divestiture of its European Tinplate business, involve or may involve significant cash expenditures, debt incurrence (including the incurrence of additional indebtedness under the Company's senior secured revolving credit facilities or other secured or unsecured debt), operating losses and expenses and the diversion of management's attention that could have a material effect on the Company's financial condition and operating results.</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particular, if the Company incurs additional debt, the Company's liquidity and financial stability could be impaired as a result of using a significant portion of available cash or borrowing capacity to finance an acquisition. Moreover, the Company may face an increase in interest expense or financial leverage if additional debt is incurred to finance an acquisition, which may, among other things, adversely affect the Company's various financial ratios and the Company's compliance with the conditions of its existing indebtedness. In addition, such additional indebtedness may be incurred under the Company's senior secured credit facilities or otherwise secured by liens on the Company's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dispositions involve numerous other risks, including:</w:t>
      </w:r>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management time and attention;</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failures to identify material problems and liabilities of acquisition targets or to obtain sufficient indemnification rights to fully offset possible liabilities related to the acquired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integrating the operations, technologies and personnel of the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inefficiencies and complexities that may arise due to unfamiliarity with new assets, businesses or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to the Company's ongoing business;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inaccurate estimates of fair value made in the accounting for acquisitions and amortization of acquired intangible assets which would reduce future reported earnings;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to obtain required financing for the new acquisition or investment opportunities and the Company's existing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or obligation to divest portions of an acquired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challenges associated with successfully bifurcating operations that involve both remaining and departing personnel in divestiture transactions;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associated with operating in new geographic regions or discontinued operations in legacy regions;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loss of key employees, contractual relationships, suppliers or customers of the acquired businesses or of the Company;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obtain required anti-trust and other regulatory approvals.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the Company pursues an acquisition or disposition that causes it to incur unexpected costs or that fails to generate expected returns, the Company's financial position, results of operations and cash flows may be adversely affected, and the Company's ability to service its indebtedness may be negatively impacted.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Company fails to retain key management and personnel, the Company may be unable to implement its business plan.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Members of the Company's senior management have extensive industry experience, and it might be difficult to find new personnel with comparable experience. Because the Company's business is highly specialized, the Company believes that it would also be difficult to replace its key technical personnel. The Company believes that its future success depends, in large part, on its experienced senior management team. Losing the services of key members of its management team could limit the Company's ability to implement its business plan. In addition, under the Company's unfunded Senior Executive Retirement Plan certain members of senior management are entitled to lump sum payments upon retirement or other termination of employment and a lump sum death benefit of five times the annual retirement benefit.</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relies on its information technology and the failure or disruption of its information technology could disrupt its operations and adversely affect its results of operations.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business increasingly relies on the successful and uninterrupted functioning of its information technology systems to process, transmit, and store electronic information. A significant portion of the communication between the Company's personnel around the world, customers, and suppliers depends on information technology. As with all large systems, the Company's information technology systems may be susceptible to damage, disruptions or shutdowns due to failures during the process of upgrading or replacing software, databases or components thereof, power outages, hardware failures, computer viruses, attacks by computer hackers, telecommunication failures, user errors or catastrophic events. In addition, security breaches could result in unauthorized disclosure of confidential information.</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concentration of processes in shared services centers means that any disruption could impact a large portion of the Company's business within the operating zones served by the affected service center. If the Company does not allocate, and effectively manage, the resources necessary to build, sustain and protect the proper technology infrastructure, the Company could be subject to transaction errors, processing inefficiencies, loss of customers, business disruptions, the loss of or damage to intellectual property through security breach, as well as potential civil liability and fines under various states' laws in which the Company does business. While the Company has security measures in place designed to protect the integrity of customer information and prevent data loss, misappropriation, and other security breaches, the Company's information technology systems could nevertheless be penetrated by outside parties intent on extracting information, corrupting information or disrupting business processes, particularly if the Company's information security training and compliance programs prove to be inadequate. In addition, if the Company's information technology systems suffer severe damage, disruption or shutdown and the Company's business continuity plans do not effectively resolve the issues in a timely manner, the Company may lose revenue and profits as a result of its inability to timely manufacture, distribute, invoice and collect payments from its customers, and could experience delays in reporting its financial results, including with respect to the Company's operations in emerging markets. Furthermore, if the Company is unable to prevent security breaches, it may suffer financial and reputational damage because of lost or misappropriated confidential information belonging to the Company or to its customers or suppliers, and it may suffer indirect economic loss if its existing insurance policies and coverage related to information security risks prove to be insufficient. Failure or disruption of the Company's information technology systems, or the back-up systems, for any reason could disrupt the Company's operations and negatively impact the Company's cash flows or financial condition.</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Sentiment towards climate change, sustainability and other ESG matters could adversely affect the Company’s business, financial condition or results of operations.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announced sustainability goals for its next phase of Sustainability as part of its Twentyby30 program. Execution of this program and the achievements of the Company’s sustainability goals is subject to risk and uncertainties, many of which are out of the Company’s control. Failure to achieve these sustainability goals within the currently projected costs and expected timeframes could damage the Company’s reputation, customer and investor relationships, or ability to access capital on favorable terms, particularly given investors’ increased focus on ESG matters in recent years, and in turn could adversely affect the Company’s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80"/>
        <w:spacing w:after="0" w:line="277" w:lineRule="auto"/>
        <w:rPr>
          <w:sz w:val="20"/>
          <w:szCs w:val="20"/>
          <w:color w:val="auto"/>
        </w:rPr>
      </w:pPr>
      <w:r>
        <w:rPr>
          <w:rFonts w:ascii="Arial" w:cs="Arial" w:eastAsia="Arial" w:hAnsi="Arial"/>
          <w:sz w:val="18"/>
          <w:szCs w:val="18"/>
          <w:b w:val="1"/>
          <w:bCs w:val="1"/>
          <w:i w:val="1"/>
          <w:iCs w:val="1"/>
          <w:color w:val="auto"/>
        </w:rPr>
        <w:t>If the Company fails to maintain an effective system of internal control, the Company may not be able to accurately report financial results or prevent fraud.</w:t>
      </w:r>
    </w:p>
    <w:p>
      <w:pPr>
        <w:spacing w:after="0" w:line="197" w:lineRule="exact"/>
        <w:rPr>
          <w:sz w:val="20"/>
          <w:szCs w:val="20"/>
          <w:color w:val="auto"/>
        </w:rPr>
      </w:pPr>
    </w:p>
    <w:p>
      <w:pPr>
        <w:jc w:val="both"/>
        <w:ind w:left="80"/>
        <w:spacing w:after="0" w:line="275" w:lineRule="auto"/>
        <w:rPr>
          <w:sz w:val="20"/>
          <w:szCs w:val="20"/>
          <w:color w:val="auto"/>
        </w:rPr>
      </w:pPr>
      <w:r>
        <w:rPr>
          <w:rFonts w:ascii="Arial" w:cs="Arial" w:eastAsia="Arial" w:hAnsi="Arial"/>
          <w:sz w:val="17"/>
          <w:szCs w:val="17"/>
          <w:color w:val="auto"/>
        </w:rPr>
        <w:t>Effective internal controls are necessary to provide reliable financial reports and to assist in the effective prevention of fraud. Any inability to provide reliable financial reports or prevent fraud could harm the Company's business. The Company must annually evaluate its internal procedures to satisfy the requirements of Section 404 of the Sarbanes-Oxley Act of 2002, which requires management and auditors to assess the effectiveness of internal controls. If the Company fails to remedy or maintain the adequacy of its internal controls, as such standards are modified, supplemented or amended from time to time, the Company could be subject to regulatory scrutiny, civil or criminal penalties or shareholder litigation.</w:t>
      </w:r>
    </w:p>
    <w:p>
      <w:pPr>
        <w:spacing w:after="0" w:line="200" w:lineRule="exact"/>
        <w:rPr>
          <w:sz w:val="20"/>
          <w:szCs w:val="20"/>
          <w:color w:val="auto"/>
        </w:rPr>
      </w:pPr>
    </w:p>
    <w:p>
      <w:pPr>
        <w:spacing w:after="0" w:line="287" w:lineRule="exact"/>
        <w:rPr>
          <w:sz w:val="20"/>
          <w:szCs w:val="20"/>
          <w:color w:val="auto"/>
        </w:rPr>
      </w:pPr>
    </w:p>
    <w:p>
      <w:pPr>
        <w:ind w:left="100"/>
        <w:spacing w:after="0"/>
        <w:tabs>
          <w:tab w:leader="none" w:pos="1400" w:val="left"/>
        </w:tabs>
        <w:rPr>
          <w:sz w:val="20"/>
          <w:szCs w:val="20"/>
          <w:color w:val="auto"/>
        </w:rPr>
      </w:pPr>
      <w:r>
        <w:rPr>
          <w:rFonts w:ascii="Arial" w:cs="Arial" w:eastAsia="Arial" w:hAnsi="Arial"/>
          <w:sz w:val="18"/>
          <w:szCs w:val="18"/>
          <w:u w:val="single" w:color="auto"/>
          <w:color w:val="auto"/>
        </w:rPr>
        <w:t>ITEM 1B.</w:t>
      </w:r>
      <w:r>
        <w:rPr>
          <w:sz w:val="20"/>
          <w:szCs w:val="20"/>
          <w:color w:val="auto"/>
        </w:rPr>
        <w:tab/>
      </w:r>
      <w:r>
        <w:rPr>
          <w:rFonts w:ascii="Arial" w:cs="Arial" w:eastAsia="Arial" w:hAnsi="Arial"/>
          <w:sz w:val="17"/>
          <w:szCs w:val="17"/>
          <w:u w:val="single" w:color="auto"/>
          <w:color w:val="auto"/>
        </w:rPr>
        <w:t>UNRESOLVED STAFF COMMENTS</w:t>
      </w:r>
    </w:p>
    <w:p>
      <w:pPr>
        <w:spacing w:after="0" w:line="185" w:lineRule="exact"/>
        <w:rPr>
          <w:sz w:val="20"/>
          <w:szCs w:val="20"/>
          <w:color w:val="auto"/>
        </w:rPr>
      </w:pPr>
    </w:p>
    <w:p>
      <w:pPr>
        <w:jc w:val="both"/>
        <w:ind w:left="80"/>
        <w:spacing w:after="0" w:line="277"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the end of the Company’s fiscal year relating to its periodic or current reports under the Securities Exchange Act of 1934.</w:t>
      </w:r>
    </w:p>
    <w:p>
      <w:pPr>
        <w:spacing w:after="0" w:line="200" w:lineRule="exact"/>
        <w:rPr>
          <w:sz w:val="20"/>
          <w:szCs w:val="20"/>
          <w:color w:val="auto"/>
        </w:rPr>
      </w:pPr>
    </w:p>
    <w:p>
      <w:pPr>
        <w:spacing w:after="0" w:line="37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auto"/>
        </w:rPr>
        <w:t>TEM 2.</w:t>
      </w:r>
      <w:r>
        <w:rPr>
          <w:sz w:val="20"/>
          <w:szCs w:val="20"/>
          <w:color w:val="auto"/>
        </w:rPr>
        <w:tab/>
      </w:r>
      <w:r>
        <w:rPr>
          <w:rFonts w:ascii="Arial" w:cs="Arial" w:eastAsia="Arial" w:hAnsi="Arial"/>
          <w:sz w:val="16"/>
          <w:szCs w:val="16"/>
          <w:u w:val="single" w:color="auto"/>
          <w:color w:val="auto"/>
        </w:rPr>
        <w:t>PROPERTIES</w:t>
      </w:r>
    </w:p>
    <w:p>
      <w:pPr>
        <w:spacing w:after="0" w:line="347" w:lineRule="exact"/>
        <w:rPr>
          <w:sz w:val="20"/>
          <w:szCs w:val="20"/>
          <w:color w:val="auto"/>
        </w:rPr>
      </w:pPr>
    </w:p>
    <w:p>
      <w:pPr>
        <w:jc w:val="both"/>
        <w:ind w:left="80"/>
        <w:spacing w:after="0" w:line="257" w:lineRule="auto"/>
        <w:rPr>
          <w:sz w:val="20"/>
          <w:szCs w:val="20"/>
          <w:color w:val="auto"/>
        </w:rPr>
      </w:pPr>
      <w:r>
        <w:rPr>
          <w:rFonts w:ascii="Arial" w:cs="Arial" w:eastAsia="Arial" w:hAnsi="Arial"/>
          <w:sz w:val="18"/>
          <w:szCs w:val="18"/>
          <w:color w:val="auto"/>
        </w:rPr>
        <w:t>As of December 31, 2021, the Company operated 200 manufacturing facilities in 40 countries. The principal manufacturing facilities at December 31, 2021 are listed below and are grouped by reportable segment. The Company’s manufacturing and support facilities are designed according to the requirements of the products to be manufactured. Therefore, the type of construction may vary from plant to plant. Warehouse space is generally provided at each of the manufacturing locations, although the Company also leases outside warehouses. The Company leased 65 of its manufacturing facilities at December 31, 2021.</w:t>
      </w:r>
    </w:p>
    <w:p>
      <w:pPr>
        <w:spacing w:after="0" w:line="215" w:lineRule="exact"/>
        <w:rPr>
          <w:sz w:val="20"/>
          <w:szCs w:val="20"/>
          <w:color w:val="auto"/>
        </w:rPr>
      </w:pPr>
    </w:p>
    <w:p>
      <w:pPr>
        <w:jc w:val="both"/>
        <w:ind w:left="80"/>
        <w:spacing w:after="0" w:line="259" w:lineRule="auto"/>
        <w:rPr>
          <w:sz w:val="20"/>
          <w:szCs w:val="20"/>
          <w:color w:val="auto"/>
        </w:rPr>
      </w:pPr>
      <w:r>
        <w:rPr>
          <w:rFonts w:ascii="Arial" w:cs="Arial" w:eastAsia="Arial" w:hAnsi="Arial"/>
          <w:sz w:val="18"/>
          <w:szCs w:val="18"/>
          <w:color w:val="auto"/>
        </w:rPr>
        <w:t>Ongoing productivity improvements and cost reduction efforts in recent years have focused on upgrading and modernizing facilities to reduce costs, improve efficiency and productivity and phase out uncompetitive facilities. The Company has also opened new facilities to meet increases in market demand for its products. These actions reflect the Company’s continued commitment to realign manufacturing facilities to maintain its competitive position in its markets.</w:t>
      </w:r>
    </w:p>
    <w:p>
      <w:pPr>
        <w:spacing w:after="0" w:line="214" w:lineRule="exact"/>
        <w:rPr>
          <w:sz w:val="20"/>
          <w:szCs w:val="20"/>
          <w:color w:val="auto"/>
        </w:rPr>
      </w:pPr>
    </w:p>
    <w:p>
      <w:pPr>
        <w:jc w:val="both"/>
        <w:ind w:left="80" w:right="20"/>
        <w:spacing w:after="0" w:line="259" w:lineRule="auto"/>
        <w:rPr>
          <w:sz w:val="20"/>
          <w:szCs w:val="20"/>
          <w:color w:val="auto"/>
        </w:rPr>
      </w:pPr>
      <w:r>
        <w:rPr>
          <w:rFonts w:ascii="Arial" w:cs="Arial" w:eastAsia="Arial" w:hAnsi="Arial"/>
          <w:sz w:val="18"/>
          <w:szCs w:val="18"/>
          <w:color w:val="auto"/>
        </w:rPr>
        <w:t>Utilization of any particular facility varies based upon product demand. While it is not possible to measure with any degree of certainty or uniformity the productive capacity of these facilities, management believes that, if necessary, production can be increased at several existing facilities through the addition of personnel, capital equipment and, in some facilities, square footage available for production. In addition, the Company may from time to time acquire additional facilities or dispose of existing facilities.</w:t>
      </w:r>
    </w:p>
    <w:p>
      <w:pPr>
        <w:spacing w:after="0" w:line="214" w:lineRule="exact"/>
        <w:rPr>
          <w:sz w:val="20"/>
          <w:szCs w:val="20"/>
          <w:color w:val="auto"/>
        </w:rPr>
      </w:pPr>
    </w:p>
    <w:p>
      <w:pPr>
        <w:jc w:val="both"/>
        <w:ind w:left="80"/>
        <w:spacing w:after="0" w:line="342" w:lineRule="auto"/>
        <w:rPr>
          <w:sz w:val="20"/>
          <w:szCs w:val="20"/>
          <w:color w:val="auto"/>
        </w:rPr>
      </w:pPr>
      <w:r>
        <w:rPr>
          <w:rFonts w:ascii="Arial" w:cs="Arial" w:eastAsia="Arial" w:hAnsi="Arial"/>
          <w:sz w:val="16"/>
          <w:szCs w:val="16"/>
          <w:color w:val="auto"/>
        </w:rPr>
        <w:t>The Company’s Americas and Corporate headquarters is in Yardley, Pennsylvania. Its European headquarters is in Baar, Switzerland, its Asia Pacific headquarters is in Singapore and its Transit Packaging headquarters is in Tampa, Florida. The Company maintains a research facility in Wantage, England.</w:t>
      </w: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82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w w:val="95"/>
              </w:rPr>
              <w:t>Americas Beverage</w:t>
            </w:r>
          </w:p>
        </w:tc>
        <w:tc>
          <w:tcPr>
            <w:tcW w:w="17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w w:val="94"/>
              </w:rPr>
              <w:t>European Beverage</w:t>
            </w:r>
          </w:p>
        </w:tc>
        <w:tc>
          <w:tcPr>
            <w:tcW w:w="2220" w:type="dxa"/>
            <w:vAlign w:val="bottom"/>
            <w:tcBorders>
              <w:top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Asia Pacific</w:t>
            </w:r>
          </w:p>
        </w:tc>
        <w:tc>
          <w:tcPr>
            <w:tcW w:w="3620" w:type="dxa"/>
            <w:vAlign w:val="bottom"/>
            <w:tcBorders>
              <w:top w:val="single" w:sz="8" w:color="auto"/>
              <w:bottom w:val="single" w:sz="8" w:color="auto"/>
              <w:right w:val="single" w:sz="8" w:color="auto"/>
            </w:tcBorders>
            <w:gridSpan w:val="2"/>
          </w:tcPr>
          <w:p>
            <w:pPr>
              <w:ind w:left="1100"/>
              <w:spacing w:after="0"/>
              <w:rPr>
                <w:sz w:val="20"/>
                <w:szCs w:val="20"/>
                <w:color w:val="auto"/>
              </w:rPr>
            </w:pPr>
            <w:r>
              <w:rPr>
                <w:rFonts w:ascii="Arial" w:cs="Arial" w:eastAsia="Arial" w:hAnsi="Arial"/>
                <w:sz w:val="18"/>
                <w:szCs w:val="18"/>
                <w:b w:val="1"/>
                <w:bCs w:val="1"/>
                <w:color w:val="auto"/>
              </w:rPr>
              <w:t>Transit Packaging</w:t>
            </w:r>
          </w:p>
        </w:tc>
        <w:tc>
          <w:tcPr>
            <w:tcW w:w="1860" w:type="dxa"/>
            <w:vAlign w:val="bottom"/>
            <w:tcBorders>
              <w:top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Other</w:t>
            </w:r>
          </w:p>
        </w:tc>
      </w:tr>
      <w:tr>
        <w:trPr>
          <w:trHeight w:val="176"/>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Kankakee, IL</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Custines, France</w:t>
            </w: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Phnom Penh, Cambodia (2)</w:t>
            </w:r>
          </w:p>
        </w:tc>
        <w:tc>
          <w:tcPr>
            <w:tcW w:w="1460" w:type="dxa"/>
            <w:vAlign w:val="bottom"/>
          </w:tcPr>
          <w:p>
            <w:pPr>
              <w:ind w:left="20"/>
              <w:spacing w:after="0"/>
              <w:rPr>
                <w:sz w:val="20"/>
                <w:szCs w:val="20"/>
                <w:color w:val="auto"/>
              </w:rPr>
            </w:pPr>
            <w:r>
              <w:rPr>
                <w:rFonts w:ascii="Arial" w:cs="Arial" w:eastAsia="Arial" w:hAnsi="Arial"/>
                <w:sz w:val="14"/>
                <w:szCs w:val="14"/>
                <w:color w:val="auto"/>
              </w:rPr>
              <w:t>Rainbow City, AL</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Virton, Belgium</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Norwalk, CT (T)</w:t>
            </w:r>
          </w:p>
        </w:tc>
      </w:tr>
      <w:tr>
        <w:trPr>
          <w:trHeight w:val="184"/>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Bowling Green, KY</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Korinthos, Greece</w:t>
            </w: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Sihanoukville, Cambodia</w:t>
            </w:r>
          </w:p>
        </w:tc>
        <w:tc>
          <w:tcPr>
            <w:tcW w:w="1460" w:type="dxa"/>
            <w:vAlign w:val="bottom"/>
          </w:tcPr>
          <w:p>
            <w:pPr>
              <w:ind w:left="20"/>
              <w:spacing w:after="0"/>
              <w:rPr>
                <w:sz w:val="20"/>
                <w:szCs w:val="20"/>
                <w:color w:val="auto"/>
              </w:rPr>
            </w:pPr>
            <w:r>
              <w:rPr>
                <w:rFonts w:ascii="Arial" w:cs="Arial" w:eastAsia="Arial" w:hAnsi="Arial"/>
                <w:sz w:val="14"/>
                <w:szCs w:val="14"/>
                <w:color w:val="auto"/>
              </w:rPr>
              <w:t>Benton, AR (2)</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Kardjali, Bulgaria</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Dubuque, IA (F)</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Mankato, MN</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Patras, Greece</w:t>
            </w: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Hangzhou, China</w:t>
            </w:r>
          </w:p>
        </w:tc>
        <w:tc>
          <w:tcPr>
            <w:tcW w:w="1460" w:type="dxa"/>
            <w:vAlign w:val="bottom"/>
          </w:tcPr>
          <w:p>
            <w:pPr>
              <w:ind w:left="20"/>
              <w:spacing w:after="0"/>
              <w:rPr>
                <w:sz w:val="20"/>
                <w:szCs w:val="20"/>
                <w:color w:val="auto"/>
              </w:rPr>
            </w:pPr>
            <w:r>
              <w:rPr>
                <w:rFonts w:ascii="Arial" w:cs="Arial" w:eastAsia="Arial" w:hAnsi="Arial"/>
                <w:sz w:val="14"/>
                <w:szCs w:val="14"/>
                <w:color w:val="auto"/>
              </w:rPr>
              <w:t>Fordyce, AR</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Noerresundby, Denmark</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Alsip, IL (A)</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Batesville, MS</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Parma, Italy</w:t>
            </w: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Henan, China (S)</w:t>
            </w:r>
          </w:p>
        </w:tc>
        <w:tc>
          <w:tcPr>
            <w:tcW w:w="1460" w:type="dxa"/>
            <w:vAlign w:val="bottom"/>
          </w:tcPr>
          <w:p>
            <w:pPr>
              <w:ind w:left="20"/>
              <w:spacing w:after="0"/>
              <w:rPr>
                <w:sz w:val="20"/>
                <w:szCs w:val="20"/>
                <w:color w:val="auto"/>
              </w:rPr>
            </w:pPr>
            <w:r>
              <w:rPr>
                <w:rFonts w:ascii="Arial" w:cs="Arial" w:eastAsia="Arial" w:hAnsi="Arial"/>
                <w:sz w:val="14"/>
                <w:szCs w:val="14"/>
                <w:color w:val="auto"/>
              </w:rPr>
              <w:t>Sheridan, AR</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Soenderborg, Denmark</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Decatur, IL (A)</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Nichols, NY</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Amman, Jordan</w:t>
            </w: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Heshan, China</w:t>
            </w:r>
          </w:p>
        </w:tc>
        <w:tc>
          <w:tcPr>
            <w:tcW w:w="1460" w:type="dxa"/>
            <w:vAlign w:val="bottom"/>
          </w:tcPr>
          <w:p>
            <w:pPr>
              <w:ind w:left="20"/>
              <w:spacing w:after="0"/>
              <w:rPr>
                <w:sz w:val="20"/>
                <w:szCs w:val="20"/>
                <w:color w:val="auto"/>
              </w:rPr>
            </w:pPr>
            <w:r>
              <w:rPr>
                <w:rFonts w:ascii="Arial" w:cs="Arial" w:eastAsia="Arial" w:hAnsi="Arial"/>
                <w:sz w:val="14"/>
                <w:szCs w:val="14"/>
                <w:color w:val="auto"/>
              </w:rPr>
              <w:t>Phoenix, AZ</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Liljendal, Finland</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Belcamp, MD (S)</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Dayton, OH</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Goleniow, Poland</w:t>
            </w: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Huizhou, China (S)</w:t>
            </w:r>
          </w:p>
        </w:tc>
        <w:tc>
          <w:tcPr>
            <w:tcW w:w="1460" w:type="dxa"/>
            <w:vAlign w:val="bottom"/>
          </w:tcPr>
          <w:p>
            <w:pPr>
              <w:ind w:left="20"/>
              <w:spacing w:after="0"/>
              <w:rPr>
                <w:sz w:val="20"/>
                <w:szCs w:val="20"/>
                <w:color w:val="auto"/>
              </w:rPr>
            </w:pPr>
            <w:r>
              <w:rPr>
                <w:rFonts w:ascii="Arial" w:cs="Arial" w:eastAsia="Arial" w:hAnsi="Arial"/>
                <w:sz w:val="14"/>
                <w:szCs w:val="14"/>
                <w:color w:val="auto"/>
              </w:rPr>
              <w:t>Bay Point, CA</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Masku, Finland</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Faribault, MN (A)</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Cheraw, SC</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Dammam, Saudi Arabia</w:t>
            </w: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Qingdao Chengyan, China (S)</w:t>
            </w:r>
          </w:p>
        </w:tc>
        <w:tc>
          <w:tcPr>
            <w:tcW w:w="1460" w:type="dxa"/>
            <w:vAlign w:val="bottom"/>
          </w:tcPr>
          <w:p>
            <w:pPr>
              <w:ind w:left="20"/>
              <w:spacing w:after="0"/>
              <w:rPr>
                <w:sz w:val="20"/>
                <w:szCs w:val="20"/>
                <w:color w:val="auto"/>
              </w:rPr>
            </w:pPr>
            <w:r>
              <w:rPr>
                <w:rFonts w:ascii="Arial" w:cs="Arial" w:eastAsia="Arial" w:hAnsi="Arial"/>
                <w:sz w:val="14"/>
                <w:szCs w:val="14"/>
                <w:color w:val="auto"/>
              </w:rPr>
              <w:t>Stockton, CA</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Castelsarrasin, France</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Owatonna, MN (F)</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Conroe, TX</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Jeddah, Saudi Arabia</w:t>
            </w: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Shanghai, China (S)</w:t>
            </w:r>
          </w:p>
        </w:tc>
        <w:tc>
          <w:tcPr>
            <w:tcW w:w="1460" w:type="dxa"/>
            <w:vAlign w:val="bottom"/>
          </w:tcPr>
          <w:p>
            <w:pPr>
              <w:ind w:left="20"/>
              <w:spacing w:after="0"/>
              <w:rPr>
                <w:sz w:val="20"/>
                <w:szCs w:val="20"/>
                <w:color w:val="auto"/>
              </w:rPr>
            </w:pPr>
            <w:r>
              <w:rPr>
                <w:rFonts w:ascii="Arial" w:cs="Arial" w:eastAsia="Arial" w:hAnsi="Arial"/>
                <w:sz w:val="14"/>
                <w:szCs w:val="14"/>
                <w:color w:val="auto"/>
              </w:rPr>
              <w:t>Denver, CO</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Fontaine les Luxeuil,</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Lancaster, OH (F)</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Fort Bend, TX</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Kosice, Slovakia</w:t>
            </w: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Tianjin, China (S)</w:t>
            </w:r>
          </w:p>
        </w:tc>
        <w:tc>
          <w:tcPr>
            <w:tcW w:w="1460" w:type="dxa"/>
            <w:vAlign w:val="bottom"/>
          </w:tcPr>
          <w:p>
            <w:pPr>
              <w:ind w:left="20"/>
              <w:spacing w:after="0"/>
              <w:rPr>
                <w:sz w:val="20"/>
                <w:szCs w:val="20"/>
                <w:color w:val="auto"/>
              </w:rPr>
            </w:pPr>
            <w:r>
              <w:rPr>
                <w:rFonts w:ascii="Arial" w:cs="Arial" w:eastAsia="Arial" w:hAnsi="Arial"/>
                <w:sz w:val="14"/>
                <w:szCs w:val="14"/>
                <w:color w:val="auto"/>
              </w:rPr>
              <w:t>Carrollton, GA</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France</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Massillon, OH (F)</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Winchester, VA</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Agoncillo, Spain</w:t>
            </w: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Tongxiang, China (S)</w:t>
            </w:r>
          </w:p>
        </w:tc>
        <w:tc>
          <w:tcPr>
            <w:tcW w:w="1460" w:type="dxa"/>
            <w:vAlign w:val="bottom"/>
          </w:tcPr>
          <w:p>
            <w:pPr>
              <w:ind w:left="20"/>
              <w:spacing w:after="0"/>
              <w:rPr>
                <w:sz w:val="20"/>
                <w:szCs w:val="20"/>
                <w:color w:val="auto"/>
              </w:rPr>
            </w:pPr>
            <w:r>
              <w:rPr>
                <w:rFonts w:ascii="Arial" w:cs="Arial" w:eastAsia="Arial" w:hAnsi="Arial"/>
                <w:sz w:val="14"/>
                <w:szCs w:val="14"/>
                <w:color w:val="auto"/>
              </w:rPr>
              <w:t>Douglasville, GA</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Manneville sur Risle,</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Mill Park, OH (F)</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Olympia, WA</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Sevilla, Spain</w:t>
            </w: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Ziyang, China</w:t>
            </w:r>
          </w:p>
        </w:tc>
        <w:tc>
          <w:tcPr>
            <w:tcW w:w="1460" w:type="dxa"/>
            <w:vAlign w:val="bottom"/>
          </w:tcPr>
          <w:p>
            <w:pPr>
              <w:ind w:left="20"/>
              <w:spacing w:after="0"/>
              <w:rPr>
                <w:sz w:val="20"/>
                <w:szCs w:val="20"/>
                <w:color w:val="auto"/>
              </w:rPr>
            </w:pPr>
            <w:r>
              <w:rPr>
                <w:rFonts w:ascii="Arial" w:cs="Arial" w:eastAsia="Arial" w:hAnsi="Arial"/>
                <w:sz w:val="14"/>
                <w:szCs w:val="14"/>
                <w:color w:val="auto"/>
              </w:rPr>
              <w:t>LaGrange, GA</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France</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Connellsville, PA (F)</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 Crosse, WI</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Valencia, Spain</w:t>
            </w: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Karawang, Indonesia</w:t>
            </w:r>
          </w:p>
        </w:tc>
        <w:tc>
          <w:tcPr>
            <w:tcW w:w="1460" w:type="dxa"/>
            <w:vAlign w:val="bottom"/>
          </w:tcPr>
          <w:p>
            <w:pPr>
              <w:ind w:left="20"/>
              <w:spacing w:after="0"/>
              <w:rPr>
                <w:sz w:val="20"/>
                <w:szCs w:val="20"/>
                <w:color w:val="auto"/>
              </w:rPr>
            </w:pPr>
            <w:r>
              <w:rPr>
                <w:rFonts w:ascii="Arial" w:cs="Arial" w:eastAsia="Arial" w:hAnsi="Arial"/>
                <w:sz w:val="14"/>
                <w:szCs w:val="14"/>
                <w:color w:val="auto"/>
              </w:rPr>
              <w:t>Macon, GA</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Tournus, France</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Hanover, PA (F)</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Worland, WY</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El Agba, Tunisia</w:t>
            </w: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Bangi, Malaysia</w:t>
            </w:r>
          </w:p>
        </w:tc>
        <w:tc>
          <w:tcPr>
            <w:tcW w:w="1460" w:type="dxa"/>
            <w:vAlign w:val="bottom"/>
          </w:tcPr>
          <w:p>
            <w:pPr>
              <w:ind w:left="20"/>
              <w:spacing w:after="0"/>
              <w:rPr>
                <w:sz w:val="20"/>
                <w:szCs w:val="20"/>
                <w:color w:val="auto"/>
              </w:rPr>
            </w:pPr>
            <w:r>
              <w:rPr>
                <w:rFonts w:ascii="Arial" w:cs="Arial" w:eastAsia="Arial" w:hAnsi="Arial"/>
                <w:sz w:val="14"/>
                <w:szCs w:val="14"/>
                <w:color w:val="auto"/>
              </w:rPr>
              <w:t>Bridgeview, IL</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Dinslaken, Germany</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Trevose, PA (T)</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Cabreuva, Brazil</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Izmit, Turkey</w:t>
            </w: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Yangon, Myanmar</w:t>
            </w:r>
          </w:p>
        </w:tc>
        <w:tc>
          <w:tcPr>
            <w:tcW w:w="1460" w:type="dxa"/>
            <w:vAlign w:val="bottom"/>
          </w:tcPr>
          <w:p>
            <w:pPr>
              <w:ind w:left="20"/>
              <w:spacing w:after="0"/>
              <w:rPr>
                <w:sz w:val="20"/>
                <w:szCs w:val="20"/>
                <w:color w:val="auto"/>
              </w:rPr>
            </w:pPr>
            <w:r>
              <w:rPr>
                <w:rFonts w:ascii="Arial" w:cs="Arial" w:eastAsia="Arial" w:hAnsi="Arial"/>
                <w:sz w:val="14"/>
                <w:szCs w:val="14"/>
                <w:color w:val="auto"/>
              </w:rPr>
              <w:t>Dixmoor, IL</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Goldkronach, Germany</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Spartanburg, SC (A)</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Teresina, Brazil</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Osmaniye, Turkey</w:t>
            </w: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Singapore</w:t>
            </w:r>
          </w:p>
        </w:tc>
        <w:tc>
          <w:tcPr>
            <w:tcW w:w="1460" w:type="dxa"/>
            <w:vAlign w:val="bottom"/>
          </w:tcPr>
          <w:p>
            <w:pPr>
              <w:ind w:left="20"/>
              <w:spacing w:after="0"/>
              <w:rPr>
                <w:sz w:val="20"/>
                <w:szCs w:val="20"/>
                <w:color w:val="auto"/>
              </w:rPr>
            </w:pPr>
            <w:r>
              <w:rPr>
                <w:rFonts w:ascii="Arial" w:cs="Arial" w:eastAsia="Arial" w:hAnsi="Arial"/>
                <w:sz w:val="14"/>
                <w:szCs w:val="14"/>
                <w:color w:val="auto"/>
              </w:rPr>
              <w:t>Glenview, IL</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Hilden, Germany</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Suffolk, VA (F)</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Estancia, Brazil</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Dubai, UAE</w:t>
            </w: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Singapore (S)</w:t>
            </w:r>
          </w:p>
        </w:tc>
        <w:tc>
          <w:tcPr>
            <w:tcW w:w="1460" w:type="dxa"/>
            <w:vAlign w:val="bottom"/>
          </w:tcPr>
          <w:p>
            <w:pPr>
              <w:ind w:left="20"/>
              <w:spacing w:after="0"/>
              <w:rPr>
                <w:sz w:val="20"/>
                <w:szCs w:val="20"/>
                <w:color w:val="auto"/>
              </w:rPr>
            </w:pPr>
            <w:r>
              <w:rPr>
                <w:rFonts w:ascii="Arial" w:cs="Arial" w:eastAsia="Arial" w:hAnsi="Arial"/>
                <w:sz w:val="14"/>
                <w:szCs w:val="14"/>
                <w:color w:val="auto"/>
              </w:rPr>
              <w:t>Kankakee, IL (2)</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Nurnberg, Germany</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Chippewa Falls, WI (T)</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Manaus, Brazil</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Botcherby, U.K.</w:t>
            </w: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Bangpoo, Thailand (F)</w:t>
            </w:r>
          </w:p>
        </w:tc>
        <w:tc>
          <w:tcPr>
            <w:tcW w:w="1460" w:type="dxa"/>
            <w:vAlign w:val="bottom"/>
          </w:tcPr>
          <w:p>
            <w:pPr>
              <w:ind w:left="20"/>
              <w:spacing w:after="0"/>
              <w:rPr>
                <w:sz w:val="20"/>
                <w:szCs w:val="20"/>
                <w:color w:val="auto"/>
              </w:rPr>
            </w:pPr>
            <w:r>
              <w:rPr>
                <w:rFonts w:ascii="Arial" w:cs="Arial" w:eastAsia="Arial" w:hAnsi="Arial"/>
                <w:sz w:val="14"/>
                <w:szCs w:val="14"/>
                <w:color w:val="auto"/>
              </w:rPr>
              <w:t>Roselle, IL</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Weischlitz, Germany</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Oshkosh, WI (F)</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Ponta Grossa, Brazil</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Braunstone, U.K.</w:t>
            </w: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Hat Yai, Thailand (F)</w:t>
            </w:r>
          </w:p>
        </w:tc>
        <w:tc>
          <w:tcPr>
            <w:tcW w:w="1460" w:type="dxa"/>
            <w:vAlign w:val="bottom"/>
          </w:tcPr>
          <w:p>
            <w:pPr>
              <w:ind w:left="20"/>
              <w:spacing w:after="0"/>
              <w:rPr>
                <w:sz w:val="20"/>
                <w:szCs w:val="20"/>
                <w:color w:val="auto"/>
              </w:rPr>
            </w:pPr>
            <w:r>
              <w:rPr>
                <w:rFonts w:ascii="Arial" w:cs="Arial" w:eastAsia="Arial" w:hAnsi="Arial"/>
                <w:sz w:val="14"/>
                <w:szCs w:val="14"/>
                <w:color w:val="auto"/>
              </w:rPr>
              <w:t>Elkhart, IN</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Gorey, Ireland</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Kingston, Jamaica (F)</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Rio Verde, Brazil</w:t>
            </w: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Nakhon Pathom, Thailand (F)</w:t>
            </w:r>
          </w:p>
        </w:tc>
        <w:tc>
          <w:tcPr>
            <w:tcW w:w="1460" w:type="dxa"/>
            <w:vAlign w:val="bottom"/>
          </w:tcPr>
          <w:p>
            <w:pPr>
              <w:ind w:left="20"/>
              <w:spacing w:after="0"/>
              <w:rPr>
                <w:sz w:val="20"/>
                <w:szCs w:val="20"/>
                <w:color w:val="auto"/>
              </w:rPr>
            </w:pPr>
            <w:r>
              <w:rPr>
                <w:rFonts w:ascii="Arial" w:cs="Arial" w:eastAsia="Arial" w:hAnsi="Arial"/>
                <w:sz w:val="14"/>
                <w:szCs w:val="14"/>
                <w:color w:val="auto"/>
              </w:rPr>
              <w:t>Gary, IN</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Kilkenny, Ireland</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La Villa, Mexico (F)</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Calgary, Canada</w:t>
            </w: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Nong Khae, Thailand (2)</w:t>
            </w:r>
          </w:p>
        </w:tc>
        <w:tc>
          <w:tcPr>
            <w:tcW w:w="1460" w:type="dxa"/>
            <w:vAlign w:val="bottom"/>
          </w:tcPr>
          <w:p>
            <w:pPr>
              <w:ind w:left="20"/>
              <w:spacing w:after="0"/>
              <w:rPr>
                <w:sz w:val="20"/>
                <w:szCs w:val="20"/>
                <w:color w:val="auto"/>
              </w:rPr>
            </w:pPr>
            <w:r>
              <w:rPr>
                <w:rFonts w:ascii="Arial" w:cs="Arial" w:eastAsia="Arial" w:hAnsi="Arial"/>
                <w:sz w:val="14"/>
                <w:szCs w:val="14"/>
                <w:color w:val="auto"/>
              </w:rPr>
              <w:t>Florence, KY</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Nairobi, Kenya</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Barbados, West Indies (F)</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Ontario, Canada</w:t>
            </w: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Samrong, Thailand (F)</w:t>
            </w:r>
          </w:p>
        </w:tc>
        <w:tc>
          <w:tcPr>
            <w:tcW w:w="1460" w:type="dxa"/>
            <w:vAlign w:val="bottom"/>
          </w:tcPr>
          <w:p>
            <w:pPr>
              <w:ind w:left="20"/>
              <w:spacing w:after="0"/>
              <w:rPr>
                <w:sz w:val="20"/>
                <w:szCs w:val="20"/>
                <w:color w:val="auto"/>
              </w:rPr>
            </w:pPr>
            <w:r>
              <w:rPr>
                <w:rFonts w:ascii="Arial" w:cs="Arial" w:eastAsia="Arial" w:hAnsi="Arial"/>
                <w:sz w:val="14"/>
                <w:szCs w:val="14"/>
                <w:color w:val="auto"/>
              </w:rPr>
              <w:t>Monroe, LA</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Heerlen, Netherlands</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Shipley, U.K. (T), (3)</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Santafe de Bogota,</w:t>
            </w: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Songkhla, Thailand (F)</w:t>
            </w:r>
          </w:p>
        </w:tc>
        <w:tc>
          <w:tcPr>
            <w:tcW w:w="1460" w:type="dxa"/>
            <w:vAlign w:val="bottom"/>
          </w:tcPr>
          <w:p>
            <w:pPr>
              <w:ind w:left="20"/>
              <w:spacing w:after="0"/>
              <w:rPr>
                <w:sz w:val="20"/>
                <w:szCs w:val="20"/>
                <w:color w:val="auto"/>
              </w:rPr>
            </w:pPr>
            <w:r>
              <w:rPr>
                <w:rFonts w:ascii="Arial" w:cs="Arial" w:eastAsia="Arial" w:hAnsi="Arial"/>
                <w:sz w:val="14"/>
                <w:szCs w:val="14"/>
                <w:color w:val="auto"/>
              </w:rPr>
              <w:t>West Monroe, LA</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Nuenen, Netherlands</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Wortley, U.K.</w:t>
            </w: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Colombia</w:t>
            </w: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Danang, Vietnam</w:t>
            </w:r>
          </w:p>
        </w:tc>
        <w:tc>
          <w:tcPr>
            <w:tcW w:w="1460" w:type="dxa"/>
            <w:vAlign w:val="bottom"/>
          </w:tcPr>
          <w:p>
            <w:pPr>
              <w:ind w:left="20"/>
              <w:spacing w:after="0"/>
              <w:rPr>
                <w:sz w:val="20"/>
                <w:szCs w:val="20"/>
                <w:color w:val="auto"/>
              </w:rPr>
            </w:pPr>
            <w:r>
              <w:rPr>
                <w:rFonts w:ascii="Arial" w:cs="Arial" w:eastAsia="Arial" w:hAnsi="Arial"/>
                <w:sz w:val="14"/>
                <w:szCs w:val="14"/>
                <w:color w:val="auto"/>
              </w:rPr>
              <w:t>Brighton, MI</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Zwijndrecht, Netherlands</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Acayucan, Mexico</w:t>
            </w: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Dong Nai, Vietnam (2)</w:t>
            </w:r>
          </w:p>
        </w:tc>
        <w:tc>
          <w:tcPr>
            <w:tcW w:w="1460" w:type="dxa"/>
            <w:vAlign w:val="bottom"/>
          </w:tcPr>
          <w:p>
            <w:pPr>
              <w:ind w:left="20"/>
              <w:spacing w:after="0"/>
              <w:rPr>
                <w:sz w:val="20"/>
                <w:szCs w:val="20"/>
                <w:color w:val="auto"/>
              </w:rPr>
            </w:pPr>
            <w:r>
              <w:rPr>
                <w:rFonts w:ascii="Arial" w:cs="Arial" w:eastAsia="Arial" w:hAnsi="Arial"/>
                <w:sz w:val="14"/>
                <w:szCs w:val="14"/>
                <w:color w:val="auto"/>
              </w:rPr>
              <w:t>Eden, NC</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Kosice, Slovakia</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Chihuahua, Mexico</w:t>
            </w: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Dong Nai, Vietnam (S)</w:t>
            </w:r>
          </w:p>
        </w:tc>
        <w:tc>
          <w:tcPr>
            <w:tcW w:w="1460" w:type="dxa"/>
            <w:vAlign w:val="bottom"/>
          </w:tcPr>
          <w:p>
            <w:pPr>
              <w:ind w:left="20"/>
              <w:spacing w:after="0"/>
              <w:rPr>
                <w:sz w:val="20"/>
                <w:szCs w:val="20"/>
                <w:color w:val="auto"/>
              </w:rPr>
            </w:pPr>
            <w:r>
              <w:rPr>
                <w:rFonts w:ascii="Arial" w:cs="Arial" w:eastAsia="Arial" w:hAnsi="Arial"/>
                <w:sz w:val="14"/>
                <w:szCs w:val="14"/>
                <w:color w:val="auto"/>
              </w:rPr>
              <w:t>Salisbury, NC</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Burseryd, Sweden</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Ensenada, Mexico</w:t>
            </w: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Hanoi, Vietnam</w:t>
            </w:r>
          </w:p>
        </w:tc>
        <w:tc>
          <w:tcPr>
            <w:tcW w:w="1460" w:type="dxa"/>
            <w:vAlign w:val="bottom"/>
          </w:tcPr>
          <w:p>
            <w:pPr>
              <w:ind w:left="20"/>
              <w:spacing w:after="0"/>
              <w:rPr>
                <w:sz w:val="20"/>
                <w:szCs w:val="20"/>
                <w:color w:val="auto"/>
              </w:rPr>
            </w:pPr>
            <w:r>
              <w:rPr>
                <w:rFonts w:ascii="Arial" w:cs="Arial" w:eastAsia="Arial" w:hAnsi="Arial"/>
                <w:sz w:val="14"/>
                <w:szCs w:val="14"/>
                <w:color w:val="auto"/>
              </w:rPr>
              <w:t>Irvington, NJ</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Hjo, Sweden</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Guadalajara, Mexico</w:t>
            </w: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Ho Chi Minh City, Vietnam</w:t>
            </w:r>
          </w:p>
        </w:tc>
        <w:tc>
          <w:tcPr>
            <w:tcW w:w="1460" w:type="dxa"/>
            <w:vAlign w:val="bottom"/>
          </w:tcPr>
          <w:p>
            <w:pPr>
              <w:ind w:left="20"/>
              <w:spacing w:after="0"/>
              <w:rPr>
                <w:sz w:val="20"/>
                <w:szCs w:val="20"/>
                <w:color w:val="auto"/>
              </w:rPr>
            </w:pPr>
            <w:r>
              <w:rPr>
                <w:rFonts w:ascii="Arial" w:cs="Arial" w:eastAsia="Arial" w:hAnsi="Arial"/>
                <w:sz w:val="14"/>
                <w:szCs w:val="14"/>
                <w:color w:val="auto"/>
              </w:rPr>
              <w:t>Cleveland, OH</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Sandared, Sweden</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Monterrey, Mexico (2)</w:t>
            </w: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Vung Tau, Vietnam</w:t>
            </w:r>
          </w:p>
        </w:tc>
        <w:tc>
          <w:tcPr>
            <w:tcW w:w="1460" w:type="dxa"/>
            <w:vAlign w:val="bottom"/>
          </w:tcPr>
          <w:p>
            <w:pPr>
              <w:ind w:left="20"/>
              <w:spacing w:after="0"/>
              <w:rPr>
                <w:sz w:val="20"/>
                <w:szCs w:val="20"/>
                <w:color w:val="auto"/>
              </w:rPr>
            </w:pPr>
            <w:r>
              <w:rPr>
                <w:rFonts w:ascii="Arial" w:cs="Arial" w:eastAsia="Arial" w:hAnsi="Arial"/>
                <w:sz w:val="14"/>
                <w:szCs w:val="14"/>
                <w:color w:val="auto"/>
              </w:rPr>
              <w:t>Loveland, OH</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Ystad, Sweden</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Orizaba, Mexico</w:t>
            </w: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West Chester, OH</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Dietikon, Switzerland (2)</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Toluca, Mexico</w:t>
            </w: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Elizabethtown, PA</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Merenschwand, Switzerland</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Hazleton, PA</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Izmir, Turkey</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South Canaan, PA</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Kingswinford, U.K.</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Imperial, PA</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Derrimut, Australia</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East Providence, RI</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Kurri Kurri, Australia</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Darlington, SC</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Qingdao, China</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Greer, SC</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Bangalore, India (3)</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Latta, SC</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Dahej, India</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Orange, TX</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Karnataka, India</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San Antonio, TX</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Rudrapur, India</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Danville, VA</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Rudraram, India (2)</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Woodland, WA</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Silvassa, India (2)</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Cabreuva, Brazil</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Pohang, South Korea</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Ontario, Canada (2)</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Rayong, Thailand</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Amatlan de los Reyes,</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Sriracha, Thailand (2)</w:t>
            </w: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Mexico</w:t>
            </w:r>
          </w:p>
        </w:tc>
        <w:tc>
          <w:tcPr>
            <w:tcW w:w="216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Cienega de Flores,</w:t>
            </w:r>
          </w:p>
        </w:tc>
        <w:tc>
          <w:tcPr>
            <w:tcW w:w="216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Mexico</w:t>
            </w:r>
          </w:p>
        </w:tc>
        <w:tc>
          <w:tcPr>
            <w:tcW w:w="216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r>
      <w:tr>
        <w:trPr>
          <w:trHeight w:val="19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Toluca, Mexico</w:t>
            </w:r>
          </w:p>
        </w:tc>
        <w:tc>
          <w:tcPr>
            <w:tcW w:w="216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spacing w:after="0"/>
              <w:rPr>
                <w:sz w:val="16"/>
                <w:szCs w:val="16"/>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 properties above are beverage can facilities unless otherwise indicated by the following:</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Aerosol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 : Food and closure</w:t>
      </w:r>
    </w:p>
    <w:p>
      <w:pPr>
        <w:spacing w:after="0" w:line="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Promotional packaging</w:t>
      </w:r>
    </w:p>
    <w:p>
      <w:pPr>
        <w:spacing w:after="0" w:line="1" w:lineRule="exact"/>
        <w:rPr>
          <w:rFonts w:ascii="Arial" w:cs="Arial" w:eastAsia="Arial" w:hAnsi="Arial"/>
          <w:sz w:val="14"/>
          <w:szCs w:val="14"/>
          <w:b w:val="1"/>
          <w:bCs w:val="1"/>
          <w:color w:val="auto"/>
        </w:rPr>
      </w:pPr>
    </w:p>
    <w:p>
      <w:pPr>
        <w:ind w:left="180" w:hanging="172"/>
        <w:spacing w:after="0"/>
        <w:tabs>
          <w:tab w:leader="none" w:pos="18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Specialty packaging</w:t>
      </w:r>
    </w:p>
    <w:p>
      <w:pPr>
        <w:spacing w:after="0" w:line="1" w:lineRule="exact"/>
        <w:rPr>
          <w:rFonts w:ascii="Arial" w:cs="Arial" w:eastAsia="Arial" w:hAnsi="Arial"/>
          <w:sz w:val="14"/>
          <w:szCs w:val="14"/>
          <w:b w:val="1"/>
          <w:bCs w:val="1"/>
          <w:color w:val="auto"/>
        </w:rPr>
      </w:pPr>
    </w:p>
    <w:p>
      <w:pPr>
        <w:ind w:left="180" w:hanging="172"/>
        <w:spacing w:after="0"/>
        <w:tabs>
          <w:tab w:leader="none" w:pos="18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Tooling and equipment</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4" w:name="page25"/>
    <w:bookmarkEnd w:id="24"/>
    <w:p>
      <w:pPr>
        <w:jc w:val="center"/>
        <w:ind w:right="-7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auto"/>
        </w:rPr>
        <w:t>TEM 3.</w:t>
      </w:r>
      <w:r>
        <w:rPr>
          <w:sz w:val="20"/>
          <w:szCs w:val="20"/>
          <w:color w:val="auto"/>
        </w:rPr>
        <w:tab/>
      </w:r>
      <w:r>
        <w:rPr>
          <w:rFonts w:ascii="Arial" w:cs="Arial" w:eastAsia="Arial" w:hAnsi="Arial"/>
          <w:sz w:val="17"/>
          <w:szCs w:val="17"/>
          <w:u w:val="single" w:color="auto"/>
          <w:color w:val="auto"/>
        </w:rPr>
        <w:t>LEGAL PROCEEDINGS</w:t>
      </w:r>
    </w:p>
    <w:p>
      <w:pPr>
        <w:spacing w:after="0" w:line="347" w:lineRule="exact"/>
        <w:rPr>
          <w:sz w:val="20"/>
          <w:szCs w:val="20"/>
          <w:color w:val="auto"/>
        </w:rPr>
      </w:pPr>
    </w:p>
    <w:p>
      <w:pPr>
        <w:jc w:val="both"/>
        <w:ind w:left="80"/>
        <w:spacing w:after="0" w:line="279" w:lineRule="auto"/>
        <w:rPr>
          <w:sz w:val="20"/>
          <w:szCs w:val="20"/>
          <w:color w:val="auto"/>
        </w:rPr>
      </w:pPr>
      <w:r>
        <w:rPr>
          <w:rFonts w:ascii="Arial" w:cs="Arial" w:eastAsia="Arial" w:hAnsi="Arial"/>
          <w:sz w:val="17"/>
          <w:szCs w:val="17"/>
          <w:color w:val="auto"/>
        </w:rPr>
        <w:t>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 At December 31, 2021, the accrual for pending and future asbestos claims and related legal costs that are probable and estimable was $237 million.</w:t>
      </w:r>
    </w:p>
    <w:p>
      <w:pPr>
        <w:spacing w:after="0" w:line="198" w:lineRule="exact"/>
        <w:rPr>
          <w:sz w:val="20"/>
          <w:szCs w:val="20"/>
          <w:color w:val="auto"/>
        </w:rPr>
      </w:pPr>
    </w:p>
    <w:p>
      <w:pPr>
        <w:jc w:val="both"/>
        <w:ind w:left="80" w:right="20"/>
        <w:spacing w:after="0" w:line="277" w:lineRule="auto"/>
        <w:rPr>
          <w:sz w:val="20"/>
          <w:szCs w:val="20"/>
          <w:color w:val="auto"/>
        </w:rPr>
      </w:pPr>
      <w:r>
        <w:rPr>
          <w:rFonts w:ascii="Arial" w:cs="Arial" w:eastAsia="Arial" w:hAnsi="Arial"/>
          <w:sz w:val="18"/>
          <w:szCs w:val="18"/>
          <w:color w:val="auto"/>
        </w:rPr>
        <w:t>The Company has been identified by the Environmental Protection Agency as a potentially responsible party (along with others, in most cases) at a number of sites.</w:t>
      </w:r>
    </w:p>
    <w:p>
      <w:pPr>
        <w:spacing w:after="0" w:line="116" w:lineRule="exact"/>
        <w:rPr>
          <w:sz w:val="20"/>
          <w:szCs w:val="20"/>
          <w:color w:val="auto"/>
        </w:rPr>
      </w:pPr>
    </w:p>
    <w:p>
      <w:pPr>
        <w:jc w:val="both"/>
        <w:ind w:left="80"/>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Further information on these matters and other legal proceedings is presented within “Management’s Discussion and Analysis of Financial Condition and Results of Operations” under the captions “Provision for Asbestos” and “Environmental Matters,” within the risk factor titled "The Company is subject to litigation risks which could negatively impact its operations and net income" and under </w:t>
      </w:r>
      <w:hyperlink w:anchor="page67">
        <w:r>
          <w:rPr>
            <w:rFonts w:ascii="Arial" w:cs="Arial" w:eastAsia="Arial" w:hAnsi="Arial"/>
            <w:sz w:val="16"/>
            <w:szCs w:val="16"/>
            <w:u w:val="single" w:color="auto"/>
            <w:color w:val="0000FF"/>
          </w:rPr>
          <w:t>Note O</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69">
        <w:r>
          <w:rPr>
            <w:rFonts w:ascii="Arial" w:cs="Arial" w:eastAsia="Arial" w:hAnsi="Arial"/>
            <w:sz w:val="16"/>
            <w:szCs w:val="16"/>
            <w:u w:val="single" w:color="auto"/>
            <w:color w:val="0000FF"/>
          </w:rPr>
          <w:t>Note P</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w:t>
      </w:r>
    </w:p>
    <w:p>
      <w:pPr>
        <w:spacing w:after="0" w:line="378" w:lineRule="exact"/>
        <w:rPr>
          <w:sz w:val="20"/>
          <w:szCs w:val="20"/>
          <w:color w:val="auto"/>
        </w:rPr>
      </w:pPr>
    </w:p>
    <w:p>
      <w:pPr>
        <w:ind w:left="100"/>
        <w:spacing w:after="0"/>
        <w:tabs>
          <w:tab w:leader="none" w:pos="1400" w:val="left"/>
        </w:tabs>
        <w:rPr>
          <w:sz w:val="20"/>
          <w:szCs w:val="20"/>
          <w:color w:val="auto"/>
        </w:rPr>
      </w:pPr>
      <w:r>
        <w:rPr>
          <w:rFonts w:ascii="Arial" w:cs="Arial" w:eastAsia="Arial" w:hAnsi="Arial"/>
          <w:sz w:val="18"/>
          <w:szCs w:val="18"/>
          <w:u w:val="single" w:color="auto"/>
          <w:color w:val="auto"/>
        </w:rPr>
        <w:t>ITEM 4.</w:t>
      </w:r>
      <w:r>
        <w:rPr>
          <w:sz w:val="20"/>
          <w:szCs w:val="20"/>
          <w:color w:val="auto"/>
        </w:rPr>
        <w:tab/>
      </w:r>
      <w:r>
        <w:rPr>
          <w:rFonts w:ascii="Arial" w:cs="Arial" w:eastAsia="Arial" w:hAnsi="Arial"/>
          <w:sz w:val="17"/>
          <w:szCs w:val="17"/>
          <w:u w:val="single" w:color="auto"/>
          <w:color w:val="auto"/>
        </w:rPr>
        <w:t>MINE SAFETY DISCLOSURES</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INFORMATION ABOUT OUR EXECUTIVE OFFICERS</w:t>
      </w:r>
    </w:p>
    <w:p>
      <w:pPr>
        <w:spacing w:after="0" w:line="252" w:lineRule="exact"/>
        <w:rPr>
          <w:sz w:val="20"/>
          <w:szCs w:val="20"/>
          <w:color w:val="auto"/>
        </w:rPr>
      </w:pPr>
    </w:p>
    <w:p>
      <w:pPr>
        <w:jc w:val="both"/>
        <w:ind w:left="80" w:right="20"/>
        <w:spacing w:after="0" w:line="277" w:lineRule="auto"/>
        <w:rPr>
          <w:sz w:val="20"/>
          <w:szCs w:val="20"/>
          <w:color w:val="auto"/>
        </w:rPr>
      </w:pPr>
      <w:r>
        <w:rPr>
          <w:rFonts w:ascii="Arial" w:cs="Arial" w:eastAsia="Arial" w:hAnsi="Arial"/>
          <w:sz w:val="18"/>
          <w:szCs w:val="18"/>
          <w:color w:val="auto"/>
        </w:rPr>
        <w:t>Information concerning the principal executive officers of the Company, including their ages and positions, is set forth in “Directors, Executive Officers and Corporate Governance” of this Annual Report.</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54" w:lineRule="exact"/>
        <w:rPr>
          <w:sz w:val="20"/>
          <w:szCs w:val="20"/>
          <w:color w:val="auto"/>
        </w:rPr>
      </w:pPr>
    </w:p>
    <w:p>
      <w:pPr>
        <w:ind w:left="1420" w:right="80" w:hanging="1322"/>
        <w:spacing w:after="0" w:line="235" w:lineRule="auto"/>
        <w:tabs>
          <w:tab w:leader="none" w:pos="1400" w:val="left"/>
        </w:tabs>
        <w:rPr>
          <w:sz w:val="20"/>
          <w:szCs w:val="20"/>
          <w:color w:val="auto"/>
        </w:rPr>
      </w:pPr>
      <w:r>
        <w:rPr>
          <w:rFonts w:ascii="Arial" w:cs="Arial" w:eastAsia="Arial" w:hAnsi="Arial"/>
          <w:sz w:val="18"/>
          <w:szCs w:val="18"/>
          <w:u w:val="single" w:color="auto"/>
          <w:color w:val="auto"/>
        </w:rPr>
        <w:t>ITEM 5.</w:t>
      </w:r>
      <w:r>
        <w:rPr>
          <w:sz w:val="20"/>
          <w:szCs w:val="20"/>
          <w:color w:val="auto"/>
        </w:rPr>
        <w:tab/>
      </w:r>
      <w:r>
        <w:rPr>
          <w:rFonts w:ascii="Arial" w:cs="Arial" w:eastAsia="Arial" w:hAnsi="Arial"/>
          <w:sz w:val="18"/>
          <w:szCs w:val="18"/>
          <w:u w:val="single" w:color="auto"/>
          <w:color w:val="auto"/>
        </w:rPr>
        <w:t>MARKET FOR REGISTRANT’S COMMON EQUITY, RELATED STOCKHOLDER MATTERS AND ISSUER PURCHASES OF EQUITY SECURITIES</w:t>
      </w:r>
    </w:p>
    <w:p>
      <w:pPr>
        <w:spacing w:after="0" w:line="324" w:lineRule="exact"/>
        <w:rPr>
          <w:sz w:val="20"/>
          <w:szCs w:val="20"/>
          <w:color w:val="auto"/>
        </w:rPr>
      </w:pPr>
    </w:p>
    <w:p>
      <w:pPr>
        <w:jc w:val="both"/>
        <w:ind w:left="80"/>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The Registrant’s common stock is listed on the New York Stock Exchange under ticker symbol CCK. On February 25, 2022 there were 3,614 registered shareholders of the Registrant’s common stock, including 1,430 participants in the Company’s Employee Stock Purchase Plan. The foregoing information regarding the number of registered shareholders of common stock does not include persons holding stock through clearinghouse systems. Details regarding the Company’s policy as to payment of cash dividends and repurchase of shares are set forth under </w:t>
      </w:r>
      <w:hyperlink w:anchor="page81">
        <w:r>
          <w:rPr>
            <w:rFonts w:ascii="Arial" w:cs="Arial" w:eastAsia="Arial" w:hAnsi="Arial"/>
            <w:sz w:val="16"/>
            <w:szCs w:val="16"/>
            <w:u w:val="single" w:color="auto"/>
            <w:color w:val="0000FF"/>
          </w:rPr>
          <w:t>Note 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 included in this Annual Report. Information with respect to shares of common stock that may be issued under the Company’s equity compensation plans is set forth in “Security Ownership of Certain Beneficial Owners and Management and Related Stockholder Matters,” of this Annual Report.</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Issuer Purchases of Equity Securities</w:t>
      </w:r>
    </w:p>
    <w:p>
      <w:pPr>
        <w:spacing w:after="0" w:line="252" w:lineRule="exact"/>
        <w:rPr>
          <w:sz w:val="20"/>
          <w:szCs w:val="20"/>
          <w:color w:val="auto"/>
        </w:rPr>
      </w:pPr>
    </w:p>
    <w:p>
      <w:pPr>
        <w:jc w:val="both"/>
        <w:ind w:left="80"/>
        <w:spacing w:after="0" w:line="273" w:lineRule="auto"/>
        <w:rPr>
          <w:sz w:val="20"/>
          <w:szCs w:val="20"/>
          <w:color w:val="auto"/>
        </w:rPr>
      </w:pPr>
      <w:r>
        <w:rPr>
          <w:rFonts w:ascii="Arial" w:cs="Arial" w:eastAsia="Arial" w:hAnsi="Arial"/>
          <w:sz w:val="18"/>
          <w:szCs w:val="18"/>
          <w:color w:val="auto"/>
        </w:rPr>
        <w:t>The following table provides information about the Company's purchases of equity securities during the three months ended December 31, 2021. The table excludes 204,680 of the Company's shares surrendered to cover taxes on the vesting of restricted stock.</w:t>
      </w:r>
    </w:p>
    <w:tbl>
      <w:tblPr>
        <w:tblLayout w:type="fixed"/>
        <w:tblInd w:w="80" w:type="dxa"/>
        <w:tblCellMar>
          <w:top w:w="0" w:type="dxa"/>
          <w:left w:w="0" w:type="dxa"/>
          <w:bottom w:w="0" w:type="dxa"/>
          <w:right w:w="0" w:type="dxa"/>
        </w:tblCellMar>
      </w:tblPr>
      <w:tr>
        <w:trPr>
          <w:trHeight w:val="178"/>
        </w:trPr>
        <w:tc>
          <w:tcPr>
            <w:tcW w:w="1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88"/>
              </w:rPr>
              <w:t>Total number of shares</w:t>
            </w:r>
          </w:p>
        </w:tc>
        <w:tc>
          <w:tcPr>
            <w:tcW w:w="240" w:type="dxa"/>
            <w:vAlign w:val="bottom"/>
          </w:tcPr>
          <w:p>
            <w:pPr>
              <w:spacing w:after="0"/>
              <w:rPr>
                <w:sz w:val="15"/>
                <w:szCs w:val="15"/>
                <w:color w:val="auto"/>
              </w:rPr>
            </w:pPr>
          </w:p>
        </w:tc>
        <w:tc>
          <w:tcPr>
            <w:tcW w:w="3320" w:type="dxa"/>
            <w:vAlign w:val="bottom"/>
            <w:gridSpan w:val="2"/>
          </w:tcPr>
          <w:p>
            <w:pPr>
              <w:jc w:val="center"/>
              <w:spacing w:after="0" w:line="178" w:lineRule="exact"/>
              <w:rPr>
                <w:sz w:val="20"/>
                <w:szCs w:val="20"/>
                <w:color w:val="auto"/>
              </w:rPr>
            </w:pPr>
            <w:r>
              <w:rPr>
                <w:rFonts w:ascii="Arial" w:cs="Arial" w:eastAsia="Arial" w:hAnsi="Arial"/>
                <w:sz w:val="18"/>
                <w:szCs w:val="18"/>
                <w:color w:val="auto"/>
                <w:w w:val="91"/>
              </w:rPr>
              <w:t>Approximate dollar value of shares that may</w:t>
            </w:r>
          </w:p>
        </w:tc>
        <w:tc>
          <w:tcPr>
            <w:tcW w:w="0" w:type="dxa"/>
            <w:vAlign w:val="bottom"/>
          </w:tcPr>
          <w:p>
            <w:pPr>
              <w:spacing w:after="0"/>
              <w:rPr>
                <w:sz w:val="1"/>
                <w:szCs w:val="1"/>
                <w:color w:val="auto"/>
              </w:rPr>
            </w:pPr>
          </w:p>
        </w:tc>
      </w:tr>
      <w:tr>
        <w:trPr>
          <w:trHeight w:val="175"/>
        </w:trPr>
        <w:tc>
          <w:tcPr>
            <w:tcW w:w="1660" w:type="dxa"/>
            <w:vAlign w:val="bottom"/>
          </w:tcPr>
          <w:p>
            <w:pPr>
              <w:spacing w:after="0"/>
              <w:rPr>
                <w:sz w:val="15"/>
                <w:szCs w:val="15"/>
                <w:color w:val="auto"/>
              </w:rPr>
            </w:pP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color w:val="auto"/>
                <w:w w:val="98"/>
              </w:rPr>
              <w:t>Total number of</w:t>
            </w:r>
          </w:p>
        </w:tc>
        <w:tc>
          <w:tcPr>
            <w:tcW w:w="24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8"/>
                <w:szCs w:val="18"/>
                <w:color w:val="auto"/>
              </w:rPr>
              <w:t>Average price</w:t>
            </w:r>
          </w:p>
        </w:tc>
        <w:tc>
          <w:tcPr>
            <w:tcW w:w="2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88"/>
              </w:rPr>
              <w:t>yet be purchased under the programs</w:t>
            </w:r>
          </w:p>
        </w:tc>
        <w:tc>
          <w:tcPr>
            <w:tcW w:w="0" w:type="dxa"/>
            <w:vAlign w:val="bottom"/>
          </w:tcPr>
          <w:p>
            <w:pPr>
              <w:spacing w:after="0"/>
              <w:rPr>
                <w:sz w:val="1"/>
                <w:szCs w:val="1"/>
                <w:color w:val="auto"/>
              </w:rPr>
            </w:pPr>
          </w:p>
        </w:tc>
      </w:tr>
      <w:tr>
        <w:trPr>
          <w:trHeight w:val="176"/>
        </w:trPr>
        <w:tc>
          <w:tcPr>
            <w:tcW w:w="16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120" w:type="dxa"/>
            <w:vAlign w:val="bottom"/>
          </w:tcPr>
          <w:p>
            <w:pPr>
              <w:jc w:val="center"/>
              <w:spacing w:after="0" w:line="176" w:lineRule="exact"/>
              <w:rPr>
                <w:sz w:val="20"/>
                <w:szCs w:val="20"/>
                <w:color w:val="auto"/>
              </w:rPr>
            </w:pPr>
            <w:r>
              <w:rPr>
                <w:rFonts w:ascii="Arial" w:cs="Arial" w:eastAsia="Arial" w:hAnsi="Arial"/>
                <w:sz w:val="18"/>
                <w:szCs w:val="18"/>
                <w:color w:val="auto"/>
                <w:w w:val="90"/>
              </w:rPr>
              <w:t>purchased as part of publicly</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jc w:val="right"/>
              <w:ind w:right="650"/>
              <w:spacing w:after="0" w:line="176" w:lineRule="exact"/>
              <w:rPr>
                <w:sz w:val="20"/>
                <w:szCs w:val="20"/>
                <w:color w:val="auto"/>
              </w:rPr>
            </w:pPr>
            <w:r>
              <w:rPr>
                <w:rFonts w:ascii="Arial" w:cs="Arial" w:eastAsia="Arial" w:hAnsi="Arial"/>
                <w:sz w:val="18"/>
                <w:szCs w:val="18"/>
                <w:color w:val="auto"/>
              </w:rPr>
              <w:t>as of the end of the period</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w w:val="89"/>
              </w:rPr>
              <w:t>shares purchased</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per share</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announced programs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00" w:type="dxa"/>
            <w:vAlign w:val="bottom"/>
          </w:tcPr>
          <w:p>
            <w:pPr>
              <w:jc w:val="center"/>
              <w:ind w:right="130"/>
              <w:spacing w:after="0"/>
              <w:rPr>
                <w:sz w:val="20"/>
                <w:szCs w:val="20"/>
                <w:color w:val="auto"/>
              </w:rPr>
            </w:pPr>
            <w:r>
              <w:rPr>
                <w:rFonts w:ascii="Arial" w:cs="Arial" w:eastAsia="Arial" w:hAnsi="Arial"/>
                <w:sz w:val="18"/>
                <w:szCs w:val="18"/>
                <w:color w:val="auto"/>
                <w:w w:val="95"/>
              </w:rPr>
              <w:t>(millions of dollars)</w:t>
            </w:r>
          </w:p>
        </w:tc>
        <w:tc>
          <w:tcPr>
            <w:tcW w:w="0" w:type="dxa"/>
            <w:vAlign w:val="bottom"/>
          </w:tcPr>
          <w:p>
            <w:pPr>
              <w:spacing w:after="0"/>
              <w:rPr>
                <w:sz w:val="1"/>
                <w:szCs w:val="1"/>
                <w:color w:val="auto"/>
              </w:rPr>
            </w:pPr>
          </w:p>
        </w:tc>
      </w:tr>
      <w:tr>
        <w:trPr>
          <w:trHeight w:val="223"/>
        </w:trPr>
        <w:tc>
          <w:tcPr>
            <w:tcW w:w="1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162,866</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24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162,866</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29"/>
        </w:trPr>
        <w:tc>
          <w:tcPr>
            <w:tcW w:w="1660" w:type="dxa"/>
            <w:vAlign w:val="bottom"/>
          </w:tcPr>
          <w:p>
            <w:pPr>
              <w:ind w:left="20"/>
              <w:spacing w:after="0"/>
              <w:rPr>
                <w:sz w:val="20"/>
                <w:szCs w:val="20"/>
                <w:color w:val="auto"/>
              </w:rPr>
            </w:pPr>
            <w:r>
              <w:rPr>
                <w:rFonts w:ascii="Arial" w:cs="Arial" w:eastAsia="Arial" w:hAnsi="Arial"/>
                <w:sz w:val="18"/>
                <w:szCs w:val="18"/>
                <w:color w:val="auto"/>
              </w:rPr>
              <w:t>November</w:t>
            </w:r>
          </w:p>
        </w:tc>
        <w:tc>
          <w:tcPr>
            <w:tcW w:w="1380" w:type="dxa"/>
            <w:vAlign w:val="bottom"/>
          </w:tcPr>
          <w:p>
            <w:pPr>
              <w:jc w:val="right"/>
              <w:spacing w:after="0"/>
              <w:rPr>
                <w:sz w:val="20"/>
                <w:szCs w:val="20"/>
                <w:color w:val="auto"/>
              </w:rPr>
            </w:pPr>
            <w:r>
              <w:rPr>
                <w:rFonts w:ascii="Arial" w:cs="Arial" w:eastAsia="Arial" w:hAnsi="Arial"/>
                <w:sz w:val="18"/>
                <w:szCs w:val="18"/>
                <w:color w:val="auto"/>
              </w:rPr>
              <w:t>1,488,717</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108.81</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1,488,717</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310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December</w:t>
            </w:r>
            <w:r>
              <w:rPr>
                <w:rFonts w:ascii="Arial" w:cs="Arial" w:eastAsia="Arial" w:hAnsi="Arial"/>
                <w:sz w:val="23"/>
                <w:szCs w:val="23"/>
                <w:color w:val="auto"/>
                <w:vertAlign w:val="superscript"/>
              </w:rPr>
              <w:t>(1)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240,996</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w:t>
            </w:r>
          </w:p>
        </w:tc>
        <w:tc>
          <w:tcPr>
            <w:tcW w:w="240" w:type="dxa"/>
            <w:vAlign w:val="bottom"/>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240,996</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4"/>
        </w:trPr>
        <w:tc>
          <w:tcPr>
            <w:tcW w:w="16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1,892,579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1,892,579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left="80" w:firstLine="8"/>
        <w:spacing w:after="0" w:line="263" w:lineRule="auto"/>
        <w:tabs>
          <w:tab w:leader="none" w:pos="3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December 2021, the Company's Board of Directors authorized the repurchase of an aggregate amount of $3.0 billion of Company common stock through the end of 2024. The new authorization supersedes the previous authorization announced in February 2021, which authorized the repurchase of an aggregate amount of $1.5 billion of Company common stock through the</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end of 2023. Share repurchases under the Company's program may be made in the open market or through privately negotiated transactions, and at times and in such amounts as management deems appropriate.</w:t>
      </w:r>
    </w:p>
    <w:p>
      <w:pPr>
        <w:spacing w:after="0" w:line="19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6.</w:t>
      </w:r>
      <w:r>
        <w:rPr>
          <w:sz w:val="20"/>
          <w:szCs w:val="20"/>
          <w:color w:val="auto"/>
        </w:rPr>
        <w:tab/>
      </w:r>
      <w:r>
        <w:rPr>
          <w:rFonts w:ascii="Arial" w:cs="Arial" w:eastAsia="Arial" w:hAnsi="Arial"/>
          <w:sz w:val="17"/>
          <w:szCs w:val="17"/>
          <w:color w:val="auto"/>
        </w:rPr>
        <w:t>[RESERVED]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COMPARATIVE STOCK PERFORMANCE </w:t>
      </w:r>
      <w:r>
        <w:rPr>
          <w:rFonts w:ascii="Arial" w:cs="Arial" w:eastAsia="Arial" w:hAnsi="Arial"/>
          <w:sz w:val="18"/>
          <w:szCs w:val="18"/>
          <w:color w:val="auto"/>
        </w:rPr>
        <w: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Comparison of Five-Year Cumulative Total Return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Holdings, S&amp;P 500 Index, Dow Jones U.S. Containers &amp; Packaging Index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160020</wp:posOffset>
            </wp:positionV>
            <wp:extent cx="5863590" cy="30175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99"/>
              </w:rPr>
              <w:t>2017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2021</w:t>
            </w:r>
          </w:p>
        </w:tc>
      </w:tr>
      <w:tr>
        <w:trPr>
          <w:trHeight w:val="223"/>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Crown Holdings</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S&amp;P 500 Index</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 Jones U.S. Containers &amp; Packaging Index</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bl>
    <w:p>
      <w:pPr>
        <w:spacing w:after="0" w:line="200" w:lineRule="exact"/>
        <w:rPr>
          <w:sz w:val="20"/>
          <w:szCs w:val="20"/>
          <w:color w:val="auto"/>
        </w:rPr>
      </w:pPr>
    </w:p>
    <w:p>
      <w:pPr>
        <w:spacing w:after="0" w:line="357" w:lineRule="exact"/>
        <w:rPr>
          <w:sz w:val="20"/>
          <w:szCs w:val="20"/>
          <w:color w:val="auto"/>
        </w:rPr>
      </w:pPr>
    </w:p>
    <w:p>
      <w:pPr>
        <w:jc w:val="both"/>
        <w:ind w:left="580" w:hanging="329"/>
        <w:spacing w:after="0" w:line="261" w:lineRule="auto"/>
        <w:tabs>
          <w:tab w:leader="none" w:pos="57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preceding Comparative Stock Performance Graph is not deemed filed with the SEC and shall not be incorporated by reference in any of the Company's filings under the Security Act of 1933 or the Securities Exchange Act of 1934, whether made before or after the date hereof and irrespective of any general incorporation language in any such filing.</w:t>
      </w:r>
    </w:p>
    <w:p>
      <w:pPr>
        <w:spacing w:after="0" w:line="209" w:lineRule="exact"/>
        <w:rPr>
          <w:rFonts w:ascii="Arial" w:cs="Arial" w:eastAsia="Arial" w:hAnsi="Arial"/>
          <w:sz w:val="16"/>
          <w:szCs w:val="16"/>
          <w:color w:val="auto"/>
        </w:rPr>
      </w:pPr>
    </w:p>
    <w:p>
      <w:pPr>
        <w:ind w:left="580" w:hanging="329"/>
        <w:spacing w:after="0"/>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Assumes that the value of the investment in Crown Holdings common stock and each index was $100 on December 31, 2016 and that all dividends were reinvested.</w:t>
      </w:r>
    </w:p>
    <w:p>
      <w:pPr>
        <w:spacing w:after="0" w:line="271" w:lineRule="exact"/>
        <w:rPr>
          <w:rFonts w:ascii="Arial" w:cs="Arial" w:eastAsia="Arial" w:hAnsi="Arial"/>
          <w:sz w:val="14"/>
          <w:szCs w:val="14"/>
          <w:color w:val="auto"/>
        </w:rPr>
      </w:pPr>
    </w:p>
    <w:p>
      <w:pPr>
        <w:ind w:left="580" w:hanging="329"/>
        <w:spacing w:after="0" w:line="275" w:lineRule="auto"/>
        <w:tabs>
          <w:tab w:leader="none" w:pos="4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Industry index is weighted by market capitalization and, as of December 31, 2021, was composed of Crown Holdings, Amcor, AptarGroup, Avery Dennison, Ball, Berry Global, Graphic Packaging, International Paper, Packaging Corp. of America, Sealed Air, Silgan, Sonoco and WestRock.</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center"/>
        <w:ind w:right="1540"/>
        <w:spacing w:after="0" w:line="308" w:lineRule="auto"/>
        <w:rPr>
          <w:sz w:val="20"/>
          <w:szCs w:val="20"/>
          <w:color w:val="auto"/>
        </w:rPr>
      </w:pPr>
      <w:r>
        <w:rPr>
          <w:rFonts w:ascii="Arial" w:cs="Arial" w:eastAsia="Arial" w:hAnsi="Arial"/>
          <w:sz w:val="17"/>
          <w:szCs w:val="17"/>
          <w:u w:val="single" w:color="auto"/>
          <w:color w:val="auto"/>
        </w:rPr>
        <w:t xml:space="preserve">ITEM 7.  MANAGEMENT'S DISCUSSION AND ANALYSIS OF FINANCIAL CONDITION AND RESULTS OF OPERATIONS </w:t>
      </w:r>
      <w:r>
        <w:rPr>
          <w:rFonts w:ascii="Arial" w:cs="Arial" w:eastAsia="Arial" w:hAnsi="Arial"/>
          <w:sz w:val="17"/>
          <w:szCs w:val="17"/>
          <w:color w:val="auto"/>
        </w:rPr>
        <w:t>(in millions, except per share, average settlement cost per asbestos claim, employee, shareholder and statistical data)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INTRODUCTION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summarizes the significant factors affecting the results of operations and financial condition of Crown Holdings, Inc. (the "Company") as of and during the three-year period ended December 31, 2021. This discussion should be read in conjunction with the consolidated financial statements included in this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STRATEGY AND TRENDS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strategy is to deploy capital into its global beverage can operations to expand production capacity to support growing customer demand in alcoholic and non-alcoholic drink categories. Beverage cans are the world’s most sustainable and recycled beverage packaging and continue to gain market share in new beverage product launches. The Company continues to drive brand differentiation by increasing its ability to offer multiple product sizes.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several years, global industry demand for beverage cans has been growing. In North America, beverage can growth has accelerated in recent years mainly due to the outsized portion of new beverage products being introduced in cans versus other packaging formats. In addition, markets such as Brazil, Europe, Mexico and Southeast Asia have also experienced higher volumes and market expansion.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31, 2021, the Company completed the previously announced sale of its European Tinplate business to KPS Capital Partners, LP. The European Tinplate business comprised the Company's European Food reportable segment and its European Aerosol and Promotional Packaging reporting unit which was previously reported in Other. The Company received pre-tax proceeds of approximately €1.9 billion ($2.3 billion) from the transaction and received a 20% ownership stake in the business.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Proceeds from the sale of the European Tinplate business, along with cash provided by operating activities were used to support the Company's capital allocation strategy to reduce leverage, support beverage can expansion and return capital to shareholders in the form of dividends and the repurchase of Company shares. The Company reduced its leverage ratio and initiated a quarterly dividend in 2021. Additionally, in December 2021, the Board of Directors authorized the repurchase of $3.0 billion in Company common stock through the end of 2024.</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continues to actively elevate its industry-leading commitment to sustainability, which is a core value of the Company. In 2020, the Company debuted Twentyby30, a robust program that outlines twenty measurable environmental, social and governance goals to be completed by 2030 or sooner. In September 2021, the Company joined The Climate Pledge, a commitment to be net-zero carbon across business operations by 2040.</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response to the ongoing COVID-19 pandemic, the Company continues to maintain safety measures in its manufacturing facilities to protect its employees and the products they produce. The Company’s products are a vital part of the support system to its customers and consumers. In addition to manufacturing containers that provide protection for beverages and food, the Company also produces closures for baby food, aerosol containers for cleaning and sanitizing products and numerous other products that provide for the safe and secure transportation of goods.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working to keep its manufacturing facilities around the world operational and equipped with the resources required to meet continually evolving customer demand by delivering high quality products in a safe and timely manner. The Company is actively monitoring and managing supply chain challenges, including coordinating with its suppliers to identify and mitigate potential areas of risk and manage inventories.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RESULTS OF OPERATIONS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key measure used by the Company in assessing performance is segment income, a non-GAAP measure defined by the Company as income from operations adjusted to exclude intangibles amortization charges, Restructuring and Other and the impact of fair value adjustments to inventory acquired in an acquisition.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foreign currency translation impacts referred to in the discussion below were primarily due to changes in the Mexican peso in the Company's Americas Beverage segment, the euro and pound sterling in the Company's European Beverage segment, the Chinese renminbi and the Thai baht in the Company's Asia Pacific segment and the euro in the Company's Transit Packaging</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segment. The Company calculates the impact of foreign currency translation by multiplying or dividing, as appropriate, current year U.S. dollar results by the current year average foreign exchange rates and then multiplying or dividing, as appropriate, those amounts by the applicable prior year average exchange rates.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Arial" w:cs="Arial" w:eastAsia="Arial" w:hAnsi="Arial"/>
                <w:sz w:val="18"/>
                <w:szCs w:val="18"/>
                <w:color w:val="auto"/>
              </w:rPr>
              <w:t>NET SALES AND SEGMENT INCOME</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7"/>
        </w:trPr>
        <w:tc>
          <w:tcPr>
            <w:tcW w:w="3040" w:type="dxa"/>
            <w:vAlign w:val="bottom"/>
            <w:tcBorders>
              <w:top w:val="single" w:sz="8" w:color="auto"/>
              <w:bottom w:val="single" w:sz="8" w:color="CCEEFF"/>
            </w:tcBorders>
          </w:tcPr>
          <w:p>
            <w:pPr>
              <w:spacing w:after="0"/>
              <w:rPr>
                <w:sz w:val="24"/>
                <w:szCs w:val="24"/>
                <w:color w:val="auto"/>
              </w:rPr>
            </w:pPr>
          </w:p>
        </w:tc>
        <w:tc>
          <w:tcPr>
            <w:tcW w:w="414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r>
      <w:tr>
        <w:trPr>
          <w:trHeight w:val="223"/>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$11,394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$9,392</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$9,559</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2021 compared to 2020</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sales increased primarily due to 9% higher sales unit volumes in the Company's beverage can businesses, higher sales unit volumes in the transit packaging business and the pass-through of higher material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2020 compared to 2019</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sales decreased primarily due to the pass-through of lower raw material costs and $88 from the impact of foreign currency translation, partially offset by 4% higher global beverage can sales unit volumes.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Beverage</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Americas Beverage segment manufactures aluminum beverage cans and ends, steel crowns, glass bottles and aluminum closures and supplies a variety of customers from its operations in the U.S., Brazil, Canada, Colombia and Mexico. The U.S. and Canadian beverage can markets have experienced recent growth due to the introduction of new beverage products in cans versus other packaging formats. To meet volume requirements in these markets, the Company began commercial production on a third line at its Toronto, Ontario plant and on a third line at its Nichols, NY plant in 2020 and on a third line at its Olympia, Washington plant in 2021. The Company also announced construction of a new two-line plant in Martinsville, Virginia which is expected to commence operations late in 2022 and a new two-line plant in Mesquite, Nevada which is expected to commence operations in 2023.</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began commercial production at its new Bowling Green, Kentucky plant during 2021. In December 2021, the plant sustained tornado damage, resulting in curtailment of operations of the plant. The Company has property and business interruption insurance policies for weather related events. The Company expects to resume operations in March 2022.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Brazil and Mexico, the Company's sales unit volumes have increased in recent years primarily due to market growth driven by increased per capita incomes and consumption, combined with an increased preference for cans over other forms of beverage packaging. To meet volume requirements in these markets, the Company began commercial production on a second line at its Rio Verde, Brazil facility in 2021. The Company has also begun construction of a two-line facility in Uberaba, Brazil which is expected to begin production late in 2022. Additionally, start-up on a second line at the Company's Monterrey, Mexico facility is expected in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Net sales and segment income in the Americas Beverage segment were as follows: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6"/>
        </w:trPr>
        <w:tc>
          <w:tcPr>
            <w:tcW w:w="7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534</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2021 compared to 2020</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sales increased primarily due to the pass-through of higher aluminum costs, 8% higher sales unit volumes and $9 from the impact of favorable foreign currency translation.</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Segment income increased primarily due to higher sales unit volumes and improved pricing, partially offset by increased depreciation of $15 and start-up costs associated with recent capacity expansion.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2020 compared to 2019</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Net sales increased primarily due to 9% higher sales unit volumes, partially offset by $83 from the impact of unfavorable foreign currency translation.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Segment income increased primarily due to higher sales unit volumes, partially offset by $18 from the impact of unfavorable foreign currency translation.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Beverage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European Beverage segment manufactures aluminum beverage cans and ends and supplies a variety of customers from its operations throughout Europe, the Middle East and North Africa. In recent years, the European beverage can market has been growing. In 2020, two lines in the Seville, Spain plant began commercial production of aluminum cans.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Net sales and segment income in the European Beverage segment were as follows: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7"/>
        </w:trPr>
        <w:tc>
          <w:tcPr>
            <w:tcW w:w="69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2019</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2021 compared to 2020</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Net sales increased primarily due to 12% higher sales unit volumes, the pass-through of higher aluminum costs, and $57 from the impact of favorable foreign currency translation.</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Segment income increased primarily due to higher sales unit volumes and $5 from the impact of favorable foreign currency translation, partially offset by other operating costs that were not fully passed through in selling price.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2020 compared to 2019</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decreased primarily due to the pass-through of lower aluminum costs, partially offset by $16 related to the impact of favorable foreign currency translation.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Segment income increased primarily due to improved operational performance and cost savings.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 Pacific</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Asia Pacific segment consists of beverage can operations in Cambodia, China, Indonesia, Malaysia, Myanmar, Singapore, Thailand and Vietnam and non-beverage can operations, primarily food cans and specialty packaging. In recent years, the beverage can market in Southeast Asia has been growing. In 2020, however, industry volumes decreased due to the impact of the coronavirus pandemic. In 2021, industry volumes began to recover, however, from time to time the Company was subject to various lockdown and movement control orders in various countries. The Company began commercial production at a one-line beverage can plant in Nong Khae, Thailand in 2020, a new one-line beverage can plant in Vung Tau, Vietnam in 2020 and on a second line in the Hanoi, Vietnam beverage can plant in 2021. Additionally, the Company expects to commercialize production on a third beverage can line in Phnom Penh, Cambodia during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Net sales and segment income in the Asia Pacific segment were as follows: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7"/>
        </w:trPr>
        <w:tc>
          <w:tcPr>
            <w:tcW w:w="7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2021 compared to 2020</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sales increased due to 6% higher sales unit volumes, the pass-through of higher aluminum costs, and $13 from the impact of favorable foreign currency translation.</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Segment income increased primarily due to higher sales unit volumes, partially offset by higher operating costs that were not fully passed through in selling price.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2020 compared to 2019</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decreased primarily due to 4% lower beverage can sales unit volumes due to the impact of the coronavirus pandemic and the pass-through of lower aluminum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Segment income decreased due to lower beverage can sales unit volumes, partially offset by cost reduction initiatives.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 Packaging</w:t>
      </w:r>
    </w:p>
    <w:p>
      <w:pPr>
        <w:spacing w:after="0" w:line="24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Transit Packaging segment includes the Company's global industrial and protective solutions and equipment and tools businesses. Industrial and protective solutions includes steel strap, plastic strap and industrial film and other related products that are used in a wide range of industries, and transit protection products used for a wide range of industrial and consumer products. Equipment and tools includes manual, semi-automatic and automatic equipment and tools used in end-of-line operations to apply industrial solutions consumables.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Net sales and segment income in the Transit Packaging segment were as follows: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7"/>
        </w:trPr>
        <w:tc>
          <w:tcPr>
            <w:tcW w:w="7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2021 compared to 2020</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increased due to higher sales unit volumes, the pass-through of higher raw material prices and $36 from the impact of favorable foreign currency translation.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income increased primarily due higher unit volumes and $6 from the impact of favorable foreign currency translation, partially offset by higher operating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2020 compared to 2019</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decreased primarily due to lower sales unit volumes due to the impact of the coronavirus pandemic, the pass-through of lower raw material prices and $10 from the impact of unfavorable foreign currency translation.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Segment income decreased primarily due to lower sales unit volumes, partially offset by the impact of cost reduction initiatives.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includes the Company's food can, aerosol can and closures businesses in North America, and beverage tooling and equipment operations in the U.S. and U.K. In 2021, the Company commenced operations at a new food can plant in Dubuque, Iowa and on a new food can line in its Hanover, Pennsylvania plant. Additionally, the Company will add a third two-piece food can line to its Owatonna, Minnesota plant in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Net sales and segment income in Other were as follows: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6"/>
        </w:trPr>
        <w:tc>
          <w:tcPr>
            <w:tcW w:w="7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2021 compared to 2020</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sales increased primarily due to higher sales in the Company's beverage can equipment operations and the North America food can business, the pass-through of higher tinplate costs, and $12 from the impact of favorable foreign currency translation.</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Segment income increased primarily due to lower tinplate carryover costs in the Company's North America food can business as compared to the year-ended December 31, 2020 and higher sales in the Company's beverage can equipment operations and North America food can business.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2020 compared to 2019</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increased as higher sales in the Company's beverage can equipment operations and 9% higher sales unit volumes in the Company's North America food can business were partially offset by lower shipments in the Company's North America aerosol can business, the pass-through of lower tinplate costs and $8 from the impact of unfavorable foreign currency translation. The Company's North America food can business benefited from more at-home meal preparation during the coronavirus pandemic.</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Segment income decreased primarily due to $16 arising from the carryover of higher tinplate costs from the prior year-end inventory and lower shipments in the Company's North America aerosol can business, partially offset by higher sales in the Company's beverage can equipment operations and higher sales unit volumes in the Company's North America food can business.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Corporate and unallocated</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7"/>
        </w:trPr>
        <w:tc>
          <w:tcPr>
            <w:tcW w:w="7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unallocated costs increased from 2019 to 2020 and decreased from 2020 to 2021 primarily due to higher incentive compensation costs in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PENSION AND POSTRETIREMENT</w:t>
      </w:r>
    </w:p>
    <w:p>
      <w:pPr>
        <w:spacing w:after="0" w:line="252" w:lineRule="exact"/>
        <w:rPr>
          <w:sz w:val="20"/>
          <w:szCs w:val="20"/>
          <w:color w:val="auto"/>
        </w:rPr>
      </w:pPr>
    </w:p>
    <w:p>
      <w:pPr>
        <w:jc w:val="both"/>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Other pension and postretirement increased from $43 in 2020 to $1,515 in 2021 primarily related to the settlement of the Company's U.K. pension plan obligations. The Company entered into a transaction to irrevocably transfer its U.K. pension plan obligations to an insurer in 2021 to eliminate the cash flow and earnings risk associated with the plan. See </w:t>
      </w:r>
      <w:hyperlink w:anchor="page71">
        <w:r>
          <w:rPr>
            <w:rFonts w:ascii="Arial" w:cs="Arial" w:eastAsia="Arial" w:hAnsi="Arial"/>
            <w:sz w:val="16"/>
            <w:szCs w:val="16"/>
            <w:u w:val="single" w:color="auto"/>
            <w:color w:val="0000FF"/>
          </w:rPr>
          <w:t>Note R</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more information regarding the settlement of the U.K. pension plan obligation.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decreased from $290 in 2020 to $253 in 2021 primarily due to lower outstanding debt balances.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decreased from $367 in 2019 to $290 in 2020 primarily due to lower outstanding debt balances and lower interest rates.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TAXES ON INCOME</w:t>
            </w:r>
          </w:p>
        </w:tc>
        <w:tc>
          <w:tcPr>
            <w:tcW w:w="5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53"/>
        </w:trPr>
        <w:tc>
          <w:tcPr>
            <w:tcW w:w="6740" w:type="dxa"/>
            <w:vAlign w:val="bottom"/>
            <w:gridSpan w:val="2"/>
          </w:tcPr>
          <w:p>
            <w:pPr>
              <w:spacing w:after="0"/>
              <w:rPr>
                <w:sz w:val="20"/>
                <w:szCs w:val="20"/>
                <w:color w:val="auto"/>
              </w:rPr>
            </w:pPr>
            <w:r>
              <w:rPr>
                <w:rFonts w:ascii="Arial" w:cs="Arial" w:eastAsia="Arial" w:hAnsi="Arial"/>
                <w:sz w:val="18"/>
                <w:szCs w:val="18"/>
                <w:color w:val="auto"/>
              </w:rPr>
              <w:t>The Company's effective income tax rates were as follows: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1640" w:type="dxa"/>
            <w:vAlign w:val="bottom"/>
            <w:tcBorders>
              <w:bottom w:val="single" w:sz="8" w:color="CCEEFF"/>
            </w:tcBorders>
          </w:tcPr>
          <w:p>
            <w:pPr>
              <w:spacing w:after="0"/>
              <w:rPr>
                <w:sz w:val="22"/>
                <w:szCs w:val="22"/>
                <w:color w:val="auto"/>
              </w:rPr>
            </w:pPr>
          </w:p>
        </w:tc>
        <w:tc>
          <w:tcPr>
            <w:tcW w:w="5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r>
      <w:tr>
        <w:trPr>
          <w:trHeight w:val="22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631</w:t>
            </w: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19"/>
                <w:szCs w:val="19"/>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136</w:t>
            </w: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r>
    </w:tbl>
    <w:p>
      <w:pPr>
        <w:spacing w:after="0" w:line="310" w:lineRule="exact"/>
        <w:rPr>
          <w:sz w:val="20"/>
          <w:szCs w:val="20"/>
          <w:color w:val="auto"/>
        </w:rPr>
      </w:pPr>
    </w:p>
    <w:p>
      <w:pPr>
        <w:jc w:val="both"/>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The effective tax rate in 2021 included tax charges of $42 in continuing operations for reorganizations and other transactions required to prepare the European Tinplate business for sale. Additionally, the Company recorded an income tax charge of $44 to establish a valuation allowance for deferred tax assets related to tax loss carryforwards in France. The Company believes that it is more likely than not that these tax loss carryforwards will not be utilized after the sale of the European Tinplate business. See </w:t>
      </w:r>
      <w:hyperlink w:anchor="page54">
        <w:r>
          <w:rPr>
            <w:rFonts w:ascii="Arial" w:cs="Arial" w:eastAsia="Arial" w:hAnsi="Arial"/>
            <w:sz w:val="17"/>
            <w:szCs w:val="17"/>
            <w:u w:val="single" w:color="auto"/>
            <w:color w:val="0000FF"/>
          </w:rPr>
          <w:t>Note B</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more information regarding the sale of the European Tinplate business.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2021, the Company also recorded a tax benefit of $18 related to a deferred tax valuation allowance release resulting from improved profitability in a Transit Packaging corporate entity. Additionally, the Company also recorded income tax benefits of $8, primarily related to tax law changes in India, Turkey and the U.K.</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 in 2020 included a benefit of $36 related to a deferred tax valuation allowance release resulting from an internal reorganization in Transit Packaging and a benefit of $9 arising from tax law changes in India, partially offset by a charge of $15 to settle a tax contingency in Transit Packaging that arose from a transaction that occurred prior to its acquisition of Signode by the Company in 2018.</w:t>
      </w:r>
    </w:p>
    <w:p>
      <w:pPr>
        <w:spacing w:after="0" w:line="21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additional information regarding income taxes, see </w:t>
      </w:r>
      <w:hyperlink w:anchor="page78">
        <w:r>
          <w:rPr>
            <w:rFonts w:ascii="Arial" w:cs="Arial" w:eastAsia="Arial" w:hAnsi="Arial"/>
            <w:sz w:val="18"/>
            <w:szCs w:val="18"/>
            <w:u w:val="single" w:color="auto"/>
            <w:color w:val="0000FF"/>
          </w:rPr>
          <w:t>Note 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 ATTRIBUTABLE TO NONCONTROLLING INTERESTS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attributable to noncontrolling interest increased from $108 in 2020 to $148 in 2021 primarily due to higher earnings in the Company's beverage can operations in Brazil, including a favorable court ruling in a lawsuit brought by certain of the Company's Brazilian subsidiaries asserting they were overcharged by local tax authorities for direct and indirect taxes paid in prior years.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attributable to noncontrolling interest decreased from $113 in 2019 to $108 in 2020 primarily due to higher income in Brazil in 2019 related to a favorable court ruling for one of the Company's Brazilian subsidiaries related to indirect taxes.</w:t>
      </w:r>
    </w:p>
    <w:p>
      <w:pPr>
        <w:spacing w:after="0" w:line="197" w:lineRule="exact"/>
        <w:rPr>
          <w:sz w:val="20"/>
          <w:szCs w:val="20"/>
          <w:color w:val="auto"/>
        </w:rPr>
      </w:pPr>
    </w:p>
    <w:p>
      <w:pPr>
        <w:ind w:left="3680"/>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52"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Cash provided by operating activities decreased from $1,315 in 2020 to $905 in 2021 primarily due to changes in working capital and $236 in pension contributions, primarily related to the contribution required to fully settle the U.K. pension plan obligation. The Company expects $110 of the cash contribution to be repaid as the pension plan sells its remaining illiquid assets during 2022 and 2023. See </w:t>
      </w:r>
      <w:hyperlink w:anchor="page71">
        <w:r>
          <w:rPr>
            <w:rFonts w:ascii="Arial" w:cs="Arial" w:eastAsia="Arial" w:hAnsi="Arial"/>
            <w:sz w:val="18"/>
            <w:szCs w:val="18"/>
            <w:u w:val="single" w:color="auto"/>
            <w:color w:val="0000FF"/>
          </w:rPr>
          <w:t>Note R</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regarding the settlement of the U.K. pension plan obligation.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Receivables increased from $1,522 at December 31, 2020 to $1,889 at December 31, 2021 primarily due to higher selling price and sales unit volumes. Days sales outstanding for trade receivables, excluding the impact of unbilled receivables, decreased from 38 at December 31, 2020 to 37 at December 31, 2021.</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Inventories increased from $1,263 at December 31, 2020 to $1,735 at December 31, 2021 primarily due to inflation and market growth. Inventory turnover was 59 days at December 31, 2020 and December 31, 2021.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payable increased from $2,141 at December 31, 2020 to $2,901 at December 31, 2021 primarily due to inflation and market growth. Days outstanding for trade payables increased from 100 days at December 31, 2020 to 112 days at December 31,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Investing activities used cash of $535 in 2020 and provided cash of $1,507 in 2021 primarily due to the proceeds received from the sale of the European Tinplate business, partially offset by increased capital expenditures related to capacity expansion projects in the Americas Beverage segment.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capital expenditures in 2022 to be approximately $1 billion.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2021, the Company had approximately $137 of capital commitments primarily related to its Americas Beverage segment. The Company expects to fund these commitments primarily through cash generated from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52"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Cash used for financing activities increased from $239 in 2020 to $2,944 in 2021 primarily due to the early redemption of senior notes due in 2022 and 2023. The Company paid premiums of $64 in connection with the redemptions. See </w:t>
      </w:r>
      <w:hyperlink w:anchor="page62">
        <w:r>
          <w:rPr>
            <w:rFonts w:ascii="Arial" w:cs="Arial" w:eastAsia="Arial" w:hAnsi="Arial"/>
            <w:sz w:val="18"/>
            <w:szCs w:val="18"/>
            <w:u w:val="single" w:color="auto"/>
            <w:color w:val="0000FF"/>
          </w:rPr>
          <w:t>Note M</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Additionally, in 2021, the Company repurchased $950 of its shares of common stock and paid dividends to shareholders of $105. In 2021 the Company also had an outflow of $25 from foreign exchange derivatives related to debt compared to an inflow of $43 in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2021, $480 of the Company's $531 in cash and cash equivalents was located outside the U.S. The Company is not currently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 equivalents located outside the U.S., $438 was held by subsidiaries for which earnings are considered indefinitely reinvested. If such earnings were repatriated the Company may be required to record incremental foreign taxes on the repatriated funds.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revolving credit agreements provide capacity of $1,650. As of December 31, 2021, the Company had available capacity of $1,535 under its revolving credit facilities. The Company could have borrowed this amount at December 31, 2021 and still have been in compliance with its leverage ratio covenants.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ratio of total debt, less cash and cash equivalents, to total capitalization was 71% and 73% at December 31, 2021 and 2020. Total capitalization is defined by the Company as total debt plus total equity, less cash and cash equivalents.</w:t>
      </w:r>
    </w:p>
    <w:p>
      <w:pPr>
        <w:spacing w:after="0" w:line="19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 however, which allow the Company to incur additional debt, create liens or make otherwise restricted payments provided that the Company is in compliance with applicable financial and other covenants and meets certain liquidity requirements.</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revolving credit facilities and term loan facilities also contain a total leverage ratio covenant.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Company’s total net leverage ratio of 3.0 to 1.0 at December 31, 2021 was in compliance with the covenant requiring a ratio no greater than 5.0 to 1.0. The ratio is calculated at the end of each quarter using debt and cash balances as of the end of the quarter and Consolidated EBITDA for the most recent twelve months. Failure to meet the financial covenant could result in the acceleration of any outstanding amounts due under the revolving credit facilities and term loan facilities. The required net total leverage ratio under the agreement reduces to 4.5 to 1.0 at December 31, 2022.</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reduce leverage and future interest payments, the Company may from time to time repurchase outstanding notes and debentures with cash or seek to refinance its existing credit facilities and other indebtedness. The Company will evaluate any such transactions in light of any required premiums and then existing market conditions and may determine not to pursue such transactions.</w:t>
      </w:r>
    </w:p>
    <w:p>
      <w:pPr>
        <w:spacing w:after="0" w:line="211" w:lineRule="exact"/>
        <w:rPr>
          <w:sz w:val="20"/>
          <w:szCs w:val="20"/>
          <w:color w:val="auto"/>
        </w:rPr>
      </w:pPr>
    </w:p>
    <w:p>
      <w:pPr>
        <w:jc w:val="both"/>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The Company’s current sources of liquidity also include a securitization facility with a program limit up to a maximum of $500 that expires in July 2023, a securitization facility with a program limit of $200 that expires in December 2023, and a securitization facility with a program limit of $150 that expires in November 2025. The Company accounts for transfers under these facilities as sales as further discussed in </w:t>
      </w:r>
      <w:hyperlink w:anchor="page57">
        <w:r>
          <w:rPr>
            <w:rFonts w:ascii="Arial" w:cs="Arial" w:eastAsia="Arial" w:hAnsi="Arial"/>
            <w:sz w:val="16"/>
            <w:szCs w:val="16"/>
            <w:u w:val="single" w:color="auto"/>
            <w:color w:val="0000FF"/>
          </w:rPr>
          <w:t>Note D</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statements.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utilizes its cash flows from operations, borrowings under its revolving credit facilities and the acceleration of cash receipts under its receivables securitization and factoring programs to primarily fund its operations, capital expenditures and financing obligations.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Cash payments required for purchase obligations, long-term debt maturities and interest payments and projected pension contributions in effect at December 31, 2021, are summarized in 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Payments Due by Period</w:t>
            </w: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5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restart"/>
          </w:tcPr>
          <w:p>
            <w:pPr>
              <w:jc w:val="right"/>
              <w:ind w:right="250"/>
              <w:spacing w:after="0"/>
              <w:rPr>
                <w:sz w:val="20"/>
                <w:szCs w:val="20"/>
                <w:color w:val="auto"/>
              </w:rPr>
            </w:pPr>
            <w:r>
              <w:rPr>
                <w:rFonts w:ascii="Arial" w:cs="Arial" w:eastAsia="Arial" w:hAnsi="Arial"/>
                <w:sz w:val="18"/>
                <w:szCs w:val="18"/>
                <w:color w:val="auto"/>
                <w:w w:val="94"/>
              </w:rPr>
              <w:t>2026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70"/>
              <w:spacing w:after="0" w:line="169" w:lineRule="exact"/>
              <w:rPr>
                <w:sz w:val="20"/>
                <w:szCs w:val="20"/>
                <w:color w:val="auto"/>
              </w:rPr>
            </w:pPr>
            <w:r>
              <w:rPr>
                <w:rFonts w:ascii="Arial" w:cs="Arial" w:eastAsia="Arial" w:hAnsi="Arial"/>
                <w:sz w:val="18"/>
                <w:szCs w:val="18"/>
                <w:color w:val="auto"/>
              </w:rPr>
              <w:t>2027 &amp;</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after</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13,875</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6,221</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Interest on long-term debt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Projected pension contributions </w:t>
            </w:r>
            <w:r>
              <w:rPr>
                <w:rFonts w:ascii="Arial" w:cs="Arial" w:eastAsia="Arial" w:hAnsi="Arial"/>
                <w:sz w:val="23"/>
                <w:szCs w:val="23"/>
                <w:color w:val="auto"/>
                <w:vertAlign w:val="superscript"/>
              </w:rPr>
              <w:t>(3)</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All amounts due in foreign currencies are translated at exchange rates as of December 31, 2021.</w:t>
      </w:r>
    </w:p>
    <w:p>
      <w:pPr>
        <w:spacing w:after="0" w:line="13" w:lineRule="exact"/>
        <w:rPr>
          <w:sz w:val="20"/>
          <w:szCs w:val="20"/>
          <w:color w:val="auto"/>
        </w:rPr>
      </w:pPr>
    </w:p>
    <w:p>
      <w:pPr>
        <w:ind w:right="2540" w:firstLine="8"/>
        <w:spacing w:after="0" w:line="241" w:lineRule="auto"/>
        <w:tabs>
          <w:tab w:leader="none" w:pos="204"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These purchase commitments specify significant terms, including fixed or minimum quantities to be purchased; fixed, minimum or variable pricing provisions; and the approximate timing of transactions.</w:t>
      </w: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Interest on long-term debt represents the interest that will accrue by year based on debt outstanding and interest rates in effect as of December 31, 2021.</w:t>
      </w:r>
    </w:p>
    <w:p>
      <w:pPr>
        <w:spacing w:after="0" w:line="1" w:lineRule="exact"/>
        <w:rPr>
          <w:rFonts w:ascii="Arial" w:cs="Arial" w:eastAsia="Arial" w:hAnsi="Arial"/>
          <w:sz w:val="14"/>
          <w:szCs w:val="14"/>
          <w:color w:val="auto"/>
        </w:rPr>
      </w:pPr>
    </w:p>
    <w:p>
      <w:pPr>
        <w:ind w:left="180" w:right="2220" w:hanging="172"/>
        <w:spacing w:after="0" w:line="293" w:lineRule="auto"/>
        <w:tabs>
          <w:tab w:leader="none" w:pos="222" w:val="left"/>
        </w:tabs>
        <w:numPr>
          <w:ilvl w:val="0"/>
          <w:numId w:val="14"/>
        </w:numPr>
        <w:rPr>
          <w:rFonts w:ascii="Arial" w:cs="Arial" w:eastAsia="Arial" w:hAnsi="Arial"/>
          <w:sz w:val="13"/>
          <w:szCs w:val="13"/>
          <w:color w:val="auto"/>
        </w:rPr>
      </w:pPr>
      <w:r>
        <w:rPr>
          <w:rFonts w:ascii="Arial" w:cs="Arial" w:eastAsia="Arial" w:hAnsi="Arial"/>
          <w:sz w:val="13"/>
          <w:szCs w:val="13"/>
          <w:color w:val="auto"/>
        </w:rPr>
        <w:t>Pension projections require the use of numerous estimates and assumptions such as discount rates, rates of return on plan assets, compensation increases, health care cost increases, mortality and employee turnover and therefore projected contributions been provided for only five years.</w:t>
      </w:r>
    </w:p>
    <w:p>
      <w:pPr>
        <w:spacing w:after="0" w:line="1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Long-term debt payments due in 2023 include the Company's €335 ($381) 2.25% senior notes in February 2023 and its €550 ($626) 0.75% senior notes in February 2023. The Company expects to have sufficient liquidity to refinance the senior notes or repay them at maturity.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has certain guarantees and indemnification agreements that could require the payment of cash upon the occurrence of certain events.</w:t>
      </w:r>
    </w:p>
    <w:p>
      <w:pPr>
        <w:spacing w:after="0" w:line="4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 guarantees and agreements are further discussed under </w:t>
      </w:r>
      <w:hyperlink w:anchor="page69">
        <w:r>
          <w:rPr>
            <w:rFonts w:ascii="Arial" w:cs="Arial" w:eastAsia="Arial" w:hAnsi="Arial"/>
            <w:sz w:val="18"/>
            <w:szCs w:val="18"/>
            <w:u w:val="single" w:color="auto"/>
            <w:color w:val="0000FF"/>
          </w:rPr>
          <w:t>Note P</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Guarantor Financial Information</w:t>
      </w:r>
    </w:p>
    <w:p>
      <w:pPr>
        <w:spacing w:after="0" w:line="256" w:lineRule="exact"/>
        <w:rPr>
          <w:sz w:val="20"/>
          <w:szCs w:val="20"/>
          <w:color w:val="auto"/>
        </w:rPr>
      </w:pPr>
    </w:p>
    <w:p>
      <w:pPr>
        <w:jc w:val="both"/>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As disclosed in </w:t>
      </w:r>
      <w:hyperlink w:anchor="page62">
        <w:r>
          <w:rPr>
            <w:rFonts w:ascii="Arial" w:cs="Arial" w:eastAsia="Arial" w:hAnsi="Arial"/>
            <w:sz w:val="18"/>
            <w:szCs w:val="18"/>
            <w:u w:val="single" w:color="auto"/>
            <w:color w:val="0000FF"/>
          </w:rPr>
          <w:t>Note M</w:t>
        </w:r>
      </w:hyperlink>
      <w:r>
        <w:rPr>
          <w:rFonts w:ascii="Arial" w:cs="Arial" w:eastAsia="Arial" w:hAnsi="Arial"/>
          <w:sz w:val="18"/>
          <w:szCs w:val="18"/>
          <w:color w:val="auto"/>
        </w:rPr>
        <w:t>, 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U.S., except in the case of the Company’s outstanding senior notes issued by Crown Cork &amp; Seal Company, Inc., which are fully and unconditionally guaranteed by Crown Holdings, Inc. (Parent). No other subsidiary guarantees the debt and the guarantees are made on a joint and several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senior notes and guarantees are senior unsecured obligations of the issuers and the guarantors, and are:</w:t>
      </w:r>
    </w:p>
    <w:p>
      <w:pPr>
        <w:spacing w:after="0" w:line="23" w:lineRule="exact"/>
        <w:rPr>
          <w:sz w:val="20"/>
          <w:szCs w:val="20"/>
          <w:color w:val="auto"/>
        </w:rPr>
      </w:pPr>
    </w:p>
    <w:p>
      <w:pPr>
        <w:jc w:val="both"/>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subordinated to all existing and future secured indebtedness of the issuers and the guarantors to the extent of the value of the assets securing such indebtedness, including any borrowings under the Company’s senior secured credit facilities, to the extent of the value of the assets securing such indebtedness;</w:t>
      </w:r>
    </w:p>
    <w:p>
      <w:pPr>
        <w:spacing w:after="0" w:line="1"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structurally subordinated to all indebtedness of the Company’s non-guarantor subsidiaries, which include all of the Company’s foreign subsidiaries and any U.S. subsidiaries that are neither obligors nor guarantors of the Company’s senior secured credit facilities;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ranked equal in right of payment to any existing or future senior indebtedness of the issuers and the guarantors;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ranked senior in right of payment to all existing and future subordinated indebtedness of the issuers and the guarantors.</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guarantee of a guarantor is limited to an amount not to exceed the maximum amount that can be guaranteed that will not (after giving effect to all other contingent and fixed liabilities of such guarantor and after giving effect to any collections from, rights to receive contribution from or payments made by or on behalf of all other guarantors in respect of the obligations of such other guarantors under their respective guarantees of the guaranteed obligations) render the guarantee, as it relates to such guarantor, voidable under applicable law relating to fraudulent conveyances or fraudulent transfers.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guarantee of a guarantor other than the Parent will be unconditionally released and discharged upon any of the following:</w:t>
      </w:r>
    </w:p>
    <w:p>
      <w:pPr>
        <w:spacing w:after="0" w:line="252" w:lineRule="exact"/>
        <w:rPr>
          <w:sz w:val="20"/>
          <w:szCs w:val="20"/>
          <w:color w:val="auto"/>
        </w:rPr>
      </w:pPr>
    </w:p>
    <w:p>
      <w:pPr>
        <w:jc w:val="both"/>
        <w:ind w:left="660" w:hanging="328"/>
        <w:spacing w:after="0" w:line="25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transfer (including, without limitation, by way of consolidation or merger) by the Parent or any subsidiary of the Parent to any person or entity that is not the Parent or a subsidiary of the Parent of (1) all of the equity interests of, or all or substantially all of the properties and assets of, such guarantor; or (2) equity interests of such guarantor or any issuance by such guarantor of its equity interests, such that such guarantor ceases to be a subsidiary of the Parent; provided that such guarantor is also released from all of its obligations in respect of indebtedness under the Company’s senior secured credit facilities;</w:t>
      </w:r>
    </w:p>
    <w:p>
      <w:pPr>
        <w:spacing w:after="0" w:line="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release of such guarantor from all obligations of such guarantor in respect of indebtedness under the Company’s senior secured credit facilities, except to the extent such guarantor is otherwise required to provide a guarantee; or</w:t>
      </w:r>
    </w:p>
    <w:p>
      <w:pPr>
        <w:ind w:left="66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 contemporaneous release or discharge of all guarantees by such guarantor which would have required such guarantor to provide a guarantee under the applicable indenture.</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V, Crown Americas Capital Corp. VI, the Parent, and substantially all of the Company’s subsidiaries in the U.S.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40" w:type="dxa"/>
            <w:vAlign w:val="bottom"/>
            <w:gridSpan w:val="2"/>
          </w:tcPr>
          <w:p>
            <w:pPr>
              <w:spacing w:after="0"/>
              <w:rPr>
                <w:sz w:val="20"/>
                <w:szCs w:val="20"/>
                <w:color w:val="auto"/>
              </w:rPr>
            </w:pPr>
            <w:r>
              <w:rPr>
                <w:rFonts w:ascii="Arial" w:cs="Arial" w:eastAsia="Arial" w:hAnsi="Arial"/>
                <w:sz w:val="18"/>
                <w:szCs w:val="18"/>
                <w:i w:val="1"/>
                <w:iCs w:val="1"/>
                <w:color w:val="auto"/>
              </w:rPr>
              <w:t>Crown Cork Obligor Group</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77"/>
        </w:trPr>
        <w:tc>
          <w:tcPr>
            <w:tcW w:w="2020" w:type="dxa"/>
            <w:vAlign w:val="bottom"/>
            <w:tcBorders>
              <w:top w:val="single" w:sz="8" w:color="auto"/>
              <w:bottom w:val="single" w:sz="8" w:color="CCEEFF"/>
            </w:tcBorders>
          </w:tcPr>
          <w:p>
            <w:pPr>
              <w:spacing w:after="0"/>
              <w:rPr>
                <w:sz w:val="24"/>
                <w:szCs w:val="24"/>
                <w:color w:val="auto"/>
              </w:rPr>
            </w:pPr>
          </w:p>
        </w:tc>
        <w:tc>
          <w:tcPr>
            <w:tcW w:w="68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December 31, 2021</w:t>
            </w:r>
          </w:p>
        </w:tc>
      </w:tr>
      <w:tr>
        <w:trPr>
          <w:trHeight w:val="223"/>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income from continuing operations</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8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bl>
    <w:p>
      <w:pPr>
        <w:spacing w:after="0" w:line="76"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$35 of expense related to intercompany interest with non-guarantor subsidiaries.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$26 of expense for discontinued operations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840" w:type="dxa"/>
            <w:vAlign w:val="bottom"/>
            <w:gridSpan w:val="3"/>
          </w:tcPr>
          <w:p>
            <w:pPr>
              <w:jc w:val="right"/>
              <w:ind w:right="2610"/>
              <w:spacing w:after="0"/>
              <w:rPr>
                <w:sz w:val="20"/>
                <w:szCs w:val="20"/>
                <w:color w:val="auto"/>
              </w:rPr>
            </w:pPr>
            <w:r>
              <w:rPr>
                <w:rFonts w:ascii="Arial" w:cs="Arial" w:eastAsia="Arial" w:hAnsi="Arial"/>
                <w:sz w:val="18"/>
                <w:szCs w:val="18"/>
                <w:b w:val="1"/>
                <w:bCs w:val="1"/>
                <w:color w:val="auto"/>
              </w:rPr>
              <w:t>Crown Holdings, Inc.</w:t>
            </w: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69"/>
        </w:trPr>
        <w:tc>
          <w:tcPr>
            <w:tcW w:w="2340" w:type="dxa"/>
            <w:vAlign w:val="bottom"/>
            <w:tcBorders>
              <w:bottom w:val="single" w:sz="8" w:color="CCEEFF"/>
            </w:tcBorders>
          </w:tcPr>
          <w:p>
            <w:pPr>
              <w:spacing w:after="0"/>
              <w:rPr>
                <w:sz w:val="24"/>
                <w:szCs w:val="24"/>
                <w:color w:val="auto"/>
              </w:rPr>
            </w:pPr>
          </w:p>
        </w:tc>
        <w:tc>
          <w:tcPr>
            <w:tcW w:w="1960" w:type="dxa"/>
            <w:vAlign w:val="bottom"/>
            <w:tcBorders>
              <w:bottom w:val="single" w:sz="8" w:color="CCEEFF"/>
            </w:tcBorders>
          </w:tcPr>
          <w:p>
            <w:pPr>
              <w:spacing w:after="0"/>
              <w:rPr>
                <w:sz w:val="24"/>
                <w:szCs w:val="24"/>
                <w:color w:val="auto"/>
              </w:rPr>
            </w:pPr>
          </w:p>
        </w:tc>
        <w:tc>
          <w:tcPr>
            <w:tcW w:w="45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December 31, 2021</w:t>
            </w:r>
          </w:p>
        </w:tc>
      </w:tr>
      <w:tr>
        <w:trPr>
          <w:trHeight w:val="223"/>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r>
      <w:tr>
        <w:trPr>
          <w:trHeight w:val="230"/>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Non-current assets</w:t>
            </w:r>
          </w:p>
        </w:tc>
        <w:tc>
          <w:tcPr>
            <w:tcW w:w="4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r>
        <w:trPr>
          <w:trHeight w:val="229"/>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9"/>
                <w:szCs w:val="19"/>
                <w:color w:val="auto"/>
              </w:rPr>
            </w:pPr>
          </w:p>
        </w:tc>
      </w:tr>
      <w:tr>
        <w:trPr>
          <w:trHeight w:val="304"/>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1</w:t>
            </w: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5,286</w:t>
            </w:r>
          </w:p>
        </w:tc>
        <w:tc>
          <w:tcPr>
            <w:tcW w:w="20" w:type="dxa"/>
            <w:vAlign w:val="bottom"/>
          </w:tcPr>
          <w:p>
            <w:pPr>
              <w:spacing w:after="0"/>
              <w:rPr>
                <w:sz w:val="24"/>
                <w:szCs w:val="24"/>
                <w:color w:val="auto"/>
              </w:rPr>
            </w:pPr>
          </w:p>
        </w:tc>
      </w:tr>
      <w:tr>
        <w:trPr>
          <w:trHeight w:val="183"/>
        </w:trPr>
        <w:tc>
          <w:tcPr>
            <w:tcW w:w="4300" w:type="dxa"/>
            <w:vAlign w:val="bottom"/>
            <w:gridSpan w:val="2"/>
          </w:tcPr>
          <w:p>
            <w:pPr>
              <w:spacing w:after="0"/>
              <w:rPr>
                <w:sz w:val="20"/>
                <w:szCs w:val="20"/>
                <w:color w:val="auto"/>
              </w:rPr>
            </w:pPr>
            <w:r>
              <w:rPr>
                <w:rFonts w:ascii="Arial" w:cs="Arial" w:eastAsia="Arial" w:hAnsi="Arial"/>
                <w:sz w:val="14"/>
                <w:szCs w:val="14"/>
                <w:color w:val="auto"/>
              </w:rPr>
              <w:t>(1) Includes payables of $4,560 due to non-guarantor subsidiaries</w:t>
            </w:r>
          </w:p>
        </w:tc>
        <w:tc>
          <w:tcPr>
            <w:tcW w:w="4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17"/>
        </w:trPr>
        <w:tc>
          <w:tcPr>
            <w:tcW w:w="4300" w:type="dxa"/>
            <w:vAlign w:val="bottom"/>
            <w:gridSpan w:val="2"/>
          </w:tcPr>
          <w:p>
            <w:pPr>
              <w:spacing w:after="0"/>
              <w:rPr>
                <w:sz w:val="20"/>
                <w:szCs w:val="20"/>
                <w:color w:val="auto"/>
              </w:rPr>
            </w:pPr>
            <w:r>
              <w:rPr>
                <w:rFonts w:ascii="Arial" w:cs="Arial" w:eastAsia="Arial" w:hAnsi="Arial"/>
                <w:sz w:val="18"/>
                <w:szCs w:val="18"/>
                <w:i w:val="1"/>
                <w:iCs w:val="1"/>
                <w:color w:val="auto"/>
              </w:rPr>
              <w:t>Crown Americas Obligor Group</w:t>
            </w: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234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2"/>
          </w:tcPr>
          <w:p>
            <w:pPr>
              <w:ind w:left="180"/>
              <w:spacing w:after="0"/>
              <w:rPr>
                <w:sz w:val="20"/>
                <w:szCs w:val="20"/>
                <w:color w:val="auto"/>
              </w:rPr>
            </w:pPr>
            <w:r>
              <w:rPr>
                <w:rFonts w:ascii="Arial" w:cs="Arial" w:eastAsia="Arial" w:hAnsi="Arial"/>
                <w:sz w:val="18"/>
                <w:szCs w:val="18"/>
                <w:color w:val="auto"/>
              </w:rPr>
              <w:t>December 31, 2021</w:t>
            </w:r>
          </w:p>
        </w:tc>
      </w:tr>
      <w:tr>
        <w:trPr>
          <w:trHeight w:val="223"/>
        </w:trPr>
        <w:tc>
          <w:tcPr>
            <w:tcW w:w="430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1</w:t>
            </w:r>
          </w:p>
        </w:tc>
        <w:tc>
          <w:tcPr>
            <w:tcW w:w="45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20" w:type="dxa"/>
            <w:vAlign w:val="bottom"/>
          </w:tcPr>
          <w:p>
            <w:pPr>
              <w:spacing w:after="0"/>
              <w:rPr>
                <w:sz w:val="19"/>
                <w:szCs w:val="19"/>
                <w:color w:val="auto"/>
              </w:rPr>
            </w:pPr>
          </w:p>
        </w:tc>
      </w:tr>
      <w:tr>
        <w:trPr>
          <w:trHeight w:val="230"/>
        </w:trPr>
        <w:tc>
          <w:tcPr>
            <w:tcW w:w="43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2</w:t>
            </w:r>
          </w:p>
        </w:tc>
        <w:tc>
          <w:tcPr>
            <w:tcW w:w="4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721</w:t>
            </w:r>
          </w:p>
        </w:tc>
        <w:tc>
          <w:tcPr>
            <w:tcW w:w="20" w:type="dxa"/>
            <w:vAlign w:val="bottom"/>
          </w:tcPr>
          <w:p>
            <w:pPr>
              <w:spacing w:after="0"/>
              <w:rPr>
                <w:sz w:val="19"/>
                <w:szCs w:val="19"/>
                <w:color w:val="auto"/>
              </w:rPr>
            </w:pPr>
          </w:p>
        </w:tc>
      </w:tr>
      <w:tr>
        <w:trPr>
          <w:trHeight w:val="229"/>
        </w:trPr>
        <w:tc>
          <w:tcPr>
            <w:tcW w:w="43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from operations</w:t>
            </w:r>
            <w:r>
              <w:rPr>
                <w:rFonts w:ascii="Arial" w:cs="Arial" w:eastAsia="Arial" w:hAnsi="Arial"/>
                <w:sz w:val="23"/>
                <w:szCs w:val="23"/>
                <w:color w:val="auto"/>
                <w:vertAlign w:val="superscript"/>
              </w:rPr>
              <w:t>2</w:t>
            </w:r>
          </w:p>
        </w:tc>
        <w:tc>
          <w:tcPr>
            <w:tcW w:w="4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9"/>
                <w:szCs w:val="19"/>
                <w:color w:val="auto"/>
              </w:rPr>
            </w:pPr>
          </w:p>
        </w:tc>
      </w:tr>
      <w:tr>
        <w:trPr>
          <w:trHeight w:val="229"/>
        </w:trPr>
        <w:tc>
          <w:tcPr>
            <w:tcW w:w="43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income from continuing operations</w:t>
            </w:r>
            <w:r>
              <w:rPr>
                <w:rFonts w:ascii="Arial" w:cs="Arial" w:eastAsia="Arial" w:hAnsi="Arial"/>
                <w:sz w:val="23"/>
                <w:szCs w:val="23"/>
                <w:color w:val="auto"/>
                <w:vertAlign w:val="superscript"/>
              </w:rPr>
              <w:t>3</w:t>
            </w:r>
          </w:p>
        </w:tc>
        <w:tc>
          <w:tcPr>
            <w:tcW w:w="4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r>
      <w:tr>
        <w:trPr>
          <w:trHeight w:val="230"/>
        </w:trPr>
        <w:tc>
          <w:tcPr>
            <w:tcW w:w="43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4</w:t>
            </w:r>
          </w:p>
        </w:tc>
        <w:tc>
          <w:tcPr>
            <w:tcW w:w="4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r>
    </w:tbl>
    <w:p>
      <w:pPr>
        <w:spacing w:after="0" w:line="62"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$458 of sales to non-guarantor subsidiaries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$46 of gross profit related to sales to non-guarantor subsidiaries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$27 of income related to intercompany interest and technology royalties with non-guarantor subsidiaries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$38 of expense for discontinued operations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December 31, 2021</w:t>
            </w:r>
          </w:p>
        </w:tc>
      </w:tr>
      <w:tr>
        <w:trPr>
          <w:trHeight w:val="223"/>
        </w:trPr>
        <w:tc>
          <w:tcPr>
            <w:tcW w:w="86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Current assets</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30"/>
        </w:trPr>
        <w:tc>
          <w:tcPr>
            <w:tcW w:w="8640" w:type="dxa"/>
            <w:vAlign w:val="bottom"/>
          </w:tcPr>
          <w:p>
            <w:pPr>
              <w:ind w:left="20"/>
              <w:spacing w:after="0" w:line="230" w:lineRule="exact"/>
              <w:rPr>
                <w:sz w:val="20"/>
                <w:szCs w:val="20"/>
                <w:color w:val="auto"/>
              </w:rPr>
            </w:pPr>
            <w:r>
              <w:rPr>
                <w:rFonts w:ascii="Arial" w:cs="Arial" w:eastAsia="Arial" w:hAnsi="Arial"/>
                <w:sz w:val="18"/>
                <w:szCs w:val="18"/>
                <w:color w:val="auto"/>
              </w:rPr>
              <w:t>Non-current assets</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3,495</w:t>
            </w:r>
          </w:p>
        </w:tc>
      </w:tr>
      <w:tr>
        <w:trPr>
          <w:trHeight w:val="229"/>
        </w:trPr>
        <w:tc>
          <w:tcPr>
            <w:tcW w:w="8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Current liabilities</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312"/>
        </w:trPr>
        <w:tc>
          <w:tcPr>
            <w:tcW w:w="8640" w:type="dxa"/>
            <w:vAlign w:val="bottom"/>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4</w:t>
            </w:r>
          </w:p>
        </w:tc>
        <w:tc>
          <w:tcPr>
            <w:tcW w:w="2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4,761</w:t>
            </w:r>
          </w:p>
        </w:tc>
      </w:tr>
    </w:tbl>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receivables of $48 due from non-guarantor subsidiaries</w:t>
      </w:r>
    </w:p>
    <w:p>
      <w:pPr>
        <w:spacing w:after="0" w:line="6"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receivables of $180 due from non-guarantor subsidiaries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payables of $35 due to non-guarantor subsidiaries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payables of $1,397 due to non-guarantor subsidiaries</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senior notes are structurally subordinated to all indebtedness of the Company’s non-guarantor subsidiaries. The non-guarantors are separate and distinct legal entities and have no obligation, contingent or otherwise, to pay any amounts due pursuant to the senior notes, or to make any funds available therefore, whether by dividends, loans, distributions or other payments. Any right that the Company or the guarantors have to receive any assets of any of the non-guarantors upon the liquidation or reorganization of any non-guarantor, and the consequent rights of holders of senior notes to realize proceeds from the sale of any of a non-guarantor’s assets, would be effectively subordinated to the claims of such non-guarantor’s creditors, including trade creditors and holders of preferred equity interests, if any, of such non-guarantor. Accordingly, in the event of a bankruptcy, liquidation or reorganization of any of the non-guarantors, the non-guarantors will pay the holders of their debts, holders of preferred equity interests, if any, and their trade creditors before they will be able to distribute any of their assets to the Company or any of the guarantors.</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U.S. federal bankruptcy laws or comparable provisions of state fraudulent transfer laws, the issuance of the senior note guarantees by the guarantors could be voided, or claims in respect of such obligations could be subordinated to all of their other debts and other liabilities, if, among other things, at the time the guarantors issued the related senior note guarantees, the Company or the applicable guarantor intended to hinder, delay or defraud any present or future creditor, or received less than reasonably equivalent value or fair consideration for the incurrence of such indebtedness and either:</w:t>
      </w:r>
    </w:p>
    <w:p>
      <w:pPr>
        <w:spacing w:after="0" w:line="18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Company’s or such guarantor’s remaining assets constituted unreasonably small capital; or</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guarantee provided by a guarantor includes a provision intended to limit the guarantor’s liability to the maximum amount that it could incur without causing the incurrence of obligations under its guarantee to be a fraudulent transfer or conveyance. This provision may not be effective to protect those guarantees from being avoided under fraudulent transfer or conveyance law, or it may reduce that guarantor’s obligation to an amount that effectively makes its guarantee worthless, and we cannot predict whether a court will ultimately find it to be effective.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RISK</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normal course of business the Company is subject to risk from adverse fluctuations in foreign exchange rates, interest rates and commodity prices. The Company manages these risks through a program that includes the use of derivative financial instruments, primarily swaps and forwards. Counterparties to these contracts are major financial institutions. These instruments are viewed as risk management tools, involve little complexity, and are not used for trading or speculative purposes. The extent to which the Company uses such instruments is dependent upon its access to them in the financial markets and its use of other methods, such as netting exposures for foreign exchange risk and establishing sales arrangements that permit the pass-through to customers of changes in commodity prices and foreign exchange rates, to effectively achieve its goal of risk reduction. The Company’s objective in managing its exposure to market risk is to limit the impact on earnings and cash flow.</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manages foreign currency exposures at the operating unit level. Exposures that cannot be naturally offset within an operating unit may be hedged with derivative financial instruments where possible and cost effective in the Company’s judgment. Foreign exchange contracts generally mature within twelve months.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provides information in U.S. dollars as of December 31, 2021 about the Company’s forward currency exchange contracts. The contracts primarily hedge anticipated transactions, unrecognized firm commitments and intercompany debt. The contracts with no amounts in the fair value column have a fair value of less than $1.</w:t>
      </w: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Contract</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left="250"/>
              <w:spacing w:after="0" w:line="184" w:lineRule="exact"/>
              <w:rPr>
                <w:sz w:val="20"/>
                <w:szCs w:val="20"/>
                <w:color w:val="auto"/>
              </w:rPr>
            </w:pPr>
            <w:r>
              <w:rPr>
                <w:rFonts w:ascii="Arial" w:cs="Arial" w:eastAsia="Arial" w:hAnsi="Arial"/>
                <w:sz w:val="18"/>
                <w:szCs w:val="18"/>
                <w:color w:val="auto"/>
                <w:w w:val="91"/>
              </w:rPr>
              <w:t>Contract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spacing w:after="0" w:line="184" w:lineRule="exact"/>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176"/>
        </w:trPr>
        <w:tc>
          <w:tcPr>
            <w:tcW w:w="6080" w:type="dxa"/>
            <w:vAlign w:val="bottom"/>
            <w:gridSpan w:val="2"/>
            <w:vMerge w:val="restart"/>
          </w:tcPr>
          <w:p>
            <w:pPr>
              <w:ind w:left="20"/>
              <w:spacing w:after="0"/>
              <w:rPr>
                <w:sz w:val="20"/>
                <w:szCs w:val="20"/>
                <w:color w:val="auto"/>
              </w:rPr>
            </w:pPr>
            <w:r>
              <w:rPr>
                <w:rFonts w:ascii="Arial" w:cs="Arial" w:eastAsia="Arial" w:hAnsi="Arial"/>
                <w:sz w:val="18"/>
                <w:szCs w:val="18"/>
                <w:color w:val="auto"/>
              </w:rPr>
              <w:t>Buy/Sell</w:t>
            </w: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left="250"/>
              <w:spacing w:after="0" w:line="176" w:lineRule="exact"/>
              <w:rPr>
                <w:sz w:val="20"/>
                <w:szCs w:val="20"/>
                <w:color w:val="auto"/>
              </w:rPr>
            </w:pPr>
            <w:r>
              <w:rPr>
                <w:rFonts w:ascii="Arial" w:cs="Arial" w:eastAsia="Arial" w:hAnsi="Arial"/>
                <w:sz w:val="18"/>
                <w:szCs w:val="18"/>
                <w:color w:val="auto"/>
                <w:w w:val="95"/>
              </w:rPr>
              <w:t>fair value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8"/>
                <w:szCs w:val="18"/>
                <w:color w:val="auto"/>
                <w:w w:val="90"/>
              </w:rPr>
              <w:t>contractual</w:t>
            </w:r>
          </w:p>
        </w:tc>
        <w:tc>
          <w:tcPr>
            <w:tcW w:w="0" w:type="dxa"/>
            <w:vAlign w:val="bottom"/>
          </w:tcPr>
          <w:p>
            <w:pPr>
              <w:spacing w:after="0"/>
              <w:rPr>
                <w:sz w:val="1"/>
                <w:szCs w:val="1"/>
                <w:color w:val="auto"/>
              </w:rPr>
            </w:pPr>
          </w:p>
        </w:tc>
      </w:tr>
      <w:tr>
        <w:trPr>
          <w:trHeight w:val="229"/>
        </w:trPr>
        <w:tc>
          <w:tcPr>
            <w:tcW w:w="6080" w:type="dxa"/>
            <w:vAlign w:val="bottom"/>
            <w:gridSpan w:val="2"/>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amount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left="230"/>
              <w:spacing w:after="0"/>
              <w:rPr>
                <w:sz w:val="20"/>
                <w:szCs w:val="20"/>
                <w:color w:val="auto"/>
              </w:rPr>
            </w:pPr>
            <w:r>
              <w:rPr>
                <w:rFonts w:ascii="Arial" w:cs="Arial" w:eastAsia="Arial" w:hAnsi="Arial"/>
                <w:sz w:val="18"/>
                <w:szCs w:val="18"/>
                <w:color w:val="auto"/>
                <w:w w:val="91"/>
              </w:rPr>
              <w:t>gain/(loss)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exchange rate</w:t>
            </w:r>
          </w:p>
        </w:tc>
        <w:tc>
          <w:tcPr>
            <w:tcW w:w="0" w:type="dxa"/>
            <w:vAlign w:val="bottom"/>
          </w:tcPr>
          <w:p>
            <w:pPr>
              <w:spacing w:after="0"/>
              <w:rPr>
                <w:sz w:val="1"/>
                <w:szCs w:val="1"/>
                <w:color w:val="auto"/>
              </w:rPr>
            </w:pPr>
          </w:p>
        </w:tc>
      </w:tr>
      <w:tr>
        <w:trPr>
          <w:trHeight w:val="223"/>
        </w:trPr>
        <w:tc>
          <w:tcPr>
            <w:tcW w:w="5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Euro/Sterling</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Euro/U.S. dollars</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dollars/Brazilian real</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U.S. dollars/Euro</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Singapore dollars/U.S. dollars</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Euro/Swiss francs</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Euro/Swedish krona</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Euro/Danish krone</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Sterling/U.S. dollars</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U.S. dollars/Thai baht</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Turkish lira/U.S. dollars</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Euro/Polish zloty</w:t>
            </w: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1,043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2021, the Company had additional contracts with an aggregate notional value of $44 to purchase or sell other currencies, primarily Asian currencies, including the Malaysian ringgit, Indonesian rupiah, and Hong Kong dollar; European currencies, including the Hungarian florint; the Australian dollar; and the New Zealand dollar. The aggregate fair value of these contracts was a gain of $1.</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December 31, 2021, the Company had cross-currency swaps with an aggregate notional values of $875. The swaps are designated as hedges of the Company's net investment in a euro-based subsidiary and mature in 2026. The fair value of these contracts at December 31, 2021 was a net gain of $49.</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future payments of long-term debt obligations at December 31, 2021 include $2,905 of U.S. dollar-denominated debt, $3,287 of euro-denominated debt and $29 of debt denominated in other currencies.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from time to time, may manage its interest rate risk associated with fluctuations in variable interest rates through interest rate swaps. The use of interest rate swaps and other methods of mitigating interest rate risk may increase overall interest expense. As of December 31, 2021, the Company had $1.4 billion principal floating interest rate debt. A change of 0.25% in these floating interest rates would change annual interest expense by approximately $4 million before tax</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uses various raw materials, such as aluminum and steel in its manufacturing operations, which expose it to risk from adverse fluctuations in commodity prices. In 2021, consumption of aluminum and steel represented 43% and 8% of the Company’s consolidated cost of products sold, excluding depreciation and amortization. The Company primarily manages its risk to adverse commodity price fluctuations and surcharges through contracts that pass through raw material costs to customers. The Company may, however, be unable to increase its prices to offset increases in raw material costs without suffering reductions in unit volume, revenue and operating income, and any price increases may take effect after related cost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increases, reducing operating income in the near term. As of December 31, 2021, the Company had forward commodity contracts to hedge aluminum price fluctuations with a notional value of $261 and a net gain of $38. The maturities of the commodity contracts closely correlate to the anticipated purchases of those commodities.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Company's manufacturing facilities are dependent, to varying degrees, upon the availability of water and processed energy, such as natural gas and electricity.</w:t>
      </w:r>
    </w:p>
    <w:p>
      <w:pPr>
        <w:spacing w:after="0" w:line="19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63">
        <w:r>
          <w:rPr>
            <w:rFonts w:ascii="Arial" w:cs="Arial" w:eastAsia="Arial" w:hAnsi="Arial"/>
            <w:sz w:val="18"/>
            <w:szCs w:val="18"/>
            <w:u w:val="single" w:color="auto"/>
            <w:color w:val="0000FF"/>
          </w:rPr>
          <w:t>Note 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further information on the Company’s derivative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ENVIRONMENTAL MATTERS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Compliance with the Company’s Environmental Protection Policy is mandatory and the responsibility of each employee of the Company. The Company is committed to the protection of human health and the environment and is operating within the increasingly complex laws and regulations of national, state, and local environmental agencies or is taking action to achieve compliance with such laws and regulations. Environmental considerations are among the criteria by which the Company evaluates projects, products, processes and purchases.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dedicated to a long-term environmental protection program and has initiated and implemented many pollution prevention programs with an emphasis on source reduction. The Company continues to reduce the amount of metal used in the manufacture of steel and aluminum containers through “lightweighting” programs. The Company recycles nearly 100% of scrap aluminum, steel and copper used in its manufacturing processes. Many of the Company’s programs for pollution prevention reduce operating costs and improve operating efficiencies.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potential impact on the Company’s operations of climate change and potential future climate change regulation in the jurisdictions in which the Company operates is highly uncertain. See the risk factor entitled “The Company is subject to costs and liabilities related to stringent environmental and health and safety standards” in Part I, Item 1A of this Annual Report.</w:t>
      </w:r>
    </w:p>
    <w:p>
      <w:pPr>
        <w:spacing w:after="0" w:line="211" w:lineRule="exact"/>
        <w:rPr>
          <w:sz w:val="20"/>
          <w:szCs w:val="20"/>
          <w:color w:val="auto"/>
        </w:rPr>
      </w:pPr>
    </w:p>
    <w:p>
      <w:pPr>
        <w:jc w:val="both"/>
        <w:ind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69">
        <w:r>
          <w:rPr>
            <w:rFonts w:ascii="Arial" w:cs="Arial" w:eastAsia="Arial" w:hAnsi="Arial"/>
            <w:sz w:val="18"/>
            <w:szCs w:val="18"/>
            <w:u w:val="single" w:color="auto"/>
            <w:color w:val="0000FF"/>
          </w:rPr>
          <w:t>Note P</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additional information on environmental matters including the Company's accrual for environmental remediation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52" w:lineRule="exact"/>
        <w:rPr>
          <w:sz w:val="20"/>
          <w:szCs w:val="20"/>
          <w:color w:val="auto"/>
        </w:rPr>
      </w:pPr>
    </w:p>
    <w:p>
      <w:pPr>
        <w:jc w:val="both"/>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The accompanying consolidated financial statements have been prepared in accordance with accounting principles generally accepted in the United States of America which require that management make numerous estimates and assumptions. Actual results could differ from those estimates and assumptions, impacting the reported results of operations and financial position of the Company. The Company’s significant accounting policies are more fully described under </w:t>
      </w:r>
      <w:hyperlink w:anchor="page51">
        <w:r>
          <w:rPr>
            <w:rFonts w:ascii="Arial" w:cs="Arial" w:eastAsia="Arial" w:hAnsi="Arial"/>
            <w:sz w:val="17"/>
            <w:szCs w:val="17"/>
            <w:u w:val="single" w:color="auto"/>
            <w:color w:val="0000FF"/>
          </w:rPr>
          <w:t>Note 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Certain accounting policies, however, are considered to be critical in that (i) they are most important to the depiction of the Company’s financial condition and results of operations and (ii) their application requires management’s most subjective judgment in making estimates about the effect of matters that are inherently uncertain.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Asbestos Liabilities</w:t>
      </w:r>
    </w:p>
    <w:p>
      <w:pPr>
        <w:spacing w:after="0" w:line="252" w:lineRule="exact"/>
        <w:rPr>
          <w:sz w:val="20"/>
          <w:szCs w:val="20"/>
          <w:color w:val="auto"/>
        </w:rPr>
      </w:pPr>
    </w:p>
    <w:p>
      <w:pPr>
        <w:jc w:val="both"/>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 Company’s potential liability for asbestos cases is uncertain due to the difficulty of forecasting many factors, including the level of future claims, the rate of receipt of claims, the jurisdiction in which claims are filed, the nature of future claims (including the seriousness of alleged disease, whether claimants allege first exposure to asbestos before or during 1964 and the alleged link to Crown Cork), the terms of settlements of other defendants with asbestos-related liabilities, bankruptcy filings of other defendants (which may result in additional claims and higher settlement demands for non-bankrupt defendants) and the effect of state asbestos legislation (including the validity and applicability of the Pennsylvania legislation to non-Pennsylvania jurisdictions, where the substantial majority of the Company’s asbestos cases are filed). See </w:t>
      </w:r>
      <w:hyperlink w:anchor="page67">
        <w:r>
          <w:rPr>
            <w:rFonts w:ascii="Arial" w:cs="Arial" w:eastAsia="Arial" w:hAnsi="Arial"/>
            <w:sz w:val="17"/>
            <w:szCs w:val="17"/>
            <w:u w:val="single" w:color="auto"/>
            <w:color w:val="0000FF"/>
          </w:rPr>
          <w:t>Note O</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for additional information regarding the provision for asbestos-related costs.</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the end of each quarter, the Company considers whether there have been any material developments that would cause it to update its asbestos accrual calculations. Absent any significant developments in the asbestos litigation environment in general or with respect to the Company specifically, the Company updates its accrual calculations in the fourth quarter of each year. The Company estimates its liability without limitation to a specified time period and provides for the estimated amounts expected to be paid related to outstanding claims, projected future claims and legal costs.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Outstanding claims used in the accrual calculation are adjusted for factors such as claims filed in those states where the Company’s liability is limited by statute, claims alleging first exposure to asbestos after 1964 which are assumed to have no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value and claims which are unlikely to ever be paid and are assumed to have a reduced or nominal value based on the length of time outstanding. Projected future claims are calculated based on actual data for the most recent five years and are adjusted to account for the expectation that a percentage of these claims will never be paid. Outstanding and projected claims are multiplied by the average settlement cost of claims for the most recent five years. As claims are not submitted or settled evenly throughout the year, it is difficult to predict at any time during the year whether the number of claims or average settlement cost over the five year period ending December 31 of such year will increase compared to the prior five year period.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years, a higher percentage of Crown Cork’s settlements have related to claims alleging serious disease (primarily mesothelioma) which are settled at higher dollar amounts. Accordingly, a higher percentage of claims projected into the future relate to serious diseases and are therefore valued at higher dollar amounts. As of December 31, 2021, more than 90% of the projected future claims in the Company’s accrual calculation relate to claims alleging serious diseases such as mesothelioma.</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five year average settlement cost per claim was $14,400 in 2019, $13,100 in 2020 and $13,000 in 2021. Although the five year average settlement cost per claim decreased in 2021, if Crown Cork continues to settle a high percentage of claims alleging serious disease at higher dollar amounts, average settlement costs per claim are likely to increase and, if not offset by a reduction in overall claims and settlements, the Company may record additional charges in the future. A 10% change in either the average cost per claim or the number of projected claims would increase or decrease the estimated liability at December 31, 2021 by $24. A 10% increase in these two factors at the same time would increase the estimated liability at December 31, 2021 by $50. A 10% decrease in these two factors at the same time would decrease the estimated liability at December 31, 2021 by $45.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Impairment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performs a goodwill impairment review in the fourth quarter of each year or when facts and circumstances indicate goodwill may be impaired. In accordance with the accounting guidance, the Company may first perform a qualitative assessment on none, some, or all of its reporting units to determine whether further quantitative impairment testing is necessary. Factors that the Company may consider in its qualitative assessment include, but are not limited to, general economic conditions, changes in the markets in which the Company operates and changes in input costs that may affect revenue growth, gross margin percentages and cash flow trends over multiple periods.</w:t>
      </w:r>
    </w:p>
    <w:p>
      <w:pPr>
        <w:spacing w:after="0" w:line="1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quantitative impairment test involves a number of assumptions and judgments, including the calculation of fair value for the Company’s identified reporting units. The Company determines the estimated fair value for each reporting unit based on an average of the estimated fair values calculated using both market and income approaches. The Company uses an average of the two methods in estimating fair value because it believes they both provide an appropriate fair value for the reporting units. The Company’s estimates of future cash flows include assumptions concerning future operating performance and economic conditions and may differ from actual future cash flows. Under the market approach, the Company utilizes significant assumptions relating to EBITDA multiples used in recent similar transactions, if any, and EBITDA multiples of similar type and size public companies. The appropriate multiple is applied to the respective financial results of the reporting unit to obtain an estimated fair value.</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income approach, fair value is calculated as the sum of the projected discounted cash flows of the reporting unit over the next five years and the terminal value at the end of those five years. The projected cash flows generally include moderate to no growth assumptions, depending on the reporting unit, unless there has recently been a material change in the business or a material change is forecasted. The discount rate used is based on the average weighted-average cost of capital of companies in the consumer and industrial packaging industries, which information is available through various sources, adjusted for specific risk premiums for each reporting unit.</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completed its annual review for 2021 and determined that no adjustments to the carrying value of goodwill were necessary. Although no goodwill impairment was recorded, there can be no assurances that future goodwill impairments will not occur.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 Impairment</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performs an impairment review of its long-lived assets, including definite-lived intangible assets and property, plant and equipment, when facts and circumstances indicate the carrying value may not be recoverable from its undiscounted cash flows. Any impairment loss is measured by comparing the carrying amount of the asset to its fair value. The Company’s estimates of future cash flows involve assumptions concerning future operating performance, economic conditions and technological changes that may affect the future useful lives of the assets. These estimates may differ from actual cash flows or useful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and Postretirement Benefits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Accounting for pensions and postretirement benefit plans requires the use of estimates and assumptions regarding numerous factors, including discount rates, rates of return on plan assets, compensation increases, health care cost increases, future rates of inflation, mortality and employee turnover. Actual results may differ from the Company’s actuarial assumptions, which may have an impact on the amount of reported expense or liability for pensions or postretirement benefits. The Company recorded pension expense of $1,567, including settlement and curtailment charges of $1,520 and expense of $4 recorded in Net income from discontinued operations, in 2021 and currently projects its 2022 pension expense to be $31, using foreign currency exchange rates in effect at December 31, 2021. The Company uses the spot yield curve approach to estimate the service and interest cost components of pension and postretirement benefits expense by applying the specific spot rates along the yield curve used to determine the benefit plan obligations to relevant projected cash outflows. The expected long-term rate of return on plan assets is determined by taking into consideration expected long-term returns associated with each major asset class based on long-term historical ranges, projected future outlook of each asset class, inflation assumptions and the expected net value from active management of the assets based on actual results.</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U.S. plan’s assumed rate of return was 5.7 % in 2021 and is 6.6 % for 2022. A 0.25% change in the expected rates of return would change 2022 pension expense by approximately $4.</w:t>
      </w:r>
    </w:p>
    <w:p>
      <w:pPr>
        <w:spacing w:after="0" w:line="197" w:lineRule="exact"/>
        <w:rPr>
          <w:sz w:val="20"/>
          <w:szCs w:val="20"/>
          <w:color w:val="auto"/>
        </w:rPr>
      </w:pPr>
    </w:p>
    <w:p>
      <w:pPr>
        <w:jc w:val="both"/>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Discount rates were selected using a method that matches projected payouts from the plans to an actuarial determined yield curve based on market observable AA bond yields in the respective plan jurisdictions and currencies. In certain jurisdictions, government securities were used along with corporate bonds to develop country-specific yield curves to the extent that the underlying markets were not deemed sufficiently developed. A 0.25% change in the discount rates from those used at December 31, 2021 would change 2022 pension expense by approximately $2 and postretirement expense by less than $1. A 0.25% change in the discount rates from those used at December 31, 2021 would have changed the pension benefit obligation by approximately $50 and the postretirement benefit obligation by approximately $3 as of December 31, 2021. See </w:t>
      </w:r>
      <w:hyperlink w:anchor="page71">
        <w:r>
          <w:rPr>
            <w:rFonts w:ascii="Arial" w:cs="Arial" w:eastAsia="Arial" w:hAnsi="Arial"/>
            <w:sz w:val="17"/>
            <w:szCs w:val="17"/>
            <w:u w:val="single" w:color="auto"/>
            <w:color w:val="0000FF"/>
          </w:rPr>
          <w:t>Note R</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for additional information on pension and postretirement benefit obligations and assumptions.</w:t>
      </w:r>
    </w:p>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December 31, 2021, the Company had pre-tax unrecognized net losses in other comprehensive income of $814 related to its pension plans and $21 related to its other postretirement benefit plans. Unrecognized gains and losses arise each year primarily due to changes in discount rates, differences in actual plan asset returns compared to expected returns, and changes in actuarial assumptions such as mortality. Unrecognized gains and losses are accumulated in other comprehensive income and the portion in each plan that exceeds 10% of the greater of that plan’s assets or projected benefit obligation is amortized to income over future periods. The Company’s pension expense for the year ended December 31, 2021 included charges of $91 for the amortization of unrecognized net losses, and the Company estimates charges of $52 in 2022. Amortizable losses are being recognized over either the average expected life of inactive employees or the remaining service life of active participants depending on the status of the individual plans. The weighted average amortization periods range between 6 - 16 years. An increase of 10% in the number of years used to amortize unrecognized losses in each plan would decrease estimated charges for 2022 by $6. A decrease of 10% in the number of years would increase the estimated 2022 charge by $7.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GUIDANCE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2021, the Company adopted new guidance to simplify the accounting for income taxes by, among other things, reducing complexity in the interim-period accounting for year-to-date loss limitations and changes in tax laws. The guidance did not have a material impact on the Company's consolidated financial statements.</w:t>
      </w:r>
    </w:p>
    <w:p>
      <w:pPr>
        <w:spacing w:after="0" w:line="21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51">
        <w:r>
          <w:rPr>
            <w:rFonts w:ascii="Arial" w:cs="Arial" w:eastAsia="Arial" w:hAnsi="Arial"/>
            <w:sz w:val="18"/>
            <w:szCs w:val="18"/>
            <w:u w:val="single" w:color="auto"/>
            <w:color w:val="0000FF"/>
          </w:rPr>
          <w:t>Note 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information on recently adopted accounting guidance.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252" w:lineRule="exact"/>
        <w:rPr>
          <w:sz w:val="20"/>
          <w:szCs w:val="20"/>
          <w:color w:val="auto"/>
        </w:rPr>
      </w:pPr>
    </w:p>
    <w:p>
      <w:pPr>
        <w:jc w:val="both"/>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Statements in this Annual Report, including those in “Management’s Discussion and Analysis of Financial Condition and Results of Operations,” in the discussions of the provision for asbestos under </w:t>
      </w:r>
      <w:hyperlink w:anchor="page67">
        <w:r>
          <w:rPr>
            <w:rFonts w:ascii="Arial" w:cs="Arial" w:eastAsia="Arial" w:hAnsi="Arial"/>
            <w:sz w:val="17"/>
            <w:szCs w:val="17"/>
            <w:u w:val="single" w:color="auto"/>
            <w:color w:val="0000FF"/>
          </w:rPr>
          <w:t>Note O</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other contingencies under </w:t>
      </w:r>
      <w:hyperlink w:anchor="page69">
        <w:r>
          <w:rPr>
            <w:rFonts w:ascii="Arial" w:cs="Arial" w:eastAsia="Arial" w:hAnsi="Arial"/>
            <w:sz w:val="17"/>
            <w:szCs w:val="17"/>
            <w:u w:val="single" w:color="auto"/>
            <w:color w:val="0000FF"/>
          </w:rPr>
          <w:t>Note P</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included in this Annual Report and in discussions incorporated by reference into this Annual Report (including, but not limited to, those in the section titled “Compensation Discussion and Analysis” in the Company’s Proxy Statement), which are not historical facts (including any statements concerning plans and objectives of management for future operations or economic performance, or assumptions related thereto), are “forward-looking statements,” within the meaning of the federal securities laws. In addition, the Company and its representatives may from time to time make other oral or written statements which are also “forward-looking statements.” Forward-looking statements can be identified by words, such as “believes,” “estimates,” “anticipates,” “expects” and other words of similar meaning in connection with a</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discussion of future operating or financial performance. These may include, among others, statements relating to (i) the Company’s plans or objectives for future operations, products or financial performance, (ii) the Company’s indebtedness and other contractual obligations, (iii) the impact of an economic downturn or growth in particular regions, (iv) anticipated uses of cash, (v) cost reduction efforts and expected savings, (vi) the Company’s policies with respect to executive compensation and (vii) the expected outcome of contingencies, including with respect to asbestos-related litigation and pension and postretirement liabilities.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Important factors that could cause the actual results of operations or financial condition of the Company to differ include, but are not necessarily limited to, the ability of the Company to expand successfully in international and emerging markets; the ability of the Company to repay, refinance or restructure its short and long-term indebtedness on adequate terms and to comply with the terms of its agreements relating to debt; the impact of Brexit; the Company’s ability to generate significant cash to meet its obligations and invest in its business and to maintain appropriate debt levels; restrictions on the Company’s use of available cash under its debt agreements; changes or differences in U.S. or international economic or political conditions, such as inflation or fluctuations in interest or foreign exchange rates (and the effectiveness of any currency or interest rate hedges), tax rates, and applicable tax laws (including with respect to taxation of unrepatriated non-U.S. earnings or as a result of the depletion of net loss or foreign tax credit carryforwards); the impact of foreign trade laws and practices; the collectability of receivables; war or acts of terrorism that may disrupt the Company’s production or the supply or pricing of raw materials impact the financial condition of customers or adversely affect the Company’s ability to refinance or restructure its remaining indebtedness; changes in the availability and pricing of raw materials (including aluminum can sheet, steel tinplate, energy, water, inks and coatings) and the Company’s ability to pass raw material, energy and freight price increases and surcharges through to its customers or to otherwise manage these commodity pricing risks; the Company’s ability to obtain and maintain adequate pricing for its products, including the impact on the Company’s revenue, margins and market share and the ongoing impact of price increases; energy and natural resource costs; the cost and other effects of legal and administrative cases and proceedings, settlements and investigations; the outcome of asbestos-related litigation (including the number and size of future claims and the terms of settlements, and the impact of bankruptcy filings by other companies with asbestos-related liabilities, any of which could increase Crown Cork’s asbestos-related costs over time, the adequacy of reserves established for asbestos-related liabilities, Crown Cork’s ability to obtain resolution without payment of asbestos-related claims by persons alleging first exposure to asbestos after 1964, and the impact of state legislation dealing with asbestos liabilities and any litigation challenging that legislation and any future state or federal legislation dealing with asbestos liabilities); the Company’s ability to realize deferred tax benefits; changes in the Company’s critical or other accounting policies or the assumptions underlying those policies; labor relations and workforce and social costs, including the Company’s pension and postretirement obligations and other employee or retiree costs; investment performance of the Company’s pension plans; costs and difficulties related to the acquisition of a business and integration of acquired businesses; the impact of any actual or potential dispositions, acquisitions or other strategic realignments (such as the Company's recently completed divestiture of its European Tinplate business), which may impact the Company’s operations, financial profile, investments or levels of indebtedness; the Company’s ability to realize efficient capacity utilization and inventory levels and to innovate new designs and technologies for its products in a cost-effective manner; competitive pressures, including new product developments, industry overcapacity, or changes in competitors’ pricing for products; the Company’s ability to achieve high capacity utilization rates for its equipment; the Company’s ability to maintain, develop and capitalize on competitive technologies for the design and manufacture of products and to withstand competitive and legal challenges to the proprietary nature of such technology; the Company’s ability to protect its information technology systems from attacks or catastrophic failure; the strength of the Company’s cyber-security (including with respect to human vulnerabilities associated with cyber-security risks); the Company’s ability to generate sufficient production capacity; the Company’s ability to improve and expand its existing product and product lines; the impact of overcapacity on the end-markets the Company serves; loss of customers, including the loss of any significant customers; changes in consumer preferences for different packaging products; the financial condition of the Company’s vendors and customers; weather conditions, including their effect on demand for beverages and on crop yields for fruits and vegetables stored in food containers; the impact of natural disasters, including in emerging markets; the impact of the COVID-19 pandemic, as well as the quarantines and other governmental and non-governmental restrictions which have been imposed throughout the world in an effort to contain, mitigate, or vaccinate against it; changes in governmental regulations or enforcement practices, including with respect to environmental, health and safety matters and restrictions as to foreign investment or operation; the impact of increased governmental regulation on the Company and its products, including the regulation or restriction of the use of bisphenol-A; the impact of the Company’s recent initiatives to generate additional cash, including the reduction of working capital levels and capital spending; the impact of the Company's comprehensive Board-led review of its portfolio and capital allocation/return; the ability of the Company to realize cost savings from its restructuring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center"/>
        <w:ind w:right="-7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ind w:left="80"/>
        <w:spacing w:after="0" w:line="255" w:lineRule="auto"/>
        <w:rPr>
          <w:sz w:val="20"/>
          <w:szCs w:val="20"/>
          <w:color w:val="auto"/>
        </w:rPr>
      </w:pPr>
      <w:r>
        <w:rPr>
          <w:rFonts w:ascii="Arial" w:cs="Arial" w:eastAsia="Arial" w:hAnsi="Arial"/>
          <w:sz w:val="18"/>
          <w:szCs w:val="18"/>
          <w:color w:val="auto"/>
        </w:rPr>
        <w:t>programs; the Company’s ability to maintain adequate sources of capital and liquidity; costs and payments to certain of the Company’s executive officers in connection with any termination of such executive officers or a change in control of the Company; the impact of existing and future legislation regarding refundable mandatory deposit laws in Europe for non-refillable beverage containers and the implementation of an effective return system; the impact of existing and future legislation regarding the taxation of sugar-sweetened beverages or energy drinks, the impact of tariffs and potential limits on steel supply in the U.S. from certain foreign countries; and changes in the Company’s strategic areas of focus, which may impact the Company’s operations, financial profile or levels of indebtedness.</w:t>
      </w:r>
    </w:p>
    <w:p>
      <w:pPr>
        <w:spacing w:after="0" w:line="219" w:lineRule="exact"/>
        <w:rPr>
          <w:sz w:val="20"/>
          <w:szCs w:val="20"/>
          <w:color w:val="auto"/>
        </w:rPr>
      </w:pPr>
    </w:p>
    <w:p>
      <w:pPr>
        <w:jc w:val="both"/>
        <w:ind w:left="80"/>
        <w:spacing w:after="0" w:line="308" w:lineRule="auto"/>
        <w:rPr>
          <w:rFonts w:ascii="Arial" w:cs="Arial" w:eastAsia="Arial" w:hAnsi="Arial"/>
          <w:sz w:val="17"/>
          <w:szCs w:val="17"/>
          <w:color w:val="auto"/>
        </w:rPr>
      </w:pPr>
      <w:r>
        <w:rPr>
          <w:rFonts w:ascii="Arial" w:cs="Arial" w:eastAsia="Arial" w:hAnsi="Arial"/>
          <w:sz w:val="17"/>
          <w:szCs w:val="17"/>
          <w:color w:val="auto"/>
        </w:rPr>
        <w:t>Some of the factors noted above are discussed elsewhere in this Annual Report and prior Company filings with the SEC, including within Part I, Item 1A, “</w:t>
      </w:r>
      <w:hyperlink w:anchor="page8">
        <w:r>
          <w:rPr>
            <w:rFonts w:ascii="Arial" w:cs="Arial" w:eastAsia="Arial" w:hAnsi="Arial"/>
            <w:sz w:val="17"/>
            <w:szCs w:val="17"/>
            <w:u w:val="single" w:color="auto"/>
            <w:color w:val="0000FF"/>
          </w:rPr>
          <w:t>Risk Factors</w:t>
        </w:r>
      </w:hyperlink>
      <w:r>
        <w:rPr>
          <w:rFonts w:ascii="Arial" w:cs="Arial" w:eastAsia="Arial" w:hAnsi="Arial"/>
          <w:sz w:val="17"/>
          <w:szCs w:val="17"/>
          <w:color w:val="auto"/>
        </w:rPr>
        <w:t>” in this Annual Report. In addition, other factors have been or may be discussed from time to time in the Company’s SEC filings.</w:t>
      </w:r>
    </w:p>
    <w:p>
      <w:pPr>
        <w:spacing w:after="0" w:line="173" w:lineRule="exact"/>
        <w:rPr>
          <w:sz w:val="20"/>
          <w:szCs w:val="20"/>
          <w:color w:val="auto"/>
        </w:rPr>
      </w:pPr>
    </w:p>
    <w:p>
      <w:pPr>
        <w:jc w:val="both"/>
        <w:ind w:left="80"/>
        <w:spacing w:after="0" w:line="259" w:lineRule="auto"/>
        <w:rPr>
          <w:sz w:val="20"/>
          <w:szCs w:val="20"/>
          <w:color w:val="auto"/>
        </w:rPr>
      </w:pPr>
      <w:r>
        <w:rPr>
          <w:rFonts w:ascii="Arial" w:cs="Arial" w:eastAsia="Arial" w:hAnsi="Arial"/>
          <w:sz w:val="18"/>
          <w:szCs w:val="18"/>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 the Company does not intend to review or revise any particular forward-looking statement in light of future events.</w:t>
      </w:r>
    </w:p>
    <w:p>
      <w:pPr>
        <w:spacing w:after="0" w:line="25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auto"/>
        </w:rPr>
        <w:t>TEM 7A.</w:t>
      </w:r>
      <w:r>
        <w:rPr>
          <w:sz w:val="20"/>
          <w:szCs w:val="20"/>
          <w:color w:val="auto"/>
        </w:rPr>
        <w:tab/>
      </w:r>
      <w:r>
        <w:rPr>
          <w:rFonts w:ascii="Arial" w:cs="Arial" w:eastAsia="Arial" w:hAnsi="Arial"/>
          <w:sz w:val="17"/>
          <w:szCs w:val="17"/>
          <w:u w:val="single" w:color="auto"/>
          <w:color w:val="auto"/>
        </w:rPr>
        <w:t>QUANTITATIVE AND QUALITATIVE DISCLOSURES ABOUT MARKET RISK</w:t>
      </w:r>
    </w:p>
    <w:p>
      <w:pPr>
        <w:spacing w:after="0" w:line="185" w:lineRule="exact"/>
        <w:rPr>
          <w:sz w:val="20"/>
          <w:szCs w:val="20"/>
          <w:color w:val="auto"/>
        </w:rPr>
      </w:pPr>
    </w:p>
    <w:p>
      <w:pPr>
        <w:jc w:val="both"/>
        <w:ind w:left="80"/>
        <w:spacing w:after="0" w:line="277" w:lineRule="auto"/>
        <w:rPr>
          <w:sz w:val="20"/>
          <w:szCs w:val="20"/>
          <w:color w:val="auto"/>
        </w:rPr>
      </w:pPr>
      <w:r>
        <w:rPr>
          <w:rFonts w:ascii="Arial" w:cs="Arial" w:eastAsia="Arial" w:hAnsi="Arial"/>
          <w:sz w:val="18"/>
          <w:szCs w:val="18"/>
          <w:color w:val="auto"/>
        </w:rPr>
        <w:t>The information set forth within “Management’s Discussion and Analysis of Financial Condition and Results of Operations” under the captions “Market Risk” and "Forward Looking Statements" in this Annual Report is incorporated herein by reference.</w:t>
      </w:r>
    </w:p>
    <w:p>
      <w:pPr>
        <w:spacing w:after="0" w:line="292" w:lineRule="exact"/>
        <w:rPr>
          <w:sz w:val="20"/>
          <w:szCs w:val="20"/>
          <w:color w:val="auto"/>
        </w:rPr>
      </w:pPr>
    </w:p>
    <w:p>
      <w:pPr>
        <w:jc w:val="both"/>
        <w:ind w:left="80"/>
        <w:spacing w:after="0" w:line="253" w:lineRule="auto"/>
        <w:rPr>
          <w:sz w:val="20"/>
          <w:szCs w:val="20"/>
          <w:color w:val="auto"/>
        </w:rPr>
      </w:pPr>
      <w:r>
        <w:rPr>
          <w:rFonts w:ascii="Arial" w:cs="Arial" w:eastAsia="Arial" w:hAnsi="Arial"/>
          <w:sz w:val="18"/>
          <w:szCs w:val="18"/>
          <w:color w:val="auto"/>
        </w:rPr>
        <w:t>In July 2017, the Financial Conduct Authority (the authority that regulates LIBOR) announced it intended to stop compelling banks to submit rates for the calculation of LIBOR after 2021. The U.S. Federal Reserve, in conjunction with the Alternative Reference Rate Committee has announced the replacement of U.S. dollar LIBOR rates with a new index calculated by short-term repurchase agreements backed by U.S. Treasury securities called the Secured Overnight Financing Rate (SOFR). The first publication of SOFR was released in April 2018. In March 2021, the Financial Conduct Authority, and administrator, ICE Benchmark Administration, Limited, announced that the publication of the one-week and two-month USD LIBOR maturities and non-USD LIBOR maturities will cease immediately after December 31, 2021, with the remaining USD LIBOR maturities ceasing immediately after June 30, 2023. At December 31, 2021, the Company does have contracts that are indexed to LIBOR, including certain of its term loan facilities, and continues to monitor this activity and evaluate the related risks. The LIBOR to SOFR transition is not expected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160" w:type="dxa"/>
            <w:vAlign w:val="bottom"/>
            <w:gridSpan w:val="2"/>
          </w:tcPr>
          <w:p>
            <w:pPr>
              <w:ind w:left="1700"/>
              <w:spacing w:after="0"/>
              <w:rPr>
                <w:sz w:val="20"/>
                <w:szCs w:val="20"/>
                <w:color w:val="auto"/>
              </w:rPr>
            </w:pPr>
            <w:r>
              <w:rPr>
                <w:rFonts w:ascii="Arial" w:cs="Arial" w:eastAsia="Arial" w:hAnsi="Arial"/>
                <w:sz w:val="18"/>
                <w:szCs w:val="18"/>
                <w:b w:val="1"/>
                <w:bCs w:val="1"/>
                <w:color w:val="auto"/>
              </w:rPr>
              <w:t>Crown Holdings, Inc.</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660" w:type="dxa"/>
            <w:vAlign w:val="bottom"/>
            <w:gridSpan w:val="4"/>
          </w:tcPr>
          <w:p>
            <w:pPr>
              <w:spacing w:after="0"/>
              <w:rPr>
                <w:sz w:val="20"/>
                <w:szCs w:val="20"/>
                <w:color w:val="auto"/>
              </w:rPr>
            </w:pPr>
            <w:r>
              <w:rPr>
                <w:rFonts w:ascii="Arial" w:cs="Arial" w:eastAsia="Arial" w:hAnsi="Arial"/>
                <w:sz w:val="18"/>
                <w:szCs w:val="18"/>
                <w:color w:val="auto"/>
              </w:rPr>
              <w:t>ITEM 8.</w:t>
            </w:r>
          </w:p>
        </w:tc>
        <w:tc>
          <w:tcPr>
            <w:tcW w:w="660" w:type="dxa"/>
            <w:vAlign w:val="bottom"/>
          </w:tcPr>
          <w:p>
            <w:pPr>
              <w:spacing w:after="0"/>
              <w:rPr>
                <w:sz w:val="24"/>
                <w:szCs w:val="24"/>
                <w:color w:val="auto"/>
              </w:rPr>
            </w:pPr>
          </w:p>
        </w:tc>
        <w:tc>
          <w:tcPr>
            <w:tcW w:w="8920" w:type="dxa"/>
            <w:vAlign w:val="bottom"/>
            <w:gridSpan w:val="5"/>
          </w:tcPr>
          <w:p>
            <w:pPr>
              <w:spacing w:after="0"/>
              <w:rPr>
                <w:sz w:val="20"/>
                <w:szCs w:val="20"/>
                <w:color w:val="auto"/>
              </w:rPr>
            </w:pPr>
            <w:r>
              <w:rPr>
                <w:rFonts w:ascii="Arial" w:cs="Arial" w:eastAsia="Arial" w:hAnsi="Arial"/>
                <w:sz w:val="18"/>
                <w:szCs w:val="18"/>
                <w:color w:val="auto"/>
              </w:rPr>
              <w:t>FINANCIAL STATEMENTS AND SUPPLEMENTARY DATA</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Arial" w:cs="Arial" w:eastAsia="Arial" w:hAnsi="Arial"/>
                <w:sz w:val="18"/>
                <w:szCs w:val="18"/>
                <w:color w:val="auto"/>
              </w:rPr>
              <w:t>INDEX TO FINANCIAL STATEMENTS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50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color w:val="auto"/>
                <w:w w:val="88"/>
              </w:rPr>
              <w:t>Financial Statements</w:t>
            </w:r>
          </w:p>
        </w:tc>
        <w:tc>
          <w:tcPr>
            <w:tcW w:w="1200" w:type="dxa"/>
            <w:vAlign w:val="bottom"/>
            <w:tcBorders>
              <w:top w:val="single" w:sz="8" w:color="auto"/>
            </w:tcBorders>
            <w:gridSpan w:val="2"/>
          </w:tcPr>
          <w:p>
            <w:pPr>
              <w:spacing w:after="0"/>
              <w:rPr>
                <w:sz w:val="24"/>
                <w:szCs w:val="24"/>
                <w:color w:val="auto"/>
              </w:rPr>
            </w:pPr>
          </w:p>
        </w:tc>
        <w:tc>
          <w:tcPr>
            <w:tcW w:w="716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80" w:type="dxa"/>
            <w:vAlign w:val="bottom"/>
            <w:gridSpan w:val="6"/>
          </w:tcPr>
          <w:p>
            <w:pPr>
              <w:ind w:left="40"/>
              <w:spacing w:after="0"/>
              <w:rPr>
                <w:sz w:val="20"/>
                <w:szCs w:val="20"/>
                <w:color w:val="auto"/>
              </w:rPr>
            </w:pPr>
            <w:r>
              <w:rPr>
                <w:rFonts w:ascii="Arial" w:cs="Arial" w:eastAsia="Arial" w:hAnsi="Arial"/>
                <w:sz w:val="18"/>
                <w:szCs w:val="18"/>
                <w:color w:val="auto"/>
              </w:rPr>
              <w:t>Management’s Report on Internal Control Over Financial Reporting</w:t>
            </w: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80" w:type="dxa"/>
            <w:vAlign w:val="bottom"/>
            <w:gridSpan w:val="6"/>
          </w:tcPr>
          <w:p>
            <w:pPr>
              <w:ind w:left="40"/>
              <w:spacing w:after="0"/>
              <w:rPr>
                <w:sz w:val="20"/>
                <w:szCs w:val="20"/>
                <w:color w:val="auto"/>
              </w:rPr>
            </w:pPr>
            <w:r>
              <w:rPr>
                <w:rFonts w:ascii="Arial" w:cs="Arial" w:eastAsia="Arial" w:hAnsi="Arial"/>
                <w:sz w:val="18"/>
                <w:szCs w:val="18"/>
                <w:color w:val="auto"/>
                <w:w w:val="96"/>
              </w:rPr>
              <w:t>Report of Independent Registered Public Accounting Firm (PricewaterhouseCoopers LLP, Philadelphia, Pa, Auditor Firm ID:</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238)</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80" w:type="dxa"/>
            <w:vAlign w:val="bottom"/>
            <w:gridSpan w:val="6"/>
          </w:tcPr>
          <w:p>
            <w:pPr>
              <w:ind w:left="40"/>
              <w:spacing w:after="0"/>
              <w:rPr>
                <w:sz w:val="20"/>
                <w:szCs w:val="20"/>
                <w:color w:val="auto"/>
              </w:rPr>
            </w:pPr>
            <w:r>
              <w:rPr>
                <w:rFonts w:ascii="Arial" w:cs="Arial" w:eastAsia="Arial" w:hAnsi="Arial"/>
                <w:sz w:val="18"/>
                <w:szCs w:val="18"/>
                <w:color w:val="auto"/>
              </w:rPr>
              <w:t>Consolidated Statements of Operations for the years ended December 31, 2021, 2020 and 2019</w:t>
            </w: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80" w:type="dxa"/>
            <w:vAlign w:val="bottom"/>
            <w:gridSpan w:val="6"/>
          </w:tcPr>
          <w:p>
            <w:pPr>
              <w:ind w:left="40"/>
              <w:spacing w:after="0"/>
              <w:rPr>
                <w:sz w:val="20"/>
                <w:szCs w:val="20"/>
                <w:color w:val="auto"/>
              </w:rPr>
            </w:pPr>
            <w:r>
              <w:rPr>
                <w:rFonts w:ascii="Arial" w:cs="Arial" w:eastAsia="Arial" w:hAnsi="Arial"/>
                <w:sz w:val="18"/>
                <w:szCs w:val="18"/>
                <w:color w:val="auto"/>
              </w:rPr>
              <w:t>Consolidated Statements of Comprehensive Income for the years ended December 31, 2021, 2020 and 2019</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99"/>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80" w:type="dxa"/>
            <w:vAlign w:val="bottom"/>
            <w:gridSpan w:val="6"/>
          </w:tcPr>
          <w:p>
            <w:pPr>
              <w:ind w:left="40"/>
              <w:spacing w:after="0"/>
              <w:rPr>
                <w:sz w:val="20"/>
                <w:szCs w:val="20"/>
                <w:color w:val="auto"/>
              </w:rPr>
            </w:pPr>
            <w:r>
              <w:rPr>
                <w:rFonts w:ascii="Arial" w:cs="Arial" w:eastAsia="Arial" w:hAnsi="Arial"/>
                <w:sz w:val="18"/>
                <w:szCs w:val="18"/>
                <w:color w:val="auto"/>
              </w:rPr>
              <w:t>Consolidated Balance Sheets as of December 31, 2021 and 2020</w:t>
            </w: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80" w:type="dxa"/>
            <w:vAlign w:val="bottom"/>
            <w:gridSpan w:val="6"/>
          </w:tcPr>
          <w:p>
            <w:pPr>
              <w:ind w:left="40"/>
              <w:spacing w:after="0"/>
              <w:rPr>
                <w:sz w:val="20"/>
                <w:szCs w:val="20"/>
                <w:color w:val="auto"/>
              </w:rPr>
            </w:pPr>
            <w:r>
              <w:rPr>
                <w:rFonts w:ascii="Arial" w:cs="Arial" w:eastAsia="Arial" w:hAnsi="Arial"/>
                <w:sz w:val="18"/>
                <w:szCs w:val="18"/>
                <w:color w:val="auto"/>
              </w:rPr>
              <w:t>Consolidated Statements of Cash Flows for the years ended December 31, 2021, 2020 and 2019</w:t>
            </w: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99"/>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80" w:type="dxa"/>
            <w:vAlign w:val="bottom"/>
            <w:gridSpan w:val="6"/>
          </w:tcPr>
          <w:p>
            <w:pPr>
              <w:ind w:left="40"/>
              <w:spacing w:after="0"/>
              <w:rPr>
                <w:sz w:val="20"/>
                <w:szCs w:val="20"/>
                <w:color w:val="auto"/>
              </w:rPr>
            </w:pPr>
            <w:r>
              <w:rPr>
                <w:rFonts w:ascii="Arial" w:cs="Arial" w:eastAsia="Arial" w:hAnsi="Arial"/>
                <w:sz w:val="18"/>
                <w:szCs w:val="18"/>
                <w:color w:val="auto"/>
              </w:rPr>
              <w:t>Consolidated Statements of Changes in Shareholders' Equity for the years ended December 31, 2021, 2020 and 2019</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99"/>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80" w:type="dxa"/>
            <w:vAlign w:val="bottom"/>
            <w:gridSpan w:val="6"/>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18"/>
                <w:szCs w:val="18"/>
                <w:color w:val="auto"/>
              </w:rPr>
              <w:t>Financial Statement Schedule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5"/>
            <w:shd w:val="clear" w:color="auto" w:fill="000000"/>
          </w:tcPr>
          <w:p>
            <w:pPr>
              <w:spacing w:after="0" w:line="20" w:lineRule="exact"/>
              <w:rPr>
                <w:sz w:val="1"/>
                <w:szCs w:val="1"/>
                <w:color w:val="auto"/>
              </w:rPr>
            </w:pPr>
          </w:p>
        </w:tc>
        <w:tc>
          <w:tcPr>
            <w:tcW w:w="77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18"/>
                <w:szCs w:val="18"/>
                <w:color w:val="auto"/>
              </w:rPr>
              <w:t>Schedule II – Valuation and Qualifying Accounts and Reserves for the years ended December 31, 2021, 2020 and 2019</w:t>
            </w: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121" w:right="6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under the Securities Exchange Act of 1934, as amended).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inherent limitations, a system of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2021.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Based on its assessment, management has concluded that, as of December 31, 2021,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 based on those criteria.</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2021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Crown Holdings,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Crown Holdings, Inc. and its subsidiaries (the “Company”) as of December 31, 2021 and 2020, and the related consolidated statements of operations, of comprehensive income, of changes in shareholders' equity and of cash flows for each of the three years in the period ended December 31, 2021, including the related notes and financial statement schedule listed in the accompanying index (collectively referred to as the “consolidated financial statements”). We also have audited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Assessments - North America Food and Transit Reporting Units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described in Notes A and F to the consolidated financial statements, the Company’s consolidated goodwill balance was $3.0 billion as of December 31, 2021, a portion of which relates to the North America Food and Transit reporting units. Management performs a goodwill impairment review in the fourth quarter of each year or when facts and circumstances indicate goodwill may be impaired. Management determines the estimated fair value of the reporting unit based on an average of the estimated fair values using an income and a market approach. The income approach utilizes significant assumptions relating to revenue and Adjusted EBITDA (defined by the Company as net customer sales, less cost of products sold excluding depreciation and amortization, less selling and administrative expenses) margin growth rates, discount rates, and terminal year exit multiples. As disclosed by management, under the market approach, management utilizes significant assumptions relating to EBITDA multiples used in recent similar transactions, if any, and EBITDA multiples of similar type and size public companies.</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principal considerations for our determination that performing procedures relating to the goodwill impairment assessments of the North America Food and Transit reporting units is a critical audit matter are (i) the significant judgment by management when determining the fair value of the North America Food and Transit reporting units; (ii) a high degree of auditor judgment, subjectivity, and effort in performing procedures and evaluating management’s significant assumptions related to revenue and Adjusted EBITDA margin growth rates, discount rates, terminal year exit multiple and EBITDA multiples; and (iii) the audit effort involved the use of professionals with specialized skill and knowledge.</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assessments, including controls over the determination of the fair value of the North American Food and Transit reporting units. These procedures also included, among others (i) testing management’s process for determining the fair value of the North America Food and Transit reporting units; (ii) evaluating the appropriateness of the income and market approaches; (iii) testing the completeness and accuracy of the underlying data used in the income and market approaches; and (iv) evaluating the reasonableness of the aforementioned significant assumptions used by management. Evaluating management’s significant assumptions related to revenue and Adjusted EBITDA margin growth rates involved evaluating whether the significant assumptions used by management were reasonable considering (i) the current and past performance of the reporting units; (ii) the consistency with external market and industry data; and (iii) whether these assumptions were consistent with evidence obtained in other areas of the audit. Professionals with specialized skill and knowledge were used to assist in the evaluation of the appropriateness of the Company’s income and market approaches and the evaluation of the reasonableness of the discount rate, terminal year exit multiple and EBITDA multiple significant assumptions.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1928.</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millions except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11,394</w:t>
            </w:r>
          </w:p>
        </w:tc>
        <w:tc>
          <w:tcPr>
            <w:tcW w:w="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9,559</w:t>
            </w:r>
          </w:p>
        </w:tc>
        <w:tc>
          <w:tcPr>
            <w:tcW w:w="0" w:type="dxa"/>
            <w:vAlign w:val="bottom"/>
          </w:tcPr>
          <w:p>
            <w:pPr>
              <w:spacing w:after="0"/>
              <w:rPr>
                <w:sz w:val="1"/>
                <w:szCs w:val="1"/>
                <w:color w:val="auto"/>
              </w:rPr>
            </w:pP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color w:val="auto"/>
              </w:rPr>
              <w:t>Cost of products sold, excluding depreciation and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9,029</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7,359</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Selling and administrative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583</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1,363</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1,048</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early extinguishments of debt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Other pension and postretirement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1,515</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6"/>
        </w:trPr>
        <w:tc>
          <w:tcPr>
            <w:tcW w:w="674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5"/>
              </w:rPr>
              <w:t>(Loss) / income from continuing operations before income taxes and equity in net</w:t>
            </w: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(419)</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725</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earnings of affiliates</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 from) / provision for income taxes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Equity in net earnings of affiliates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 income from continuing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(loss) / income from discontinued operations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 income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Net income from continuing operations attributable to noncontrolling interests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from discontinued operations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Net (loss) / income attributable to Crown Holdings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4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5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(loss) / income from continuing operations attributable to Crown Holdings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(507)</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 income from discontinued operations attributable to Crown Holdings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Net (loss) / income attributable to Crown Holdings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4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5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Earnings per common share attributable to Crown Holdings: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(loss) / earnings per common share from continuing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(loss) / earnings per common share from discontinued operations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 earnings per common share from continuing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 (loss) / earnings per common share from discontinued operations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left="446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millions)</w:t>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243"/>
        </w:trPr>
        <w:tc>
          <w:tcPr>
            <w:tcW w:w="6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Other comprehensive income / (loss), net of tax</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6640" w:type="dxa"/>
            <w:vAlign w:val="bottom"/>
          </w:tcPr>
          <w:p>
            <w:pPr>
              <w:ind w:left="180"/>
              <w:spacing w:after="0"/>
              <w:rPr>
                <w:sz w:val="20"/>
                <w:szCs w:val="20"/>
                <w:color w:val="auto"/>
              </w:rPr>
            </w:pPr>
            <w:r>
              <w:rPr>
                <w:rFonts w:ascii="Arial" w:cs="Arial" w:eastAsia="Arial" w:hAnsi="Arial"/>
                <w:sz w:val="18"/>
                <w:szCs w:val="18"/>
                <w:color w:val="auto"/>
              </w:rPr>
              <w:t>Pension and other postretirement benefits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qualifying as hedges</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64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other comprehensive income / (loss)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 adjustments attributable to noncontrolling interests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Derivatives qualifying as hedges attributable to noncontrolling interests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660" w:top="121" w:right="1159" w:bottom="1440" w:gutter="0" w:footer="0" w:header="0"/>
        </w:sectPr>
      </w:pPr>
    </w:p>
    <w:bookmarkStart w:id="47" w:name="page48"/>
    <w:bookmarkEnd w:id="47"/>
    <w:p>
      <w:pPr>
        <w:jc w:val="center"/>
        <w:ind w:right="-39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millions, except share data)</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706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70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060" w:type="dxa"/>
            <w:vAlign w:val="bottom"/>
            <w:gridSpan w:val="7"/>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060" w:type="dxa"/>
            <w:vAlign w:val="bottom"/>
            <w:gridSpan w:val="7"/>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29"/>
        </w:trPr>
        <w:tc>
          <w:tcPr>
            <w:tcW w:w="7060" w:type="dxa"/>
            <w:vAlign w:val="bottom"/>
            <w:gridSpan w:val="7"/>
          </w:tcPr>
          <w:p>
            <w:pPr>
              <w:ind w:left="32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1,889</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1,522</w:t>
            </w:r>
          </w:p>
        </w:tc>
      </w:tr>
      <w:tr>
        <w:trPr>
          <w:trHeight w:val="230"/>
        </w:trPr>
        <w:tc>
          <w:tcPr>
            <w:tcW w:w="7060" w:type="dxa"/>
            <w:vAlign w:val="bottom"/>
            <w:gridSpan w:val="7"/>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29"/>
        </w:trPr>
        <w:tc>
          <w:tcPr>
            <w:tcW w:w="7060" w:type="dxa"/>
            <w:vAlign w:val="bottom"/>
            <w:gridSpan w:val="7"/>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7060" w:type="dxa"/>
            <w:vAlign w:val="bottom"/>
            <w:gridSpan w:val="7"/>
            <w:shd w:val="clear" w:color="auto" w:fill="CCEEFF"/>
          </w:tcPr>
          <w:p>
            <w:pPr>
              <w:ind w:left="320"/>
              <w:spacing w:after="0"/>
              <w:rPr>
                <w:sz w:val="20"/>
                <w:szCs w:val="20"/>
                <w:color w:val="auto"/>
              </w:rPr>
            </w:pPr>
            <w:r>
              <w:rPr>
                <w:rFonts w:ascii="Arial" w:cs="Arial" w:eastAsia="Arial" w:hAnsi="Arial"/>
                <w:sz w:val="18"/>
                <w:szCs w:val="18"/>
                <w:color w:val="auto"/>
              </w:rPr>
              <w:t>Current assets held for sale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23"/>
        </w:trPr>
        <w:tc>
          <w:tcPr>
            <w:tcW w:w="7060" w:type="dxa"/>
            <w:vAlign w:val="bottom"/>
            <w:tcBorders>
              <w:bottom w:val="single" w:sz="8" w:color="CCEEFF"/>
            </w:tcBorders>
            <w:gridSpan w:val="7"/>
          </w:tcPr>
          <w:p>
            <w:pPr>
              <w:ind w:left="66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w:t>
            </w:r>
          </w:p>
        </w:tc>
      </w:tr>
      <w:tr>
        <w:trPr>
          <w:trHeight w:val="74"/>
        </w:trPr>
        <w:tc>
          <w:tcPr>
            <w:tcW w:w="16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6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0"/>
        </w:trPr>
        <w:tc>
          <w:tcPr>
            <w:tcW w:w="7060" w:type="dxa"/>
            <w:vAlign w:val="bottom"/>
            <w:gridSpan w:val="7"/>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3,007</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3,146</w:t>
            </w:r>
          </w:p>
        </w:tc>
      </w:tr>
      <w:tr>
        <w:trPr>
          <w:trHeight w:val="229"/>
        </w:trPr>
        <w:tc>
          <w:tcPr>
            <w:tcW w:w="70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r>
      <w:tr>
        <w:trPr>
          <w:trHeight w:val="230"/>
        </w:trPr>
        <w:tc>
          <w:tcPr>
            <w:tcW w:w="7060" w:type="dxa"/>
            <w:vAlign w:val="bottom"/>
            <w:gridSpan w:val="7"/>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4,036</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3,652</w:t>
            </w:r>
          </w:p>
        </w:tc>
      </w:tr>
      <w:tr>
        <w:trPr>
          <w:trHeight w:val="229"/>
        </w:trPr>
        <w:tc>
          <w:tcPr>
            <w:tcW w:w="70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7060" w:type="dxa"/>
            <w:vAlign w:val="bottom"/>
            <w:gridSpan w:val="7"/>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230"/>
        </w:trPr>
        <w:tc>
          <w:tcPr>
            <w:tcW w:w="70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Non-current assets held for sale</w:t>
            </w:r>
          </w:p>
        </w:tc>
        <w:tc>
          <w:tcPr>
            <w:tcW w:w="3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r>
      <w:tr>
        <w:trPr>
          <w:trHeight w:val="223"/>
        </w:trPr>
        <w:tc>
          <w:tcPr>
            <w:tcW w:w="7060" w:type="dxa"/>
            <w:vAlign w:val="bottom"/>
            <w:gridSpan w:val="7"/>
          </w:tcPr>
          <w:p>
            <w:pPr>
              <w:ind w:left="66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13,858</w:t>
            </w: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16,691</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2"/>
        </w:trPr>
        <w:tc>
          <w:tcPr>
            <w:tcW w:w="16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6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29"/>
        </w:trPr>
        <w:tc>
          <w:tcPr>
            <w:tcW w:w="7060" w:type="dxa"/>
            <w:vAlign w:val="bottom"/>
            <w:gridSpan w:val="7"/>
          </w:tcPr>
          <w:p>
            <w:pPr>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0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060" w:type="dxa"/>
            <w:vAlign w:val="bottom"/>
            <w:gridSpan w:val="7"/>
          </w:tcPr>
          <w:p>
            <w:pPr>
              <w:ind w:left="320"/>
              <w:spacing w:after="0"/>
              <w:rPr>
                <w:sz w:val="20"/>
                <w:szCs w:val="20"/>
                <w:color w:val="auto"/>
              </w:rPr>
            </w:pPr>
            <w:r>
              <w:rPr>
                <w:rFonts w:ascii="Arial" w:cs="Arial" w:eastAsia="Arial" w:hAnsi="Arial"/>
                <w:sz w:val="18"/>
                <w:szCs w:val="18"/>
                <w:color w:val="auto"/>
              </w:rPr>
              <w:t>Short-term debt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4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7060" w:type="dxa"/>
            <w:vAlign w:val="bottom"/>
            <w:gridSpan w:val="7"/>
            <w:shd w:val="clear" w:color="auto" w:fill="CCEEFF"/>
          </w:tcPr>
          <w:p>
            <w:pPr>
              <w:ind w:left="32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7060" w:type="dxa"/>
            <w:vAlign w:val="bottom"/>
            <w:gridSpan w:val="7"/>
          </w:tcPr>
          <w:p>
            <w:pPr>
              <w:ind w:left="320"/>
              <w:spacing w:after="0"/>
              <w:rPr>
                <w:sz w:val="20"/>
                <w:szCs w:val="20"/>
                <w:color w:val="auto"/>
              </w:rPr>
            </w:pPr>
            <w:r>
              <w:rPr>
                <w:rFonts w:ascii="Arial" w:cs="Arial" w:eastAsia="Arial" w:hAnsi="Arial"/>
                <w:sz w:val="18"/>
                <w:szCs w:val="18"/>
                <w:color w:val="auto"/>
              </w:rPr>
              <w:t>Current portion of operating lease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060" w:type="dxa"/>
            <w:vAlign w:val="bottom"/>
            <w:gridSpan w:val="7"/>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r>
      <w:tr>
        <w:trPr>
          <w:trHeight w:val="230"/>
        </w:trPr>
        <w:tc>
          <w:tcPr>
            <w:tcW w:w="7060" w:type="dxa"/>
            <w:vAlign w:val="bottom"/>
            <w:gridSpan w:val="7"/>
          </w:tcPr>
          <w:p>
            <w:pPr>
              <w:ind w:left="32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966</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946</w:t>
            </w:r>
          </w:p>
        </w:tc>
      </w:tr>
      <w:tr>
        <w:trPr>
          <w:trHeight w:val="229"/>
        </w:trPr>
        <w:tc>
          <w:tcPr>
            <w:tcW w:w="7060" w:type="dxa"/>
            <w:vAlign w:val="bottom"/>
            <w:gridSpan w:val="7"/>
            <w:shd w:val="clear" w:color="auto" w:fill="CCEEFF"/>
          </w:tcPr>
          <w:p>
            <w:pPr>
              <w:ind w:left="320"/>
              <w:spacing w:after="0"/>
              <w:rPr>
                <w:sz w:val="20"/>
                <w:szCs w:val="20"/>
                <w:color w:val="auto"/>
              </w:rPr>
            </w:pPr>
            <w:r>
              <w:rPr>
                <w:rFonts w:ascii="Arial" w:cs="Arial" w:eastAsia="Arial" w:hAnsi="Arial"/>
                <w:sz w:val="18"/>
                <w:szCs w:val="18"/>
                <w:color w:val="auto"/>
              </w:rPr>
              <w:t>Current liabilities held for sale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r>
      <w:tr>
        <w:trPr>
          <w:trHeight w:val="223"/>
        </w:trPr>
        <w:tc>
          <w:tcPr>
            <w:tcW w:w="7060" w:type="dxa"/>
            <w:vAlign w:val="bottom"/>
            <w:tcBorders>
              <w:bottom w:val="single" w:sz="8" w:color="CCEEFF"/>
            </w:tcBorders>
            <w:gridSpan w:val="7"/>
          </w:tcPr>
          <w:p>
            <w:pPr>
              <w:ind w:left="66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w:t>
            </w:r>
          </w:p>
        </w:tc>
      </w:tr>
      <w:tr>
        <w:trPr>
          <w:trHeight w:val="75"/>
        </w:trPr>
        <w:tc>
          <w:tcPr>
            <w:tcW w:w="16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6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0"/>
        </w:trPr>
        <w:tc>
          <w:tcPr>
            <w:tcW w:w="7060" w:type="dxa"/>
            <w:vAlign w:val="bottom"/>
            <w:gridSpan w:val="7"/>
          </w:tcPr>
          <w:p>
            <w:pPr>
              <w:spacing w:after="0"/>
              <w:rPr>
                <w:sz w:val="20"/>
                <w:szCs w:val="20"/>
                <w:color w:val="auto"/>
              </w:rPr>
            </w:pPr>
            <w:r>
              <w:rPr>
                <w:rFonts w:ascii="Arial" w:cs="Arial" w:eastAsia="Arial" w:hAnsi="Arial"/>
                <w:sz w:val="18"/>
                <w:szCs w:val="18"/>
                <w:color w:val="auto"/>
              </w:rPr>
              <w:t>Long-term debt, excluding current maturities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6,052</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8,023</w:t>
            </w:r>
          </w:p>
        </w:tc>
      </w:tr>
      <w:tr>
        <w:trPr>
          <w:trHeight w:val="230"/>
        </w:trPr>
        <w:tc>
          <w:tcPr>
            <w:tcW w:w="70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Postretirement and pension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0"/>
        </w:trPr>
        <w:tc>
          <w:tcPr>
            <w:tcW w:w="7060" w:type="dxa"/>
            <w:vAlign w:val="bottom"/>
            <w:gridSpan w:val="7"/>
          </w:tcPr>
          <w:p>
            <w:pPr>
              <w:spacing w:after="0"/>
              <w:rPr>
                <w:sz w:val="20"/>
                <w:szCs w:val="20"/>
                <w:color w:val="auto"/>
              </w:rPr>
            </w:pPr>
            <w:r>
              <w:rPr>
                <w:rFonts w:ascii="Arial" w:cs="Arial" w:eastAsia="Arial" w:hAnsi="Arial"/>
                <w:sz w:val="18"/>
                <w:szCs w:val="18"/>
                <w:color w:val="auto"/>
              </w:rPr>
              <w:t>Non-current portion of operating lease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70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30"/>
        </w:trPr>
        <w:tc>
          <w:tcPr>
            <w:tcW w:w="7060" w:type="dxa"/>
            <w:vAlign w:val="bottom"/>
            <w:gridSpan w:val="7"/>
          </w:tcPr>
          <w:p>
            <w:pPr>
              <w:spacing w:after="0"/>
              <w:rPr>
                <w:sz w:val="20"/>
                <w:szCs w:val="20"/>
                <w:color w:val="auto"/>
              </w:rPr>
            </w:pPr>
            <w:r>
              <w:rPr>
                <w:rFonts w:ascii="Arial" w:cs="Arial" w:eastAsia="Arial" w:hAnsi="Arial"/>
                <w:sz w:val="18"/>
                <w:szCs w:val="18"/>
                <w:color w:val="auto"/>
              </w:rPr>
              <w:t>Non-current liabilities held for sale</w:t>
            </w:r>
          </w:p>
        </w:tc>
        <w:tc>
          <w:tcPr>
            <w:tcW w:w="340" w:type="dxa"/>
            <w:vAlign w:val="bottom"/>
          </w:tcPr>
          <w:p>
            <w:pPr>
              <w:spacing w:after="0"/>
              <w:rPr>
                <w:sz w:val="19"/>
                <w:szCs w:val="19"/>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10"/>
        </w:trPr>
        <w:tc>
          <w:tcPr>
            <w:tcW w:w="7060" w:type="dxa"/>
            <w:vAlign w:val="bottom"/>
            <w:gridSpan w:val="7"/>
            <w:shd w:val="clear" w:color="auto" w:fill="CCEEFF"/>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Commitments and contingent liabilities </w:t>
            </w:r>
            <w:hyperlink w:anchor="page69">
              <w:r>
                <w:rPr>
                  <w:rFonts w:ascii="Arial" w:cs="Arial" w:eastAsia="Arial" w:hAnsi="Arial"/>
                  <w:sz w:val="18"/>
                  <w:szCs w:val="18"/>
                  <w:color w:val="0000FF"/>
                </w:rPr>
                <w:t>(Note P)</w:t>
              </w:r>
            </w:hyperlink>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95"/>
        </w:trPr>
        <w:tc>
          <w:tcPr>
            <w:tcW w:w="1680" w:type="dxa"/>
            <w:vAlign w:val="bottom"/>
            <w:tcBorders>
              <w:top w:val="single" w:sz="8" w:color="CCEEFF"/>
            </w:tcBorders>
          </w:tcPr>
          <w:p>
            <w:pPr>
              <w:spacing w:after="0"/>
              <w:rPr>
                <w:sz w:val="8"/>
                <w:szCs w:val="8"/>
                <w:color w:val="auto"/>
              </w:rPr>
            </w:pPr>
          </w:p>
        </w:tc>
        <w:tc>
          <w:tcPr>
            <w:tcW w:w="400" w:type="dxa"/>
            <w:vAlign w:val="bottom"/>
            <w:tcBorders>
              <w:top w:val="single" w:sz="8" w:color="CCEEFF"/>
            </w:tcBorders>
          </w:tcPr>
          <w:p>
            <w:pPr>
              <w:spacing w:after="0"/>
              <w:rPr>
                <w:sz w:val="8"/>
                <w:szCs w:val="8"/>
                <w:color w:val="auto"/>
              </w:rPr>
            </w:pPr>
          </w:p>
        </w:tc>
        <w:tc>
          <w:tcPr>
            <w:tcW w:w="820" w:type="dxa"/>
            <w:vAlign w:val="bottom"/>
            <w:tcBorders>
              <w:top w:val="single" w:sz="8" w:color="CCEEFF"/>
            </w:tcBorders>
          </w:tcPr>
          <w:p>
            <w:pPr>
              <w:spacing w:after="0"/>
              <w:rPr>
                <w:sz w:val="8"/>
                <w:szCs w:val="8"/>
                <w:color w:val="auto"/>
              </w:rPr>
            </w:pPr>
          </w:p>
        </w:tc>
        <w:tc>
          <w:tcPr>
            <w:tcW w:w="600" w:type="dxa"/>
            <w:vAlign w:val="bottom"/>
            <w:tcBorders>
              <w:top w:val="single" w:sz="8" w:color="0000FF"/>
            </w:tcBorders>
          </w:tcPr>
          <w:p>
            <w:pPr>
              <w:spacing w:after="0"/>
              <w:rPr>
                <w:sz w:val="8"/>
                <w:szCs w:val="8"/>
                <w:color w:val="auto"/>
              </w:rPr>
            </w:pPr>
          </w:p>
        </w:tc>
        <w:tc>
          <w:tcPr>
            <w:tcW w:w="340" w:type="dxa"/>
            <w:vAlign w:val="bottom"/>
            <w:tcBorders>
              <w:top w:val="single" w:sz="8" w:color="CCEEFF"/>
            </w:tcBorders>
          </w:tcPr>
          <w:p>
            <w:pPr>
              <w:spacing w:after="0"/>
              <w:rPr>
                <w:sz w:val="8"/>
                <w:szCs w:val="8"/>
                <w:color w:val="auto"/>
              </w:rPr>
            </w:pPr>
          </w:p>
        </w:tc>
        <w:tc>
          <w:tcPr>
            <w:tcW w:w="620" w:type="dxa"/>
            <w:vAlign w:val="bottom"/>
            <w:tcBorders>
              <w:top w:val="single" w:sz="8" w:color="CCEEFF"/>
            </w:tcBorders>
          </w:tcPr>
          <w:p>
            <w:pPr>
              <w:spacing w:after="0"/>
              <w:rPr>
                <w:sz w:val="8"/>
                <w:szCs w:val="8"/>
                <w:color w:val="auto"/>
              </w:rPr>
            </w:pPr>
          </w:p>
        </w:tc>
        <w:tc>
          <w:tcPr>
            <w:tcW w:w="2600" w:type="dxa"/>
            <w:vAlign w:val="bottom"/>
            <w:tcBorders>
              <w:top w:val="single" w:sz="8" w:color="CCEEFF"/>
            </w:tcBorders>
          </w:tcPr>
          <w:p>
            <w:pPr>
              <w:spacing w:after="0"/>
              <w:rPr>
                <w:sz w:val="8"/>
                <w:szCs w:val="8"/>
                <w:color w:val="auto"/>
              </w:rPr>
            </w:pPr>
          </w:p>
        </w:tc>
        <w:tc>
          <w:tcPr>
            <w:tcW w:w="340" w:type="dxa"/>
            <w:vAlign w:val="bottom"/>
            <w:tcBorders>
              <w:top w:val="single" w:sz="8" w:color="CCEEFF"/>
            </w:tcBorders>
          </w:tcPr>
          <w:p>
            <w:pPr>
              <w:spacing w:after="0"/>
              <w:rPr>
                <w:sz w:val="8"/>
                <w:szCs w:val="8"/>
                <w:color w:val="auto"/>
              </w:rPr>
            </w:pPr>
          </w:p>
        </w:tc>
        <w:tc>
          <w:tcPr>
            <w:tcW w:w="1140" w:type="dxa"/>
            <w:vAlign w:val="bottom"/>
            <w:tcBorders>
              <w:top w:val="single" w:sz="8" w:color="CCEEFF"/>
            </w:tcBorders>
          </w:tcPr>
          <w:p>
            <w:pPr>
              <w:spacing w:after="0"/>
              <w:rPr>
                <w:sz w:val="8"/>
                <w:szCs w:val="8"/>
                <w:color w:val="auto"/>
              </w:rPr>
            </w:pPr>
          </w:p>
        </w:tc>
        <w:tc>
          <w:tcPr>
            <w:tcW w:w="440" w:type="dxa"/>
            <w:vAlign w:val="bottom"/>
            <w:tcBorders>
              <w:top w:val="single" w:sz="8" w:color="CCEEFF"/>
            </w:tcBorders>
          </w:tcPr>
          <w:p>
            <w:pPr>
              <w:spacing w:after="0"/>
              <w:rPr>
                <w:sz w:val="8"/>
                <w:szCs w:val="8"/>
                <w:color w:val="auto"/>
              </w:rPr>
            </w:pPr>
          </w:p>
        </w:tc>
        <w:tc>
          <w:tcPr>
            <w:tcW w:w="320" w:type="dxa"/>
            <w:vAlign w:val="bottom"/>
            <w:tcBorders>
              <w:top w:val="single" w:sz="8" w:color="CCEEFF"/>
            </w:tcBorders>
          </w:tcPr>
          <w:p>
            <w:pPr>
              <w:spacing w:after="0"/>
              <w:rPr>
                <w:sz w:val="8"/>
                <w:szCs w:val="8"/>
                <w:color w:val="auto"/>
              </w:rPr>
            </w:pPr>
          </w:p>
        </w:tc>
        <w:tc>
          <w:tcPr>
            <w:tcW w:w="1120" w:type="dxa"/>
            <w:vAlign w:val="bottom"/>
            <w:tcBorders>
              <w:top w:val="single" w:sz="8" w:color="CCEEFF"/>
            </w:tcBorders>
          </w:tcPr>
          <w:p>
            <w:pPr>
              <w:spacing w:after="0"/>
              <w:rPr>
                <w:sz w:val="8"/>
                <w:szCs w:val="8"/>
                <w:color w:val="auto"/>
              </w:rPr>
            </w:pPr>
          </w:p>
        </w:tc>
      </w:tr>
      <w:tr>
        <w:trPr>
          <w:trHeight w:val="229"/>
        </w:trPr>
        <w:tc>
          <w:tcPr>
            <w:tcW w:w="70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95"/>
        </w:trPr>
        <w:tc>
          <w:tcPr>
            <w:tcW w:w="1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30"/>
        </w:trPr>
        <w:tc>
          <w:tcPr>
            <w:tcW w:w="70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95"/>
        </w:trPr>
        <w:tc>
          <w:tcPr>
            <w:tcW w:w="1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189"/>
        </w:trPr>
        <w:tc>
          <w:tcPr>
            <w:tcW w:w="7060" w:type="dxa"/>
            <w:vAlign w:val="bottom"/>
            <w:gridSpan w:val="7"/>
            <w:shd w:val="clear" w:color="auto" w:fill="CCEEFF"/>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Preferred stock, authorized: 30,000,000; none issued </w:t>
            </w:r>
            <w:hyperlink w:anchor="page81">
              <w:r>
                <w:rPr>
                  <w:rFonts w:ascii="Arial" w:cs="Arial" w:eastAsia="Arial" w:hAnsi="Arial"/>
                  <w:sz w:val="18"/>
                  <w:szCs w:val="18"/>
                  <w:color w:val="0000FF"/>
                </w:rPr>
                <w:t>(Note T)</w:t>
              </w:r>
            </w:hyperlink>
          </w:p>
        </w:tc>
        <w:tc>
          <w:tcPr>
            <w:tcW w:w="3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20"/>
        </w:trPr>
        <w:tc>
          <w:tcPr>
            <w:tcW w:w="16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060" w:type="dxa"/>
            <w:vAlign w:val="bottom"/>
            <w:gridSpan w:val="7"/>
          </w:tcPr>
          <w:p>
            <w:pPr>
              <w:spacing w:after="0"/>
              <w:rPr>
                <w:sz w:val="20"/>
                <w:szCs w:val="20"/>
                <w:color w:val="auto"/>
              </w:rPr>
            </w:pPr>
            <w:r>
              <w:rPr>
                <w:rFonts w:ascii="Arial" w:cs="Arial" w:eastAsia="Arial" w:hAnsi="Arial"/>
                <w:sz w:val="18"/>
                <w:szCs w:val="18"/>
                <w:color w:val="auto"/>
              </w:rPr>
              <w:t>Common stock, par value: $5.00; authorized: 500,000,000 shares; issued: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89"/>
        </w:trPr>
        <w:tc>
          <w:tcPr>
            <w:tcW w:w="7060" w:type="dxa"/>
            <w:vAlign w:val="bottom"/>
            <w:gridSpan w:val="7"/>
            <w:shd w:val="clear" w:color="auto" w:fill="CCEEFF"/>
          </w:tcPr>
          <w:p>
            <w:pPr>
              <w:ind w:left="180"/>
              <w:spacing w:after="0" w:line="189" w:lineRule="exact"/>
              <w:rPr>
                <w:rFonts w:ascii="Arial" w:cs="Arial" w:eastAsia="Arial" w:hAnsi="Arial"/>
                <w:sz w:val="18"/>
                <w:szCs w:val="18"/>
                <w:color w:val="auto"/>
              </w:rPr>
            </w:pPr>
            <w:r>
              <w:rPr>
                <w:rFonts w:ascii="Arial" w:cs="Arial" w:eastAsia="Arial" w:hAnsi="Arial"/>
                <w:sz w:val="18"/>
                <w:szCs w:val="18"/>
                <w:color w:val="auto"/>
              </w:rPr>
              <w:t>185,744,072 shares (</w:t>
            </w:r>
            <w:hyperlink w:anchor="page81">
              <w:r>
                <w:rPr>
                  <w:rFonts w:ascii="Arial" w:cs="Arial" w:eastAsia="Arial" w:hAnsi="Arial"/>
                  <w:sz w:val="18"/>
                  <w:szCs w:val="18"/>
                  <w:color w:val="0000FF"/>
                </w:rPr>
                <w:t>Note</w:t>
              </w:r>
              <w:r>
                <w:rPr>
                  <w:rFonts w:ascii="Arial" w:cs="Arial" w:eastAsia="Arial" w:hAnsi="Arial"/>
                  <w:sz w:val="18"/>
                  <w:szCs w:val="18"/>
                  <w:color w:val="auto"/>
                </w:rPr>
                <w:t xml:space="preserve"> </w:t>
              </w:r>
            </w:hyperlink>
            <w:r>
              <w:rPr>
                <w:rFonts w:ascii="Arial" w:cs="Arial" w:eastAsia="Arial" w:hAnsi="Arial"/>
                <w:sz w:val="18"/>
                <w:szCs w:val="18"/>
                <w:color w:val="auto"/>
              </w:rPr>
              <w:t>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929</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929</w:t>
            </w:r>
          </w:p>
        </w:tc>
      </w:tr>
      <w:tr>
        <w:trPr>
          <w:trHeight w:val="20"/>
        </w:trPr>
        <w:tc>
          <w:tcPr>
            <w:tcW w:w="16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060" w:type="dxa"/>
            <w:vAlign w:val="bottom"/>
            <w:gridSpan w:val="7"/>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70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r>
      <w:tr>
        <w:trPr>
          <w:trHeight w:val="230"/>
        </w:trPr>
        <w:tc>
          <w:tcPr>
            <w:tcW w:w="7060" w:type="dxa"/>
            <w:vAlign w:val="bottom"/>
            <w:gridSpan w:val="7"/>
          </w:tcPr>
          <w:p>
            <w:pPr>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(1,898)</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(3,193)</w:t>
            </w:r>
          </w:p>
        </w:tc>
      </w:tr>
      <w:tr>
        <w:trPr>
          <w:trHeight w:val="230"/>
        </w:trPr>
        <w:tc>
          <w:tcPr>
            <w:tcW w:w="70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Treasury stock at par value (2021 - 59,612,273 shares; 2020 - 50,943,042 shares)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3"/>
        </w:trPr>
        <w:tc>
          <w:tcPr>
            <w:tcW w:w="7060" w:type="dxa"/>
            <w:vAlign w:val="bottom"/>
            <w:tcBorders>
              <w:bottom w:val="single" w:sz="8" w:color="CCEEFF"/>
            </w:tcBorders>
            <w:gridSpan w:val="7"/>
          </w:tcPr>
          <w:p>
            <w:pPr>
              <w:spacing w:after="0"/>
              <w:rPr>
                <w:sz w:val="20"/>
                <w:szCs w:val="20"/>
                <w:color w:val="auto"/>
              </w:rPr>
            </w:pPr>
            <w:r>
              <w:rPr>
                <w:rFonts w:ascii="Arial" w:cs="Arial" w:eastAsia="Arial" w:hAnsi="Arial"/>
                <w:sz w:val="18"/>
                <w:szCs w:val="18"/>
                <w:color w:val="auto"/>
              </w:rPr>
              <w:t>Crown Holdings shareholders’ equity</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w:t>
            </w:r>
          </w:p>
        </w:tc>
      </w:tr>
      <w:tr>
        <w:trPr>
          <w:trHeight w:val="223"/>
        </w:trPr>
        <w:tc>
          <w:tcPr>
            <w:tcW w:w="7060" w:type="dxa"/>
            <w:vAlign w:val="bottom"/>
            <w:gridSpan w:val="7"/>
            <w:shd w:val="clear" w:color="auto" w:fill="CCEEFF"/>
          </w:tcPr>
          <w:p>
            <w:pPr>
              <w:ind w:left="660"/>
              <w:spacing w:after="0"/>
              <w:rPr>
                <w:sz w:val="20"/>
                <w:szCs w:val="20"/>
                <w:color w:val="auto"/>
              </w:rPr>
            </w:pPr>
            <w:r>
              <w:rPr>
                <w:rFonts w:ascii="Arial" w:cs="Arial" w:eastAsia="Arial" w:hAnsi="Arial"/>
                <w:sz w:val="18"/>
                <w:szCs w:val="18"/>
                <w:b w:val="1"/>
                <w:bCs w:val="1"/>
                <w:color w:val="auto"/>
              </w:rPr>
              <w:t>Total equity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r>
      <w:tr>
        <w:trPr>
          <w:trHeight w:val="223"/>
        </w:trPr>
        <w:tc>
          <w:tcPr>
            <w:tcW w:w="7060" w:type="dxa"/>
            <w:vAlign w:val="bottom"/>
            <w:gridSpan w:val="7"/>
          </w:tcPr>
          <w:p>
            <w:pPr>
              <w:ind w:left="66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13,858</w:t>
            </w:r>
          </w:p>
        </w:tc>
        <w:tc>
          <w:tcPr>
            <w:tcW w:w="4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16,691</w:t>
            </w:r>
          </w:p>
        </w:tc>
      </w:tr>
      <w:tr>
        <w:trPr>
          <w:trHeight w:val="20"/>
        </w:trPr>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Net (loss) /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688</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29"/>
        </w:trPr>
        <w:tc>
          <w:tcPr>
            <w:tcW w:w="74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Adjustments to reconcile net (loss) / income to net cash provided by operating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48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30"/>
        </w:trPr>
        <w:tc>
          <w:tcPr>
            <w:tcW w:w="7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Restructuring and other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7480" w:type="dxa"/>
            <w:vAlign w:val="bottom"/>
          </w:tcPr>
          <w:p>
            <w:pPr>
              <w:ind w:left="500"/>
              <w:spacing w:after="0"/>
              <w:rPr>
                <w:sz w:val="20"/>
                <w:szCs w:val="20"/>
                <w:color w:val="auto"/>
              </w:rPr>
            </w:pPr>
            <w:r>
              <w:rPr>
                <w:rFonts w:ascii="Arial" w:cs="Arial" w:eastAsia="Arial" w:hAnsi="Arial"/>
                <w:sz w:val="18"/>
                <w:szCs w:val="18"/>
                <w:color w:val="auto"/>
              </w:rPr>
              <w:t>Loss from disposal of discontinued operations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Goodwill impairment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7480" w:type="dxa"/>
            <w:vAlign w:val="bottom"/>
          </w:tcPr>
          <w:p>
            <w:pPr>
              <w:ind w:left="500"/>
              <w:spacing w:after="0"/>
              <w:rPr>
                <w:sz w:val="20"/>
                <w:szCs w:val="20"/>
                <w:color w:val="auto"/>
              </w:rPr>
            </w:pPr>
            <w:r>
              <w:rPr>
                <w:rFonts w:ascii="Arial" w:cs="Arial" w:eastAsia="Arial" w:hAnsi="Arial"/>
                <w:sz w:val="18"/>
                <w:szCs w:val="18"/>
                <w:color w:val="auto"/>
              </w:rPr>
              <w:t>Pension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7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Pension contributions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48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from early extinguishments of debt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48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480" w:type="dxa"/>
            <w:vAlign w:val="bottom"/>
          </w:tcPr>
          <w:p>
            <w:pPr>
              <w:ind w:left="70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7480" w:type="dxa"/>
            <w:vAlign w:val="bottom"/>
          </w:tcPr>
          <w:p>
            <w:pPr>
              <w:ind w:left="68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7480" w:type="dxa"/>
            <w:vAlign w:val="bottom"/>
            <w:tcBorders>
              <w:bottom w:val="single" w:sz="8" w:color="CCEEFF"/>
            </w:tcBorders>
          </w:tcPr>
          <w:p>
            <w:pPr>
              <w:ind w:left="128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r>
      <w:tr>
        <w:trPr>
          <w:trHeight w:val="20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7480" w:type="dxa"/>
            <w:vAlign w:val="bottom"/>
          </w:tcPr>
          <w:p>
            <w:pPr>
              <w:ind w:left="50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29"/>
        </w:trPr>
        <w:tc>
          <w:tcPr>
            <w:tcW w:w="7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sale of discontinued operations, net of cash disposed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tcPr>
          <w:p>
            <w:pPr>
              <w:ind w:left="500"/>
              <w:spacing w:after="0"/>
              <w:rPr>
                <w:sz w:val="20"/>
                <w:szCs w:val="20"/>
                <w:color w:val="auto"/>
              </w:rPr>
            </w:pPr>
            <w:r>
              <w:rPr>
                <w:rFonts w:ascii="Arial" w:cs="Arial" w:eastAsia="Arial" w:hAnsi="Arial"/>
                <w:sz w:val="18"/>
                <w:szCs w:val="18"/>
                <w:color w:val="auto"/>
              </w:rPr>
              <w:t>Proceeds from sale of property, plant and equipment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7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investment hedges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74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4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Net cash provided by / (used for) investing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change in revolving credit facility and short-term debt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480" w:type="dxa"/>
            <w:vAlign w:val="bottom"/>
          </w:tcPr>
          <w:p>
            <w:pPr>
              <w:ind w:left="500"/>
              <w:spacing w:after="0"/>
              <w:rPr>
                <w:sz w:val="20"/>
                <w:szCs w:val="20"/>
                <w:color w:val="auto"/>
              </w:rPr>
            </w:pPr>
            <w:r>
              <w:rPr>
                <w:rFonts w:ascii="Arial" w:cs="Arial" w:eastAsia="Arial" w:hAnsi="Arial"/>
                <w:sz w:val="18"/>
                <w:szCs w:val="18"/>
                <w:color w:val="auto"/>
              </w:rPr>
              <w:t>Proceeds from long-term debt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2,216</w:t>
            </w:r>
          </w:p>
        </w:tc>
      </w:tr>
      <w:tr>
        <w:trPr>
          <w:trHeight w:val="230"/>
        </w:trPr>
        <w:tc>
          <w:tcPr>
            <w:tcW w:w="7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Payments of long-term debt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r>
      <w:tr>
        <w:trPr>
          <w:trHeight w:val="229"/>
        </w:trPr>
        <w:tc>
          <w:tcPr>
            <w:tcW w:w="7480" w:type="dxa"/>
            <w:vAlign w:val="bottom"/>
          </w:tcPr>
          <w:p>
            <w:pPr>
              <w:ind w:left="560"/>
              <w:spacing w:after="0"/>
              <w:rPr>
                <w:sz w:val="20"/>
                <w:szCs w:val="20"/>
                <w:color w:val="auto"/>
              </w:rPr>
            </w:pPr>
            <w:r>
              <w:rPr>
                <w:rFonts w:ascii="Arial" w:cs="Arial" w:eastAsia="Arial" w:hAnsi="Arial"/>
                <w:sz w:val="18"/>
                <w:szCs w:val="18"/>
                <w:color w:val="auto"/>
              </w:rPr>
              <w:t>Premiums paid to retire debt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480" w:type="dxa"/>
            <w:vAlign w:val="bottom"/>
          </w:tcPr>
          <w:p>
            <w:pPr>
              <w:ind w:left="500"/>
              <w:spacing w:after="0"/>
              <w:rPr>
                <w:sz w:val="20"/>
                <w:szCs w:val="20"/>
                <w:color w:val="auto"/>
              </w:rPr>
            </w:pPr>
            <w:r>
              <w:rPr>
                <w:rFonts w:ascii="Arial" w:cs="Arial" w:eastAsia="Arial" w:hAnsi="Arial"/>
                <w:sz w:val="18"/>
                <w:szCs w:val="18"/>
                <w:color w:val="auto"/>
              </w:rPr>
              <w:t>Foreign exchange derivatives related to debt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Finance lease payments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480" w:type="dxa"/>
            <w:vAlign w:val="bottom"/>
          </w:tcPr>
          <w:p>
            <w:pPr>
              <w:ind w:left="500"/>
              <w:spacing w:after="0"/>
              <w:rPr>
                <w:sz w:val="20"/>
                <w:szCs w:val="20"/>
                <w:color w:val="auto"/>
              </w:rPr>
            </w:pPr>
            <w:r>
              <w:rPr>
                <w:rFonts w:ascii="Arial" w:cs="Arial" w:eastAsia="Arial" w:hAnsi="Arial"/>
                <w:sz w:val="18"/>
                <w:szCs w:val="18"/>
                <w:color w:val="auto"/>
              </w:rPr>
              <w:t>Dividends paid to noncontrolling interests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7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Contribution from noncontrolling interests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480" w:type="dxa"/>
            <w:vAlign w:val="bottom"/>
          </w:tcPr>
          <w:p>
            <w:pPr>
              <w:ind w:left="500"/>
              <w:spacing w:after="0"/>
              <w:rPr>
                <w:sz w:val="20"/>
                <w:szCs w:val="20"/>
                <w:color w:val="auto"/>
              </w:rPr>
            </w:pPr>
            <w:r>
              <w:rPr>
                <w:rFonts w:ascii="Arial" w:cs="Arial" w:eastAsia="Arial" w:hAnsi="Arial"/>
                <w:sz w:val="18"/>
                <w:szCs w:val="18"/>
                <w:color w:val="auto"/>
              </w:rPr>
              <w:t>Dividends paid to shareholders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Common stock issued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4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Common stock repurchased</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48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used for financing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January 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December 31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3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9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vMerge w:val="restart"/>
          </w:tcPr>
          <w:p>
            <w:pPr>
              <w:jc w:val="center"/>
              <w:ind w:right="12"/>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14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7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Crown</w:t>
            </w:r>
          </w:p>
        </w:tc>
        <w:tc>
          <w:tcPr>
            <w:tcW w:w="1060" w:type="dxa"/>
            <w:vAlign w:val="bottom"/>
            <w:gridSpan w:val="3"/>
            <w:vMerge w:val="continue"/>
          </w:tcPr>
          <w:p>
            <w:pPr>
              <w:spacing w:after="0"/>
              <w:rPr>
                <w:sz w:val="11"/>
                <w:szCs w:val="11"/>
                <w:color w:val="auto"/>
              </w:rPr>
            </w:pPr>
          </w:p>
        </w:tc>
        <w:tc>
          <w:tcPr>
            <w:tcW w:w="9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6"/>
                <w:szCs w:val="16"/>
                <w:color w:val="auto"/>
              </w:rPr>
            </w:pPr>
          </w:p>
        </w:tc>
        <w:tc>
          <w:tcPr>
            <w:tcW w:w="740" w:type="dxa"/>
            <w:vAlign w:val="bottom"/>
          </w:tcPr>
          <w:p>
            <w:pPr>
              <w:jc w:val="right"/>
              <w:ind w:right="17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from noncontrolling interests</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Sale of noncontrolling interests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awarded</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repurchased</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579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579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 income</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awarded</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repurchased</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(560)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(560)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Dividends paid to shareholders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Restricted stock awarded</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Common stock issued</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line="176" w:lineRule="exact"/>
              <w:rPr>
                <w:sz w:val="20"/>
                <w:szCs w:val="20"/>
                <w:color w:val="auto"/>
              </w:rPr>
            </w:pPr>
            <w:r>
              <w:rPr>
                <w:rFonts w:ascii="Arial" w:cs="Arial" w:eastAsia="Arial" w:hAnsi="Arial"/>
                <w:sz w:val="18"/>
                <w:szCs w:val="18"/>
                <w:color w:val="auto"/>
              </w:rPr>
              <w:t>Disposition of subsidiary with noncontrolling</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line="230" w:lineRule="exact"/>
              <w:rPr>
                <w:sz w:val="20"/>
                <w:szCs w:val="20"/>
                <w:color w:val="auto"/>
              </w:rPr>
            </w:pPr>
            <w:r>
              <w:rPr>
                <w:rFonts w:ascii="Arial" w:cs="Arial" w:eastAsia="Arial" w:hAnsi="Arial"/>
                <w:sz w:val="18"/>
                <w:szCs w:val="18"/>
                <w:color w:val="auto"/>
              </w:rPr>
              <w:t>interests</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right="4900" w:firstLine="8"/>
        <w:spacing w:after="0" w:line="317" w:lineRule="auto"/>
        <w:tabs>
          <w:tab w:leader="none" w:pos="165" w:val="left"/>
        </w:tabs>
        <w:numPr>
          <w:ilvl w:val="0"/>
          <w:numId w:val="21"/>
        </w:numPr>
        <w:rPr>
          <w:rFonts w:ascii="Arial" w:cs="Arial" w:eastAsia="Arial" w:hAnsi="Arial"/>
          <w:sz w:val="15"/>
          <w:szCs w:val="15"/>
          <w:color w:val="auto"/>
        </w:rPr>
      </w:pPr>
      <w:r>
        <w:rPr>
          <w:rFonts w:ascii="Arial" w:cs="Arial" w:eastAsia="Arial" w:hAnsi="Arial"/>
          <w:sz w:val="15"/>
          <w:szCs w:val="15"/>
          <w:color w:val="auto"/>
        </w:rPr>
        <w:t xml:space="preserve">Relates to the sale of the European Tinplate business. See </w:t>
      </w:r>
      <w:hyperlink w:anchor="page54">
        <w:r>
          <w:rPr>
            <w:rFonts w:ascii="Arial" w:cs="Arial" w:eastAsia="Arial" w:hAnsi="Arial"/>
            <w:sz w:val="15"/>
            <w:szCs w:val="15"/>
            <w:u w:val="single" w:color="auto"/>
            <w:color w:val="0000FF"/>
          </w:rPr>
          <w:t>Note B</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for further details. The accompanying notes are an integral part of these consolidated financial statements.</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per share, employee and statistical data)</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Business and Principles of Consolidation</w:t>
      </w:r>
      <w:r>
        <w:rPr>
          <w:rFonts w:ascii="Arial" w:cs="Arial" w:eastAsia="Arial" w:hAnsi="Arial"/>
          <w:sz w:val="18"/>
          <w:szCs w:val="18"/>
          <w:color w:val="auto"/>
        </w:rPr>
        <w:t>. The consolidated financial statements include the accounts of Crown Holdings, Inc.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subsidiary companies (where the context requires, the “Company” shall include reference to the Company and its consolidated subsidiary companies).</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a worldwide leader in the design, manufacture and sale of packaging products for consumer goods and industrial products. The Company's consumer packaging solutions primarily support the beverage and food industries through the sale of aluminum and steel cans. The Company's packaging for industrial products includes steel and plastic consumables and equipment, paper-based protective packaging, and plastic film consumables and equipment, which are sold into the metals, food and beverage, construction, agricultural, corrugated and general industries.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financial statements were prepared in conformity with accounting principles generally accepted in the United States of America and reflect management’s estimates and assumptions. Actual results could differ from those estimates, impacting reported results of operations and financial position. All intercompany accounts and transactions are eliminated in consolidation. In deciding which entities should be reported on a consolidated basis, the Company first determines whether the entity is a variable interest entity (“VIE”). If an entity is a VIE, the Company determines whether it is the primary beneficiary and therefore, should consolidate the VIE. If an entity is not a VIE, the Company consolidates those entities in which it has control, including certain subsidiaries that are not majority-owned. Certain of the Company’s agreements with noncontrolling interests contain provisions in which the Company would surrender certain decision-making rights upon a change in control of the Company. Accordingly, consolidation of these operations may no longer be appropriate subsequent to a change in control of the Company, as defined in the agreements.</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Investments in companies in which the Company does not have control, but has the ability to exercise significant influence over operating and financial policies, are accounted for by the equity method. The proportionate share of the net income / (loss) resulting from these investments is reported in Equity in net earnings of affiliates in the Consolidated Statement of Operations. The carrying value of the Company's equity method investments are reported in Other non-current assets in the Consolidated Balance Sheets. Equity method investments are reported at cost and adjusted each period for the Company's share of the investee's income or loss and dividends paid, if any. The Company assess investments for impairment whenever events or changes in circumstances indicate that the carrying value of an investment may not be recoverable. Other investments are carried at cost.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Foreign Currency Translation</w:t>
      </w:r>
      <w:r>
        <w:rPr>
          <w:rFonts w:ascii="Arial" w:cs="Arial" w:eastAsia="Arial" w:hAnsi="Arial"/>
          <w:sz w:val="17"/>
          <w:szCs w:val="17"/>
          <w:color w:val="auto"/>
        </w:rPr>
        <w:t>. For non-U.S. subsidiaries which operate in a local currency environment, assets and liabilities are translated into U.S.</w:t>
      </w:r>
      <w:r>
        <w:rPr>
          <w:rFonts w:ascii="Arial" w:cs="Arial" w:eastAsia="Arial" w:hAnsi="Arial"/>
          <w:sz w:val="17"/>
          <w:szCs w:val="17"/>
          <w:b w:val="1"/>
          <w:bCs w:val="1"/>
          <w:color w:val="auto"/>
        </w:rPr>
        <w:t xml:space="preserve"> </w:t>
      </w:r>
      <w:r>
        <w:rPr>
          <w:rFonts w:ascii="Arial" w:cs="Arial" w:eastAsia="Arial" w:hAnsi="Arial"/>
          <w:sz w:val="17"/>
          <w:szCs w:val="17"/>
          <w:color w:val="auto"/>
        </w:rPr>
        <w:t>dollars at year-end exchange rates. Income, expense and cash flow items are translated at average exchange rates prevailing during the year. Translation adjustments for these subsidiaries are accumulated as a separate component of accumulated other comprehensive income in equity. For non-U.S. subsidiaries that use a U.S. dollar functional currency, local currency inventories and property, plant and equipment are translated into U.S. dollars at rates prevailing when acquired; all other assets and liabilities are translated at year-end exchange rates. Inventories charged to cost of sales and depreciation are remeasured at historical rates; all other income and expense items are translated at average exchange rates prevailing during the year. Gains and losses which result from remeasurement are included in earnings.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 The majority of the Company’s revenues from metal packaging products are derived from multi-year requirement contracts with</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manufacturers and marketers of packaged consumer products for can sets, comprising a can and an end. As requirement contracts do not typically include fixed volumes, customers often purchase products pursuant to purchase orders or other communications which are short-term in nature. The can and the end are considered separate performance obligations because they are distinct and separately identifiable. Revenues from Transit Packaging are generally derived from individual purchase orders which may include multiple goods and services which are separate performance obligations because they are distinct and separately identifiable.</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manufactures certain products that have no alternative use to the Company once they are printed or manufactured to customer specifications. If the Company has an enforceable right to payment for custom products at all times in the manufacturing process, revenue is recognized over time. In each of the Company’s geographic markets, revenue from beverage cans is primarily recognized over time using the units produced output method as beverage cans are generally printed for a specific customer in a continuous production process. The timing of revenue recognition for the Company’s other products, including beverage ends and three-piece products, which includes food cans and ends and aerosol cans and ends, may vary as these products may be printed or customized depending upon customer preferences which can vary by geographic market. Revenue that is recognized over time for the Company’s three-piece products and equipment business is generally recognized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using the cost-to-cost input method as these products involve an intermediary step that results in customized work-in-process inventory. For products that follow a point in time model, revenue is generally recognized when title and risk of loss transfer.</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 is measured as the amount of consideration the Company expects to receive in exchange for transferring goods or providing services. Standalone selling prices for each performance obligation are generally stated in the contract. When the Company offers variable consideration in the form of volume rebates to customers, it estimates the most likely amount of revenue to which it is expected to be entitled and includes the estimate in the transaction price, limited to the amount which is probable will not result in reversal of cumulative revenue recognized when the variable consideration is resolved. When the Company offers customers options to purchase additional product at discounted prices, judgment is required to determine if the discounted prices represent material rights. If so, the transaction price allocated to the discount is based on its relative standalone price and is recognized upon purchase of the additional product. Customer payment terms are typically less than one year and as such, the Company has applied the practical expedient to exclude consideration of significant financing components from the determination of transaction price.</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Taxes collected from customers and remitted to governmental authorities are excluded from net sales. Shipping and handling fees and costs from product sales are reported as cost of products sold and are accrued when the Company recognizes revenue over time before the shipping and handling activities occur. Costs to obtain a contract are generally immaterial but the Company has elected the practical expedient to expense these costs as incurred if the duration of the contract is one year or less.</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receivables are recorded for revenue recognized over time when the Company has determined that control has passed to the customer but the customer has not yet been invoiced because the Company does not have present right to payment. The Company generally has a present right to payment when title of product transfers. Unbilled receivables are included in receivables in the Consolidated Balance Sheet with a corresponding decrease to inventory.</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Contract assets are recorded for revenue recognized over time when the Company has determined that control for a performance obligation has passed to the customer, but the right to invoice the customer is contingent upon the completion of the performance obligations included in the contract. Contract assets are classified as current as they are expected to be invoiced within one year and may not exceed their net realizable value.</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liabilities are established if the Company must defer the recognition of a portion of consideration received because it has to satisfy a future obligation. Contract liabilities are classified as current or noncurrent based on when the Company expects to recognize revenue.</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Stock-Based Compensation</w:t>
      </w:r>
      <w:r>
        <w:rPr>
          <w:rFonts w:ascii="Arial" w:cs="Arial" w:eastAsia="Arial" w:hAnsi="Arial"/>
          <w:sz w:val="17"/>
          <w:szCs w:val="17"/>
          <w:color w:val="auto"/>
        </w:rPr>
        <w:t>. For awards with a service or market condition, compensation expense is recognized over the vesting period on a straight-line</w:t>
      </w:r>
      <w:r>
        <w:rPr>
          <w:rFonts w:ascii="Arial" w:cs="Arial" w:eastAsia="Arial" w:hAnsi="Arial"/>
          <w:sz w:val="17"/>
          <w:szCs w:val="17"/>
          <w:b w:val="1"/>
          <w:bCs w:val="1"/>
          <w:color w:val="auto"/>
        </w:rPr>
        <w:t xml:space="preserve"> </w:t>
      </w:r>
      <w:r>
        <w:rPr>
          <w:rFonts w:ascii="Arial" w:cs="Arial" w:eastAsia="Arial" w:hAnsi="Arial"/>
          <w:sz w:val="17"/>
          <w:szCs w:val="17"/>
          <w:color w:val="auto"/>
        </w:rPr>
        <w:t>basis using the grant date fair value of the award and the estimated number of awards that are expected to vest. For awards with a performance condition, the Company assesses the probability of vesting at each reporting period and adjusts compensation cost based on its probability assessment. The Company’s plans provide for stock awards which may include accelerated vesting upon retirement, disability, or death of eligible employees. The Company considers a stock-based award to be vested when the service period is no longer contingent on the employee providing future service. Accordingly, the related compensation cost is recognized immediately for awards granted to retirement-eligible individuals, or over the period from the grant date to the date that retirement eligibility is achieved if less than the stated vesting period.</w:t>
      </w:r>
    </w:p>
    <w:p>
      <w:pPr>
        <w:spacing w:after="0" w:line="11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Cash, Cash Equivalents and Restricted Cash</w:t>
      </w:r>
      <w:r>
        <w:rPr>
          <w:rFonts w:ascii="Arial" w:cs="Arial" w:eastAsia="Arial" w:hAnsi="Arial"/>
          <w:sz w:val="16"/>
          <w:szCs w:val="16"/>
          <w:color w:val="auto"/>
        </w:rPr>
        <w:t>. Cash equivalents represent investments with maturities of three months or less from the time of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and are carried at cost, which approximates fair value because of the short maturity of those instruments. Outstanding checks in excess of funds on deposit are included in accounts payable. The Company generally classifies any cash that is legally restricted as to withdrawal or usage as restricted cash.</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Accounts Receivable and Allowance for Credit Losses. </w:t>
      </w:r>
      <w:r>
        <w:rPr>
          <w:rFonts w:ascii="Arial" w:cs="Arial" w:eastAsia="Arial" w:hAnsi="Arial"/>
          <w:sz w:val="18"/>
          <w:szCs w:val="18"/>
          <w:color w:val="auto"/>
        </w:rPr>
        <w:t>Trade accounts receivable are recorded at the invoiced amount and do not bear interest.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of expected credit losses is based on past events, historical experience, current conditions and forecasts that affect the collectability of accounts receivable.</w:t>
      </w:r>
    </w:p>
    <w:p>
      <w:pPr>
        <w:spacing w:after="0" w:line="20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Inventory Valuation</w:t>
      </w:r>
      <w:r>
        <w:rPr>
          <w:rFonts w:ascii="Arial" w:cs="Arial" w:eastAsia="Arial" w:hAnsi="Arial"/>
          <w:sz w:val="18"/>
          <w:szCs w:val="18"/>
          <w:color w:val="auto"/>
        </w:rPr>
        <w:t>. Inventories are stated at the lower of cost or net realizable value, with cost principally determined under the first-in, first-out</w:t>
      </w:r>
      <w:r>
        <w:rPr>
          <w:rFonts w:ascii="Arial" w:cs="Arial" w:eastAsia="Arial" w:hAnsi="Arial"/>
          <w:sz w:val="18"/>
          <w:szCs w:val="18"/>
          <w:b w:val="1"/>
          <w:bCs w:val="1"/>
          <w:color w:val="auto"/>
        </w:rPr>
        <w:t xml:space="preserve"> </w:t>
      </w:r>
      <w:r>
        <w:rPr>
          <w:rFonts w:ascii="Arial" w:cs="Arial" w:eastAsia="Arial" w:hAnsi="Arial"/>
          <w:sz w:val="18"/>
          <w:szCs w:val="18"/>
          <w:color w:val="auto"/>
        </w:rPr>
        <w:t>(“FIFO”) or average cost method.</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Property, Plant and Equipment</w:t>
      </w:r>
      <w:r>
        <w:rPr>
          <w:rFonts w:ascii="Arial" w:cs="Arial" w:eastAsia="Arial" w:hAnsi="Arial"/>
          <w:sz w:val="17"/>
          <w:szCs w:val="17"/>
          <w:color w:val="auto"/>
        </w:rPr>
        <w:t>. Property, plant and equipment (“PP&amp;E”) is carried at cost less accumulated depreciation and includes expenditures for</w:t>
      </w:r>
      <w:r>
        <w:rPr>
          <w:rFonts w:ascii="Arial" w:cs="Arial" w:eastAsia="Arial" w:hAnsi="Arial"/>
          <w:sz w:val="17"/>
          <w:szCs w:val="17"/>
          <w:b w:val="1"/>
          <w:bCs w:val="1"/>
          <w:color w:val="auto"/>
        </w:rPr>
        <w:t xml:space="preserve"> </w:t>
      </w:r>
      <w:r>
        <w:rPr>
          <w:rFonts w:ascii="Arial" w:cs="Arial" w:eastAsia="Arial" w:hAnsi="Arial"/>
          <w:sz w:val="17"/>
          <w:szCs w:val="17"/>
          <w:color w:val="auto"/>
        </w:rPr>
        <w:t>new facilities and equipment and those costs which substantially increase the useful lives or capacity of existing PP&amp;E. Cost of constructed assets includes capitalized interest incurred during the construction and development period. Maintenance and repairs, including labor and material costs for planned major maintenance such as annual production line overhauls, are expensed as incurred. When PP&amp;E is retired or otherwise disposed, the net carrying amount is eliminated with any gain or loss on disposition recognized in earnings at that time.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Depreciation is provided on a straight-line basis over the estimated useful lives of the assets described below (in years). The Company periodically reviews the estimated useful lives of its PP&amp;E and, where appropriate, changes are made prospectively.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w:t>
            </w:r>
          </w:p>
        </w:tc>
        <w:tc>
          <w:tcPr>
            <w:tcW w:w="398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3980" w:type="dxa"/>
            <w:vAlign w:val="bottom"/>
          </w:tcPr>
          <w:p>
            <w:pPr>
              <w:jc w:val="right"/>
              <w:spacing w:after="0"/>
              <w:rPr>
                <w:sz w:val="20"/>
                <w:szCs w:val="20"/>
                <w:color w:val="auto"/>
              </w:rPr>
            </w:pPr>
            <w:r>
              <w:rPr>
                <w:rFonts w:ascii="Arial" w:cs="Arial" w:eastAsia="Arial" w:hAnsi="Arial"/>
                <w:sz w:val="18"/>
                <w:szCs w:val="18"/>
                <w:color w:val="auto"/>
              </w:rPr>
              <w:t>25 –</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40</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w:t>
            </w: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Goodwill and Intangible Assets</w:t>
      </w:r>
      <w:r>
        <w:rPr>
          <w:rFonts w:ascii="Arial" w:cs="Arial" w:eastAsia="Arial" w:hAnsi="Arial"/>
          <w:sz w:val="16"/>
          <w:szCs w:val="16"/>
          <w:color w:val="auto"/>
        </w:rPr>
        <w:t>. Assets and liabilities of acquired businesses are recorded under the acquisition method of accounting at their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fair values at the dates of acquisition. Goodwill represents costs in excess of fair values assigned to the underlying identifiable net assets of acquired businesses. Goodwill is carried at cost and reviewed for impairment annually in the fourth quarter of each year or when facts and circumstances indicate goodwill may be impaired. Goodwill is allocated to the reporting units at the time of each acquisition based on the relative fair values of the reporting units. In assessing goodwill for impairment, the Company may first assess qualitative factors to determine whether the existence of events or circumstances leads to a determination that it is more likely than not that the fair value of a reporting unit is less than its carrying amount. Further quantitative assessment may then be required. The quantitative assessment involves a number of assumptions and judgments, including the calculation of fair value for the Company’s identified reporting units. The Company determines the estimated fair value of each reporting unit based on an average of the estimated fair values using an income and a market approach. The income approach utilizes significant assumptions, including revenue and Adjusted EBITDA (a non-GAAP item defined by the Company as net customer sales, less cost of products sold excluding depreciation and amortization, less selling and administrative expenses) margin growth rates, discount rates and terminal year exit multiples. If the carrying value of a reporting unit exceeds its fair value, any impairment loss is measured by comparing the carrying value of the reporting unit to its fair value, not to exceed the carrying amount of goodwill.</w:t>
      </w:r>
    </w:p>
    <w:p>
      <w:pPr>
        <w:spacing w:after="0" w:line="19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Definite-lived intangible assets are carried at cost less accumulated amortization. Definite-lived intangibles are amortized on a straight-line basis over their estimated useful lives described below (in years). Definite-lived intangible assets are tested for impairment when facts and circumstances indicate the carrying value may not be recoverable from their undiscounted cash flows. If impaired, the assets are written down to fair value based on either discounted cash flows or appraised values.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420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jc w:val="right"/>
              <w:spacing w:after="0"/>
              <w:rPr>
                <w:sz w:val="20"/>
                <w:szCs w:val="20"/>
                <w:color w:val="auto"/>
              </w:rPr>
            </w:pPr>
            <w:r>
              <w:rPr>
                <w:rFonts w:ascii="Arial" w:cs="Arial" w:eastAsia="Arial" w:hAnsi="Arial"/>
                <w:sz w:val="18"/>
                <w:szCs w:val="18"/>
                <w:color w:val="auto"/>
              </w:rPr>
              <w:t>- 27</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4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6 - 8</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Long-term supply contracts</w:t>
            </w:r>
          </w:p>
        </w:tc>
        <w:tc>
          <w:tcPr>
            <w:tcW w:w="4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4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bl>
    <w:p>
      <w:pPr>
        <w:spacing w:after="0" w:line="30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Impairment or Disposal of Long-Lived Assets</w:t>
      </w:r>
      <w:r>
        <w:rPr>
          <w:rFonts w:ascii="Arial" w:cs="Arial" w:eastAsia="Arial" w:hAnsi="Arial"/>
          <w:sz w:val="16"/>
          <w:szCs w:val="16"/>
          <w:color w:val="auto"/>
        </w:rPr>
        <w:t>. In the event that facts and circumstances indicate that the carrying value of long-lived assets, primarily</w:t>
      </w:r>
      <w:r>
        <w:rPr>
          <w:rFonts w:ascii="Arial" w:cs="Arial" w:eastAsia="Arial" w:hAnsi="Arial"/>
          <w:sz w:val="16"/>
          <w:szCs w:val="16"/>
          <w:b w:val="1"/>
          <w:bCs w:val="1"/>
          <w:color w:val="auto"/>
        </w:rPr>
        <w:t xml:space="preserve"> </w:t>
      </w:r>
      <w:r>
        <w:rPr>
          <w:rFonts w:ascii="Arial" w:cs="Arial" w:eastAsia="Arial" w:hAnsi="Arial"/>
          <w:sz w:val="16"/>
          <w:szCs w:val="16"/>
          <w:color w:val="auto"/>
        </w:rPr>
        <w:t>PP&amp;E, may be impaired, the Company performs a recoverability evaluation. If the evaluation indicates that the carrying value of an asset is not recoverable from its undiscounted cash flows, an impairment loss is measured by comparing the carrying value of the asset to its fair value, based on discounted cash flows. Long-lived assets classified as held for sale are presented in the balance sheet at the lower of their carrying value or fair value less cost to sell.</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The Company has operating and finance leases for land and buildings related to certain manufacturing facilities, warehouses and corporate offices,</w:t>
      </w:r>
      <w:r>
        <w:rPr>
          <w:rFonts w:ascii="Arial" w:cs="Arial" w:eastAsia="Arial" w:hAnsi="Arial"/>
          <w:sz w:val="16"/>
          <w:szCs w:val="16"/>
          <w:b w:val="1"/>
          <w:bCs w:val="1"/>
          <w:color w:val="auto"/>
        </w:rPr>
        <w:t xml:space="preserve"> </w:t>
      </w:r>
      <w:r>
        <w:rPr>
          <w:rFonts w:ascii="Arial" w:cs="Arial" w:eastAsia="Arial" w:hAnsi="Arial"/>
          <w:sz w:val="16"/>
          <w:szCs w:val="16"/>
          <w:color w:val="auto"/>
        </w:rPr>
        <w:t>vehicle fleets and certain office and manufacturing equipment. Leases with an initial term of 12 months or less are not recorded on the balance sheet. The Company's lease terms include options to extend the lease when it is reasonably certain that the Company will exercise the option. Variable lease payment amounts that cannot be determined at commencement of the lease, such as increases in index rates, are not included in the measurement of the lease liabilities and corresponding right-of-use assets and are recognized in the period those payments are incurred. The Company separates lease and non-lease components of lease arrangements and allocates contract consideration based on standalone selling prices. Variable consideration is allocated to the lease and non-lease components to which the variable payments specifically relate. The discount rate implicit within the Company's leases is often not determinable and therefore the Company generally uses its incremental borrowing rate based on the information available at the commencement date of the lease in determining the present value of the lease payments. The incremental borrowing rate is determined based on lease term and the currency in which lease payments are made. The Company's leases do not contain any material residual value guarantees or material restrictive covenants.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Taxes on Income</w:t>
      </w:r>
      <w:r>
        <w:rPr>
          <w:rFonts w:ascii="Arial" w:cs="Arial" w:eastAsia="Arial" w:hAnsi="Arial"/>
          <w:sz w:val="18"/>
          <w:szCs w:val="18"/>
          <w:color w:val="auto"/>
        </w:rPr>
        <w:t>. The provision for income taxes is determined using the asset and liability approach. Deferred taxes represent the future expected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of differences between the financial reporting and tax bases of assets and liabilities based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enacted tax rates and laws. The Company has made an accounting policy election to treat taxes due on future U.S. inclusions of certain intangible income of foreign subsidiaries as a current period expense when incurred.</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Valuation allowances are recorded to reduce deferred tax assets when it is more likely than not that a tax benefit will not be realized. Investment tax credits are accounted for using the deferral method. Income tax-related interest and penalties are reported as income tax expense.</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Derivatives and Hedging</w:t>
      </w:r>
      <w:r>
        <w:rPr>
          <w:rFonts w:ascii="Arial" w:cs="Arial" w:eastAsia="Arial" w:hAnsi="Arial"/>
          <w:sz w:val="17"/>
          <w:szCs w:val="17"/>
          <w:color w:val="auto"/>
        </w:rPr>
        <w:t>. All outstanding derivative financial instruments are recognized in the balance sheet at their fair values. The impact on earnings</w:t>
      </w:r>
      <w:r>
        <w:rPr>
          <w:rFonts w:ascii="Arial" w:cs="Arial" w:eastAsia="Arial" w:hAnsi="Arial"/>
          <w:sz w:val="17"/>
          <w:szCs w:val="17"/>
          <w:b w:val="1"/>
          <w:bCs w:val="1"/>
          <w:color w:val="auto"/>
        </w:rPr>
        <w:t xml:space="preserve"> </w:t>
      </w:r>
      <w:r>
        <w:rPr>
          <w:rFonts w:ascii="Arial" w:cs="Arial" w:eastAsia="Arial" w:hAnsi="Arial"/>
          <w:sz w:val="17"/>
          <w:szCs w:val="17"/>
          <w:color w:val="auto"/>
        </w:rPr>
        <w:t>from recognizing the fair values of these instruments depends on their intended use, their hedge designation and their effectiveness in offsetting changes in the fair values of the exposures they are hedging. Changes in the fair values of instruments designated to reduce or eliminate adverse fluctuations in the fair values of recognized assets and liabilities are reported currently in earnings along with changes in the fair values of the hedged items. Changes in the effective portions of the fair values of instruments used to reduce or eliminate adverse fluctuations in cash flows of anticipated or forecasted transactions are reported in equity as a component of accumulated other comprehensive income. Amounts in accumulated other comprehensive income are reclassified to earnings when the related hedged items impact earnings or the forecasted transactions become probable of not occurring. Changes in the fair values of derivative instruments that are not designated as hedges or do not qualify for hedge accounting treatment are reported currently in earnings. Amounts reported in earnings are classified consistent with the item being hedged.</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effectiveness of derivative instruments in reducing risks associated with the hedged exposures is assessed at inception and on an ongoing basis. Time value, a component of an instrument’s fair value, is excluded in assessing effectiveness for fair value hedges, except hedges of firm commitments, and included for cash flow hedges.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Hedge accounting is discontinued prospectively when (i) the instrument is no longer effective in offsetting changes in fair value or cash flows of the underlying hedged item, (ii) the instrument expires, is sold, terminated or exercised, or (iii) designating the instrument as a hedge is no longer appropriate.</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formally documents all relationships between its hedging instruments and hedged items at inception, including its risk management objective and strategy for establishing various hedge relationships. Cash flows from hedging instruments are classified in the Consolidated Statements of Cash Flows consistent with the items being hedged.</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Treasury Stock</w:t>
      </w:r>
      <w:r>
        <w:rPr>
          <w:rFonts w:ascii="Arial" w:cs="Arial" w:eastAsia="Arial" w:hAnsi="Arial"/>
          <w:sz w:val="18"/>
          <w:szCs w:val="18"/>
          <w:color w:val="auto"/>
        </w:rPr>
        <w:t>. Treasury stock is reported at par value. The excess of fair value over par value is first charged to paid-in capital, if any, and then to</w:t>
      </w:r>
      <w:r>
        <w:rPr>
          <w:rFonts w:ascii="Arial" w:cs="Arial" w:eastAsia="Arial" w:hAnsi="Arial"/>
          <w:sz w:val="18"/>
          <w:szCs w:val="18"/>
          <w:b w:val="1"/>
          <w:bCs w:val="1"/>
          <w:color w:val="auto"/>
        </w:rPr>
        <w:t xml:space="preserve"> </w:t>
      </w:r>
      <w:r>
        <w:rPr>
          <w:rFonts w:ascii="Arial" w:cs="Arial" w:eastAsia="Arial" w:hAnsi="Arial"/>
          <w:sz w:val="18"/>
          <w:szCs w:val="18"/>
          <w:color w:val="auto"/>
        </w:rPr>
        <w:t>retained earnings.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Research and Development</w:t>
      </w:r>
      <w:r>
        <w:rPr>
          <w:rFonts w:ascii="Arial" w:cs="Arial" w:eastAsia="Arial" w:hAnsi="Arial"/>
          <w:sz w:val="18"/>
          <w:szCs w:val="18"/>
          <w:color w:val="auto"/>
        </w:rPr>
        <w:t>. Research, development and engineering costs of $47 in 2021, $48 in 2020, and $50 in 2019 were expensed as incurred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in selling and administrative expense in the Consolidated Statements of Operations. Substantially all engineering and development costs are related to developing new products or designing significant improvements to existing products or processes. Costs primarily include employee salaries and benefits and facility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reclassifications of prior years’ data have been made to conform to the current year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and Reporting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2021, the Company adopted new guidance to simplify the accounting for income taxes by, among other things, reducing complexity in the interim-period accounting for year-to-date loss limitations and changes in tax laws. The guidance did not have a material impact on the Company's consolidated financial statements.</w:t>
      </w:r>
    </w:p>
    <w:p>
      <w:pPr>
        <w:spacing w:after="0" w:line="200" w:lineRule="exact"/>
        <w:rPr>
          <w:sz w:val="20"/>
          <w:szCs w:val="20"/>
          <w:color w:val="auto"/>
        </w:rPr>
      </w:pPr>
    </w:p>
    <w:p>
      <w:pPr>
        <w:spacing w:after="0" w:line="250"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Divestitures</w:t>
      </w:r>
    </w:p>
    <w:p>
      <w:pPr>
        <w:spacing w:after="0" w:line="256" w:lineRule="exact"/>
        <w:rPr>
          <w:sz w:val="20"/>
          <w:szCs w:val="20"/>
          <w:color w:val="auto"/>
        </w:rPr>
      </w:pPr>
    </w:p>
    <w:p>
      <w:pPr>
        <w:jc w:val="both"/>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On August 31, 2021, the Company completed the sale (the “Transaction”) of its European Tinplate business (the “Business”) to Kouti B.V., an affiliate of KPS Capital Partners LP. The Business comprised the Company’s European Food segment and its European Aerosol and Promotional Packaging reporting unit which was previously reported in Other. The Company received pre-tax proceeds of approximately €1.9 billion ($2.3 billion) from the Transaction and received a 20% minority interest in the Business. Proceeds from the Transaction, along with cash provided by operating activities, were used to fund capital projects, repurchase Company stock and to redeem certain of the Company's senior notes as further described in </w:t>
      </w:r>
      <w:hyperlink w:anchor="page62">
        <w:r>
          <w:rPr>
            <w:rFonts w:ascii="Arial" w:cs="Arial" w:eastAsia="Arial" w:hAnsi="Arial"/>
            <w:sz w:val="17"/>
            <w:szCs w:val="17"/>
            <w:u w:val="single" w:color="auto"/>
            <w:color w:val="0000FF"/>
          </w:rPr>
          <w:t>Note M</w:t>
        </w:r>
      </w:hyperlink>
      <w:r>
        <w:rPr>
          <w:rFonts w:ascii="Arial" w:cs="Arial" w:eastAsia="Arial" w:hAnsi="Arial"/>
          <w:sz w:val="17"/>
          <w:szCs w:val="17"/>
          <w:color w:val="auto"/>
        </w:rPr>
        <w: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a pre-tax loss of $101, including $553 of currency translation adjustments which were reclassified from accumulated other comprehensive income upon completion of the sale. The Company also recorded income tax charges of $81 related to taxable gains on the sale of the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Major components of net (loss) / income from discontinued operations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Cost of products sold, excluding depreciation and amortization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1,301</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1,823</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1,774</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Selling and administrative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24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discontinued businesses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before tax</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 income from discontinued operations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from discontinued operations attributable to noncontrolling interests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 income from discontinued operations attributable to Crown Holdings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Major classes of assets and liabilities of the Business classified as held for sale at December 31, 2020 were as follows: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left="48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Prepaid expenses and other current assets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current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right-of-use assets,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non-current assets held for sale</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payable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current liabilities held for sale</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Postretirement and pension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non-current liabilities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non-current liabilities held for sale</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The table above excludes assets held for sale unrelated to the Business that are not material for disclosure.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29"/>
        </w:trPr>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30"/>
        </w:trPr>
        <w:tc>
          <w:tcPr>
            <w:tcW w:w="7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65"/>
        </w:trPr>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1,447</w:t>
            </w:r>
          </w:p>
        </w:tc>
      </w:tr>
      <w:tr>
        <w:trPr>
          <w:trHeight w:val="229"/>
        </w:trPr>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29"/>
        </w:trPr>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65"/>
        </w:trPr>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30"/>
        </w:trPr>
        <w:tc>
          <w:tcPr>
            <w:tcW w:w="7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23"/>
        </w:trPr>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65"/>
        </w:trPr>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07" w:lineRule="exact"/>
        <w:rPr>
          <w:sz w:val="20"/>
          <w:szCs w:val="20"/>
          <w:color w:val="auto"/>
        </w:rPr>
      </w:pPr>
    </w:p>
    <w:p>
      <w:pPr>
        <w:sectPr>
          <w:pgSz w:w="11900" w:h="16838" w:orient="portrait"/>
          <w:cols w:equalWidth="0" w:num="2">
            <w:col w:w="8540" w:space="720"/>
            <w:col w:w="1980"/>
          </w:cols>
          <w:pgMar w:left="320" w:top="121" w:right="33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capital expenditures of the Business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2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9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accounted for the minority interest received in the Business under the equity method. The Company's share of income of the Business was a loss of $8 for the year ended December 31, 2021.</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the Company signed an agreement to sell a Transit Packaging business for approximately $180. The transaction is subject to customary regulatory approvals and is expected to close in the second quarter of 2022. The Company expects to record an after tax gain of approximately $100 related to the transaction. The assets and liabilities of this business are classified as held for sale as of December 31, 2021. The transaction will not represent a strategic shift that will have a major effect on the Company's operations and financial results, and therefore does not qualify for reporting as a discontinued operation.</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Cash, Cash Equivalents, and Restricted Cash</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Cash, cash equivalents, and restricted cash included in the Company's Consolidated Balance Sheets and Statements of Cash Flows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auto"/>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70"/>
        </w:trPr>
        <w:tc>
          <w:tcPr>
            <w:tcW w:w="7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restricted cash</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744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included in restricted cash primarily represent amounts required to be segregated by certain of the Company's receivables securitization agreements.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D. Receivables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74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1,289</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credit losses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1,269</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325</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744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1,889</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r>
      <w:tr>
        <w:trPr>
          <w:trHeight w:val="20"/>
        </w:trPr>
        <w:tc>
          <w:tcPr>
            <w:tcW w:w="7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receivables securitization and factoring facilities in the normal course of business as part of managing its cash flows. The Company primarily accounts for transfers under these facilities as sales because it has met the criteria for control of the receivables to be considered transferred. The Company’s continuing involvement in the transfers is limited to servicing the receivables. The Company receives adequate compensation for servicing the receivables and no servicing asset or liability is recorded.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the Company derecognized receivables of $1,011 and $852 related to the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expenses related to the facilities for the years ended December 31, 2021, 2020 and 2019 of $13 as interest expense.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E. Inventories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74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1,094</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3"/>
        </w:trPr>
        <w:tc>
          <w:tcPr>
            <w:tcW w:w="744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1,735</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r>
      <w:tr>
        <w:trPr>
          <w:trHeight w:val="20"/>
        </w:trPr>
        <w:tc>
          <w:tcPr>
            <w:tcW w:w="7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reportable segment for the years ended December 31, 2021 and 2020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Americas</w:t>
            </w:r>
          </w:p>
        </w:tc>
        <w:tc>
          <w:tcPr>
            <w:tcW w:w="200" w:type="dxa"/>
            <w:vAlign w:val="bottom"/>
          </w:tcPr>
          <w:p>
            <w:pPr>
              <w:spacing w:after="0"/>
              <w:rPr>
                <w:sz w:val="17"/>
                <w:szCs w:val="17"/>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w w:val="97"/>
              </w:rPr>
              <w:t>European</w:t>
            </w:r>
          </w:p>
        </w:tc>
        <w:tc>
          <w:tcPr>
            <w:tcW w:w="180" w:type="dxa"/>
            <w:vAlign w:val="bottom"/>
          </w:tcPr>
          <w:p>
            <w:pPr>
              <w:spacing w:after="0"/>
              <w:rPr>
                <w:sz w:val="17"/>
                <w:szCs w:val="17"/>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Transit</w:t>
            </w:r>
          </w:p>
        </w:tc>
        <w:tc>
          <w:tcPr>
            <w:tcW w:w="280" w:type="dxa"/>
            <w:vAlign w:val="bottom"/>
          </w:tcPr>
          <w:p>
            <w:pPr>
              <w:spacing w:after="0"/>
              <w:rPr>
                <w:sz w:val="17"/>
                <w:szCs w:val="17"/>
                <w:color w:val="auto"/>
              </w:rPr>
            </w:pPr>
          </w:p>
        </w:tc>
        <w:tc>
          <w:tcPr>
            <w:tcW w:w="980" w:type="dxa"/>
            <w:vAlign w:val="bottom"/>
            <w:vMerge w:val="restart"/>
          </w:tcPr>
          <w:p>
            <w:pPr>
              <w:jc w:val="right"/>
              <w:ind w:right="31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7"/>
                <w:szCs w:val="17"/>
                <w:color w:val="auto"/>
              </w:rPr>
            </w:pPr>
          </w:p>
        </w:tc>
        <w:tc>
          <w:tcPr>
            <w:tcW w:w="1000" w:type="dxa"/>
            <w:vAlign w:val="bottom"/>
            <w:vMerge w:val="restart"/>
          </w:tcPr>
          <w:p>
            <w:pPr>
              <w:jc w:val="right"/>
              <w:ind w:right="3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Beverage</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5"/>
              </w:rPr>
              <w:t>Beverage</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Packaging</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Held for sale reclassification</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7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Goodwill reclassified to current assets held for sale during 2021 related to the expected sale of a Transit Packaging business. See </w:t>
      </w:r>
      <w:hyperlink w:anchor="page54">
        <w:r>
          <w:rPr>
            <w:rFonts w:ascii="Arial" w:cs="Arial" w:eastAsia="Arial" w:hAnsi="Arial"/>
            <w:sz w:val="18"/>
            <w:szCs w:val="18"/>
            <w:u w:val="single" w:color="auto"/>
            <w:color w:val="0000FF"/>
          </w:rPr>
          <w:t>Note 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at December 31, 2021 and 2020 was net of the following accumulated impairments: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40" w:type="dxa"/>
            <w:vAlign w:val="bottom"/>
          </w:tcPr>
          <w:p>
            <w:pPr>
              <w:ind w:left="80"/>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17"/>
                <w:szCs w:val="17"/>
                <w:color w:val="auto"/>
              </w:rPr>
            </w:pPr>
          </w:p>
        </w:tc>
        <w:tc>
          <w:tcPr>
            <w:tcW w:w="1060" w:type="dxa"/>
            <w:vAlign w:val="bottom"/>
          </w:tcPr>
          <w:p>
            <w:pPr>
              <w:ind w:left="100"/>
              <w:spacing w:after="0"/>
              <w:rPr>
                <w:sz w:val="20"/>
                <w:szCs w:val="20"/>
                <w:color w:val="auto"/>
              </w:rPr>
            </w:pPr>
            <w:r>
              <w:rPr>
                <w:rFonts w:ascii="Arial" w:cs="Arial" w:eastAsia="Arial" w:hAnsi="Arial"/>
                <w:sz w:val="18"/>
                <w:szCs w:val="18"/>
                <w:color w:val="auto"/>
              </w:rPr>
              <w:t>European</w:t>
            </w:r>
          </w:p>
        </w:tc>
        <w:tc>
          <w:tcPr>
            <w:tcW w:w="280" w:type="dxa"/>
            <w:vAlign w:val="bottom"/>
          </w:tcPr>
          <w:p>
            <w:pPr>
              <w:spacing w:after="0"/>
              <w:rPr>
                <w:sz w:val="17"/>
                <w:szCs w:val="17"/>
                <w:color w:val="auto"/>
              </w:rPr>
            </w:pPr>
          </w:p>
        </w:tc>
        <w:tc>
          <w:tcPr>
            <w:tcW w:w="1000" w:type="dxa"/>
            <w:vAlign w:val="bottom"/>
            <w:vMerge w:val="restart"/>
          </w:tcPr>
          <w:p>
            <w:pPr>
              <w:jc w:val="right"/>
              <w:ind w:right="33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7"/>
                <w:szCs w:val="17"/>
                <w:color w:val="auto"/>
              </w:rPr>
            </w:pPr>
          </w:p>
        </w:tc>
        <w:tc>
          <w:tcPr>
            <w:tcW w:w="1000" w:type="dxa"/>
            <w:vAlign w:val="bottom"/>
            <w:vMerge w:val="restart"/>
          </w:tcPr>
          <w:p>
            <w:pPr>
              <w:jc w:val="right"/>
              <w:ind w:right="3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Beverage</w:t>
            </w:r>
          </w:p>
        </w:tc>
        <w:tc>
          <w:tcPr>
            <w:tcW w:w="240" w:type="dxa"/>
            <w:vAlign w:val="bottom"/>
          </w:tcPr>
          <w:p>
            <w:pPr>
              <w:spacing w:after="0"/>
              <w:rPr>
                <w:sz w:val="19"/>
                <w:szCs w:val="19"/>
                <w:color w:val="auto"/>
              </w:rPr>
            </w:pPr>
          </w:p>
        </w:tc>
        <w:tc>
          <w:tcPr>
            <w:tcW w:w="1060" w:type="dxa"/>
            <w:vAlign w:val="bottom"/>
          </w:tcPr>
          <w:p>
            <w:pPr>
              <w:ind w:left="100"/>
              <w:spacing w:after="0"/>
              <w:rPr>
                <w:sz w:val="20"/>
                <w:szCs w:val="20"/>
                <w:color w:val="auto"/>
              </w:rPr>
            </w:pPr>
            <w:r>
              <w:rPr>
                <w:rFonts w:ascii="Arial" w:cs="Arial" w:eastAsia="Arial" w:hAnsi="Arial"/>
                <w:sz w:val="18"/>
                <w:szCs w:val="18"/>
                <w:color w:val="auto"/>
              </w:rPr>
              <w:t>Beverage</w:t>
            </w: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impairments</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December 31, 2021</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9"/>
              </w:rPr>
              <w:t>December 31, 2020</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color w:val="auto"/>
                <w:w w:val="95"/>
              </w:rPr>
              <w:t>Gross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80"/>
              <w:spacing w:after="0" w:line="169" w:lineRule="exact"/>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8"/>
                <w:szCs w:val="18"/>
                <w:color w:val="auto"/>
              </w:rPr>
              <w:t>Gross</w:t>
            </w:r>
          </w:p>
        </w:tc>
        <w:tc>
          <w:tcPr>
            <w:tcW w:w="200" w:type="dxa"/>
            <w:vAlign w:val="bottom"/>
          </w:tcPr>
          <w:p>
            <w:pPr>
              <w:spacing w:after="0"/>
              <w:rPr>
                <w:sz w:val="14"/>
                <w:szCs w:val="14"/>
                <w:color w:val="auto"/>
              </w:rPr>
            </w:pPr>
          </w:p>
        </w:tc>
        <w:tc>
          <w:tcPr>
            <w:tcW w:w="1560" w:type="dxa"/>
            <w:vAlign w:val="bottom"/>
            <w:gridSpan w:val="2"/>
          </w:tcPr>
          <w:p>
            <w:pPr>
              <w:jc w:val="center"/>
              <w:ind w:right="400"/>
              <w:spacing w:after="0" w:line="169" w:lineRule="exact"/>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4"/>
                <w:szCs w:val="14"/>
                <w:color w:val="auto"/>
              </w:rPr>
            </w:pPr>
          </w:p>
        </w:tc>
        <w:tc>
          <w:tcPr>
            <w:tcW w:w="660" w:type="dxa"/>
            <w:vAlign w:val="bottom"/>
            <w:vMerge w:val="restart"/>
          </w:tcPr>
          <w:p>
            <w:pPr>
              <w:jc w:val="right"/>
              <w:ind w:right="21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amortization</w:t>
            </w: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amortization</w:t>
            </w:r>
          </w:p>
        </w:tc>
        <w:tc>
          <w:tcPr>
            <w:tcW w:w="2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3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Long term supply contracts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3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years ended December 31, 2021, 2020, and 2019 was $165, $162 and $169.</w:t>
      </w:r>
    </w:p>
    <w:p>
      <w:pPr>
        <w:spacing w:after="0" w:line="252" w:lineRule="exact"/>
        <w:rPr>
          <w:sz w:val="20"/>
          <w:szCs w:val="20"/>
          <w:color w:val="auto"/>
        </w:rPr>
      </w:pPr>
    </w:p>
    <w:p>
      <w:pPr>
        <w:jc w:val="both"/>
        <w:ind w:right="20"/>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During the year-ended December 31, 2021, $13 of intangible assets related to the expected sale of a Transit Packaging business were reclassified to current assets held for sale. See </w:t>
      </w:r>
      <w:hyperlink w:anchor="page54">
        <w:r>
          <w:rPr>
            <w:rFonts w:ascii="Arial" w:cs="Arial" w:eastAsia="Arial" w:hAnsi="Arial"/>
            <w:sz w:val="18"/>
            <w:szCs w:val="18"/>
            <w:u w:val="single" w:color="auto"/>
            <w:color w:val="0000FF"/>
          </w:rPr>
          <w:t>Note 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Annual amortization expense is estimated to be $165 for 2022 and 2023, $154 for 2024, $147 for 2025, and $138 for 2026.</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rPr>
              <w:t>Crown Holdings, Inc.</w:t>
            </w: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H. Property, Plant and Equipment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41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6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Machinery and equipment</w:t>
            </w: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5,372</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Construction in progress</w:t>
            </w:r>
          </w:p>
        </w:tc>
        <w:tc>
          <w:tcPr>
            <w:tcW w:w="1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4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I. Leases</w:t>
            </w:r>
          </w:p>
        </w:tc>
        <w:tc>
          <w:tcPr>
            <w:tcW w:w="1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18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60" w:type="dxa"/>
            <w:vAlign w:val="bottom"/>
            <w:gridSpan w:val="8"/>
          </w:tcPr>
          <w:p>
            <w:pPr>
              <w:spacing w:after="0"/>
              <w:rPr>
                <w:sz w:val="20"/>
                <w:szCs w:val="20"/>
                <w:color w:val="auto"/>
              </w:rPr>
            </w:pPr>
            <w:r>
              <w:rPr>
                <w:rFonts w:ascii="Arial" w:cs="Arial" w:eastAsia="Arial" w:hAnsi="Arial"/>
                <w:sz w:val="18"/>
                <w:szCs w:val="18"/>
                <w:color w:val="auto"/>
                <w:w w:val="91"/>
              </w:rPr>
              <w:t>The components of lease expense for the years ended December 31, 2021, 2020 and 2019 were as follows:</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140" w:type="dxa"/>
            <w:vAlign w:val="bottom"/>
            <w:vMerge w:val="restart"/>
          </w:tcPr>
          <w:p>
            <w:pPr>
              <w:ind w:left="20"/>
              <w:spacing w:after="0"/>
              <w:rPr>
                <w:sz w:val="20"/>
                <w:szCs w:val="20"/>
                <w:color w:val="auto"/>
              </w:rPr>
            </w:pPr>
            <w:r>
              <w:rPr>
                <w:rFonts w:ascii="Arial" w:cs="Arial" w:eastAsia="Arial" w:hAnsi="Arial"/>
                <w:sz w:val="18"/>
                <w:szCs w:val="18"/>
                <w:color w:val="auto"/>
              </w:rPr>
              <w:t>Operating lease costs:</w:t>
            </w:r>
          </w:p>
        </w:tc>
        <w:tc>
          <w:tcPr>
            <w:tcW w:w="2320" w:type="dxa"/>
            <w:vAlign w:val="bottom"/>
            <w:gridSpan w:val="2"/>
          </w:tcPr>
          <w:p>
            <w:pPr>
              <w:jc w:val="right"/>
              <w:ind w:right="19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14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cost</w:t>
            </w:r>
          </w:p>
        </w:tc>
        <w:tc>
          <w:tcPr>
            <w:tcW w:w="232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Short-term lease cost</w:t>
            </w:r>
          </w:p>
        </w:tc>
        <w:tc>
          <w:tcPr>
            <w:tcW w:w="1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costs</w:t>
            </w:r>
          </w:p>
        </w:tc>
        <w:tc>
          <w:tcPr>
            <w:tcW w:w="1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Amortization of right-of-use assets</w:t>
            </w:r>
          </w:p>
        </w:tc>
        <w:tc>
          <w:tcPr>
            <w:tcW w:w="232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9"/>
                <w:szCs w:val="19"/>
                <w:color w:val="auto"/>
              </w:rPr>
            </w:pPr>
          </w:p>
        </w:tc>
        <w:tc>
          <w:tcPr>
            <w:tcW w:w="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costs</w:t>
            </w:r>
          </w:p>
        </w:tc>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Variable operating lease costs were $3 for each of the years ended December 31, 2021, 2020, and 2019. Interest on finance lease liabilities was less than $1 for each of the years ended December 31, 2021, 2020, and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w w:val="96"/>
              </w:rPr>
              <w:t>Supplemental cash flow information related to leases was as follows:</w:t>
            </w: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53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19"/>
                <w:szCs w:val="19"/>
                <w:color w:val="auto"/>
              </w:rPr>
            </w:pPr>
          </w:p>
        </w:tc>
        <w:tc>
          <w:tcPr>
            <w:tcW w:w="1100" w:type="dxa"/>
            <w:vAlign w:val="bottom"/>
            <w:gridSpan w:val="2"/>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486"/>
        </w:trPr>
        <w:tc>
          <w:tcPr>
            <w:tcW w:w="6440" w:type="dxa"/>
            <w:vAlign w:val="bottom"/>
            <w:gridSpan w:val="2"/>
          </w:tcPr>
          <w:p>
            <w:pPr>
              <w:spacing w:after="0"/>
              <w:rPr>
                <w:sz w:val="20"/>
                <w:szCs w:val="20"/>
                <w:color w:val="auto"/>
              </w:rPr>
            </w:pPr>
            <w:r>
              <w:rPr>
                <w:rFonts w:ascii="Arial" w:cs="Arial" w:eastAsia="Arial" w:hAnsi="Arial"/>
                <w:sz w:val="18"/>
                <w:szCs w:val="18"/>
                <w:color w:val="auto"/>
                <w:w w:val="99"/>
              </w:rPr>
              <w:t>Supplemental balance sheet information related to finance leases was as follows:</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6"/>
        </w:trPr>
        <w:tc>
          <w:tcPr>
            <w:tcW w:w="5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2020</w:t>
            </w: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gridSpan w:val="2"/>
          </w:tcPr>
          <w:p>
            <w:pPr>
              <w:jc w:val="right"/>
              <w:ind w:right="89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320" w:type="dxa"/>
            <w:vAlign w:val="bottom"/>
          </w:tcPr>
          <w:p>
            <w:pPr>
              <w:ind w:left="220"/>
              <w:spacing w:after="0"/>
              <w:rPr>
                <w:sz w:val="20"/>
                <w:szCs w:val="20"/>
                <w:color w:val="auto"/>
              </w:rPr>
            </w:pPr>
            <w:r>
              <w:rPr>
                <w:rFonts w:ascii="Arial" w:cs="Arial" w:eastAsia="Arial" w:hAnsi="Arial"/>
                <w:sz w:val="18"/>
                <w:szCs w:val="18"/>
                <w:color w:val="auto"/>
              </w:rPr>
              <w:t>Property, plant and equipment, net</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gridSpan w:val="2"/>
          </w:tcPr>
          <w:p>
            <w:pPr>
              <w:jc w:val="right"/>
              <w:ind w:right="89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32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40" w:type="dxa"/>
            <w:vAlign w:val="bottom"/>
          </w:tcPr>
          <w:p>
            <w:pPr>
              <w:ind w:left="4780"/>
              <w:spacing w:after="0"/>
              <w:rPr>
                <w:sz w:val="20"/>
                <w:szCs w:val="20"/>
                <w:color w:val="auto"/>
              </w:rPr>
            </w:pPr>
            <w:r>
              <w:rPr>
                <w:rFonts w:ascii="Arial" w:cs="Arial" w:eastAsia="Arial" w:hAnsi="Arial"/>
                <w:sz w:val="18"/>
                <w:szCs w:val="18"/>
                <w:b w:val="1"/>
                <w:bCs w:val="1"/>
                <w:color w:val="auto"/>
              </w:rPr>
              <w:t>Crown Holdings, Inc.</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70"/>
        </w:trPr>
        <w:tc>
          <w:tcPr>
            <w:tcW w:w="8960" w:type="dxa"/>
            <w:vAlign w:val="bottom"/>
            <w:gridSpan w:val="6"/>
          </w:tcPr>
          <w:p>
            <w:pPr>
              <w:spacing w:after="0"/>
              <w:rPr>
                <w:sz w:val="20"/>
                <w:szCs w:val="20"/>
                <w:color w:val="auto"/>
              </w:rPr>
            </w:pPr>
            <w:r>
              <w:rPr>
                <w:rFonts w:ascii="Arial" w:cs="Arial" w:eastAsia="Arial" w:hAnsi="Arial"/>
                <w:sz w:val="18"/>
                <w:szCs w:val="18"/>
                <w:color w:val="auto"/>
              </w:rPr>
              <w:t>The weighted average remaining lease term and weighted average discount rates for each year were as follows: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2"/>
                <w:szCs w:val="22"/>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9"/>
                <w:szCs w:val="19"/>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4.3 %</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3.2 %</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3.4 %</w:t>
            </w:r>
          </w:p>
        </w:tc>
        <w:tc>
          <w:tcPr>
            <w:tcW w:w="20" w:type="dxa"/>
            <w:vAlign w:val="bottom"/>
          </w:tcPr>
          <w:p>
            <w:pPr>
              <w:spacing w:after="0"/>
              <w:rPr>
                <w:sz w:val="20"/>
                <w:szCs w:val="20"/>
                <w:color w:val="auto"/>
              </w:rPr>
            </w:pPr>
          </w:p>
        </w:tc>
      </w:tr>
      <w:tr>
        <w:trPr>
          <w:trHeight w:val="485"/>
        </w:trPr>
        <w:tc>
          <w:tcPr>
            <w:tcW w:w="7060" w:type="dxa"/>
            <w:vAlign w:val="bottom"/>
            <w:gridSpan w:val="2"/>
          </w:tcPr>
          <w:p>
            <w:pPr>
              <w:spacing w:after="0"/>
              <w:rPr>
                <w:sz w:val="20"/>
                <w:szCs w:val="20"/>
                <w:color w:val="auto"/>
              </w:rPr>
            </w:pPr>
            <w:r>
              <w:rPr>
                <w:rFonts w:ascii="Arial" w:cs="Arial" w:eastAsia="Arial" w:hAnsi="Arial"/>
                <w:sz w:val="18"/>
                <w:szCs w:val="18"/>
                <w:color w:val="auto"/>
              </w:rPr>
              <w:t>Maturities of lease liabilities as of December 31, 2021 were as follows: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3"/>
          </w:tcPr>
          <w:p>
            <w:pPr>
              <w:jc w:val="right"/>
              <w:ind w:right="400"/>
              <w:spacing w:after="0"/>
              <w:rPr>
                <w:sz w:val="20"/>
                <w:szCs w:val="20"/>
                <w:color w:val="auto"/>
              </w:rPr>
            </w:pPr>
            <w:r>
              <w:rPr>
                <w:rFonts w:ascii="Arial" w:cs="Arial" w:eastAsia="Arial" w:hAnsi="Arial"/>
                <w:sz w:val="18"/>
                <w:szCs w:val="18"/>
                <w:color w:val="auto"/>
                <w:w w:val="91"/>
              </w:rPr>
              <w:t>Operating Leases</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color w:val="auto"/>
              </w:rPr>
              <w:t>Finance Leases</w:t>
            </w:r>
          </w:p>
        </w:tc>
      </w:tr>
      <w:tr>
        <w:trPr>
          <w:trHeight w:val="223"/>
        </w:trPr>
        <w:tc>
          <w:tcPr>
            <w:tcW w:w="20" w:type="dxa"/>
            <w:vAlign w:val="bottom"/>
          </w:tcPr>
          <w:p>
            <w:pPr>
              <w:spacing w:after="0"/>
              <w:rPr>
                <w:sz w:val="19"/>
                <w:szCs w:val="19"/>
                <w:color w:val="auto"/>
              </w:rPr>
            </w:pPr>
          </w:p>
        </w:tc>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1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the Company did not have material lease commitments that had not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J. Other Non-Current Assets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assets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150</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Fair value of derivatives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K. Accrued Liabilities</w:t>
            </w: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74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and employee benefits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Accrued taxes, other than on income</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derivatives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Asbestos liabilities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postretirement liabilities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L.  Restructuring and Other</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6480" w:type="dxa"/>
            <w:vAlign w:val="bottom"/>
          </w:tcPr>
          <w:p>
            <w:pPr>
              <w:spacing w:after="0"/>
              <w:rPr>
                <w:sz w:val="20"/>
                <w:szCs w:val="20"/>
                <w:color w:val="auto"/>
              </w:rPr>
            </w:pPr>
            <w:r>
              <w:rPr>
                <w:rFonts w:ascii="Arial" w:cs="Arial" w:eastAsia="Arial" w:hAnsi="Arial"/>
                <w:sz w:val="18"/>
                <w:szCs w:val="18"/>
                <w:color w:val="auto"/>
              </w:rPr>
              <w:t>The Company recorded restructuring and other items as follows:</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7"/>
        </w:trPr>
        <w:tc>
          <w:tcPr>
            <w:tcW w:w="64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 costs</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Asset sales and impairments</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Asbestos</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4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 Activity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 costs included gains of $30 arising from a favorable court ruling in a lawsuit brought by certain of the Company's Brazilian subsidiaries asserting they were overcharged by local tax authorities for indirect taxes paid in prior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Asset sales and impairments included gains on various asset sales.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Restructuring primarily includes charges related to relocation of the Transit Packaging headquarters and headcount reductions across segments. The Company continues to identify cost reduction initiatives in its businesses and it is possible that the Company may record additional restructuring charges in the future.</w:t>
      </w:r>
    </w:p>
    <w:p>
      <w:pPr>
        <w:spacing w:after="0" w:line="21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67">
        <w:r>
          <w:rPr>
            <w:rFonts w:ascii="Arial" w:cs="Arial" w:eastAsia="Arial" w:hAnsi="Arial"/>
            <w:sz w:val="18"/>
            <w:szCs w:val="18"/>
            <w:u w:val="single" w:color="auto"/>
            <w:color w:val="0000FF"/>
          </w:rPr>
          <w:t>Note O</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on the Company's provision for asbestos.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Activity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Restructuring costs included charges of $19 related to an internal reorganization and headcount reductions within the Transit Packaging segment.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 Activity</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costs / (income) of $41 included gains of $50 arising from favorable court rulings related to the recovery of indirect taxes paid in prior years by certain of the Company's Brazilian subsidiaries and a charge of $7 related to the settlement of a litigation matter related to Transit Packaging that arose prior to its acquisition by the Company in 2018.</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Restructuring costs included charges of $14 for termination benefits related to headcount reductions across the Company, including $10 related to headcount reductions in the Company's European Beverage and Transit Packaging segments.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Asset sales and impairments included gains of $13 related to asset sales partially offset by a charge of $6 related to a fire at a production facility in Asia.</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Restructuring charges by segment were as follows:</w:t>
            </w: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64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Transit Packaging</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4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by type were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200" w:type="dxa"/>
            <w:vAlign w:val="bottom"/>
            <w:gridSpan w:val="6"/>
          </w:tcPr>
          <w:p>
            <w:pPr>
              <w:jc w:val="right"/>
              <w:ind w:right="470"/>
              <w:spacing w:after="0"/>
              <w:rPr>
                <w:sz w:val="20"/>
                <w:szCs w:val="20"/>
                <w:color w:val="auto"/>
              </w:rPr>
            </w:pPr>
            <w:r>
              <w:rPr>
                <w:rFonts w:ascii="Arial" w:cs="Arial" w:eastAsia="Arial" w:hAnsi="Arial"/>
                <w:sz w:val="18"/>
                <w:szCs w:val="18"/>
                <w:b w:val="1"/>
                <w:bCs w:val="1"/>
                <w:color w:val="auto"/>
                <w:w w:val="90"/>
              </w:rPr>
              <w:t>Crown Holdings, Inc.</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36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benefits</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exit costs</w:t>
            </w:r>
          </w:p>
        </w:tc>
        <w:tc>
          <w:tcPr>
            <w:tcW w:w="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M.  Debt</w:t>
            </w: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8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2021</w:t>
            </w:r>
          </w:p>
        </w:tc>
        <w:tc>
          <w:tcPr>
            <w:tcW w:w="2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Principal</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jc w:val="right"/>
              <w:ind w:right="170"/>
              <w:spacing w:after="0"/>
              <w:rPr>
                <w:sz w:val="20"/>
                <w:szCs w:val="20"/>
                <w:color w:val="auto"/>
              </w:rPr>
            </w:pPr>
            <w:r>
              <w:rPr>
                <w:rFonts w:ascii="Arial" w:cs="Arial" w:eastAsia="Arial" w:hAnsi="Arial"/>
                <w:sz w:val="18"/>
                <w:szCs w:val="18"/>
                <w:color w:val="auto"/>
                <w:w w:val="96"/>
              </w:rPr>
              <w:t>Carrying</w:t>
            </w:r>
          </w:p>
        </w:tc>
        <w:tc>
          <w:tcPr>
            <w:tcW w:w="420" w:type="dxa"/>
            <w:vAlign w:val="bottom"/>
          </w:tcPr>
          <w:p>
            <w:pPr>
              <w:spacing w:after="0"/>
              <w:rPr>
                <w:sz w:val="19"/>
                <w:szCs w:val="19"/>
                <w:color w:val="auto"/>
              </w:rPr>
            </w:pPr>
          </w:p>
        </w:tc>
        <w:tc>
          <w:tcPr>
            <w:tcW w:w="1200" w:type="dxa"/>
            <w:vAlign w:val="bottom"/>
            <w:gridSpan w:val="3"/>
          </w:tcPr>
          <w:p>
            <w:pPr>
              <w:jc w:val="right"/>
              <w:ind w:right="170"/>
              <w:spacing w:after="0"/>
              <w:rPr>
                <w:sz w:val="20"/>
                <w:szCs w:val="20"/>
                <w:color w:val="auto"/>
              </w:rPr>
            </w:pPr>
            <w:r>
              <w:rPr>
                <w:rFonts w:ascii="Arial" w:cs="Arial" w:eastAsia="Arial" w:hAnsi="Arial"/>
                <w:sz w:val="18"/>
                <w:szCs w:val="18"/>
                <w:color w:val="auto"/>
              </w:rPr>
              <w:t>Principal</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90"/>
              <w:spacing w:after="0"/>
              <w:rPr>
                <w:sz w:val="20"/>
                <w:szCs w:val="20"/>
                <w:color w:val="auto"/>
              </w:rPr>
            </w:pPr>
            <w:r>
              <w:rPr>
                <w:rFonts w:ascii="Arial" w:cs="Arial" w:eastAsia="Arial" w:hAnsi="Arial"/>
                <w:sz w:val="18"/>
                <w:szCs w:val="18"/>
                <w:color w:val="auto"/>
              </w:rPr>
              <w:t>Carrying</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36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2"/>
              </w:rPr>
              <w:t>outstanding</w:t>
            </w:r>
          </w:p>
        </w:tc>
        <w:tc>
          <w:tcPr>
            <w:tcW w:w="4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w w:val="99"/>
              </w:rPr>
              <w:t>amount</w:t>
            </w:r>
          </w:p>
        </w:tc>
        <w:tc>
          <w:tcPr>
            <w:tcW w:w="4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outstanding</w:t>
            </w:r>
          </w:p>
        </w:tc>
        <w:tc>
          <w:tcPr>
            <w:tcW w:w="4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rPr>
              <w:t>Short-term debt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8"/>
                <w:szCs w:val="18"/>
                <w:color w:val="auto"/>
              </w:rPr>
              <w:t>75</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5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8"/>
                <w:szCs w:val="18"/>
                <w:color w:val="auto"/>
              </w:rPr>
              <w:t>75</w:t>
            </w: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30"/>
              <w:spacing w:after="0" w:line="156" w:lineRule="exact"/>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8"/>
                <w:szCs w:val="18"/>
                <w:color w:val="auto"/>
              </w:rPr>
              <w:t>104</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1"/>
              </w:rPr>
              <w:t>Long-term debt</w:t>
            </w:r>
          </w:p>
        </w:tc>
        <w:tc>
          <w:tcPr>
            <w:tcW w:w="36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Senior secured borrowings: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Revolving credit facilities</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gridSpan w:val="2"/>
          </w:tcPr>
          <w:p>
            <w:pPr>
              <w:ind w:left="340"/>
              <w:spacing w:after="0"/>
              <w:rPr>
                <w:sz w:val="20"/>
                <w:szCs w:val="20"/>
                <w:color w:val="auto"/>
              </w:rPr>
            </w:pPr>
            <w:r>
              <w:rPr>
                <w:rFonts w:ascii="Arial" w:cs="Arial" w:eastAsia="Arial" w:hAnsi="Arial"/>
                <w:sz w:val="18"/>
                <w:szCs w:val="18"/>
                <w:color w:val="auto"/>
              </w:rPr>
              <w:t>Term loan facilities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U.S. dollar due 2024</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gridSpan w:val="2"/>
          </w:tcPr>
          <w:p>
            <w:pPr>
              <w:ind w:left="660"/>
              <w:spacing w:after="0" w:line="230" w:lineRule="exact"/>
              <w:rPr>
                <w:sz w:val="20"/>
                <w:szCs w:val="20"/>
                <w:color w:val="auto"/>
              </w:rPr>
            </w:pPr>
            <w:r>
              <w:rPr>
                <w:rFonts w:ascii="Arial" w:cs="Arial" w:eastAsia="Arial" w:hAnsi="Arial"/>
                <w:sz w:val="18"/>
                <w:szCs w:val="18"/>
                <w:color w:val="auto"/>
              </w:rPr>
              <w:t>Euro due 2024</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gridSpan w:val="2"/>
          </w:tcPr>
          <w:p>
            <w:pPr>
              <w:ind w:left="340"/>
              <w:spacing w:after="0"/>
              <w:rPr>
                <w:sz w:val="20"/>
                <w:szCs w:val="20"/>
                <w:color w:val="auto"/>
              </w:rPr>
            </w:pPr>
            <w:r>
              <w:rPr>
                <w:rFonts w:ascii="Arial" w:cs="Arial" w:eastAsia="Arial" w:hAnsi="Arial"/>
                <w:sz w:val="18"/>
                <w:szCs w:val="18"/>
                <w:color w:val="auto"/>
              </w:rPr>
              <w:t>€650 at 4.0% due 2022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794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 S. dollar at 4.50% due 2023</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ind w:left="340"/>
              <w:spacing w:after="0"/>
              <w:rPr>
                <w:sz w:val="20"/>
                <w:szCs w:val="20"/>
                <w:color w:val="auto"/>
              </w:rPr>
            </w:pPr>
            <w:r>
              <w:rPr>
                <w:rFonts w:ascii="Arial" w:cs="Arial" w:eastAsia="Arial" w:hAnsi="Arial"/>
                <w:sz w:val="18"/>
                <w:szCs w:val="18"/>
                <w:color w:val="auto"/>
              </w:rPr>
              <w:t>€335 at 2.25% due 2023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€550 at 0.75% due 2023</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ind w:left="340"/>
              <w:spacing w:after="0"/>
              <w:rPr>
                <w:sz w:val="20"/>
                <w:szCs w:val="20"/>
                <w:color w:val="auto"/>
              </w:rPr>
            </w:pPr>
            <w:r>
              <w:rPr>
                <w:rFonts w:ascii="Arial" w:cs="Arial" w:eastAsia="Arial" w:hAnsi="Arial"/>
                <w:sz w:val="18"/>
                <w:szCs w:val="18"/>
                <w:color w:val="auto"/>
              </w:rPr>
              <w:t>€600 at 2.625% due 2024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683</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680</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€600 at 3.375% due 2025</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ind w:left="340"/>
              <w:spacing w:after="0"/>
              <w:rPr>
                <w:sz w:val="20"/>
                <w:szCs w:val="20"/>
                <w:color w:val="auto"/>
              </w:rPr>
            </w:pPr>
            <w:r>
              <w:rPr>
                <w:rFonts w:ascii="Arial" w:cs="Arial" w:eastAsia="Arial" w:hAnsi="Arial"/>
                <w:sz w:val="18"/>
                <w:szCs w:val="18"/>
                <w:color w:val="auto"/>
              </w:rPr>
              <w:t>U.S. dollar at 4.25% due 2026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dollar at 4.75% due 2026</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ind w:left="340"/>
              <w:spacing w:after="0"/>
              <w:rPr>
                <w:sz w:val="20"/>
                <w:szCs w:val="20"/>
                <w:color w:val="auto"/>
              </w:rPr>
            </w:pPr>
            <w:r>
              <w:rPr>
                <w:rFonts w:ascii="Arial" w:cs="Arial" w:eastAsia="Arial" w:hAnsi="Arial"/>
                <w:sz w:val="18"/>
                <w:szCs w:val="18"/>
                <w:color w:val="auto"/>
              </w:rPr>
              <w:t>U.S. dollar at 7.375% due 2026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€500 at 2.875% due 2026</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ind w:left="340"/>
              <w:spacing w:after="0"/>
              <w:rPr>
                <w:sz w:val="20"/>
                <w:szCs w:val="20"/>
                <w:color w:val="auto"/>
              </w:rPr>
            </w:pPr>
            <w:r>
              <w:rPr>
                <w:rFonts w:ascii="Arial" w:cs="Arial" w:eastAsia="Arial" w:hAnsi="Arial"/>
                <w:sz w:val="18"/>
                <w:szCs w:val="18"/>
                <w:color w:val="auto"/>
              </w:rPr>
              <w:t>U.S. dollar at 7.50% due 2096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indebtedness in various currencies:</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8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91"/>
              </w:rPr>
              <w:t>Fixed rate with rates in 2021 from 2.7% to 7.8% due through</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189</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189</w:t>
            </w: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97</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0"/>
              <w:spacing w:after="0"/>
              <w:rPr>
                <w:sz w:val="20"/>
                <w:szCs w:val="20"/>
                <w:color w:val="auto"/>
              </w:rPr>
            </w:pPr>
            <w:r>
              <w:rPr>
                <w:rFonts w:ascii="Arial" w:cs="Arial" w:eastAsia="Arial" w:hAnsi="Arial"/>
                <w:sz w:val="18"/>
                <w:szCs w:val="18"/>
                <w:color w:val="auto"/>
              </w:rPr>
              <w:t>2026</w:t>
            </w:r>
          </w:p>
        </w:tc>
        <w:tc>
          <w:tcPr>
            <w:tcW w:w="3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240" w:type="dxa"/>
            <w:vAlign w:val="bottom"/>
            <w:gridSpan w:val="4"/>
            <w:shd w:val="clear" w:color="auto" w:fill="CCEEFF"/>
          </w:tcPr>
          <w:p>
            <w:pPr>
              <w:ind w:left="340"/>
              <w:spacing w:after="0" w:line="176" w:lineRule="exact"/>
              <w:rPr>
                <w:sz w:val="20"/>
                <w:szCs w:val="20"/>
                <w:color w:val="auto"/>
              </w:rPr>
            </w:pPr>
            <w:r>
              <w:rPr>
                <w:rFonts w:ascii="Arial" w:cs="Arial" w:eastAsia="Arial" w:hAnsi="Arial"/>
                <w:sz w:val="18"/>
                <w:szCs w:val="18"/>
                <w:color w:val="auto"/>
                <w:w w:val="96"/>
              </w:rPr>
              <w:t>Variable rate with average rates in 2021 from 1.9% to 3.6% due</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through 2026</w:t>
            </w:r>
          </w:p>
        </w:tc>
        <w:tc>
          <w:tcPr>
            <w:tcW w:w="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ind w:left="660"/>
              <w:spacing w:after="0"/>
              <w:rPr>
                <w:sz w:val="20"/>
                <w:szCs w:val="20"/>
                <w:color w:val="auto"/>
              </w:rPr>
            </w:pPr>
            <w:r>
              <w:rPr>
                <w:rFonts w:ascii="Arial" w:cs="Arial" w:eastAsia="Arial" w:hAnsi="Arial"/>
                <w:sz w:val="18"/>
                <w:szCs w:val="18"/>
                <w:color w:val="auto"/>
              </w:rPr>
              <w:t>Total long-term debt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6,221</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6,187</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8,141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8,090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ind w:left="660"/>
              <w:spacing w:after="0"/>
              <w:rPr>
                <w:sz w:val="20"/>
                <w:szCs w:val="20"/>
                <w:color w:val="auto"/>
              </w:rPr>
            </w:pPr>
            <w:r>
              <w:rPr>
                <w:rFonts w:ascii="Arial" w:cs="Arial" w:eastAsia="Arial" w:hAnsi="Arial"/>
                <w:sz w:val="18"/>
                <w:szCs w:val="18"/>
                <w:color w:val="auto"/>
              </w:rPr>
              <w:t>Total long-term debt, less current maturities</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6,085</w:t>
            </w:r>
          </w:p>
        </w:tc>
        <w:tc>
          <w:tcPr>
            <w:tcW w:w="4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6,052</w:t>
            </w:r>
          </w:p>
        </w:tc>
        <w:tc>
          <w:tcPr>
            <w:tcW w:w="4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8,074</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€303 and €317 at December 31, 2021 and 2020</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$6,548 at December 31, 2021 and $8,617 at December 31, 2020.</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2021, the Company redeemed all of its €650, equivalent to $754, 4.0% senior notes due 2022 and its $1,000 4.5% senior notes due 2023. In connection with the redemption, the Company recorded losses from early extinguishments of debt of $68 for premium payments and the write-off of deferred financing fees.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revolving credit facilities include provisions for letters of credit up to $310 that reduce the amount of borrowing capacity otherwise available. At December 31, 2021, the Company’s available borrowing capacity under the credit facilities was $1,535, equal to the facilities’ aggregate capacity of $1,650 less $65 of outstanding letters of credit and $50 of credit facility borrowings. The interest rates on the facilities can vary from LIBOR or EURIBOR, with a floor of zero, plus a margin of up to 1.55%, depending on the facility, based on the Company's leverage ratio. The revolving credit facilities and term loan facilities required the Company to maintain a leverage ratio of no greater than 5.00 times at December 31, 2021. The Company was in compliance with all covenants as of December 31, 2021.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rates were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7140" w:type="dxa"/>
            <w:vAlign w:val="bottom"/>
            <w:gridSpan w:val="2"/>
          </w:tcPr>
          <w:p>
            <w:pPr>
              <w:ind w:left="4800"/>
              <w:spacing w:after="0"/>
              <w:rPr>
                <w:sz w:val="20"/>
                <w:szCs w:val="20"/>
                <w:color w:val="auto"/>
              </w:rPr>
            </w:pPr>
            <w:r>
              <w:rPr>
                <w:rFonts w:ascii="Arial" w:cs="Arial" w:eastAsia="Arial" w:hAnsi="Arial"/>
                <w:sz w:val="18"/>
                <w:szCs w:val="18"/>
                <w:b w:val="1"/>
                <w:bCs w:val="1"/>
                <w:color w:val="auto"/>
              </w:rPr>
              <w:t>Crown Holdings, Inc.</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810"/>
        </w:trPr>
        <w:tc>
          <w:tcPr>
            <w:tcW w:w="7140" w:type="dxa"/>
            <w:vAlign w:val="bottom"/>
            <w:gridSpan w:val="2"/>
          </w:tcPr>
          <w:p>
            <w:pPr>
              <w:jc w:val="right"/>
              <w:ind w:right="4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4"/>
                <w:szCs w:val="24"/>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2019</w:t>
            </w: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9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0.6 %</w:t>
            </w:r>
          </w:p>
        </w:tc>
        <w:tc>
          <w:tcPr>
            <w:tcW w:w="2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2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facilities</w:t>
            </w:r>
          </w:p>
        </w:tc>
        <w:tc>
          <w:tcPr>
            <w:tcW w:w="480" w:type="dxa"/>
            <w:vAlign w:val="bottom"/>
          </w:tcPr>
          <w:p>
            <w:pPr>
              <w:jc w:val="right"/>
              <w:spacing w:after="0"/>
              <w:rPr>
                <w:sz w:val="20"/>
                <w:szCs w:val="20"/>
                <w:color w:val="auto"/>
              </w:rPr>
            </w:pPr>
            <w:r>
              <w:rPr>
                <w:rFonts w:ascii="Arial" w:cs="Arial" w:eastAsia="Arial" w:hAnsi="Arial"/>
                <w:sz w:val="18"/>
                <w:szCs w:val="18"/>
                <w:color w:val="auto"/>
                <w:w w:val="95"/>
              </w:rPr>
              <w:t>1.2 %</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1.8 %</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3.0 %</w:t>
            </w:r>
          </w:p>
        </w:tc>
      </w:tr>
    </w:tbl>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maturities of long-term debt, excluding unamortized discounts and debt issuance costs, for the five years subsequent to 2021 are $136, $1,144, $1,969, $715 and $2,217. Cash payments for interest during 2021, 2020 and 2019 were $294, $302, and $362.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Derivative and Other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20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184" w:lineRule="exact"/>
        <w:rPr>
          <w:sz w:val="20"/>
          <w:szCs w:val="20"/>
          <w:color w:val="auto"/>
        </w:rPr>
      </w:pPr>
    </w:p>
    <w:p>
      <w:pPr>
        <w:jc w:val="both"/>
        <w:spacing w:after="0" w:line="277" w:lineRule="auto"/>
        <w:rPr>
          <w:rFonts w:ascii="Arial" w:cs="Arial" w:eastAsia="Arial" w:hAnsi="Arial"/>
          <w:sz w:val="18"/>
          <w:szCs w:val="18"/>
          <w:color w:val="0000FF"/>
        </w:rPr>
      </w:pPr>
      <w:hyperlink w:anchor="page62">
        <w:r>
          <w:rPr>
            <w:rFonts w:ascii="Arial" w:cs="Arial" w:eastAsia="Arial" w:hAnsi="Arial"/>
            <w:sz w:val="18"/>
            <w:szCs w:val="18"/>
            <w:color w:val="auto"/>
          </w:rPr>
          <w:t xml:space="preserve">Fair value disclosures for financial assets and liabilities that were accounted for at fair value on a recurring basis are provided below. In addition, see </w:t>
        </w:r>
        <w:r>
          <w:rPr>
            <w:rFonts w:ascii="Arial" w:cs="Arial" w:eastAsia="Arial" w:hAnsi="Arial"/>
            <w:sz w:val="18"/>
            <w:szCs w:val="18"/>
            <w:u w:val="single" w:color="auto"/>
            <w:color w:val="0000FF"/>
          </w:rPr>
          <w:t>Note</w:t>
        </w:r>
      </w:hyperlink>
      <w:r>
        <w:rPr>
          <w:rFonts w:ascii="Arial" w:cs="Arial" w:eastAsia="Arial" w:hAnsi="Arial"/>
          <w:sz w:val="18"/>
          <w:szCs w:val="18"/>
          <w:color w:val="auto"/>
        </w:rPr>
        <w:t xml:space="preserve"> </w:t>
      </w:r>
      <w:hyperlink w:anchor="page62">
        <w:r>
          <w:rPr>
            <w:rFonts w:ascii="Arial" w:cs="Arial" w:eastAsia="Arial" w:hAnsi="Arial"/>
            <w:sz w:val="18"/>
            <w:szCs w:val="18"/>
            <w:u w:val="single" w:color="auto"/>
            <w:color w:val="0000FF"/>
          </w:rPr>
          <w:t>M</w:t>
        </w:r>
        <w:r>
          <w:rPr>
            <w:rFonts w:ascii="Arial" w:cs="Arial" w:eastAsia="Arial" w:hAnsi="Arial"/>
            <w:sz w:val="18"/>
            <w:szCs w:val="18"/>
            <w:color w:val="0000FF"/>
          </w:rPr>
          <w:t xml:space="preserve"> </w:t>
        </w:r>
        <w:r>
          <w:rPr>
            <w:rFonts w:ascii="Arial" w:cs="Arial" w:eastAsia="Arial" w:hAnsi="Arial"/>
            <w:sz w:val="18"/>
            <w:szCs w:val="18"/>
            <w:color w:val="000000"/>
          </w:rPr>
          <w:t>for fair value disclosures related to debt.</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normal course of business the Company is subject to risk from adverse fluctuations in currency exchange rates, interest rates and commodity prices. The Company manages these risks through a program that includes the use of derivative financial</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185"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forecasted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 or when the forecasted transaction becomes probable of not occurring.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other comprehensive income is the same as that of the underlying exposure. Contracts outstanding at December 31, 2021 mature between one and thirty-four months.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commodity forward contracts to hedge anticipated purchases of various commodities, including aluminum and fuel oil, and these exposures are hedged by a central treasury unit.</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also uses interest rate swaps to convert interest on floating rate debt to a fixed-rate.</w:t>
      </w:r>
    </w:p>
    <w:p>
      <w:pPr>
        <w:spacing w:after="0" w:line="252" w:lineRule="exact"/>
        <w:rPr>
          <w:sz w:val="20"/>
          <w:szCs w:val="20"/>
          <w:color w:val="auto"/>
        </w:rPr>
      </w:pPr>
    </w:p>
    <w:p>
      <w:pPr>
        <w:ind w:right="200"/>
        <w:spacing w:after="0" w:line="306" w:lineRule="auto"/>
        <w:rPr>
          <w:sz w:val="20"/>
          <w:szCs w:val="20"/>
          <w:color w:val="auto"/>
        </w:rPr>
      </w:pPr>
      <w:r>
        <w:rPr>
          <w:rFonts w:ascii="Arial" w:cs="Arial" w:eastAsia="Arial" w:hAnsi="Arial"/>
          <w:sz w:val="17"/>
          <w:szCs w:val="17"/>
          <w:color w:val="auto"/>
        </w:rPr>
        <w:t>The following tables set forth financial information about the impact on other comprehensive income ("OCI"), accumulated other comprehensive income ("AOCI") and earnings from changes in the fair value related to derivative instruments designated as cash flow hedges.</w:t>
      </w:r>
    </w:p>
    <w:p>
      <w:pPr>
        <w:jc w:val="center"/>
        <w:ind w:right="820"/>
        <w:spacing w:after="0" w:line="223" w:lineRule="auto"/>
        <w:rPr>
          <w:sz w:val="20"/>
          <w:szCs w:val="20"/>
          <w:color w:val="auto"/>
        </w:rPr>
      </w:pPr>
      <w:r>
        <w:rPr>
          <w:rFonts w:ascii="Arial" w:cs="Arial" w:eastAsia="Arial" w:hAnsi="Arial"/>
          <w:sz w:val="18"/>
          <w:szCs w:val="18"/>
          <w:color w:val="auto"/>
        </w:rPr>
        <w:t>Amount of gain / (loss) recognized in</w:t>
      </w:r>
    </w:p>
    <w:p>
      <w:pPr>
        <w:jc w:val="center"/>
        <w:ind w:right="860"/>
        <w:spacing w:after="0"/>
        <w:rPr>
          <w:sz w:val="20"/>
          <w:szCs w:val="20"/>
          <w:color w:val="auto"/>
        </w:rPr>
      </w:pPr>
      <w:r>
        <w:rPr>
          <w:rFonts w:ascii="Arial" w:cs="Arial" w:eastAsia="Arial" w:hAnsi="Arial"/>
          <w:sz w:val="18"/>
          <w:szCs w:val="18"/>
          <w:color w:val="auto"/>
        </w:rPr>
        <w:t>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4445</wp:posOffset>
            </wp:positionV>
            <wp:extent cx="20231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12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2"/>
          </w:tcPr>
          <w:p>
            <w:pPr>
              <w:ind w:left="20"/>
              <w:spacing w:after="0"/>
              <w:rPr>
                <w:sz w:val="20"/>
                <w:szCs w:val="20"/>
                <w:color w:val="auto"/>
              </w:rPr>
            </w:pPr>
            <w:r>
              <w:rPr>
                <w:rFonts w:ascii="Arial" w:cs="Arial" w:eastAsia="Arial" w:hAnsi="Arial"/>
                <w:sz w:val="18"/>
                <w:szCs w:val="18"/>
                <w:color w:val="auto"/>
              </w:rPr>
              <w:t>Interest rate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4"/>
          </w:tcPr>
          <w:p>
            <w:pPr>
              <w:jc w:val="right"/>
              <w:ind w:right="30"/>
              <w:spacing w:after="0"/>
              <w:rPr>
                <w:sz w:val="20"/>
                <w:szCs w:val="20"/>
                <w:color w:val="auto"/>
              </w:rPr>
            </w:pPr>
            <w:r>
              <w:rPr>
                <w:rFonts w:ascii="Arial" w:cs="Arial" w:eastAsia="Arial" w:hAnsi="Arial"/>
                <w:sz w:val="18"/>
                <w:szCs w:val="18"/>
                <w:color w:val="auto"/>
                <w:w w:val="92"/>
              </w:rPr>
              <w:t>Amount of gain / (loss) reclassified from</w:t>
            </w:r>
          </w:p>
        </w:tc>
        <w:tc>
          <w:tcPr>
            <w:tcW w:w="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color w:val="auto"/>
              </w:rPr>
              <w:t>AOCI into income</w:t>
            </w:r>
          </w:p>
        </w:tc>
        <w:tc>
          <w:tcPr>
            <w:tcW w:w="1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60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in cash flow hedges</w:t>
            </w:r>
          </w:p>
        </w:tc>
        <w:tc>
          <w:tcPr>
            <w:tcW w:w="120" w:type="dxa"/>
            <w:vAlign w:val="bottom"/>
          </w:tcPr>
          <w:p>
            <w:pPr>
              <w:spacing w:after="0"/>
              <w:rPr>
                <w:sz w:val="15"/>
                <w:szCs w:val="15"/>
                <w:color w:val="auto"/>
              </w:rPr>
            </w:pPr>
          </w:p>
        </w:tc>
        <w:tc>
          <w:tcPr>
            <w:tcW w:w="1400" w:type="dxa"/>
            <w:vAlign w:val="bottom"/>
            <w:vMerge w:val="restart"/>
          </w:tcPr>
          <w:p>
            <w:pPr>
              <w:jc w:val="right"/>
              <w:ind w:right="49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vMerge w:val="restart"/>
          </w:tcPr>
          <w:p>
            <w:pPr>
              <w:jc w:val="right"/>
              <w:ind w:right="49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5"/>
                <w:szCs w:val="15"/>
                <w:color w:val="auto"/>
              </w:rPr>
            </w:pPr>
          </w:p>
        </w:tc>
        <w:tc>
          <w:tcPr>
            <w:tcW w:w="4140" w:type="dxa"/>
            <w:vAlign w:val="bottom"/>
          </w:tcPr>
          <w:p>
            <w:pPr>
              <w:ind w:left="1160"/>
              <w:spacing w:after="0" w:line="182" w:lineRule="exact"/>
              <w:rPr>
                <w:sz w:val="20"/>
                <w:szCs w:val="20"/>
                <w:color w:val="auto"/>
              </w:rPr>
            </w:pPr>
            <w:r>
              <w:rPr>
                <w:rFonts w:ascii="Arial" w:cs="Arial" w:eastAsia="Arial" w:hAnsi="Arial"/>
                <w:sz w:val="18"/>
                <w:szCs w:val="18"/>
                <w:color w:val="auto"/>
              </w:rPr>
              <w:t>Affected line item in the</w:t>
            </w:r>
          </w:p>
        </w:tc>
        <w:tc>
          <w:tcPr>
            <w:tcW w:w="0" w:type="dxa"/>
            <w:vAlign w:val="bottom"/>
          </w:tcPr>
          <w:p>
            <w:pPr>
              <w:spacing w:after="0"/>
              <w:rPr>
                <w:sz w:val="1"/>
                <w:szCs w:val="1"/>
                <w:color w:val="auto"/>
              </w:rPr>
            </w:pPr>
          </w:p>
        </w:tc>
      </w:tr>
      <w:tr>
        <w:trPr>
          <w:trHeight w:val="230"/>
        </w:trPr>
        <w:tc>
          <w:tcPr>
            <w:tcW w:w="36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140" w:type="dxa"/>
            <w:vAlign w:val="bottom"/>
          </w:tcPr>
          <w:p>
            <w:pPr>
              <w:ind w:left="120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4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360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Commodities</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155"/>
        </w:trPr>
        <w:tc>
          <w:tcPr>
            <w:tcW w:w="3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3"/>
                <w:szCs w:val="13"/>
                <w:color w:val="auto"/>
              </w:rPr>
            </w:pPr>
          </w:p>
        </w:tc>
        <w:tc>
          <w:tcPr>
            <w:tcW w:w="41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(Loss) / income from continuing operations before taxes</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equity in net earnings of affiliates</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 provision for income taxes</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 income from continuing operations</w:t>
            </w:r>
          </w:p>
        </w:tc>
        <w:tc>
          <w:tcPr>
            <w:tcW w:w="0" w:type="dxa"/>
            <w:vAlign w:val="bottom"/>
          </w:tcPr>
          <w:p>
            <w:pPr>
              <w:spacing w:after="0"/>
              <w:rPr>
                <w:sz w:val="1"/>
                <w:szCs w:val="1"/>
                <w:color w:val="auto"/>
              </w:rPr>
            </w:pPr>
          </w:p>
        </w:tc>
      </w:tr>
      <w:tr>
        <w:trPr>
          <w:trHeight w:val="223"/>
        </w:trPr>
        <w:tc>
          <w:tcPr>
            <w:tcW w:w="360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Net (loss) / income from discontinued operations</w:t>
            </w: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 income from discontinued operations</w:t>
            </w:r>
          </w:p>
        </w:tc>
        <w:tc>
          <w:tcPr>
            <w:tcW w:w="0" w:type="dxa"/>
            <w:vAlign w:val="bottom"/>
          </w:tcPr>
          <w:p>
            <w:pPr>
              <w:spacing w:after="0"/>
              <w:rPr>
                <w:sz w:val="1"/>
                <w:szCs w:val="1"/>
                <w:color w:val="auto"/>
              </w:rPr>
            </w:pPr>
          </w:p>
        </w:tc>
      </w:tr>
      <w:tr>
        <w:trPr>
          <w:trHeight w:val="223"/>
        </w:trPr>
        <w:tc>
          <w:tcPr>
            <w:tcW w:w="3600" w:type="dxa"/>
            <w:vAlign w:val="bottom"/>
            <w:gridSpan w:val="2"/>
          </w:tcPr>
          <w:p>
            <w:pPr>
              <w:ind w:left="20"/>
              <w:spacing w:after="0"/>
              <w:rPr>
                <w:sz w:val="20"/>
                <w:szCs w:val="20"/>
                <w:color w:val="auto"/>
              </w:rPr>
            </w:pPr>
            <w:r>
              <w:rPr>
                <w:rFonts w:ascii="Arial" w:cs="Arial" w:eastAsia="Arial" w:hAnsi="Arial"/>
                <w:sz w:val="18"/>
                <w:szCs w:val="18"/>
                <w:color w:val="auto"/>
              </w:rPr>
              <w:t>Total reclassified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Net (loss) / income</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2021, a net gain of $34 ($28, net of tax) is expected to be reclassified to earnings for commodity and foreign exchange contracts. No material amounts were reclassified during the years ended December 31, 2021 and 2020 in connection with anticipated transactions that were no longer considered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years ended December 31, 2021, and December 31, 2020, the Company recorded gains of $3 and $27 from foreign exchange contracts designated as fair value hedges. These adjustments were reported within foreign exchange in the Consolidated Statements of Operations.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derivative financial instruments, including foreign exchange contracts related to intercompany debt, were not designated or did not qualify for hedge accounting; however, they are effective economic hedges as the changes in their fair value, except for time value, are offset by changes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8"/>
          </w:tcPr>
          <w:p>
            <w:pPr>
              <w:spacing w:after="0"/>
              <w:rPr>
                <w:sz w:val="20"/>
                <w:szCs w:val="20"/>
                <w:color w:val="auto"/>
              </w:rPr>
            </w:pPr>
            <w:r>
              <w:rPr>
                <w:rFonts w:ascii="Arial" w:cs="Arial" w:eastAsia="Arial" w:hAnsi="Arial"/>
                <w:sz w:val="18"/>
                <w:szCs w:val="18"/>
                <w:color w:val="auto"/>
                <w:w w:val="90"/>
              </w:rPr>
              <w:t>The following table sets forth the impact on earnings from derivatives not designated as hedges.</w:t>
            </w: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gridSpan w:val="6"/>
          </w:tcPr>
          <w:p>
            <w:pPr>
              <w:ind w:left="80"/>
              <w:spacing w:after="0" w:line="202" w:lineRule="exact"/>
              <w:rPr>
                <w:sz w:val="20"/>
                <w:szCs w:val="20"/>
                <w:color w:val="auto"/>
              </w:rPr>
            </w:pPr>
            <w:r>
              <w:rPr>
                <w:rFonts w:ascii="Arial" w:cs="Arial" w:eastAsia="Arial" w:hAnsi="Arial"/>
                <w:sz w:val="18"/>
                <w:szCs w:val="18"/>
                <w:color w:val="auto"/>
                <w:w w:val="96"/>
              </w:rPr>
              <w:t>Pre-tax amount of gain / (loss) recognized</w:t>
            </w:r>
          </w:p>
        </w:tc>
        <w:tc>
          <w:tcPr>
            <w:tcW w:w="4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in earnings</w:t>
            </w:r>
          </w:p>
        </w:tc>
        <w:tc>
          <w:tcPr>
            <w:tcW w:w="4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140" w:type="dxa"/>
            <w:vAlign w:val="bottom"/>
            <w:vMerge w:val="restart"/>
          </w:tcPr>
          <w:p>
            <w:pPr>
              <w:ind w:left="1160"/>
              <w:spacing w:after="0"/>
              <w:rPr>
                <w:sz w:val="20"/>
                <w:szCs w:val="20"/>
                <w:color w:val="auto"/>
              </w:rPr>
            </w:pPr>
            <w:r>
              <w:rPr>
                <w:rFonts w:ascii="Arial" w:cs="Arial" w:eastAsia="Arial" w:hAnsi="Arial"/>
                <w:sz w:val="18"/>
                <w:szCs w:val="18"/>
                <w:color w:val="auto"/>
              </w:rPr>
              <w:t>Affected line item in the</w:t>
            </w:r>
          </w:p>
        </w:tc>
        <w:tc>
          <w:tcPr>
            <w:tcW w:w="0" w:type="dxa"/>
            <w:vAlign w:val="bottom"/>
          </w:tcPr>
          <w:p>
            <w:pPr>
              <w:spacing w:after="0"/>
              <w:rPr>
                <w:sz w:val="1"/>
                <w:szCs w:val="1"/>
                <w:color w:val="auto"/>
              </w:rPr>
            </w:pPr>
          </w:p>
        </w:tc>
      </w:tr>
      <w:tr>
        <w:trPr>
          <w:trHeight w:val="156"/>
        </w:trPr>
        <w:tc>
          <w:tcPr>
            <w:tcW w:w="360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not designated as hedges</w:t>
            </w:r>
          </w:p>
        </w:tc>
        <w:tc>
          <w:tcPr>
            <w:tcW w:w="340" w:type="dxa"/>
            <w:vAlign w:val="bottom"/>
          </w:tcPr>
          <w:p>
            <w:pPr>
              <w:spacing w:after="0"/>
              <w:rPr>
                <w:sz w:val="13"/>
                <w:szCs w:val="13"/>
                <w:color w:val="auto"/>
              </w:rPr>
            </w:pPr>
          </w:p>
        </w:tc>
        <w:tc>
          <w:tcPr>
            <w:tcW w:w="1180" w:type="dxa"/>
            <w:vAlign w:val="bottom"/>
            <w:vMerge w:val="restart"/>
          </w:tcPr>
          <w:p>
            <w:pPr>
              <w:jc w:val="right"/>
              <w:ind w:right="49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6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140" w:type="dxa"/>
            <w:vAlign w:val="bottom"/>
          </w:tcPr>
          <w:p>
            <w:pPr>
              <w:ind w:left="120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4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29"/>
        </w:trPr>
        <w:tc>
          <w:tcPr>
            <w:tcW w:w="360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0" w:type="dxa"/>
            <w:vAlign w:val="bottom"/>
          </w:tcPr>
          <w:p>
            <w:pPr>
              <w:spacing w:after="0"/>
              <w:rPr>
                <w:sz w:val="1"/>
                <w:szCs w:val="1"/>
                <w:color w:val="auto"/>
              </w:rPr>
            </w:pPr>
          </w:p>
        </w:tc>
      </w:tr>
      <w:tr>
        <w:trPr>
          <w:trHeight w:val="229"/>
        </w:trPr>
        <w:tc>
          <w:tcPr>
            <w:tcW w:w="360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34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Net (loss) / income from discontinued operations</w:t>
            </w:r>
          </w:p>
        </w:tc>
        <w:tc>
          <w:tcPr>
            <w:tcW w:w="0" w:type="dxa"/>
            <w:vAlign w:val="bottom"/>
          </w:tcPr>
          <w:p>
            <w:pPr>
              <w:spacing w:after="0"/>
              <w:rPr>
                <w:sz w:val="1"/>
                <w:szCs w:val="1"/>
                <w:color w:val="auto"/>
              </w:rPr>
            </w:pPr>
          </w:p>
        </w:tc>
      </w:tr>
      <w:tr>
        <w:trPr>
          <w:trHeight w:val="248"/>
        </w:trPr>
        <w:tc>
          <w:tcPr>
            <w:tcW w:w="34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1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designates certain debt and derivative instruments as net investment hedges to manage foreign currency risk relating to net investments in subsidiaries denominated in foreign currencies.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years ended December 31, 2021 and 2020, the Company recorded a gain of $103 ($103, net of tax) and a loss of $1 ($1, net of tax) in other comprehensive income for certain debt instruments that are designated as hedges of its net investment in a euro-based subsidiary. As of December 31, 2021 and December 31, 2020, cumulative gains of $69 ($92, net of tax) and losses of $33 ($10, net of tax) were recognized in accumulated other comprehensive income related to these net investment hedges and the carrying amount of the hedged net investment was approximately €1,312 ($1,493) at December 31, 2021.</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following tables set forth financial information about the impact on accumulated other comprehensive income from changes in the fair value of derivative instruments designated as net investment hedges.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6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color w:val="auto"/>
                <w:w w:val="99"/>
              </w:rPr>
              <w:t>Amount of (loss) / gain recognized in AOCI</w:t>
            </w:r>
          </w:p>
        </w:tc>
      </w:tr>
      <w:tr>
        <w:trPr>
          <w:trHeight w:val="22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2020</w:t>
            </w:r>
          </w:p>
        </w:tc>
      </w:tr>
      <w:tr>
        <w:trPr>
          <w:trHeight w:val="223"/>
        </w:trPr>
        <w:tc>
          <w:tcPr>
            <w:tcW w:w="7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Gains or losses on net investment hedges remain in accumulated other comprehensive income until disposal of the underlying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 Financial Instruments and Valuation Hierarchy</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following table sets forth the Company's financial assets and liabilities that were accounted for at fair value on a recurring basis as of December 31, 2021 and December 31, 2020, respectively. The fair value of these financial instruments were reported under Level 2 of the fair value hierarchy.</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80" w:type="dxa"/>
            <w:vAlign w:val="bottom"/>
            <w:gridSpan w:val="4"/>
          </w:tcPr>
          <w:p>
            <w:pPr>
              <w:ind w:left="420"/>
              <w:spacing w:after="0" w:line="176" w:lineRule="exact"/>
              <w:rPr>
                <w:sz w:val="20"/>
                <w:szCs w:val="20"/>
                <w:color w:val="auto"/>
              </w:rPr>
            </w:pPr>
            <w:r>
              <w:rPr>
                <w:rFonts w:ascii="Arial" w:cs="Arial" w:eastAsia="Arial" w:hAnsi="Arial"/>
                <w:sz w:val="18"/>
                <w:szCs w:val="18"/>
                <w:color w:val="auto"/>
              </w:rPr>
              <w:t>Balance Sheet</w:t>
            </w:r>
          </w:p>
        </w:tc>
        <w:tc>
          <w:tcPr>
            <w:tcW w:w="140" w:type="dxa"/>
            <w:vAlign w:val="bottom"/>
          </w:tcPr>
          <w:p>
            <w:pPr>
              <w:spacing w:after="0"/>
              <w:rPr>
                <w:sz w:val="15"/>
                <w:szCs w:val="15"/>
                <w:color w:val="auto"/>
              </w:rPr>
            </w:pPr>
          </w:p>
        </w:tc>
        <w:tc>
          <w:tcPr>
            <w:tcW w:w="132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5"/>
                <w:szCs w:val="15"/>
                <w:color w:val="auto"/>
              </w:rPr>
            </w:pPr>
          </w:p>
        </w:tc>
        <w:tc>
          <w:tcPr>
            <w:tcW w:w="1200" w:type="dxa"/>
            <w:vAlign w:val="bottom"/>
          </w:tcPr>
          <w:p>
            <w:pPr>
              <w:jc w:val="right"/>
              <w:ind w:right="70"/>
              <w:spacing w:after="0" w:line="176" w:lineRule="exact"/>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5"/>
                <w:szCs w:val="15"/>
                <w:color w:val="auto"/>
              </w:rPr>
            </w:pPr>
          </w:p>
        </w:tc>
        <w:tc>
          <w:tcPr>
            <w:tcW w:w="178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Balance Sheet</w:t>
            </w:r>
          </w:p>
        </w:tc>
        <w:tc>
          <w:tcPr>
            <w:tcW w:w="140" w:type="dxa"/>
            <w:vAlign w:val="bottom"/>
          </w:tcPr>
          <w:p>
            <w:pPr>
              <w:spacing w:after="0"/>
              <w:rPr>
                <w:sz w:val="15"/>
                <w:szCs w:val="15"/>
                <w:color w:val="auto"/>
              </w:rPr>
            </w:pPr>
          </w:p>
        </w:tc>
        <w:tc>
          <w:tcPr>
            <w:tcW w:w="132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5"/>
                <w:szCs w:val="15"/>
                <w:color w:val="auto"/>
              </w:rPr>
            </w:pPr>
          </w:p>
        </w:tc>
        <w:tc>
          <w:tcPr>
            <w:tcW w:w="1220" w:type="dxa"/>
            <w:vAlign w:val="bottom"/>
          </w:tcPr>
          <w:p>
            <w:pPr>
              <w:jc w:val="right"/>
              <w:ind w:right="90"/>
              <w:spacing w:after="0" w:line="176" w:lineRule="exact"/>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80" w:type="dxa"/>
            <w:vAlign w:val="bottom"/>
            <w:gridSpan w:val="4"/>
          </w:tcPr>
          <w:p>
            <w:pPr>
              <w:ind w:left="460"/>
              <w:spacing w:after="0"/>
              <w:rPr>
                <w:sz w:val="20"/>
                <w:szCs w:val="20"/>
                <w:color w:val="auto"/>
              </w:rPr>
            </w:pPr>
            <w:r>
              <w:rPr>
                <w:rFonts w:ascii="Arial" w:cs="Arial" w:eastAsia="Arial" w:hAnsi="Arial"/>
                <w:sz w:val="18"/>
                <w:szCs w:val="18"/>
                <w:color w:val="auto"/>
              </w:rPr>
              <w:t>classification</w:t>
            </w:r>
          </w:p>
        </w:tc>
        <w:tc>
          <w:tcPr>
            <w:tcW w:w="140" w:type="dxa"/>
            <w:vAlign w:val="bottom"/>
          </w:tcPr>
          <w:p>
            <w:pPr>
              <w:spacing w:after="0"/>
              <w:rPr>
                <w:sz w:val="19"/>
                <w:szCs w:val="19"/>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780" w:type="dxa"/>
            <w:vAlign w:val="bottom"/>
            <w:gridSpan w:val="2"/>
          </w:tcPr>
          <w:p>
            <w:pPr>
              <w:ind w:left="360"/>
              <w:spacing w:after="0"/>
              <w:rPr>
                <w:sz w:val="20"/>
                <w:szCs w:val="20"/>
                <w:color w:val="auto"/>
              </w:rPr>
            </w:pPr>
            <w:r>
              <w:rPr>
                <w:rFonts w:ascii="Arial" w:cs="Arial" w:eastAsia="Arial" w:hAnsi="Arial"/>
                <w:sz w:val="18"/>
                <w:szCs w:val="18"/>
                <w:color w:val="auto"/>
              </w:rPr>
              <w:t>classification</w:t>
            </w:r>
          </w:p>
        </w:tc>
        <w:tc>
          <w:tcPr>
            <w:tcW w:w="140" w:type="dxa"/>
            <w:vAlign w:val="bottom"/>
          </w:tcPr>
          <w:p>
            <w:pPr>
              <w:spacing w:after="0"/>
              <w:rPr>
                <w:sz w:val="19"/>
                <w:szCs w:val="19"/>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360" w:type="dxa"/>
            <w:vAlign w:val="bottom"/>
            <w:tcBorders>
              <w:top w:val="single" w:sz="8" w:color="auto"/>
              <w:bottom w:val="single" w:sz="8" w:color="auto"/>
            </w:tcBorders>
            <w:gridSpan w:val="4"/>
            <w:shd w:val="clear" w:color="auto" w:fill="CCEEFF"/>
          </w:tcPr>
          <w:p>
            <w:pPr>
              <w:spacing w:after="0" w:line="182" w:lineRule="exact"/>
              <w:rPr>
                <w:sz w:val="20"/>
                <w:szCs w:val="20"/>
                <w:color w:val="auto"/>
              </w:rPr>
            </w:pPr>
            <w:r>
              <w:rPr>
                <w:rFonts w:ascii="Arial" w:cs="Arial" w:eastAsia="Arial" w:hAnsi="Arial"/>
                <w:sz w:val="18"/>
                <w:szCs w:val="18"/>
                <w:color w:val="auto"/>
                <w:w w:val="89"/>
              </w:rPr>
              <w:t>Derivatives designated as hedging instruments</w:t>
            </w: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gridSpan w:val="2"/>
          </w:tcPr>
          <w:p>
            <w:pPr>
              <w:spacing w:after="0" w:line="176" w:lineRule="exact"/>
              <w:rPr>
                <w:sz w:val="20"/>
                <w:szCs w:val="20"/>
                <w:color w:val="auto"/>
              </w:rPr>
            </w:pPr>
            <w:r>
              <w:rPr>
                <w:rFonts w:ascii="Arial" w:cs="Arial" w:eastAsia="Arial" w:hAnsi="Arial"/>
                <w:sz w:val="18"/>
                <w:szCs w:val="18"/>
                <w:color w:val="auto"/>
              </w:rPr>
              <w:t>Foreign exchange</w:t>
            </w:r>
          </w:p>
        </w:tc>
        <w:tc>
          <w:tcPr>
            <w:tcW w:w="1880" w:type="dxa"/>
            <w:vAlign w:val="bottom"/>
            <w:gridSpan w:val="4"/>
          </w:tcPr>
          <w:p>
            <w:pPr>
              <w:ind w:left="120"/>
              <w:spacing w:after="0" w:line="176" w:lineRule="exact"/>
              <w:rPr>
                <w:sz w:val="20"/>
                <w:szCs w:val="20"/>
                <w:color w:val="auto"/>
              </w:rPr>
            </w:pPr>
            <w:r>
              <w:rPr>
                <w:rFonts w:ascii="Arial" w:cs="Arial" w:eastAsia="Arial" w:hAnsi="Arial"/>
                <w:sz w:val="18"/>
                <w:szCs w:val="18"/>
                <w:color w:val="auto"/>
                <w:w w:val="97"/>
              </w:rPr>
              <w:t>Prepaid expenses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contracts cash flow</w:t>
            </w:r>
          </w:p>
        </w:tc>
        <w:tc>
          <w:tcPr>
            <w:tcW w:w="1880" w:type="dxa"/>
            <w:vAlign w:val="bottom"/>
            <w:gridSpan w:val="4"/>
          </w:tcPr>
          <w:p>
            <w:pPr>
              <w:ind w:left="120"/>
              <w:spacing w:after="0"/>
              <w:rPr>
                <w:sz w:val="20"/>
                <w:szCs w:val="20"/>
                <w:color w:val="auto"/>
              </w:rPr>
            </w:pPr>
            <w:r>
              <w:rPr>
                <w:rFonts w:ascii="Arial" w:cs="Arial" w:eastAsia="Arial" w:hAnsi="Arial"/>
                <w:sz w:val="18"/>
                <w:szCs w:val="18"/>
                <w:color w:val="auto"/>
              </w:rPr>
              <w:t>other current assets</w:t>
            </w:r>
          </w:p>
        </w:tc>
        <w:tc>
          <w:tcPr>
            <w:tcW w:w="1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8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w w:val="95"/>
              </w:rPr>
              <w:t>Current assets held for</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Current liabilities held</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sale</w:t>
            </w:r>
          </w:p>
        </w:tc>
        <w:tc>
          <w:tcPr>
            <w:tcW w:w="1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 sale</w:t>
            </w:r>
          </w:p>
        </w:tc>
        <w:tc>
          <w:tcPr>
            <w:tcW w:w="1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8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80" w:type="dxa"/>
            <w:vAlign w:val="bottom"/>
            <w:gridSpan w:val="4"/>
          </w:tcPr>
          <w:p>
            <w:pPr>
              <w:ind w:left="12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Foreign exchange</w:t>
            </w:r>
          </w:p>
        </w:tc>
        <w:tc>
          <w:tcPr>
            <w:tcW w:w="188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w w:val="97"/>
              </w:rPr>
              <w:t>Prepaid expenses and</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contracts fair value</w:t>
            </w:r>
          </w:p>
        </w:tc>
        <w:tc>
          <w:tcPr>
            <w:tcW w:w="18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gridSpan w:val="2"/>
          </w:tcPr>
          <w:p>
            <w:pPr>
              <w:spacing w:after="0" w:line="176" w:lineRule="exact"/>
              <w:rPr>
                <w:sz w:val="20"/>
                <w:szCs w:val="20"/>
                <w:color w:val="auto"/>
              </w:rPr>
            </w:pPr>
            <w:r>
              <w:rPr>
                <w:rFonts w:ascii="Arial" w:cs="Arial" w:eastAsia="Arial" w:hAnsi="Arial"/>
                <w:sz w:val="18"/>
                <w:szCs w:val="18"/>
                <w:color w:val="auto"/>
                <w:w w:val="96"/>
              </w:rPr>
              <w:t>Commodities contracts</w:t>
            </w:r>
          </w:p>
        </w:tc>
        <w:tc>
          <w:tcPr>
            <w:tcW w:w="1880" w:type="dxa"/>
            <w:vAlign w:val="bottom"/>
            <w:gridSpan w:val="4"/>
          </w:tcPr>
          <w:p>
            <w:pPr>
              <w:ind w:left="120"/>
              <w:spacing w:after="0" w:line="176" w:lineRule="exact"/>
              <w:rPr>
                <w:sz w:val="20"/>
                <w:szCs w:val="20"/>
                <w:color w:val="auto"/>
              </w:rPr>
            </w:pPr>
            <w:r>
              <w:rPr>
                <w:rFonts w:ascii="Arial" w:cs="Arial" w:eastAsia="Arial" w:hAnsi="Arial"/>
                <w:sz w:val="18"/>
                <w:szCs w:val="18"/>
                <w:color w:val="auto"/>
                <w:w w:val="97"/>
              </w:rPr>
              <w:t>Prepaid expenses and</w:t>
            </w: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5"/>
                <w:szCs w:val="15"/>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cash flow</w:t>
            </w:r>
          </w:p>
        </w:tc>
        <w:tc>
          <w:tcPr>
            <w:tcW w:w="1880" w:type="dxa"/>
            <w:vAlign w:val="bottom"/>
            <w:gridSpan w:val="4"/>
          </w:tcPr>
          <w:p>
            <w:pPr>
              <w:ind w:left="1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8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w w:val="95"/>
              </w:rPr>
              <w:t>Current assets held for</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Current liabilities held</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sale</w:t>
            </w:r>
          </w:p>
        </w:tc>
        <w:tc>
          <w:tcPr>
            <w:tcW w:w="1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 sale</w:t>
            </w:r>
          </w:p>
        </w:tc>
        <w:tc>
          <w:tcPr>
            <w:tcW w:w="1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8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1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80" w:type="dxa"/>
            <w:vAlign w:val="bottom"/>
            <w:gridSpan w:val="4"/>
          </w:tcPr>
          <w:p>
            <w:pPr>
              <w:ind w:left="12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Interest rate contracts</w:t>
            </w:r>
          </w:p>
        </w:tc>
        <w:tc>
          <w:tcPr>
            <w:tcW w:w="188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Other non-current</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w:t>
            </w:r>
          </w:p>
        </w:tc>
        <w:tc>
          <w:tcPr>
            <w:tcW w:w="18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gridSpan w:val="2"/>
          </w:tcPr>
          <w:p>
            <w:pPr>
              <w:spacing w:after="0" w:line="176" w:lineRule="exact"/>
              <w:rPr>
                <w:sz w:val="20"/>
                <w:szCs w:val="20"/>
                <w:color w:val="auto"/>
              </w:rPr>
            </w:pPr>
            <w:r>
              <w:rPr>
                <w:rFonts w:ascii="Arial" w:cs="Arial" w:eastAsia="Arial" w:hAnsi="Arial"/>
                <w:sz w:val="18"/>
                <w:szCs w:val="18"/>
                <w:color w:val="auto"/>
              </w:rPr>
              <w:t>Net investment hedge</w:t>
            </w:r>
          </w:p>
        </w:tc>
        <w:tc>
          <w:tcPr>
            <w:tcW w:w="188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1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80" w:type="dxa"/>
            <w:vAlign w:val="bottom"/>
            <w:gridSpan w:val="4"/>
          </w:tcPr>
          <w:p>
            <w:pPr>
              <w:ind w:left="12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60" w:type="dxa"/>
            <w:vAlign w:val="bottom"/>
            <w:gridSpan w:val="6"/>
          </w:tcPr>
          <w:p>
            <w:pPr>
              <w:spacing w:after="0" w:line="169" w:lineRule="exact"/>
              <w:rPr>
                <w:sz w:val="20"/>
                <w:szCs w:val="20"/>
                <w:color w:val="auto"/>
              </w:rPr>
            </w:pPr>
            <w:r>
              <w:rPr>
                <w:rFonts w:ascii="Arial" w:cs="Arial" w:eastAsia="Arial" w:hAnsi="Arial"/>
                <w:sz w:val="18"/>
                <w:szCs w:val="18"/>
                <w:color w:val="auto"/>
              </w:rPr>
              <w:t>Derivatives not designated as hedging</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8"/>
                <w:szCs w:val="18"/>
                <w:color w:val="auto"/>
              </w:rPr>
              <w:t>instruments</w:t>
            </w:r>
          </w:p>
        </w:tc>
        <w:tc>
          <w:tcPr>
            <w:tcW w:w="96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Foreign exchange</w:t>
            </w:r>
          </w:p>
        </w:tc>
        <w:tc>
          <w:tcPr>
            <w:tcW w:w="188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w w:val="97"/>
              </w:rPr>
              <w:t>Prepaid expenses 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5"/>
                <w:szCs w:val="15"/>
                <w:color w:val="auto"/>
              </w:rPr>
            </w:pPr>
          </w:p>
        </w:tc>
        <w:tc>
          <w:tcPr>
            <w:tcW w:w="1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contracts</w:t>
            </w:r>
          </w:p>
        </w:tc>
        <w:tc>
          <w:tcPr>
            <w:tcW w:w="18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Total derivatives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spacing w:after="0"/>
              <w:rPr>
                <w:sz w:val="20"/>
                <w:szCs w:val="20"/>
                <w:color w:val="auto"/>
              </w:rPr>
            </w:pPr>
            <w:r>
              <w:rPr>
                <w:rFonts w:ascii="Arial" w:cs="Arial" w:eastAsia="Arial" w:hAnsi="Arial"/>
                <w:sz w:val="18"/>
                <w:szCs w:val="18"/>
                <w:color w:val="auto"/>
              </w:rPr>
              <w:t>Fair Value Hedge Carrying Amounts</w:t>
            </w: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3"/>
        </w:trPr>
        <w:tc>
          <w:tcPr>
            <w:tcW w:w="2660" w:type="dxa"/>
            <w:vAlign w:val="bottom"/>
            <w:tcBorders>
              <w:top w:val="single" w:sz="8" w:color="auto"/>
            </w:tcBorders>
          </w:tcPr>
          <w:p>
            <w:pPr>
              <w:spacing w:after="0"/>
              <w:rPr>
                <w:sz w:val="19"/>
                <w:szCs w:val="19"/>
                <w:color w:val="auto"/>
              </w:rPr>
            </w:pPr>
          </w:p>
        </w:tc>
        <w:tc>
          <w:tcPr>
            <w:tcW w:w="4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gridSpan w:val="4"/>
          </w:tcPr>
          <w:p>
            <w:pPr>
              <w:jc w:val="right"/>
              <w:ind w:right="230"/>
              <w:spacing w:after="0"/>
              <w:rPr>
                <w:sz w:val="20"/>
                <w:szCs w:val="20"/>
                <w:color w:val="auto"/>
              </w:rPr>
            </w:pPr>
            <w:r>
              <w:rPr>
                <w:rFonts w:ascii="Arial" w:cs="Arial" w:eastAsia="Arial" w:hAnsi="Arial"/>
                <w:sz w:val="18"/>
                <w:szCs w:val="18"/>
                <w:color w:val="auto"/>
                <w:w w:val="97"/>
              </w:rPr>
              <w:t>Carrying amount of the hedged assets and</w:t>
            </w:r>
          </w:p>
        </w:tc>
      </w:tr>
      <w:tr>
        <w:trPr>
          <w:trHeight w:val="230"/>
        </w:trPr>
        <w:tc>
          <w:tcPr>
            <w:tcW w:w="26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8"/>
                <w:szCs w:val="18"/>
                <w:color w:val="auto"/>
                <w:w w:val="96"/>
              </w:rPr>
              <w:t>liabilities</w:t>
            </w:r>
          </w:p>
        </w:tc>
      </w:tr>
      <w:tr>
        <w:trPr>
          <w:trHeight w:val="223"/>
        </w:trPr>
        <w:tc>
          <w:tcPr>
            <w:tcW w:w="7320" w:type="dxa"/>
            <w:vAlign w:val="bottom"/>
            <w:gridSpan w:val="3"/>
          </w:tcPr>
          <w:p>
            <w:pPr>
              <w:ind w:left="20"/>
              <w:spacing w:after="0"/>
              <w:rPr>
                <w:sz w:val="20"/>
                <w:szCs w:val="20"/>
                <w:color w:val="auto"/>
              </w:rPr>
            </w:pPr>
            <w:r>
              <w:rPr>
                <w:rFonts w:ascii="Arial" w:cs="Arial" w:eastAsia="Arial" w:hAnsi="Arial"/>
                <w:sz w:val="18"/>
                <w:szCs w:val="18"/>
                <w:color w:val="auto"/>
              </w:rPr>
              <w:t>Line item in the Balance Sheet in which the hedged item is included</w:t>
            </w:r>
          </w:p>
        </w:tc>
        <w:tc>
          <w:tcPr>
            <w:tcW w:w="1480" w:type="dxa"/>
            <w:vAlign w:val="bottom"/>
          </w:tcPr>
          <w:p>
            <w:pPr>
              <w:jc w:val="right"/>
              <w:spacing w:after="0"/>
              <w:rPr>
                <w:sz w:val="20"/>
                <w:szCs w:val="20"/>
                <w:color w:val="auto"/>
              </w:rPr>
            </w:pPr>
            <w:r>
              <w:rPr>
                <w:rFonts w:ascii="Arial" w:cs="Arial" w:eastAsia="Arial" w:hAnsi="Arial"/>
                <w:sz w:val="18"/>
                <w:szCs w:val="18"/>
                <w:color w:val="auto"/>
                <w:w w:val="91"/>
              </w:rPr>
              <w:t>December 31, 2021</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w w:val="92"/>
              </w:rPr>
              <w:t>December 31, 2020</w:t>
            </w:r>
          </w:p>
        </w:tc>
      </w:tr>
      <w:tr>
        <w:trPr>
          <w:trHeight w:val="223"/>
        </w:trPr>
        <w:tc>
          <w:tcPr>
            <w:tcW w:w="7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320" w:type="dxa"/>
            <w:vAlign w:val="bottom"/>
            <w:gridSpan w:val="3"/>
          </w:tcPr>
          <w:p>
            <w:pPr>
              <w:ind w:left="20"/>
              <w:spacing w:after="0"/>
              <w:rPr>
                <w:sz w:val="20"/>
                <w:szCs w:val="20"/>
                <w:color w:val="auto"/>
              </w:rPr>
            </w:pPr>
            <w:r>
              <w:rPr>
                <w:rFonts w:ascii="Arial" w:cs="Arial" w:eastAsia="Arial" w:hAnsi="Arial"/>
                <w:sz w:val="18"/>
                <w:szCs w:val="18"/>
                <w:color w:val="auto"/>
              </w:rPr>
              <w:t>Receivables, net</w:t>
            </w: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310"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color w:val="auto"/>
        </w:rPr>
        <w:t>As of December 31, 2021 and 2020, the cumulative amounts of fair value hedging adjustments included in the carrying amount of the hedged assets and liabilities were net gains of $1 and $4.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instruments. In the table below, the aggregate fair values of the Company's derivative assets and liabilities are presented on both a gross and net basis, where appropriate.</w:t>
      </w: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3"/>
          </w:tcPr>
          <w:p>
            <w:pPr>
              <w:jc w:val="center"/>
              <w:ind w:right="120"/>
              <w:spacing w:after="0" w:line="178" w:lineRule="exact"/>
              <w:rPr>
                <w:sz w:val="20"/>
                <w:szCs w:val="20"/>
                <w:color w:val="auto"/>
              </w:rPr>
            </w:pPr>
            <w:r>
              <w:rPr>
                <w:rFonts w:ascii="Arial" w:cs="Arial" w:eastAsia="Arial" w:hAnsi="Arial"/>
                <w:sz w:val="18"/>
                <w:szCs w:val="18"/>
                <w:color w:val="auto"/>
                <w:w w:val="89"/>
              </w:rPr>
              <w:t>Gross amounts recognized in the</w:t>
            </w:r>
          </w:p>
        </w:tc>
        <w:tc>
          <w:tcPr>
            <w:tcW w:w="120" w:type="dxa"/>
            <w:vAlign w:val="bottom"/>
          </w:tcPr>
          <w:p>
            <w:pPr>
              <w:spacing w:after="0"/>
              <w:rPr>
                <w:sz w:val="15"/>
                <w:szCs w:val="15"/>
                <w:color w:val="auto"/>
              </w:rPr>
            </w:pPr>
          </w:p>
        </w:tc>
        <w:tc>
          <w:tcPr>
            <w:tcW w:w="2520" w:type="dxa"/>
            <w:vAlign w:val="bottom"/>
            <w:gridSpan w:val="2"/>
          </w:tcPr>
          <w:p>
            <w:pPr>
              <w:jc w:val="center"/>
              <w:ind w:right="260"/>
              <w:spacing w:after="0" w:line="178" w:lineRule="exact"/>
              <w:rPr>
                <w:sz w:val="20"/>
                <w:szCs w:val="20"/>
                <w:color w:val="auto"/>
              </w:rPr>
            </w:pPr>
            <w:r>
              <w:rPr>
                <w:rFonts w:ascii="Arial" w:cs="Arial" w:eastAsia="Arial" w:hAnsi="Arial"/>
                <w:sz w:val="18"/>
                <w:szCs w:val="18"/>
                <w:color w:val="auto"/>
                <w:w w:val="90"/>
              </w:rPr>
              <w:t>Gross amounts not offset in the</w:t>
            </w:r>
          </w:p>
        </w:tc>
        <w:tc>
          <w:tcPr>
            <w:tcW w:w="360" w:type="dxa"/>
            <w:vAlign w:val="bottom"/>
          </w:tcPr>
          <w:p>
            <w:pPr>
              <w:spacing w:after="0"/>
              <w:rPr>
                <w:sz w:val="15"/>
                <w:szCs w:val="15"/>
                <w:color w:val="auto"/>
              </w:rPr>
            </w:pPr>
          </w:p>
        </w:tc>
        <w:tc>
          <w:tcPr>
            <w:tcW w:w="1720" w:type="dxa"/>
            <w:vAlign w:val="bottom"/>
            <w:vMerge w:val="restart"/>
          </w:tcPr>
          <w:p>
            <w:pPr>
              <w:jc w:val="right"/>
              <w:ind w:right="530"/>
              <w:spacing w:after="0"/>
              <w:rPr>
                <w:sz w:val="20"/>
                <w:szCs w:val="20"/>
                <w:color w:val="auto"/>
              </w:rPr>
            </w:pPr>
            <w:r>
              <w:rPr>
                <w:rFonts w:ascii="Arial" w:cs="Arial" w:eastAsia="Arial" w:hAnsi="Arial"/>
                <w:sz w:val="18"/>
                <w:szCs w:val="18"/>
                <w:color w:val="auto"/>
              </w:rPr>
              <w:t>Net amount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0" w:type="dxa"/>
            <w:vAlign w:val="bottom"/>
            <w:gridSpan w:val="2"/>
          </w:tcPr>
          <w:p>
            <w:pPr>
              <w:jc w:val="center"/>
              <w:ind w:right="580"/>
              <w:spacing w:after="0"/>
              <w:rPr>
                <w:sz w:val="20"/>
                <w:szCs w:val="20"/>
                <w:color w:val="auto"/>
              </w:rPr>
            </w:pPr>
            <w:r>
              <w:rPr>
                <w:rFonts w:ascii="Arial" w:cs="Arial" w:eastAsia="Arial" w:hAnsi="Arial"/>
                <w:sz w:val="18"/>
                <w:szCs w:val="18"/>
                <w:color w:val="auto"/>
                <w:w w:val="87"/>
              </w:rPr>
              <w:t>Balance Sheet</w:t>
            </w:r>
          </w:p>
        </w:tc>
        <w:tc>
          <w:tcPr>
            <w:tcW w:w="120" w:type="dxa"/>
            <w:vAlign w:val="bottom"/>
          </w:tcPr>
          <w:p>
            <w:pPr>
              <w:spacing w:after="0"/>
              <w:rPr>
                <w:sz w:val="19"/>
                <w:szCs w:val="19"/>
                <w:color w:val="auto"/>
              </w:rPr>
            </w:pPr>
          </w:p>
        </w:tc>
        <w:tc>
          <w:tcPr>
            <w:tcW w:w="25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Balance Sheet</w:t>
            </w:r>
          </w:p>
        </w:tc>
        <w:tc>
          <w:tcPr>
            <w:tcW w:w="36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368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rPr>
              <w:t>Balance at December 31, 2021</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4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gridSpan w:val="3"/>
          </w:tcPr>
          <w:p>
            <w:pPr>
              <w:spacing w:after="0" w:line="189" w:lineRule="exact"/>
              <w:rPr>
                <w:sz w:val="20"/>
                <w:szCs w:val="20"/>
                <w:color w:val="auto"/>
              </w:rPr>
            </w:pPr>
            <w:r>
              <w:rPr>
                <w:rFonts w:ascii="Arial" w:cs="Arial" w:eastAsia="Arial" w:hAnsi="Arial"/>
                <w:sz w:val="18"/>
                <w:szCs w:val="18"/>
                <w:color w:val="auto"/>
              </w:rPr>
              <w:t>Balance at December 31, 2020</w:t>
            </w:r>
          </w:p>
        </w:tc>
        <w:tc>
          <w:tcPr>
            <w:tcW w:w="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4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Notional Values of Outstanding Derivative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aggregate U.S. dollar-equivalent notional values of outstanding derivative instruments in the Consolidated Balance Sheets at December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were: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180" w:type="dxa"/>
            <w:vAlign w:val="bottom"/>
            <w:gridSpan w:val="3"/>
          </w:tcPr>
          <w:p>
            <w:pPr>
              <w:ind w:left="40"/>
              <w:spacing w:after="0"/>
              <w:rPr>
                <w:sz w:val="20"/>
                <w:szCs w:val="20"/>
                <w:color w:val="auto"/>
              </w:rPr>
            </w:pPr>
            <w:r>
              <w:rPr>
                <w:rFonts w:ascii="Arial" w:cs="Arial" w:eastAsia="Arial" w:hAnsi="Arial"/>
                <w:sz w:val="18"/>
                <w:szCs w:val="18"/>
                <w:color w:val="auto"/>
              </w:rPr>
              <w:t>December 31, 2021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w w:val="91"/>
              </w:rPr>
              <w:t>December 31, 2020</w:t>
            </w:r>
          </w:p>
        </w:tc>
      </w:tr>
      <w:tr>
        <w:trPr>
          <w:trHeight w:val="210"/>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6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7440" w:type="dxa"/>
            <w:vAlign w:val="bottom"/>
          </w:tcPr>
          <w:p>
            <w:pPr>
              <w:ind w:left="360"/>
              <w:spacing w:after="0"/>
              <w:rPr>
                <w:sz w:val="20"/>
                <w:szCs w:val="20"/>
                <w:color w:val="auto"/>
              </w:rPr>
            </w:pPr>
            <w:r>
              <w:rPr>
                <w:rFonts w:ascii="Arial" w:cs="Arial" w:eastAsia="Arial" w:hAnsi="Arial"/>
                <w:sz w:val="18"/>
                <w:szCs w:val="18"/>
                <w:color w:val="auto"/>
              </w:rPr>
              <w:t>Foreign exchange</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241</w:t>
            </w:r>
          </w:p>
        </w:tc>
        <w:tc>
          <w:tcPr>
            <w:tcW w:w="66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Commodities</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7440" w:type="dxa"/>
            <w:vAlign w:val="bottom"/>
          </w:tcPr>
          <w:p>
            <w:pPr>
              <w:ind w:left="360"/>
              <w:spacing w:after="0"/>
              <w:rPr>
                <w:sz w:val="20"/>
                <w:szCs w:val="20"/>
                <w:color w:val="auto"/>
              </w:rPr>
            </w:pPr>
            <w:r>
              <w:rPr>
                <w:rFonts w:ascii="Arial" w:cs="Arial" w:eastAsia="Arial" w:hAnsi="Arial"/>
                <w:sz w:val="18"/>
                <w:szCs w:val="18"/>
                <w:color w:val="auto"/>
              </w:rPr>
              <w:t>Interest rate</w:t>
            </w:r>
          </w:p>
        </w:tc>
        <w:tc>
          <w:tcPr>
            <w:tcW w:w="640" w:type="dxa"/>
            <w:vAlign w:val="bottom"/>
          </w:tcPr>
          <w:p>
            <w:pPr>
              <w:spacing w:after="0"/>
              <w:rPr>
                <w:sz w:val="19"/>
                <w:szCs w:val="19"/>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designated as fair value hedges:</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Foreign exchange</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w:t>
            </w: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Foreign exchange</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875</w:t>
            </w: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hedges:</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Foreign exchange</w:t>
            </w:r>
          </w:p>
        </w:tc>
        <w:tc>
          <w:tcPr>
            <w:tcW w:w="6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w:t>
            </w: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722</w:t>
            </w:r>
          </w:p>
        </w:tc>
      </w:tr>
    </w:tbl>
    <w:p>
      <w:pPr>
        <w:spacing w:after="0" w:line="200" w:lineRule="exact"/>
        <w:rPr>
          <w:sz w:val="20"/>
          <w:szCs w:val="20"/>
          <w:color w:val="auto"/>
        </w:rPr>
      </w:pPr>
    </w:p>
    <w:p>
      <w:pPr>
        <w:spacing w:after="0" w:line="34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6"/>
          <w:szCs w:val="16"/>
          <w:b w:val="1"/>
          <w:bCs w:val="1"/>
          <w:color w:val="auto"/>
        </w:rPr>
        <w:t>Asbestos-Related Liabilities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Crown Cork &amp; Seal Company, Inc. (“Crown Cork”) is one of many defendants in a substantial number of lawsuits filed throughout the United States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at the time of enactment,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ultimate effect of the legislation on Crown Cork.</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and pending claims, caps asbestos-related liabilities at the total gross value of the predecessor’s assets adjusted for inflation. Crown Cork has paid significantly more for asbestos-related claims than the total adjusted value of its predecessor’s assets.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2010, the Texas Supreme Court reversed a lower court decision, Barbara Robinson v. Crown Cork &amp; Seal Company, Inc., No. 14-04-00658-CV, Fourteenth Court of Appeals, Texas, which had upheld the dismissal of an asbestos-related case against Crown Cork. The Texas Supreme Court held that the Texas legislation was unconstitutional under the Texas Constitution when applied to asbestos-related claims pending against Crown Cork when the legislation was enacted in June of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gridSpan w:val="3"/>
          </w:tcPr>
          <w:p>
            <w:pPr>
              <w:spacing w:after="0"/>
              <w:rPr>
                <w:sz w:val="20"/>
                <w:szCs w:val="20"/>
                <w:color w:val="auto"/>
              </w:rPr>
            </w:pPr>
            <w:r>
              <w:rPr>
                <w:rFonts w:ascii="Arial" w:cs="Arial" w:eastAsia="Arial" w:hAnsi="Arial"/>
                <w:sz w:val="18"/>
                <w:szCs w:val="18"/>
                <w:color w:val="auto"/>
                <w:w w:val="99"/>
              </w:rPr>
              <w:t>The Company's approximate claims activity for the years ended 2021, 2020 and 2019 was as follows:</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648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claims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New claims</w:t>
            </w: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or dismissals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Ending claims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57,000</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56,000</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56,000</w:t>
            </w:r>
          </w:p>
        </w:tc>
      </w:tr>
      <w:tr>
        <w:trPr>
          <w:trHeight w:val="21"/>
        </w:trPr>
        <w:tc>
          <w:tcPr>
            <w:tcW w:w="64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years ended December 31, 2021, 2020, and 2019, the Company made cash payments of $19, $21, and $22 to settle asbestos claims and pay related legal and defense costs.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In the fourth quarter of each year, the Company performs an analysis of outstanding claims and categorizes by year of exposure and state filed.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December 31, 2020, the Company's outstanding claims were: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80" w:type="dxa"/>
            <w:vAlign w:val="bottom"/>
            <w:gridSpan w:val="2"/>
          </w:tcPr>
          <w:p>
            <w:pPr>
              <w:ind w:left="8020"/>
              <w:spacing w:after="0"/>
              <w:rPr>
                <w:sz w:val="20"/>
                <w:szCs w:val="20"/>
                <w:color w:val="auto"/>
              </w:rPr>
            </w:pPr>
            <w:r>
              <w:rPr>
                <w:rFonts w:ascii="Arial" w:cs="Arial" w:eastAsia="Arial" w:hAnsi="Arial"/>
                <w:sz w:val="18"/>
                <w:szCs w:val="18"/>
                <w:color w:val="auto"/>
                <w:w w:val="84"/>
              </w:rPr>
              <w:t>2021</w:t>
            </w: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color w:val="auto"/>
              </w:rPr>
              <w:t>2020</w:t>
            </w:r>
          </w:p>
        </w:tc>
      </w:tr>
      <w:tr>
        <w:trPr>
          <w:trHeight w:val="223"/>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Claimants alleging first exposure after 1964</w:t>
            </w:r>
          </w:p>
        </w:tc>
        <w:tc>
          <w:tcPr>
            <w:tcW w:w="9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17,000</w:t>
            </w:r>
          </w:p>
        </w:tc>
        <w:tc>
          <w:tcPr>
            <w:tcW w:w="6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16,500</w:t>
            </w: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Claimants alleging first exposure before or during 1964 filed in:</w:t>
            </w: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8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Texas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13,000</w:t>
            </w:r>
          </w:p>
        </w:tc>
        <w:tc>
          <w:tcPr>
            <w:tcW w:w="6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29"/>
        </w:trPr>
        <w:tc>
          <w:tcPr>
            <w:tcW w:w="8380" w:type="dxa"/>
            <w:vAlign w:val="bottom"/>
            <w:gridSpan w:val="2"/>
          </w:tcPr>
          <w:p>
            <w:pPr>
              <w:ind w:left="360"/>
              <w:spacing w:after="0"/>
              <w:rPr>
                <w:sz w:val="20"/>
                <w:szCs w:val="20"/>
                <w:color w:val="auto"/>
              </w:rPr>
            </w:pPr>
            <w:r>
              <w:rPr>
                <w:rFonts w:ascii="Arial" w:cs="Arial" w:eastAsia="Arial" w:hAnsi="Arial"/>
                <w:sz w:val="18"/>
                <w:szCs w:val="18"/>
                <w:color w:val="auto"/>
              </w:rPr>
              <w:t>Pennsylvania</w:t>
            </w:r>
          </w:p>
        </w:tc>
        <w:tc>
          <w:tcPr>
            <w:tcW w:w="580" w:type="dxa"/>
            <w:vAlign w:val="bottom"/>
          </w:tcPr>
          <w:p>
            <w:pPr>
              <w:jc w:val="right"/>
              <w:spacing w:after="0"/>
              <w:rPr>
                <w:sz w:val="20"/>
                <w:szCs w:val="20"/>
                <w:color w:val="auto"/>
              </w:rPr>
            </w:pPr>
            <w:r>
              <w:rPr>
                <w:rFonts w:ascii="Arial" w:cs="Arial" w:eastAsia="Arial" w:hAnsi="Arial"/>
                <w:sz w:val="18"/>
                <w:szCs w:val="18"/>
                <w:color w:val="auto"/>
              </w:rPr>
              <w:t>1,500</w:t>
            </w:r>
          </w:p>
        </w:tc>
        <w:tc>
          <w:tcPr>
            <w:tcW w:w="6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states that have enacted asbestos legislation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6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8380" w:type="dxa"/>
            <w:vAlign w:val="bottom"/>
            <w:gridSpan w:val="2"/>
          </w:tcPr>
          <w:p>
            <w:pPr>
              <w:ind w:left="360"/>
              <w:spacing w:after="0"/>
              <w:rPr>
                <w:sz w:val="20"/>
                <w:szCs w:val="20"/>
                <w:color w:val="auto"/>
              </w:rPr>
            </w:pPr>
            <w:r>
              <w:rPr>
                <w:rFonts w:ascii="Arial" w:cs="Arial" w:eastAsia="Arial" w:hAnsi="Arial"/>
                <w:sz w:val="18"/>
                <w:szCs w:val="18"/>
                <w:color w:val="auto"/>
              </w:rPr>
              <w:t>Other states</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19,500</w:t>
            </w:r>
          </w:p>
        </w:tc>
        <w:tc>
          <w:tcPr>
            <w:tcW w:w="6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19,000</w:t>
            </w:r>
          </w:p>
        </w:tc>
      </w:tr>
      <w:tr>
        <w:trPr>
          <w:trHeight w:val="248"/>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outstanding</w:t>
            </w: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57,000</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its settlement experience with post-1964 claims, the Company does not believe that an adverse ruling in the Texas or Pennsylvania asbestos litigation cases, or in any other state that has enacted asbestos legislation, would have a material impact on the Company with respect to such claims.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the percentage of outstanding claims related to claimants alleging serious diseases (primarily mesothelioma and other malignancies)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gridSpan w:val="2"/>
          </w:tcPr>
          <w:p>
            <w:pPr>
              <w:jc w:val="right"/>
              <w:ind w:right="60"/>
              <w:spacing w:after="0"/>
              <w:rPr>
                <w:sz w:val="20"/>
                <w:szCs w:val="20"/>
                <w:color w:val="auto"/>
              </w:rPr>
            </w:pPr>
            <w:r>
              <w:rPr>
                <w:rFonts w:ascii="Arial" w:cs="Arial" w:eastAsia="Arial" w:hAnsi="Arial"/>
                <w:sz w:val="18"/>
                <w:szCs w:val="18"/>
                <w:color w:val="auto"/>
              </w:rPr>
              <w:t>2021</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2019</w:t>
            </w: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w:t>
            </w:r>
          </w:p>
        </w:tc>
        <w:tc>
          <w:tcPr>
            <w:tcW w:w="9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2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2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Pre-1965 claims in states without asbestos legislation</w:t>
            </w:r>
          </w:p>
        </w:tc>
        <w:tc>
          <w:tcPr>
            <w:tcW w:w="460" w:type="dxa"/>
            <w:vAlign w:val="bottom"/>
          </w:tcPr>
          <w:p>
            <w:pPr>
              <w:jc w:val="right"/>
              <w:spacing w:after="0"/>
              <w:rPr>
                <w:sz w:val="20"/>
                <w:szCs w:val="20"/>
                <w:color w:val="auto"/>
              </w:rPr>
            </w:pPr>
            <w:r>
              <w:rPr>
                <w:rFonts w:ascii="Arial" w:cs="Arial" w:eastAsia="Arial" w:hAnsi="Arial"/>
                <w:sz w:val="18"/>
                <w:szCs w:val="18"/>
                <w:color w:val="auto"/>
              </w:rPr>
              <w:t>42 %</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41 %</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41 %</w:t>
            </w:r>
          </w:p>
        </w:tc>
      </w:tr>
    </w:tbl>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December 31, 2021.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82% of the claims outstanding at the end of 2021 were filed by plaintiffs who do not claim a specific amount of damages or claim a minimum amount as established by court rules relating to jurisdiction; approximately 15% were filed by plaintiffs who claim damages of less than $5; approximately 3% were filed by plaintiffs who claim damages from $5 to less than $100 (36% of whom claim damages less than $25) and 14 claims were filed by plaintiffs who claim damages in excess of $100.</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2021, the Company’s accrual for pending and future asbestos-related claims and related legal costs was $237, including $198 for unasserted claims. The Company determines its accrual without limitation to a specified time period. 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200" w:lineRule="exact"/>
        <w:rPr>
          <w:sz w:val="20"/>
          <w:szCs w:val="20"/>
          <w:color w:val="auto"/>
        </w:rPr>
      </w:pPr>
    </w:p>
    <w:p>
      <w:pPr>
        <w:spacing w:after="0" w:line="248"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along with others in most cases, has been identified by the EPA or a comparable state environmental agency as a Potentially Responsible Party (“PRP”) at a number of sites and has recorded aggregate accruals of $12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also recorded aggregate accruals of $6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the Company or any of its subsidiaries violated competition law, fines levied by the Commission could be material to the Company's operating results and cash flows for the periods in which they are resolved or become reasonably estimable.</w:t>
      </w:r>
    </w:p>
    <w:p>
      <w:pPr>
        <w:spacing w:after="0" w:line="18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March 2017, U.S. Customs and Border Protection (“CBP”) at the Port of Milwaukee issued a penalty notification alleging that certain of the Company’s subsidiaries intentionally misclassified the importation of certain goods into the U.S. during the period 2004 -2009. CBP initially assessed a penalty of $18. The Company has acknowledged to CBP that the goods were misclassified and has paid all related duties, which CBP does not dispute. The Company has asserted that the misclassification was unintentional and disputes the penalty assessment by CBP. CBP has brought suit in the U.S. Court of International Trade seeking enforcement of the initial penalty against the Company. At the present time, based on the information available, the Company does not believe that a loss for the alleged intentional misclassification is probable. However, there can be no assurance that the Company will be successful in contesting the assessed penalty.</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October 7, 2021, the French </w:t>
      </w:r>
      <w:r>
        <w:rPr>
          <w:rFonts w:ascii="Arial" w:cs="Arial" w:eastAsia="Arial" w:hAnsi="Arial"/>
          <w:sz w:val="17"/>
          <w:szCs w:val="17"/>
          <w:i w:val="1"/>
          <w:iCs w:val="1"/>
          <w:color w:val="auto"/>
        </w:rPr>
        <w:t>Autorité de la concurrence</w:t>
      </w:r>
      <w:r>
        <w:rPr>
          <w:rFonts w:ascii="Arial" w:cs="Arial" w:eastAsia="Arial" w:hAnsi="Arial"/>
          <w:sz w:val="17"/>
          <w:szCs w:val="17"/>
          <w:color w:val="auto"/>
        </w:rPr>
        <w:t xml:space="preserv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If the FCA finds that the Company or its subsidiaries violated competition law, the FCA may levy fines. Proceedings with respect to this matter are ongoing and the Company is unable to predict the ultimate outcome including the amount of fines, if any, that may be levied by the FCA. The Company intends to vigorously defend against the allegations in the statement of objectives.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basic raw materials for its products are aluminum and steel,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2021,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4820" w:type="dxa"/>
            <w:vAlign w:val="bottom"/>
            <w:gridSpan w:val="2"/>
          </w:tcPr>
          <w:p>
            <w:pPr>
              <w:jc w:val="right"/>
              <w:ind w:right="1970"/>
              <w:spacing w:after="0"/>
              <w:rPr>
                <w:sz w:val="20"/>
                <w:szCs w:val="20"/>
                <w:color w:val="auto"/>
              </w:rPr>
            </w:pPr>
            <w:r>
              <w:rPr>
                <w:rFonts w:ascii="Arial" w:cs="Arial" w:eastAsia="Arial" w:hAnsi="Arial"/>
                <w:sz w:val="18"/>
                <w:szCs w:val="18"/>
                <w:b w:val="1"/>
                <w:bCs w:val="1"/>
                <w:color w:val="auto"/>
              </w:rPr>
              <w:t>Crown Holdings, Inc.</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769"/>
        </w:trPr>
        <w:tc>
          <w:tcPr>
            <w:tcW w:w="3680" w:type="dxa"/>
            <w:vAlign w:val="bottom"/>
          </w:tcPr>
          <w:p>
            <w:pPr>
              <w:spacing w:after="0"/>
              <w:rPr>
                <w:sz w:val="20"/>
                <w:szCs w:val="20"/>
                <w:color w:val="auto"/>
              </w:rPr>
            </w:pPr>
            <w:r>
              <w:rPr>
                <w:rFonts w:ascii="Arial" w:cs="Arial" w:eastAsia="Arial" w:hAnsi="Arial"/>
                <w:sz w:val="18"/>
                <w:szCs w:val="18"/>
                <w:b w:val="1"/>
                <w:bCs w:val="1"/>
                <w:color w:val="auto"/>
              </w:rPr>
              <w:t>Q. Other Non-Current Liabilities</w:t>
            </w:r>
          </w:p>
        </w:tc>
        <w:tc>
          <w:tcPr>
            <w:tcW w:w="3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6"/>
        </w:trPr>
        <w:tc>
          <w:tcPr>
            <w:tcW w:w="3680" w:type="dxa"/>
            <w:vAlign w:val="bottom"/>
          </w:tcPr>
          <w:p>
            <w:pPr>
              <w:spacing w:after="0"/>
              <w:rPr>
                <w:sz w:val="22"/>
                <w:szCs w:val="22"/>
                <w:color w:val="auto"/>
              </w:rPr>
            </w:pPr>
          </w:p>
        </w:tc>
        <w:tc>
          <w:tcPr>
            <w:tcW w:w="4820" w:type="dxa"/>
            <w:vAlign w:val="bottom"/>
            <w:gridSpan w:val="2"/>
          </w:tcPr>
          <w:p>
            <w:pPr>
              <w:jc w:val="right"/>
              <w:ind w:right="30"/>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2020</w:t>
            </w: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37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6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Asbestos liabilities</w:t>
            </w:r>
          </w:p>
        </w:tc>
        <w:tc>
          <w:tcPr>
            <w:tcW w:w="3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212</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7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Fair value of derivatives</w:t>
            </w:r>
          </w:p>
        </w:tc>
        <w:tc>
          <w:tcPr>
            <w:tcW w:w="3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Postemployment benefits</w:t>
            </w:r>
          </w:p>
        </w:tc>
        <w:tc>
          <w:tcPr>
            <w:tcW w:w="37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Environmental</w:t>
            </w:r>
          </w:p>
        </w:tc>
        <w:tc>
          <w:tcPr>
            <w:tcW w:w="3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37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7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368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Income taxes payable includes unrecognized tax benefits as discussed in </w:t>
      </w:r>
      <w:hyperlink w:anchor="page78">
        <w:r>
          <w:rPr>
            <w:rFonts w:ascii="Arial" w:cs="Arial" w:eastAsia="Arial" w:hAnsi="Arial"/>
            <w:sz w:val="18"/>
            <w:szCs w:val="18"/>
            <w:u w:val="single" w:color="auto"/>
            <w:color w:val="0000FF"/>
          </w:rPr>
          <w:t>Note S</w:t>
        </w:r>
      </w:hyperlink>
      <w:r>
        <w:rPr>
          <w:rFonts w:ascii="Arial" w:cs="Arial" w:eastAsia="Arial" w:hAnsi="Arial"/>
          <w:sz w:val="18"/>
          <w:szCs w:val="18"/>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Pension and Other Postretirement Benefits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Pensions. </w:t>
      </w:r>
      <w:r>
        <w:rPr>
          <w:rFonts w:ascii="Arial" w:cs="Arial" w:eastAsia="Arial" w:hAnsi="Arial"/>
          <w:sz w:val="18"/>
          <w:szCs w:val="18"/>
          <w:color w:val="auto"/>
        </w:rPr>
        <w:t>The Company sponsors various pension plans covering certain U.S. and non-U.S. employees, and participates in certain multi-employer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plans. The benefits under the Company plans are based primarily on years of service and either the employees’ remuneration near retirement or a fixed dollar multiple.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gridSpan w:val="4"/>
          </w:tcPr>
          <w:p>
            <w:pPr>
              <w:spacing w:after="0"/>
              <w:rPr>
                <w:sz w:val="20"/>
                <w:szCs w:val="20"/>
                <w:color w:val="auto"/>
              </w:rPr>
            </w:pPr>
            <w:r>
              <w:rPr>
                <w:rFonts w:ascii="Arial" w:cs="Arial" w:eastAsia="Arial" w:hAnsi="Arial"/>
                <w:sz w:val="18"/>
                <w:szCs w:val="18"/>
                <w:color w:val="auto"/>
              </w:rPr>
              <w:t>A measurement date of December 31 was used for all plans presented below.</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6480" w:type="dxa"/>
            <w:vAlign w:val="bottom"/>
            <w:gridSpan w:val="4"/>
          </w:tcPr>
          <w:p>
            <w:pPr>
              <w:spacing w:after="0"/>
              <w:rPr>
                <w:sz w:val="20"/>
                <w:szCs w:val="20"/>
                <w:color w:val="auto"/>
              </w:rPr>
            </w:pPr>
            <w:r>
              <w:rPr>
                <w:rFonts w:ascii="Arial" w:cs="Arial" w:eastAsia="Arial" w:hAnsi="Arial"/>
                <w:sz w:val="18"/>
                <w:szCs w:val="18"/>
                <w:color w:val="auto"/>
              </w:rPr>
              <w:t>The components of pension expense were as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U.S. Plans</w:t>
            </w:r>
          </w:p>
        </w:tc>
        <w:tc>
          <w:tcPr>
            <w:tcW w:w="300" w:type="dxa"/>
            <w:vAlign w:val="bottom"/>
          </w:tcPr>
          <w:p>
            <w:pPr>
              <w:spacing w:after="0"/>
              <w:rPr>
                <w:sz w:val="18"/>
                <w:szCs w:val="18"/>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Curtailments and special termination benefits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Amortization of actuarial loss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Net periodic cost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Non-U.S. Plans</w:t>
            </w: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1,511</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Curtailments</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Amortization of actuarial loss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Net periodic cost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settlement charge in 2021 arose from the irrevocable transfer of the Company's U.K. pension plan to an insurer. In October 2021, the trustees of the Company's U.K. defined benefit pension plan (the "Plan") entered into a transaction to fully insure all of its U.K. pension liabilities. The Company made a cash contribution of $271 to enable the Plan to purchase a bulk annuity insurance contract for the benefit of the Plan participants. Subsequent to the purchase of the bulk annuity contract, each of the Plan participants was issued an individual annuity contract. The issuer of the individual annuity contract is solely responsible for paying each participant's benefits in full. The Company recorded a settlement charge of $1,511 ($1,040, net of tax) in November 2021, upon irrevocable transfer of the Plan's obligations. Of the $271, the Company was reimbursed $55 in the fourth quarter of 2021 and expects to receive an additional $110 of reimbursement in 2022 and 2023 as the plan sells its remaining illiquid assets.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settlement charges in 2020 and 2019 arose from the payment of lump sum buy-outs to settle certain pension obligations using plan assets The curtailment gain in 2019 was to recognize prior service credits that were previously recorded in accumulated other comprehensive income in connection with the closure of a non-U.S. defined pension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Additional pension expense of $5 in each of 2021, 2020 and 2019 was recognized for multi-employer plans.</w:t>
      </w:r>
    </w:p>
    <w:p>
      <w:pPr>
        <w:spacing w:after="0" w:line="252"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The projected benefit obligations, accumulated benefit obligations, plan assets and funded status of the Company's U.S. and non-U.S. plans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U.S. Plans</w:t>
            </w:r>
          </w:p>
        </w:tc>
        <w:tc>
          <w:tcPr>
            <w:tcW w:w="9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Non-U.S. Plans</w:t>
            </w:r>
          </w:p>
        </w:tc>
        <w:tc>
          <w:tcPr>
            <w:tcW w:w="860" w:type="dxa"/>
            <w:vAlign w:val="bottom"/>
            <w:tcBorders>
              <w:bottom w:val="single" w:sz="8" w:color="auto"/>
            </w:tcBorders>
          </w:tcPr>
          <w:p>
            <w:pPr>
              <w:spacing w:after="0"/>
              <w:rPr>
                <w:sz w:val="20"/>
                <w:szCs w:val="20"/>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2020</w:t>
            </w:r>
          </w:p>
        </w:tc>
      </w:tr>
      <w:tr>
        <w:trPr>
          <w:trHeight w:val="169"/>
        </w:trPr>
        <w:tc>
          <w:tcPr>
            <w:tcW w:w="20" w:type="dxa"/>
            <w:vAlign w:val="bottom"/>
            <w:shd w:val="clear" w:color="auto" w:fill="CCEEFF"/>
          </w:tcPr>
          <w:p>
            <w:pPr>
              <w:spacing w:after="0"/>
              <w:rPr>
                <w:sz w:val="14"/>
                <w:szCs w:val="14"/>
                <w:color w:val="auto"/>
              </w:rPr>
            </w:pPr>
          </w:p>
        </w:tc>
        <w:tc>
          <w:tcPr>
            <w:tcW w:w="496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Projected Benefit Obligations</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Benefit obligations at January 1</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1,505</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1,440</w:t>
            </w:r>
          </w:p>
        </w:tc>
        <w:tc>
          <w:tcPr>
            <w:tcW w:w="4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3,172</w:t>
            </w:r>
          </w:p>
        </w:tc>
        <w:tc>
          <w:tcPr>
            <w:tcW w:w="24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3,155</w:t>
            </w: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8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Amendments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Settlements</w:t>
            </w:r>
          </w:p>
        </w:tc>
        <w:tc>
          <w:tcPr>
            <w:tcW w:w="8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Curtailments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termination benefits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Actuarial (gain) / loss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Benefits paid</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Foreign currency translation</w:t>
            </w:r>
          </w:p>
        </w:tc>
        <w:tc>
          <w:tcPr>
            <w:tcW w:w="82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9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Benefit obligations at December 31</w:t>
            </w: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1,413</w:t>
            </w:r>
          </w:p>
        </w:tc>
        <w:tc>
          <w:tcPr>
            <w:tcW w:w="2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4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w:t>
            </w:r>
          </w:p>
        </w:tc>
      </w:tr>
      <w:tr>
        <w:trPr>
          <w:trHeight w:val="169"/>
        </w:trPr>
        <w:tc>
          <w:tcPr>
            <w:tcW w:w="20" w:type="dxa"/>
            <w:vAlign w:val="bottom"/>
          </w:tcPr>
          <w:p>
            <w:pPr>
              <w:spacing w:after="0"/>
              <w:rPr>
                <w:sz w:val="14"/>
                <w:szCs w:val="14"/>
                <w:color w:val="auto"/>
              </w:rPr>
            </w:pPr>
          </w:p>
        </w:tc>
        <w:tc>
          <w:tcPr>
            <w:tcW w:w="4960" w:type="dxa"/>
            <w:vAlign w:val="bottom"/>
            <w:gridSpan w:val="3"/>
          </w:tcPr>
          <w:p>
            <w:pPr>
              <w:spacing w:after="0" w:line="169" w:lineRule="exact"/>
              <w:rPr>
                <w:sz w:val="20"/>
                <w:szCs w:val="20"/>
                <w:color w:val="auto"/>
              </w:rPr>
            </w:pPr>
            <w:r>
              <w:rPr>
                <w:rFonts w:ascii="Arial" w:cs="Arial" w:eastAsia="Arial" w:hAnsi="Arial"/>
                <w:sz w:val="18"/>
                <w:szCs w:val="18"/>
                <w:color w:val="auto"/>
              </w:rPr>
              <w:t>Plan Assets</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of plan assets at January 1</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1,152</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r>
      <w:tr>
        <w:trPr>
          <w:trHeight w:val="230"/>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Actual return on plan assets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Plan participants’ contributions</w:t>
            </w:r>
          </w:p>
        </w:tc>
        <w:tc>
          <w:tcPr>
            <w:tcW w:w="82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Settlements</w:t>
            </w:r>
          </w:p>
        </w:tc>
        <w:tc>
          <w:tcPr>
            <w:tcW w:w="8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Benefits paid</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8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Fair value of plan assets at December 31</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1,177</w:t>
            </w:r>
          </w:p>
        </w:tc>
        <w:tc>
          <w:tcPr>
            <w:tcW w:w="2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4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3,518</w:t>
            </w:r>
          </w:p>
        </w:tc>
      </w:tr>
      <w:tr>
        <w:trPr>
          <w:trHeight w:val="196"/>
        </w:trPr>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Funded status</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4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Accumulated benefit obligations at December 31</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1,361</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4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w:t>
            </w:r>
          </w:p>
        </w:tc>
      </w:tr>
    </w:tbl>
    <w:p>
      <w:pPr>
        <w:spacing w:after="0" w:line="32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year ended December 31, 2021, actuarial losses for the Company’s U.S. and non-U.S. pension plans totaled $638. Actuarial gains and losses arise each year primarily due to changes in discount rates, differences in actual plan asset returns compared to expected returns, and changes in actuarial assumptions such as mortality. The loss in 2021 is primarily due to the remeasurement of the U.K. pension plan in conjunction with the settlement, partially offset by a gain of $65 due to actual asset returns higher than expected returns and higher discount rates at the end of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pension plans with accumulated benefit obligations and projected benefit obligations in excess of plan assets were as follows:</w:t>
      </w:r>
    </w:p>
    <w:p>
      <w:pPr>
        <w:spacing w:after="0" w:line="36" w:lineRule="exact"/>
        <w:rPr>
          <w:sz w:val="20"/>
          <w:szCs w:val="20"/>
          <w:color w:val="auto"/>
        </w:rPr>
      </w:pPr>
    </w:p>
    <w:p>
      <w:pPr>
        <w:ind w:left="7960"/>
        <w:spacing w:after="0"/>
        <w:tabs>
          <w:tab w:leader="none" w:pos="1014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obligations</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7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Accumulated benefit obligations</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1,361</w:t>
            </w: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1,445</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Non-U.S. pension plans with accumulated benefit obligations in excess of plan assets were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7420" w:type="dxa"/>
            <w:vAlign w:val="bottom"/>
          </w:tcPr>
          <w:p>
            <w:pPr>
              <w:ind w:left="4800"/>
              <w:spacing w:after="0"/>
              <w:rPr>
                <w:sz w:val="20"/>
                <w:szCs w:val="20"/>
                <w:color w:val="auto"/>
              </w:rPr>
            </w:pPr>
            <w:r>
              <w:rPr>
                <w:rFonts w:ascii="Arial" w:cs="Arial" w:eastAsia="Arial" w:hAnsi="Arial"/>
                <w:sz w:val="18"/>
                <w:szCs w:val="18"/>
                <w:b w:val="1"/>
                <w:bCs w:val="1"/>
                <w:color w:val="auto"/>
              </w:rPr>
              <w:t>Crown Holdings, Inc.</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810"/>
        </w:trPr>
        <w:tc>
          <w:tcPr>
            <w:tcW w:w="74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Accumulated benefit obligations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253</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553"/>
        </w:trPr>
        <w:tc>
          <w:tcPr>
            <w:tcW w:w="7420" w:type="dxa"/>
            <w:vAlign w:val="bottom"/>
          </w:tcPr>
          <w:p>
            <w:pPr>
              <w:spacing w:after="0"/>
              <w:rPr>
                <w:sz w:val="20"/>
                <w:szCs w:val="20"/>
                <w:color w:val="auto"/>
              </w:rPr>
            </w:pPr>
            <w:r>
              <w:rPr>
                <w:rFonts w:ascii="Arial" w:cs="Arial" w:eastAsia="Arial" w:hAnsi="Arial"/>
                <w:sz w:val="18"/>
                <w:szCs w:val="18"/>
                <w:color w:val="auto"/>
                <w:w w:val="94"/>
              </w:rPr>
              <w:t>Non-U.S. pension plans with projected benefit obligations in excess of plan assets were as follows:</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7"/>
        </w:trPr>
        <w:tc>
          <w:tcPr>
            <w:tcW w:w="74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Accumulated benefit obligations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257</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investment strategy in its U.S. plan is designed to generate returns that are consistent with providing benefits to plan participants within the risk tolerance of the plan. Asset allocation is the primary determinant of return levels and investment risk exposure.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The strategic ranges for asset allocation in the U.S. plans are as follows:</w:t>
            </w:r>
          </w:p>
        </w:tc>
        <w:tc>
          <w:tcPr>
            <w:tcW w:w="1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
        </w:trPr>
        <w:tc>
          <w:tcPr>
            <w:tcW w:w="6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equities</w:t>
            </w:r>
          </w:p>
        </w:tc>
        <w:tc>
          <w:tcPr>
            <w:tcW w:w="1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45 %</w:t>
            </w:r>
          </w:p>
        </w:tc>
        <w:tc>
          <w:tcPr>
            <w:tcW w:w="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International equities</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7 %</w:t>
            </w:r>
          </w:p>
        </w:tc>
        <w:tc>
          <w:tcPr>
            <w:tcW w:w="560" w:type="dxa"/>
            <w:vAlign w:val="bottom"/>
          </w:tcPr>
          <w:p>
            <w:pPr>
              <w:ind w:left="200"/>
              <w:spacing w:after="0"/>
              <w:rPr>
                <w:sz w:val="20"/>
                <w:szCs w:val="20"/>
                <w:color w:val="auto"/>
              </w:rPr>
            </w:pPr>
            <w:r>
              <w:rPr>
                <w:rFonts w:ascii="Arial" w:cs="Arial" w:eastAsia="Arial" w:hAnsi="Arial"/>
                <w:sz w:val="18"/>
                <w:szCs w:val="18"/>
                <w:color w:val="auto"/>
              </w:rPr>
              <w:t>to</w:t>
            </w:r>
          </w:p>
        </w:tc>
        <w:tc>
          <w:tcPr>
            <w:tcW w:w="60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1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18 %</w:t>
            </w:r>
          </w:p>
        </w:tc>
        <w:tc>
          <w:tcPr>
            <w:tcW w:w="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Balanced funds</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7 %</w:t>
            </w:r>
          </w:p>
        </w:tc>
        <w:tc>
          <w:tcPr>
            <w:tcW w:w="560" w:type="dxa"/>
            <w:vAlign w:val="bottom"/>
          </w:tcPr>
          <w:p>
            <w:pPr>
              <w:ind w:left="200"/>
              <w:spacing w:after="0"/>
              <w:rPr>
                <w:sz w:val="20"/>
                <w:szCs w:val="20"/>
                <w:color w:val="auto"/>
              </w:rPr>
            </w:pPr>
            <w:r>
              <w:rPr>
                <w:rFonts w:ascii="Arial" w:cs="Arial" w:eastAsia="Arial" w:hAnsi="Arial"/>
                <w:sz w:val="18"/>
                <w:szCs w:val="18"/>
                <w:color w:val="auto"/>
              </w:rPr>
              <w:t>to</w:t>
            </w:r>
          </w:p>
        </w:tc>
        <w:tc>
          <w:tcPr>
            <w:tcW w:w="60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4 %</w:t>
            </w:r>
          </w:p>
        </w:tc>
        <w:tc>
          <w:tcPr>
            <w:tcW w:w="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bl>
    <w:p>
      <w:pPr>
        <w:spacing w:after="0" w:line="3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Pension assets are classified into three levels. Level 1 asset values are derived from quoted prices which are available in active markets as of the report date. Level 2 asset values are derived from other than quoted prices in active markets included in Level 1, which are either directly or indirectly observable as of the report date. Level 3 asset values are derived from unobservable pricing inputs that are not corroborated by market data or other objective sources.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 Investments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Equity securities are valued at the latest quoted prices taken from the primary exchange on which the security trades. Mutual funds are valued at the net asset value (NAV) of shares held at year-end.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2 Investments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Fixed income securities, including government issued debt, corporate debt, asset-backed and structured debt securities are valued using the latest bid prices or valuations based on a matrix system (which considers such factors as benchmark yields, reported trades, broker/dealer quotes, issuer spreads, two-sided markets, benchmark securities, bids, offers and other reference data including market research publications). Derivatives, which consist mainly of interest rate swaps, are valued using a discounted cash flow pricing model based on observable market data.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 Investments</w:t>
      </w:r>
    </w:p>
    <w:p>
      <w:pPr>
        <w:spacing w:after="0" w:line="25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Hedge funds and private equity funds are valued at the NAV at year-end. The values assigned to private equity funds are based upon assessments of each underlying investment, incorporating valuations that consider the evaluation of financing and sale transactions with third parties, expected cash flows and market-based information, including comparable transactions, and performance multiples among other factors. Real estate investments are based on third party appraisals.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 Measured Using NAV per Share Practical Expedient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Investments measured using NAV per share as a practical expedient include investment funds that invest in global equity, emerging markets and fixed income. The global equity funds invest in equity securities of various market sectors including industrial materials, consumer discretionary goods and services, financial infrastructure, technology, and health care. The emerging markets funds invest in equity markets within financial services, consumer goods and services, energy, and technology.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 Furthermore, while the Company believes its valuation methods are appropriate and consistent with other market participants, the use of different methodologies or assumptions to determine the fair value of certain financial instruments could result in different fair value measurements at the reporting date.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the fair value of assets and their placement within the fair value hierarchy. The levels assigned to the defined benefit plan assets as of December 31, 2021 and 2020 are summarized in the tables below:</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Arial" w:cs="Arial" w:eastAsia="Arial" w:hAnsi="Arial"/>
                <w:sz w:val="18"/>
                <w:szCs w:val="18"/>
                <w:color w:val="auto"/>
                <w:w w:val="91"/>
              </w:rPr>
              <w:t>U.S. plan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3"/>
              </w:rPr>
              <w:t>Non-U.S. plan</w:t>
            </w:r>
          </w:p>
        </w:tc>
        <w:tc>
          <w:tcPr>
            <w:tcW w:w="32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80"/>
              </w:rPr>
              <w:t>assets</w:t>
            </w:r>
          </w:p>
        </w:tc>
        <w:tc>
          <w:tcPr>
            <w:tcW w:w="14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0"/>
              </w:rPr>
              <w:t>assets</w:t>
            </w:r>
          </w:p>
        </w:tc>
        <w:tc>
          <w:tcPr>
            <w:tcW w:w="3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2"/>
              </w:rPr>
              <w:t>Level 1</w:t>
            </w:r>
          </w:p>
        </w:tc>
        <w:tc>
          <w:tcPr>
            <w:tcW w:w="41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9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2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Global large cap equity</w:t>
            </w:r>
          </w:p>
        </w:tc>
        <w:tc>
          <w:tcPr>
            <w:tcW w:w="1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U.S. large cap equity</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mid/small cap equity</w:t>
            </w:r>
          </w:p>
        </w:tc>
        <w:tc>
          <w:tcPr>
            <w:tcW w:w="1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Mutual funds – global equity</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 U.S. equity</w:t>
            </w:r>
          </w:p>
        </w:tc>
        <w:tc>
          <w:tcPr>
            <w:tcW w:w="1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Mutual funds – fixed income</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00" w:type="dxa"/>
            <w:vAlign w:val="bottom"/>
            <w:gridSpan w:val="3"/>
          </w:tcPr>
          <w:p>
            <w:pPr>
              <w:spacing w:after="0" w:line="169" w:lineRule="exact"/>
              <w:rPr>
                <w:sz w:val="20"/>
                <w:szCs w:val="20"/>
                <w:color w:val="auto"/>
              </w:rPr>
            </w:pPr>
            <w:r>
              <w:rPr>
                <w:rFonts w:ascii="Arial" w:cs="Arial" w:eastAsia="Arial" w:hAnsi="Arial"/>
                <w:sz w:val="18"/>
                <w:szCs w:val="18"/>
                <w:color w:val="auto"/>
              </w:rPr>
              <w:t>Level 2</w:t>
            </w: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Government issued debt securities</w:t>
            </w:r>
          </w:p>
        </w:tc>
        <w:tc>
          <w:tcPr>
            <w:tcW w:w="1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Corporate debt securities</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contracts</w:t>
            </w:r>
          </w:p>
        </w:tc>
        <w:tc>
          <w:tcPr>
            <w:tcW w:w="1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Investment funds – fixed income</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00" w:type="dxa"/>
            <w:vAlign w:val="bottom"/>
            <w:gridSpan w:val="3"/>
          </w:tcPr>
          <w:p>
            <w:pPr>
              <w:spacing w:after="0" w:line="169" w:lineRule="exact"/>
              <w:rPr>
                <w:sz w:val="20"/>
                <w:szCs w:val="20"/>
                <w:color w:val="auto"/>
              </w:rPr>
            </w:pPr>
            <w:r>
              <w:rPr>
                <w:rFonts w:ascii="Arial" w:cs="Arial" w:eastAsia="Arial" w:hAnsi="Arial"/>
                <w:sz w:val="18"/>
                <w:szCs w:val="18"/>
                <w:color w:val="auto"/>
              </w:rPr>
              <w:t>Level 3</w:t>
            </w: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funds – real estate</w:t>
            </w:r>
          </w:p>
        </w:tc>
        <w:tc>
          <w:tcPr>
            <w:tcW w:w="1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Private equity</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 direct</w:t>
            </w:r>
          </w:p>
        </w:tc>
        <w:tc>
          <w:tcPr>
            <w:tcW w:w="19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assets in fair value hierarchy</w:t>
            </w:r>
          </w:p>
        </w:tc>
        <w:tc>
          <w:tcPr>
            <w:tcW w:w="19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gridSpan w:val="3"/>
          </w:tcPr>
          <w:p>
            <w:pPr>
              <w:spacing w:after="0" w:line="189" w:lineRule="exact"/>
              <w:rPr>
                <w:sz w:val="20"/>
                <w:szCs w:val="20"/>
                <w:color w:val="auto"/>
              </w:rPr>
            </w:pPr>
            <w:r>
              <w:rPr>
                <w:rFonts w:ascii="Arial" w:cs="Arial" w:eastAsia="Arial" w:hAnsi="Arial"/>
                <w:sz w:val="18"/>
                <w:szCs w:val="18"/>
                <w:color w:val="auto"/>
              </w:rPr>
              <w:t>Investments measured at NAV Practical Expedient (a)</w:t>
            </w: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funds – fixed income</w:t>
            </w:r>
          </w:p>
        </w:tc>
        <w:tc>
          <w:tcPr>
            <w:tcW w:w="1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Investment funds – global equity</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funds – emerging markets</w:t>
            </w:r>
          </w:p>
        </w:tc>
        <w:tc>
          <w:tcPr>
            <w:tcW w:w="1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ind w:right="870"/>
              <w:spacing w:after="0"/>
              <w:rPr>
                <w:sz w:val="20"/>
                <w:szCs w:val="20"/>
                <w:color w:val="auto"/>
              </w:rPr>
            </w:pPr>
            <w:r>
              <w:rPr>
                <w:rFonts w:ascii="Arial" w:cs="Arial" w:eastAsia="Arial" w:hAnsi="Arial"/>
                <w:sz w:val="18"/>
                <w:szCs w:val="18"/>
                <w:color w:val="auto"/>
              </w:rPr>
              <w:t>72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Crown Holdings, Inc.</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Arial" w:cs="Arial" w:eastAsia="Arial" w:hAnsi="Arial"/>
                <w:sz w:val="18"/>
                <w:szCs w:val="18"/>
                <w:color w:val="auto"/>
                <w:w w:val="91"/>
              </w:rPr>
              <w:t>U.S. plan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3"/>
              </w:rPr>
              <w:t>Non-U.S. plan</w:t>
            </w:r>
          </w:p>
        </w:tc>
        <w:tc>
          <w:tcPr>
            <w:tcW w:w="320" w:type="dxa"/>
            <w:vAlign w:val="bottom"/>
          </w:tcPr>
          <w:p>
            <w:pPr>
              <w:spacing w:after="0"/>
              <w:rPr>
                <w:sz w:val="14"/>
                <w:szCs w:val="14"/>
                <w:color w:val="auto"/>
              </w:rPr>
            </w:pPr>
          </w:p>
        </w:tc>
        <w:tc>
          <w:tcPr>
            <w:tcW w:w="1120" w:type="dxa"/>
            <w:vAlign w:val="bottom"/>
            <w:vMerge w:val="restart"/>
          </w:tcPr>
          <w:p>
            <w:pPr>
              <w:jc w:val="right"/>
              <w:ind w:right="4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80"/>
              </w:rPr>
              <w:t>assets</w:t>
            </w:r>
          </w:p>
        </w:tc>
        <w:tc>
          <w:tcPr>
            <w:tcW w:w="14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0"/>
              </w:rPr>
              <w:t>assets</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2"/>
              </w:rPr>
              <w:t>Level 1</w:t>
            </w:r>
          </w:p>
        </w:tc>
        <w:tc>
          <w:tcPr>
            <w:tcW w:w="37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3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Global large cap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U.S. large cap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mid/small cap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Mutual funds – global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 U.S.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Mutual funds – fixed income</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gridSpan w:val="3"/>
          </w:tcPr>
          <w:p>
            <w:pPr>
              <w:spacing w:after="0" w:line="169" w:lineRule="exact"/>
              <w:rPr>
                <w:sz w:val="20"/>
                <w:szCs w:val="20"/>
                <w:color w:val="auto"/>
              </w:rPr>
            </w:pPr>
            <w:r>
              <w:rPr>
                <w:rFonts w:ascii="Arial" w:cs="Arial" w:eastAsia="Arial" w:hAnsi="Arial"/>
                <w:sz w:val="18"/>
                <w:szCs w:val="18"/>
                <w:color w:val="auto"/>
              </w:rPr>
              <w:t>Level 2</w:t>
            </w: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Government issued debt securities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Corporate debt securities</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Structured debt</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contracts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funds – fixed income</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Investment funds – global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gridSpan w:val="3"/>
          </w:tcPr>
          <w:p>
            <w:pPr>
              <w:spacing w:after="0" w:line="189" w:lineRule="exact"/>
              <w:rPr>
                <w:sz w:val="20"/>
                <w:szCs w:val="20"/>
                <w:color w:val="auto"/>
              </w:rPr>
            </w:pPr>
            <w:r>
              <w:rPr>
                <w:rFonts w:ascii="Arial" w:cs="Arial" w:eastAsia="Arial" w:hAnsi="Arial"/>
                <w:sz w:val="18"/>
                <w:szCs w:val="18"/>
                <w:color w:val="auto"/>
              </w:rPr>
              <w:t>Level 3</w:t>
            </w:r>
          </w:p>
        </w:tc>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funds – real estate</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Hedge funds</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Real estate – direct</w:t>
            </w:r>
          </w:p>
        </w:tc>
        <w:tc>
          <w:tcPr>
            <w:tcW w:w="2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33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 in fair value hierarchy</w:t>
            </w:r>
          </w:p>
        </w:tc>
        <w:tc>
          <w:tcPr>
            <w:tcW w:w="2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Investments measured at NAV Practical Expedient (a)</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38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Investment funds – fixed income</w:t>
            </w:r>
          </w:p>
        </w:tc>
        <w:tc>
          <w:tcPr>
            <w:tcW w:w="460" w:type="dxa"/>
            <w:vAlign w:val="bottom"/>
            <w:tcBorders>
              <w:top w:val="single" w:sz="8" w:color="CCEEFF"/>
            </w:tcBorders>
          </w:tcPr>
          <w:p>
            <w:pPr>
              <w:spacing w:after="0"/>
              <w:rPr>
                <w:sz w:val="19"/>
                <w:szCs w:val="19"/>
                <w:color w:val="auto"/>
              </w:rPr>
            </w:pPr>
          </w:p>
        </w:tc>
        <w:tc>
          <w:tcPr>
            <w:tcW w:w="23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funds – global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Investment funds – emerging markets</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Hedge funds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(a) Certain investments that are measured at fair value using the NAV per share practical expedient have not been classified in the fair value hierarchy.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Accrued income excluded from the tables above was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18"/>
                <w:szCs w:val="18"/>
                <w:color w:val="auto"/>
              </w:rPr>
            </w:pPr>
          </w:p>
        </w:tc>
      </w:tr>
      <w:tr>
        <w:trPr>
          <w:trHeight w:val="20"/>
        </w:trPr>
        <w:tc>
          <w:tcPr>
            <w:tcW w:w="2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 assets</w:t>
            </w:r>
          </w:p>
        </w:tc>
        <w:tc>
          <w:tcPr>
            <w:tcW w:w="1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Non-U.S. plan assets</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Plan assets include $357 and $323 of the Company’s common stock at December 31, 2021 and 2020.</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880" w:type="dxa"/>
            <w:vAlign w:val="bottom"/>
            <w:gridSpan w:val="4"/>
          </w:tcPr>
          <w:p>
            <w:pPr>
              <w:ind w:left="800"/>
              <w:spacing w:after="0"/>
              <w:rPr>
                <w:sz w:val="20"/>
                <w:szCs w:val="20"/>
                <w:color w:val="auto"/>
              </w:rPr>
            </w:pPr>
            <w:r>
              <w:rPr>
                <w:rFonts w:ascii="Arial" w:cs="Arial" w:eastAsia="Arial" w:hAnsi="Arial"/>
                <w:sz w:val="18"/>
                <w:szCs w:val="18"/>
                <w:b w:val="1"/>
                <w:bCs w:val="1"/>
                <w:color w:val="auto"/>
              </w:rPr>
              <w:t>Crown Holdings, Inc.</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0140" w:type="dxa"/>
            <w:vAlign w:val="bottom"/>
            <w:gridSpan w:val="12"/>
          </w:tcPr>
          <w:p>
            <w:pPr>
              <w:spacing w:after="0"/>
              <w:rPr>
                <w:sz w:val="20"/>
                <w:szCs w:val="20"/>
                <w:color w:val="auto"/>
              </w:rPr>
            </w:pPr>
            <w:r>
              <w:rPr>
                <w:rFonts w:ascii="Arial" w:cs="Arial" w:eastAsia="Arial" w:hAnsi="Arial"/>
                <w:sz w:val="18"/>
                <w:szCs w:val="18"/>
                <w:color w:val="auto"/>
                <w:w w:val="91"/>
              </w:rPr>
              <w:t>The following tables reconcile the beginning and ending balances of plan assets measured using significant unobservable inputs (Level 3).</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w w:val="86"/>
              </w:rPr>
              <w:t>Hedge</w:t>
            </w:r>
          </w:p>
        </w:tc>
        <w:tc>
          <w:tcPr>
            <w:tcW w:w="260" w:type="dxa"/>
            <w:vAlign w:val="bottom"/>
          </w:tcPr>
          <w:p>
            <w:pPr>
              <w:spacing w:after="0"/>
              <w:rPr>
                <w:sz w:val="17"/>
                <w:szCs w:val="17"/>
                <w:color w:val="auto"/>
              </w:rPr>
            </w:pPr>
          </w:p>
        </w:tc>
        <w:tc>
          <w:tcPr>
            <w:tcW w:w="122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w w:val="92"/>
              </w:rPr>
              <w:t>Private</w:t>
            </w:r>
          </w:p>
        </w:tc>
        <w:tc>
          <w:tcPr>
            <w:tcW w:w="280" w:type="dxa"/>
            <w:vAlign w:val="bottom"/>
          </w:tcPr>
          <w:p>
            <w:pPr>
              <w:spacing w:after="0"/>
              <w:rPr>
                <w:sz w:val="17"/>
                <w:szCs w:val="17"/>
                <w:color w:val="auto"/>
              </w:rPr>
            </w:pPr>
          </w:p>
        </w:tc>
        <w:tc>
          <w:tcPr>
            <w:tcW w:w="1180" w:type="dxa"/>
            <w:vAlign w:val="bottom"/>
            <w:gridSpan w:val="2"/>
          </w:tcPr>
          <w:p>
            <w:pPr>
              <w:jc w:val="center"/>
              <w:ind w:right="400"/>
              <w:spacing w:after="0" w:line="202" w:lineRule="exact"/>
              <w:rPr>
                <w:sz w:val="20"/>
                <w:szCs w:val="20"/>
                <w:color w:val="auto"/>
              </w:rPr>
            </w:pPr>
            <w:r>
              <w:rPr>
                <w:rFonts w:ascii="Arial" w:cs="Arial" w:eastAsia="Arial" w:hAnsi="Arial"/>
                <w:sz w:val="18"/>
                <w:szCs w:val="18"/>
                <w:color w:val="auto"/>
                <w:w w:val="91"/>
              </w:rPr>
              <w:t>Real</w:t>
            </w:r>
          </w:p>
        </w:tc>
        <w:tc>
          <w:tcPr>
            <w:tcW w:w="320" w:type="dxa"/>
            <w:vAlign w:val="bottom"/>
          </w:tcPr>
          <w:p>
            <w:pPr>
              <w:spacing w:after="0"/>
              <w:rPr>
                <w:sz w:val="17"/>
                <w:szCs w:val="17"/>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funds</w:t>
            </w:r>
          </w:p>
        </w:tc>
        <w:tc>
          <w:tcPr>
            <w:tcW w:w="2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equity</w:t>
            </w:r>
          </w:p>
        </w:tc>
        <w:tc>
          <w:tcPr>
            <w:tcW w:w="280" w:type="dxa"/>
            <w:vAlign w:val="bottom"/>
          </w:tcPr>
          <w:p>
            <w:pPr>
              <w:spacing w:after="0"/>
              <w:rPr>
                <w:sz w:val="19"/>
                <w:szCs w:val="19"/>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estate</w:t>
            </w: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returns – assets held at reporting date</w:t>
            </w: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Asset returns – assets sold during the period</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 net</w:t>
            </w:r>
          </w:p>
        </w:tc>
        <w:tc>
          <w:tcPr>
            <w:tcW w:w="14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Asset returns – assets held at reporting date</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returns – assets sold during the period</w:t>
            </w: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sales and settlements, net</w:t>
            </w:r>
          </w:p>
        </w:tc>
        <w:tc>
          <w:tcPr>
            <w:tcW w:w="1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about the pension plan assets valued using net asset value as a practical expedient:</w:t>
      </w:r>
    </w:p>
    <w:p>
      <w:pPr>
        <w:spacing w:after="0" w:line="3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Redemption Notice</w:t>
      </w:r>
    </w:p>
    <w:tbl>
      <w:tblPr>
        <w:tblLayout w:type="fixed"/>
        <w:tblInd w:w="0" w:type="dxa"/>
        <w:tblCellMar>
          <w:top w:w="0" w:type="dxa"/>
          <w:left w:w="0" w:type="dxa"/>
          <w:bottom w:w="0" w:type="dxa"/>
          <w:right w:w="0" w:type="dxa"/>
        </w:tblCellMar>
      </w:tblPr>
      <w:tr>
        <w:trPr>
          <w:trHeight w:val="214"/>
        </w:trPr>
        <w:tc>
          <w:tcPr>
            <w:tcW w:w="3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Fair Value</w:t>
            </w:r>
          </w:p>
        </w:tc>
        <w:tc>
          <w:tcPr>
            <w:tcW w:w="4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Redemption Frequency</w:t>
            </w:r>
          </w:p>
        </w:tc>
        <w:tc>
          <w:tcPr>
            <w:tcW w:w="15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Period</w:t>
            </w: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1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funds – fixed income</w:t>
            </w:r>
          </w:p>
        </w:tc>
        <w:tc>
          <w:tcPr>
            <w:tcW w:w="16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w:t>
            </w:r>
          </w:p>
        </w:tc>
        <w:tc>
          <w:tcPr>
            <w:tcW w:w="2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Semi-monthly</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1- 5 days</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Investment funds – global equity</w:t>
            </w:r>
          </w:p>
        </w:tc>
        <w:tc>
          <w:tcPr>
            <w:tcW w:w="16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167</w:t>
            </w:r>
          </w:p>
        </w:tc>
        <w:tc>
          <w:tcPr>
            <w:tcW w:w="2200" w:type="dxa"/>
            <w:vAlign w:val="bottom"/>
          </w:tcPr>
          <w:p>
            <w:pPr>
              <w:jc w:val="right"/>
              <w:ind w:right="270"/>
              <w:spacing w:after="0"/>
              <w:rPr>
                <w:sz w:val="20"/>
                <w:szCs w:val="20"/>
                <w:color w:val="auto"/>
              </w:rPr>
            </w:pPr>
            <w:r>
              <w:rPr>
                <w:rFonts w:ascii="Arial" w:cs="Arial" w:eastAsia="Arial" w:hAnsi="Arial"/>
                <w:sz w:val="18"/>
                <w:szCs w:val="18"/>
                <w:color w:val="auto"/>
              </w:rPr>
              <w:t>Daily</w:t>
            </w:r>
          </w:p>
        </w:tc>
        <w:tc>
          <w:tcPr>
            <w:tcW w:w="1560" w:type="dxa"/>
            <w:vAlign w:val="bottom"/>
          </w:tcPr>
          <w:p>
            <w:pPr>
              <w:jc w:val="right"/>
              <w:spacing w:after="0"/>
              <w:rPr>
                <w:sz w:val="20"/>
                <w:szCs w:val="20"/>
                <w:color w:val="auto"/>
              </w:rPr>
            </w:pPr>
            <w:r>
              <w:rPr>
                <w:rFonts w:ascii="Arial" w:cs="Arial" w:eastAsia="Arial" w:hAnsi="Arial"/>
                <w:sz w:val="18"/>
                <w:szCs w:val="18"/>
                <w:color w:val="auto"/>
              </w:rPr>
              <w:t>10 days</w:t>
            </w: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funds – emerging markets</w:t>
            </w:r>
          </w:p>
        </w:tc>
        <w:tc>
          <w:tcPr>
            <w:tcW w:w="16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Daily</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days</w:t>
            </w:r>
          </w:p>
        </w:tc>
      </w:tr>
      <w:tr>
        <w:trPr>
          <w:trHeight w:val="203"/>
        </w:trPr>
        <w:tc>
          <w:tcPr>
            <w:tcW w:w="3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Investment funds – fixed income</w:t>
            </w:r>
          </w:p>
        </w:tc>
        <w:tc>
          <w:tcPr>
            <w:tcW w:w="166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137</w:t>
            </w:r>
          </w:p>
        </w:tc>
        <w:tc>
          <w:tcPr>
            <w:tcW w:w="2200" w:type="dxa"/>
            <w:vAlign w:val="bottom"/>
          </w:tcPr>
          <w:p>
            <w:pPr>
              <w:jc w:val="right"/>
              <w:ind w:right="270"/>
              <w:spacing w:after="0"/>
              <w:rPr>
                <w:sz w:val="20"/>
                <w:szCs w:val="20"/>
                <w:color w:val="auto"/>
              </w:rPr>
            </w:pPr>
            <w:r>
              <w:rPr>
                <w:rFonts w:ascii="Arial" w:cs="Arial" w:eastAsia="Arial" w:hAnsi="Arial"/>
                <w:sz w:val="18"/>
                <w:szCs w:val="18"/>
                <w:color w:val="auto"/>
              </w:rPr>
              <w:t>Semi-monthly</w:t>
            </w:r>
          </w:p>
        </w:tc>
        <w:tc>
          <w:tcPr>
            <w:tcW w:w="1560" w:type="dxa"/>
            <w:vAlign w:val="bottom"/>
          </w:tcPr>
          <w:p>
            <w:pPr>
              <w:jc w:val="right"/>
              <w:spacing w:after="0"/>
              <w:rPr>
                <w:sz w:val="20"/>
                <w:szCs w:val="20"/>
                <w:color w:val="auto"/>
              </w:rPr>
            </w:pPr>
            <w:r>
              <w:rPr>
                <w:rFonts w:ascii="Arial" w:cs="Arial" w:eastAsia="Arial" w:hAnsi="Arial"/>
                <w:sz w:val="18"/>
                <w:szCs w:val="18"/>
                <w:color w:val="auto"/>
              </w:rPr>
              <w:t>1- 5 days</w:t>
            </w: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funds – global equity</w:t>
            </w:r>
          </w:p>
        </w:tc>
        <w:tc>
          <w:tcPr>
            <w:tcW w:w="16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141</w:t>
            </w:r>
          </w:p>
        </w:tc>
        <w:tc>
          <w:tcPr>
            <w:tcW w:w="2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Monthly</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1- 5 days</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Investment funds – emerging markets</w:t>
            </w:r>
          </w:p>
        </w:tc>
        <w:tc>
          <w:tcPr>
            <w:tcW w:w="16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2200" w:type="dxa"/>
            <w:vAlign w:val="bottom"/>
          </w:tcPr>
          <w:p>
            <w:pPr>
              <w:jc w:val="right"/>
              <w:ind w:right="270"/>
              <w:spacing w:after="0"/>
              <w:rPr>
                <w:sz w:val="20"/>
                <w:szCs w:val="20"/>
                <w:color w:val="auto"/>
              </w:rPr>
            </w:pPr>
            <w:r>
              <w:rPr>
                <w:rFonts w:ascii="Arial" w:cs="Arial" w:eastAsia="Arial" w:hAnsi="Arial"/>
                <w:sz w:val="18"/>
                <w:szCs w:val="18"/>
                <w:color w:val="auto"/>
              </w:rPr>
              <w:t>Daily</w:t>
            </w:r>
          </w:p>
        </w:tc>
        <w:tc>
          <w:tcPr>
            <w:tcW w:w="1560" w:type="dxa"/>
            <w:vAlign w:val="bottom"/>
          </w:tcPr>
          <w:p>
            <w:pPr>
              <w:jc w:val="right"/>
              <w:spacing w:after="0"/>
              <w:rPr>
                <w:sz w:val="20"/>
                <w:szCs w:val="20"/>
                <w:color w:val="auto"/>
              </w:rPr>
            </w:pPr>
            <w:r>
              <w:rPr>
                <w:rFonts w:ascii="Arial" w:cs="Arial" w:eastAsia="Arial" w:hAnsi="Arial"/>
                <w:sz w:val="18"/>
                <w:szCs w:val="18"/>
                <w:color w:val="auto"/>
              </w:rPr>
              <w:t>30 days</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Hedge funds</w:t>
            </w:r>
          </w:p>
        </w:tc>
        <w:tc>
          <w:tcPr>
            <w:tcW w:w="16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w:t>
            </w:r>
          </w:p>
        </w:tc>
        <w:tc>
          <w:tcPr>
            <w:tcW w:w="2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Monthly</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1 - 30 days</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pension plan assets valued using net asset value as a practical expedient do not have any unfunded commitments.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Pension assets and liabilities included in the Consolidated Balance Sheets were:</w:t>
            </w: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76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r>
    </w:tbl>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current liability at December 31, 2021, represents the expected required payments to be made for unfunded plans over the next twelve months. Total estimated 2022 employer contributions are $27 for the Company’s pension plans.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gridSpan w:val="8"/>
          </w:tcPr>
          <w:p>
            <w:pPr>
              <w:spacing w:after="0"/>
              <w:rPr>
                <w:sz w:val="20"/>
                <w:szCs w:val="20"/>
                <w:color w:val="auto"/>
              </w:rPr>
            </w:pPr>
            <w:r>
              <w:rPr>
                <w:rFonts w:ascii="Arial" w:cs="Arial" w:eastAsia="Arial" w:hAnsi="Arial"/>
                <w:sz w:val="18"/>
                <w:szCs w:val="18"/>
                <w:color w:val="auto"/>
                <w:w w:val="90"/>
              </w:rPr>
              <w:t>Changes in the net loss and prior service cost (credit) for the Company’s pension plans were:</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2021</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4"/>
                <w:szCs w:val="14"/>
                <w:color w:val="auto"/>
              </w:rPr>
            </w:pPr>
          </w:p>
        </w:tc>
        <w:tc>
          <w:tcPr>
            <w:tcW w:w="900" w:type="dxa"/>
            <w:vAlign w:val="bottom"/>
          </w:tcPr>
          <w:p>
            <w:pPr>
              <w:jc w:val="center"/>
              <w:ind w:right="130"/>
              <w:spacing w:after="0" w:line="169" w:lineRule="exact"/>
              <w:rPr>
                <w:sz w:val="20"/>
                <w:szCs w:val="20"/>
                <w:color w:val="auto"/>
              </w:rPr>
            </w:pPr>
            <w:r>
              <w:rPr>
                <w:rFonts w:ascii="Arial" w:cs="Arial" w:eastAsia="Arial" w:hAnsi="Arial"/>
                <w:sz w:val="18"/>
                <w:szCs w:val="18"/>
                <w:color w:val="auto"/>
                <w:w w:val="94"/>
              </w:rPr>
              <w:t>Prior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4"/>
                <w:szCs w:val="14"/>
                <w:color w:val="auto"/>
              </w:rPr>
            </w:pPr>
          </w:p>
        </w:tc>
        <w:tc>
          <w:tcPr>
            <w:tcW w:w="900" w:type="dxa"/>
            <w:vAlign w:val="bottom"/>
          </w:tcPr>
          <w:p>
            <w:pPr>
              <w:jc w:val="center"/>
              <w:ind w:right="130"/>
              <w:spacing w:after="0" w:line="169" w:lineRule="exact"/>
              <w:rPr>
                <w:sz w:val="20"/>
                <w:szCs w:val="20"/>
                <w:color w:val="auto"/>
              </w:rPr>
            </w:pPr>
            <w:r>
              <w:rPr>
                <w:rFonts w:ascii="Arial" w:cs="Arial" w:eastAsia="Arial" w:hAnsi="Arial"/>
                <w:sz w:val="18"/>
                <w:szCs w:val="18"/>
                <w:color w:val="auto"/>
                <w:w w:val="94"/>
              </w:rPr>
              <w:t>Prior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4"/>
                <w:szCs w:val="14"/>
                <w:color w:val="auto"/>
              </w:rPr>
            </w:pPr>
          </w:p>
        </w:tc>
        <w:tc>
          <w:tcPr>
            <w:tcW w:w="900" w:type="dxa"/>
            <w:vAlign w:val="bottom"/>
          </w:tcPr>
          <w:p>
            <w:pPr>
              <w:jc w:val="right"/>
              <w:ind w:right="290"/>
              <w:spacing w:after="0" w:line="169" w:lineRule="exact"/>
              <w:rPr>
                <w:sz w:val="20"/>
                <w:szCs w:val="20"/>
                <w:color w:val="auto"/>
              </w:rPr>
            </w:pPr>
            <w:r>
              <w:rPr>
                <w:rFonts w:ascii="Arial" w:cs="Arial" w:eastAsia="Arial" w:hAnsi="Arial"/>
                <w:sz w:val="18"/>
                <w:szCs w:val="18"/>
                <w:color w:val="auto"/>
              </w:rPr>
              <w:t>Prior</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service</w:t>
            </w:r>
          </w:p>
        </w:tc>
        <w:tc>
          <w:tcPr>
            <w:tcW w:w="2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service</w:t>
            </w:r>
          </w:p>
        </w:tc>
        <w:tc>
          <w:tcPr>
            <w:tcW w:w="1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service</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Reclassification to net periodic benefit cost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year loss / (gain)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Amendments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benefit payments as of December 31, 2021 are:</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080" w:type="dxa"/>
            <w:vAlign w:val="bottom"/>
          </w:tcPr>
          <w:p>
            <w:pPr>
              <w:jc w:val="center"/>
              <w:ind w:left="390"/>
              <w:spacing w:after="0"/>
              <w:rPr>
                <w:sz w:val="20"/>
                <w:szCs w:val="20"/>
                <w:color w:val="auto"/>
              </w:rPr>
            </w:pPr>
            <w:r>
              <w:rPr>
                <w:rFonts w:ascii="Arial" w:cs="Arial" w:eastAsia="Arial" w:hAnsi="Arial"/>
                <w:sz w:val="18"/>
                <w:szCs w:val="18"/>
                <w:color w:val="auto"/>
                <w:w w:val="91"/>
              </w:rPr>
              <w:t>U.S.</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Non-U.S.</w:t>
            </w:r>
          </w:p>
        </w:tc>
      </w:tr>
      <w:tr>
        <w:trPr>
          <w:trHeight w:val="230"/>
        </w:trPr>
        <w:tc>
          <w:tcPr>
            <w:tcW w:w="43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88"/>
              </w:rPr>
              <w:t>plans</w:t>
            </w:r>
          </w:p>
        </w:tc>
        <w:tc>
          <w:tcPr>
            <w:tcW w:w="460" w:type="dxa"/>
            <w:vAlign w:val="bottom"/>
            <w:tcBorders>
              <w:bottom w:val="single" w:sz="8" w:color="auto"/>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plans</w:t>
            </w:r>
          </w:p>
        </w:tc>
      </w:tr>
      <w:tr>
        <w:trPr>
          <w:trHeight w:val="223"/>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320" w:type="dxa"/>
            <w:vAlign w:val="bottom"/>
          </w:tcPr>
          <w:p>
            <w:pPr>
              <w:ind w:left="40"/>
              <w:spacing w:after="0"/>
              <w:rPr>
                <w:sz w:val="20"/>
                <w:szCs w:val="20"/>
                <w:color w:val="auto"/>
              </w:rPr>
            </w:pPr>
            <w:r>
              <w:rPr>
                <w:rFonts w:ascii="Arial" w:cs="Arial" w:eastAsia="Arial" w:hAnsi="Arial"/>
                <w:sz w:val="18"/>
                <w:szCs w:val="18"/>
                <w:color w:val="auto"/>
              </w:rPr>
              <w:t>2023</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4320" w:type="dxa"/>
            <w:vAlign w:val="bottom"/>
          </w:tcPr>
          <w:p>
            <w:pPr>
              <w:ind w:left="40"/>
              <w:spacing w:after="0"/>
              <w:rPr>
                <w:sz w:val="20"/>
                <w:szCs w:val="20"/>
                <w:color w:val="auto"/>
              </w:rPr>
            </w:pPr>
            <w:r>
              <w:rPr>
                <w:rFonts w:ascii="Arial" w:cs="Arial" w:eastAsia="Arial" w:hAnsi="Arial"/>
                <w:sz w:val="18"/>
                <w:szCs w:val="18"/>
                <w:color w:val="auto"/>
              </w:rPr>
              <w:t>2025</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2026</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4320" w:type="dxa"/>
            <w:vAlign w:val="bottom"/>
          </w:tcPr>
          <w:p>
            <w:pPr>
              <w:ind w:left="40"/>
              <w:spacing w:after="0"/>
              <w:rPr>
                <w:sz w:val="20"/>
                <w:szCs w:val="20"/>
                <w:color w:val="auto"/>
              </w:rPr>
            </w:pPr>
            <w:r>
              <w:rPr>
                <w:rFonts w:ascii="Arial" w:cs="Arial" w:eastAsia="Arial" w:hAnsi="Arial"/>
                <w:sz w:val="18"/>
                <w:szCs w:val="18"/>
                <w:color w:val="auto"/>
              </w:rPr>
              <w:t>2027 - 2031</w:t>
            </w:r>
          </w:p>
        </w:tc>
        <w:tc>
          <w:tcPr>
            <w:tcW w:w="10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419</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360</w:t>
            </w:r>
          </w:p>
        </w:tc>
      </w:tr>
    </w:tbl>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gridSpan w:val="11"/>
          </w:tcPr>
          <w:p>
            <w:pPr>
              <w:spacing w:after="0"/>
              <w:rPr>
                <w:sz w:val="20"/>
                <w:szCs w:val="20"/>
                <w:color w:val="auto"/>
              </w:rPr>
            </w:pPr>
            <w:r>
              <w:rPr>
                <w:rFonts w:ascii="Arial" w:cs="Arial" w:eastAsia="Arial" w:hAnsi="Arial"/>
                <w:sz w:val="18"/>
                <w:szCs w:val="18"/>
                <w:color w:val="auto"/>
                <w:w w:val="91"/>
              </w:rPr>
              <w:t>The weighted average actuarial assumptions used to calculate the benefit obligations at December 31 were:</w:t>
            </w: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tcPr>
          <w:p>
            <w:pPr>
              <w:spacing w:after="0"/>
              <w:rPr>
                <w:sz w:val="20"/>
                <w:szCs w:val="20"/>
                <w:color w:val="auto"/>
              </w:rPr>
            </w:pPr>
            <w:r>
              <w:rPr>
                <w:rFonts w:ascii="Arial" w:cs="Arial" w:eastAsia="Arial" w:hAnsi="Arial"/>
                <w:sz w:val="18"/>
                <w:szCs w:val="18"/>
                <w:color w:val="auto"/>
              </w:rPr>
              <w:t>U.S. Plans</w:t>
            </w:r>
          </w:p>
        </w:tc>
        <w:tc>
          <w:tcPr>
            <w:tcW w:w="1600" w:type="dxa"/>
            <w:vAlign w:val="bottom"/>
            <w:gridSpan w:val="2"/>
          </w:tcPr>
          <w:p>
            <w:pPr>
              <w:jc w:val="right"/>
              <w:ind w:right="53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2"/>
          </w:tcPr>
          <w:p>
            <w:pPr>
              <w:jc w:val="right"/>
              <w:ind w:right="53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2"/>
          </w:tcPr>
          <w:p>
            <w:pPr>
              <w:jc w:val="right"/>
              <w:ind w:right="53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18"/>
                <w:szCs w:val="18"/>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140" w:type="dxa"/>
            <w:vAlign w:val="bottom"/>
            <w:gridSpan w:val="6"/>
          </w:tcPr>
          <w:p>
            <w:pPr>
              <w:spacing w:after="0"/>
              <w:rPr>
                <w:sz w:val="20"/>
                <w:szCs w:val="20"/>
                <w:color w:val="auto"/>
              </w:rPr>
            </w:pPr>
            <w:r>
              <w:rPr>
                <w:rFonts w:ascii="Arial" w:cs="Arial" w:eastAsia="Arial" w:hAnsi="Arial"/>
                <w:sz w:val="18"/>
                <w:szCs w:val="18"/>
                <w:color w:val="auto"/>
              </w:rPr>
              <w:t>Compensation increase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40" w:type="dxa"/>
            <w:vAlign w:val="bottom"/>
          </w:tcPr>
          <w:p>
            <w:pPr>
              <w:spacing w:after="0"/>
              <w:rPr>
                <w:sz w:val="20"/>
                <w:szCs w:val="20"/>
                <w:color w:val="auto"/>
              </w:rPr>
            </w:pPr>
          </w:p>
        </w:tc>
      </w:tr>
      <w:tr>
        <w:trPr>
          <w:trHeight w:val="296"/>
        </w:trPr>
        <w:tc>
          <w:tcPr>
            <w:tcW w:w="20" w:type="dxa"/>
            <w:vAlign w:val="bottom"/>
          </w:tcPr>
          <w:p>
            <w:pPr>
              <w:spacing w:after="0"/>
              <w:rPr>
                <w:sz w:val="24"/>
                <w:szCs w:val="24"/>
                <w:color w:val="auto"/>
              </w:rPr>
            </w:pPr>
          </w:p>
        </w:tc>
        <w:tc>
          <w:tcPr>
            <w:tcW w:w="6140" w:type="dxa"/>
            <w:vAlign w:val="bottom"/>
            <w:gridSpan w:val="6"/>
          </w:tcPr>
          <w:p>
            <w:pPr>
              <w:spacing w:after="0"/>
              <w:rPr>
                <w:sz w:val="20"/>
                <w:szCs w:val="20"/>
                <w:color w:val="auto"/>
              </w:rPr>
            </w:pPr>
            <w:r>
              <w:rPr>
                <w:rFonts w:ascii="Arial" w:cs="Arial" w:eastAsia="Arial" w:hAnsi="Arial"/>
                <w:sz w:val="18"/>
                <w:szCs w:val="18"/>
                <w:color w:val="auto"/>
              </w:rPr>
              <w:t>Non-U.S. Plans</w:t>
            </w:r>
          </w:p>
        </w:tc>
        <w:tc>
          <w:tcPr>
            <w:tcW w:w="1600" w:type="dxa"/>
            <w:vAlign w:val="bottom"/>
            <w:gridSpan w:val="2"/>
          </w:tcPr>
          <w:p>
            <w:pPr>
              <w:jc w:val="right"/>
              <w:ind w:right="53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2"/>
          </w:tcPr>
          <w:p>
            <w:pPr>
              <w:jc w:val="right"/>
              <w:ind w:right="53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gridSpan w:val="2"/>
          </w:tcPr>
          <w:p>
            <w:pPr>
              <w:jc w:val="right"/>
              <w:ind w:right="53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24"/>
                <w:szCs w:val="2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140" w:type="dxa"/>
            <w:vAlign w:val="bottom"/>
            <w:gridSpan w:val="6"/>
          </w:tcPr>
          <w:p>
            <w:pPr>
              <w:spacing w:after="0"/>
              <w:rPr>
                <w:sz w:val="20"/>
                <w:szCs w:val="20"/>
                <w:color w:val="auto"/>
              </w:rPr>
            </w:pPr>
            <w:r>
              <w:rPr>
                <w:rFonts w:ascii="Arial" w:cs="Arial" w:eastAsia="Arial" w:hAnsi="Arial"/>
                <w:sz w:val="18"/>
                <w:szCs w:val="18"/>
                <w:color w:val="auto"/>
              </w:rPr>
              <w:t>Compensation increase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40" w:type="dxa"/>
            <w:vAlign w:val="bottom"/>
          </w:tcPr>
          <w:p>
            <w:pPr>
              <w:spacing w:after="0"/>
              <w:rPr>
                <w:sz w:val="20"/>
                <w:szCs w:val="20"/>
                <w:color w:val="auto"/>
              </w:rPr>
            </w:pPr>
          </w:p>
        </w:tc>
      </w:tr>
      <w:tr>
        <w:trPr>
          <w:trHeight w:val="553"/>
        </w:trPr>
        <w:tc>
          <w:tcPr>
            <w:tcW w:w="7860" w:type="dxa"/>
            <w:vAlign w:val="bottom"/>
            <w:gridSpan w:val="11"/>
          </w:tcPr>
          <w:p>
            <w:pPr>
              <w:spacing w:after="0"/>
              <w:rPr>
                <w:sz w:val="20"/>
                <w:szCs w:val="20"/>
                <w:color w:val="auto"/>
              </w:rPr>
            </w:pPr>
            <w:r>
              <w:rPr>
                <w:rFonts w:ascii="Arial" w:cs="Arial" w:eastAsia="Arial" w:hAnsi="Arial"/>
                <w:sz w:val="18"/>
                <w:szCs w:val="18"/>
                <w:color w:val="auto"/>
                <w:w w:val="98"/>
              </w:rPr>
              <w:t>The weighted average actuarial assumptions used to calculate pension expense for each year were:</w:t>
            </w: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tcPr>
          <w:p>
            <w:pPr>
              <w:spacing w:after="0"/>
              <w:rPr>
                <w:sz w:val="20"/>
                <w:szCs w:val="20"/>
                <w:color w:val="auto"/>
              </w:rPr>
            </w:pPr>
            <w:r>
              <w:rPr>
                <w:rFonts w:ascii="Arial" w:cs="Arial" w:eastAsia="Arial" w:hAnsi="Arial"/>
                <w:sz w:val="18"/>
                <w:szCs w:val="18"/>
                <w:color w:val="auto"/>
              </w:rPr>
              <w:t>U.S. Plans</w:t>
            </w:r>
          </w:p>
        </w:tc>
        <w:tc>
          <w:tcPr>
            <w:tcW w:w="1600" w:type="dxa"/>
            <w:vAlign w:val="bottom"/>
            <w:gridSpan w:val="2"/>
          </w:tcPr>
          <w:p>
            <w:pPr>
              <w:jc w:val="right"/>
              <w:ind w:right="53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2"/>
          </w:tcPr>
          <w:p>
            <w:pPr>
              <w:jc w:val="right"/>
              <w:ind w:right="53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2"/>
          </w:tcPr>
          <w:p>
            <w:pPr>
              <w:jc w:val="right"/>
              <w:ind w:right="53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18"/>
                <w:szCs w:val="18"/>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Discount rate - service cost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40" w:type="dxa"/>
            <w:vAlign w:val="bottom"/>
            <w:gridSpan w:val="6"/>
          </w:tcPr>
          <w:p>
            <w:pPr>
              <w:spacing w:after="0"/>
              <w:rPr>
                <w:sz w:val="20"/>
                <w:szCs w:val="20"/>
                <w:color w:val="auto"/>
              </w:rPr>
            </w:pPr>
            <w:r>
              <w:rPr>
                <w:rFonts w:ascii="Arial" w:cs="Arial" w:eastAsia="Arial" w:hAnsi="Arial"/>
                <w:sz w:val="18"/>
                <w:szCs w:val="18"/>
                <w:color w:val="auto"/>
              </w:rPr>
              <w:t>Discount rate - interest cost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Compensation increase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140" w:type="dxa"/>
            <w:vAlign w:val="bottom"/>
            <w:gridSpan w:val="6"/>
          </w:tcPr>
          <w:p>
            <w:pPr>
              <w:spacing w:after="0"/>
              <w:rPr>
                <w:sz w:val="20"/>
                <w:szCs w:val="20"/>
                <w:color w:val="auto"/>
              </w:rPr>
            </w:pPr>
            <w:r>
              <w:rPr>
                <w:rFonts w:ascii="Arial" w:cs="Arial" w:eastAsia="Arial" w:hAnsi="Arial"/>
                <w:sz w:val="18"/>
                <w:szCs w:val="18"/>
                <w:color w:val="auto"/>
              </w:rPr>
              <w:t>Long-term rate of return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6.8 %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7.3 %</w:t>
            </w:r>
          </w:p>
        </w:tc>
        <w:tc>
          <w:tcPr>
            <w:tcW w:w="4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20" w:type="dxa"/>
            <w:vAlign w:val="bottom"/>
            <w:gridSpan w:val="5"/>
          </w:tcPr>
          <w:p>
            <w:pPr>
              <w:ind w:left="40"/>
              <w:spacing w:after="0"/>
              <w:rPr>
                <w:sz w:val="20"/>
                <w:szCs w:val="20"/>
                <w:color w:val="auto"/>
              </w:rPr>
            </w:pPr>
            <w:r>
              <w:rPr>
                <w:rFonts w:ascii="Arial" w:cs="Arial" w:eastAsia="Arial" w:hAnsi="Arial"/>
                <w:sz w:val="18"/>
                <w:szCs w:val="18"/>
                <w:color w:val="auto"/>
              </w:rPr>
              <w:t>Non-U.S. Plans</w:t>
            </w:r>
          </w:p>
        </w:tc>
        <w:tc>
          <w:tcPr>
            <w:tcW w:w="1600" w:type="dxa"/>
            <w:vAlign w:val="bottom"/>
            <w:gridSpan w:val="2"/>
          </w:tcPr>
          <w:p>
            <w:pPr>
              <w:jc w:val="right"/>
              <w:ind w:right="49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2"/>
          </w:tcPr>
          <w:p>
            <w:pPr>
              <w:jc w:val="right"/>
              <w:ind w:right="49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gridSpan w:val="2"/>
          </w:tcPr>
          <w:p>
            <w:pPr>
              <w:jc w:val="right"/>
              <w:ind w:right="49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Discount rate - service cost</w:t>
            </w:r>
          </w:p>
        </w:tc>
        <w:tc>
          <w:tcPr>
            <w:tcW w:w="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gridSpan w:val="5"/>
          </w:tcPr>
          <w:p>
            <w:pPr>
              <w:ind w:left="40"/>
              <w:spacing w:after="0"/>
              <w:rPr>
                <w:sz w:val="20"/>
                <w:szCs w:val="20"/>
                <w:color w:val="auto"/>
              </w:rPr>
            </w:pPr>
            <w:r>
              <w:rPr>
                <w:rFonts w:ascii="Arial" w:cs="Arial" w:eastAsia="Arial" w:hAnsi="Arial"/>
                <w:sz w:val="18"/>
                <w:szCs w:val="18"/>
                <w:color w:val="auto"/>
              </w:rPr>
              <w:t>Discount rate - interest cost</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1.8 %</w:t>
            </w:r>
          </w:p>
        </w:tc>
        <w:tc>
          <w:tcPr>
            <w:tcW w:w="60" w:type="dxa"/>
            <w:vAlign w:val="bottom"/>
          </w:tcPr>
          <w:p>
            <w:pPr>
              <w:spacing w:after="0"/>
              <w:rPr>
                <w:sz w:val="19"/>
                <w:szCs w:val="19"/>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1.9 %</w:t>
            </w:r>
          </w:p>
        </w:tc>
        <w:tc>
          <w:tcPr>
            <w:tcW w:w="6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Compensation increase</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2.5 %</w:t>
            </w:r>
          </w:p>
        </w:tc>
        <w:tc>
          <w:tcPr>
            <w:tcW w:w="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3.0 %</w:t>
            </w:r>
          </w:p>
        </w:tc>
        <w:tc>
          <w:tcPr>
            <w:tcW w:w="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20" w:type="dxa"/>
            <w:vAlign w:val="bottom"/>
            <w:gridSpan w:val="5"/>
          </w:tcPr>
          <w:p>
            <w:pPr>
              <w:ind w:left="40"/>
              <w:spacing w:after="0"/>
              <w:rPr>
                <w:sz w:val="20"/>
                <w:szCs w:val="20"/>
                <w:color w:val="auto"/>
              </w:rPr>
            </w:pPr>
            <w:r>
              <w:rPr>
                <w:rFonts w:ascii="Arial" w:cs="Arial" w:eastAsia="Arial" w:hAnsi="Arial"/>
                <w:sz w:val="18"/>
                <w:szCs w:val="18"/>
                <w:color w:val="auto"/>
              </w:rPr>
              <w:t>Long-term rate of return</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3.3 %</w:t>
            </w:r>
          </w:p>
        </w:tc>
        <w:tc>
          <w:tcPr>
            <w:tcW w:w="60" w:type="dxa"/>
            <w:vAlign w:val="bottom"/>
          </w:tcPr>
          <w:p>
            <w:pPr>
              <w:spacing w:after="0"/>
              <w:rPr>
                <w:sz w:val="20"/>
                <w:szCs w:val="20"/>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3.3 %</w:t>
            </w:r>
          </w:p>
        </w:tc>
        <w:tc>
          <w:tcPr>
            <w:tcW w:w="6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4.3 %</w:t>
            </w:r>
          </w:p>
        </w:tc>
      </w:tr>
    </w:tbl>
    <w:p>
      <w:pPr>
        <w:spacing w:after="0" w:line="32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expected long-term rate of return on plan assets is determined by taking into consideration expected long-term returns associated with each major asset class based on long-term historical ranges, inflation assumptions and the expected net value from active management of the assets based on actual results.</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Postretirement Benefit Plans. </w:t>
      </w:r>
      <w:r>
        <w:rPr>
          <w:rFonts w:ascii="Arial" w:cs="Arial" w:eastAsia="Arial" w:hAnsi="Arial"/>
          <w:sz w:val="18"/>
          <w:szCs w:val="18"/>
          <w:color w:val="auto"/>
        </w:rPr>
        <w:t>The Company sponsors unfunded plans to provide health care and life insurance benefits to certain retirees and</w:t>
      </w:r>
      <w:r>
        <w:rPr>
          <w:rFonts w:ascii="Arial" w:cs="Arial" w:eastAsia="Arial" w:hAnsi="Arial"/>
          <w:sz w:val="18"/>
          <w:szCs w:val="18"/>
          <w:b w:val="1"/>
          <w:bCs w:val="1"/>
          <w:color w:val="auto"/>
        </w:rPr>
        <w:t xml:space="preserve"> </w:t>
      </w:r>
      <w:r>
        <w:rPr>
          <w:rFonts w:ascii="Arial" w:cs="Arial" w:eastAsia="Arial" w:hAnsi="Arial"/>
          <w:sz w:val="18"/>
          <w:szCs w:val="18"/>
          <w:color w:val="auto"/>
        </w:rPr>
        <w:t>survivors. Generally, the medical plans pay a stated percentage of medical expenses reduced by deductibles and other coverages. Life insurance benefits are generally provided by insurance contracts. The Company reserves the right, subject to existing agreements, to change, modify or discontinue the plans. A measurement date of December 31 was used for the plans presented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gridSpan w:val="3"/>
          </w:tcPr>
          <w:p>
            <w:pPr>
              <w:spacing w:after="0"/>
              <w:rPr>
                <w:sz w:val="20"/>
                <w:szCs w:val="20"/>
                <w:color w:val="auto"/>
              </w:rPr>
            </w:pPr>
            <w:r>
              <w:rPr>
                <w:rFonts w:ascii="Arial" w:cs="Arial" w:eastAsia="Arial" w:hAnsi="Arial"/>
                <w:sz w:val="18"/>
                <w:szCs w:val="18"/>
                <w:color w:val="auto"/>
              </w:rPr>
              <w:t>The components of net postretirement benefits cost were as follows: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Other Postretirement Benefits</w:t>
            </w:r>
          </w:p>
        </w:tc>
        <w:tc>
          <w:tcPr>
            <w:tcW w:w="22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2021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2020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Amortization of actuarial loss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benefit credit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Changes in the benefit obligations were:</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w w:val="94"/>
              </w:rPr>
              <w:t>2020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obligations at January 1</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Actuarial (gain) / loss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obligations at December 31</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gridSpan w:val="10"/>
            <w:vMerge w:val="restart"/>
          </w:tcPr>
          <w:p>
            <w:pPr>
              <w:spacing w:after="0"/>
              <w:rPr>
                <w:sz w:val="20"/>
                <w:szCs w:val="20"/>
                <w:color w:val="auto"/>
              </w:rPr>
            </w:pPr>
            <w:r>
              <w:rPr>
                <w:rFonts w:ascii="Arial" w:cs="Arial" w:eastAsia="Arial" w:hAnsi="Arial"/>
                <w:sz w:val="18"/>
                <w:szCs w:val="18"/>
                <w:color w:val="auto"/>
                <w:w w:val="94"/>
              </w:rPr>
              <w:t>Changes in the net loss and prior service credit for the Company’s postretirement benefit plans were:</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600" w:type="dxa"/>
            <w:vAlign w:val="bottom"/>
            <w:gridSpan w:val="10"/>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2021</w:t>
            </w:r>
          </w:p>
        </w:tc>
        <w:tc>
          <w:tcPr>
            <w:tcW w:w="9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2020</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9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60"/>
              <w:spacing w:after="0" w:line="169" w:lineRule="exact"/>
              <w:rPr>
                <w:sz w:val="20"/>
                <w:szCs w:val="20"/>
                <w:color w:val="auto"/>
              </w:rPr>
            </w:pPr>
            <w:r>
              <w:rPr>
                <w:rFonts w:ascii="Arial" w:cs="Arial" w:eastAsia="Arial" w:hAnsi="Arial"/>
                <w:sz w:val="18"/>
                <w:szCs w:val="18"/>
                <w:color w:val="auto"/>
              </w:rPr>
              <w:t>Net</w:t>
            </w:r>
          </w:p>
        </w:tc>
        <w:tc>
          <w:tcPr>
            <w:tcW w:w="220" w:type="dxa"/>
            <w:vAlign w:val="bottom"/>
          </w:tcPr>
          <w:p>
            <w:pPr>
              <w:spacing w:after="0"/>
              <w:rPr>
                <w:sz w:val="14"/>
                <w:szCs w:val="14"/>
                <w:color w:val="auto"/>
              </w:rPr>
            </w:pPr>
          </w:p>
        </w:tc>
        <w:tc>
          <w:tcPr>
            <w:tcW w:w="900" w:type="dxa"/>
            <w:vAlign w:val="bottom"/>
          </w:tcPr>
          <w:p>
            <w:pPr>
              <w:jc w:val="right"/>
              <w:ind w:right="310"/>
              <w:spacing w:after="0" w:line="169" w:lineRule="exact"/>
              <w:rPr>
                <w:sz w:val="20"/>
                <w:szCs w:val="20"/>
                <w:color w:val="auto"/>
              </w:rPr>
            </w:pPr>
            <w:r>
              <w:rPr>
                <w:rFonts w:ascii="Arial" w:cs="Arial" w:eastAsia="Arial" w:hAnsi="Arial"/>
                <w:sz w:val="18"/>
                <w:szCs w:val="18"/>
                <w:color w:val="auto"/>
              </w:rPr>
              <w:t>Prior</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ind w:left="160"/>
              <w:spacing w:after="0" w:line="169" w:lineRule="exact"/>
              <w:rPr>
                <w:sz w:val="20"/>
                <w:szCs w:val="20"/>
                <w:color w:val="auto"/>
              </w:rPr>
            </w:pPr>
            <w:r>
              <w:rPr>
                <w:rFonts w:ascii="Arial" w:cs="Arial" w:eastAsia="Arial" w:hAnsi="Arial"/>
                <w:sz w:val="18"/>
                <w:szCs w:val="18"/>
                <w:color w:val="auto"/>
              </w:rPr>
              <w:t>Net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94"/>
              </w:rPr>
              <w:t>Prior</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gridSpan w:val="3"/>
          </w:tcPr>
          <w:p>
            <w:pPr>
              <w:jc w:val="right"/>
              <w:ind w:right="10"/>
              <w:spacing w:after="0" w:line="169" w:lineRule="exact"/>
              <w:rPr>
                <w:sz w:val="20"/>
                <w:szCs w:val="20"/>
                <w:color w:val="auto"/>
              </w:rPr>
            </w:pPr>
            <w:r>
              <w:rPr>
                <w:rFonts w:ascii="Arial" w:cs="Arial" w:eastAsia="Arial" w:hAnsi="Arial"/>
                <w:sz w:val="18"/>
                <w:szCs w:val="18"/>
                <w:color w:val="auto"/>
                <w:w w:val="85"/>
              </w:rPr>
              <w:t>Net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290"/>
              <w:spacing w:after="0" w:line="169" w:lineRule="exact"/>
              <w:rPr>
                <w:sz w:val="20"/>
                <w:szCs w:val="20"/>
                <w:color w:val="auto"/>
              </w:rPr>
            </w:pPr>
            <w:r>
              <w:rPr>
                <w:rFonts w:ascii="Arial" w:cs="Arial" w:eastAsia="Arial" w:hAnsi="Arial"/>
                <w:sz w:val="18"/>
                <w:szCs w:val="18"/>
                <w:color w:val="auto"/>
              </w:rPr>
              <w:t>Prior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loss</w:t>
            </w:r>
          </w:p>
        </w:tc>
        <w:tc>
          <w:tcPr>
            <w:tcW w:w="22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service</w:t>
            </w:r>
          </w:p>
        </w:tc>
        <w:tc>
          <w:tcPr>
            <w:tcW w:w="260" w:type="dxa"/>
            <w:vAlign w:val="bottom"/>
          </w:tcPr>
          <w:p>
            <w:pPr>
              <w:spacing w:after="0"/>
              <w:rPr>
                <w:sz w:val="19"/>
                <w:szCs w:val="19"/>
                <w:color w:val="auto"/>
              </w:rPr>
            </w:pPr>
          </w:p>
        </w:tc>
        <w:tc>
          <w:tcPr>
            <w:tcW w:w="860" w:type="dxa"/>
            <w:vAlign w:val="bottom"/>
            <w:gridSpan w:val="2"/>
          </w:tcPr>
          <w:p>
            <w:pPr>
              <w:ind w:left="160"/>
              <w:spacing w:after="0"/>
              <w:rPr>
                <w:sz w:val="20"/>
                <w:szCs w:val="20"/>
                <w:color w:val="auto"/>
              </w:rPr>
            </w:pPr>
            <w:r>
              <w:rPr>
                <w:rFonts w:ascii="Arial" w:cs="Arial" w:eastAsia="Arial" w:hAnsi="Arial"/>
                <w:sz w:val="18"/>
                <w:szCs w:val="18"/>
                <w:color w:val="auto"/>
              </w:rPr>
              <w:t>loss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service</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loss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service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3"/>
              </w:rPr>
              <w:t>(72)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Reclassification to net periodic benefit cost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center"/>
              <w:ind w:left="490"/>
              <w:spacing w:after="0"/>
              <w:rPr>
                <w:sz w:val="20"/>
                <w:szCs w:val="20"/>
                <w:color w:val="auto"/>
              </w:rPr>
            </w:pPr>
            <w:r>
              <w:rPr>
                <w:rFonts w:ascii="Arial" w:cs="Arial" w:eastAsia="Arial" w:hAnsi="Arial"/>
                <w:sz w:val="18"/>
                <w:szCs w:val="18"/>
                <w:color w:val="auto"/>
                <w:w w:val="89"/>
              </w:rPr>
              <w:t>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year (gain) / loss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Amendments</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left="37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3"/>
              </w:rPr>
              <w:t>(46)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Expected future benefit payments are as follows: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gridSpan w:val="5"/>
          </w:tcPr>
          <w:p>
            <w:pPr>
              <w:jc w:val="right"/>
              <w:ind w:right="460"/>
              <w:spacing w:after="0"/>
              <w:rPr>
                <w:sz w:val="20"/>
                <w:szCs w:val="20"/>
                <w:color w:val="auto"/>
              </w:rPr>
            </w:pPr>
            <w:r>
              <w:rPr>
                <w:rFonts w:ascii="Arial" w:cs="Arial" w:eastAsia="Arial" w:hAnsi="Arial"/>
                <w:sz w:val="18"/>
                <w:szCs w:val="18"/>
                <w:color w:val="auto"/>
              </w:rPr>
              <w:t>Benefit Payments</w:t>
            </w: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2027 - 2031</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6480" w:type="dxa"/>
            <w:vAlign w:val="bottom"/>
            <w:gridSpan w:val="7"/>
          </w:tcPr>
          <w:p>
            <w:pPr>
              <w:spacing w:after="0"/>
              <w:rPr>
                <w:sz w:val="20"/>
                <w:szCs w:val="20"/>
                <w:color w:val="auto"/>
              </w:rPr>
            </w:pPr>
            <w:r>
              <w:rPr>
                <w:rFonts w:ascii="Arial" w:cs="Arial" w:eastAsia="Arial" w:hAnsi="Arial"/>
                <w:sz w:val="18"/>
                <w:szCs w:val="18"/>
                <w:color w:val="auto"/>
                <w:w w:val="99"/>
              </w:rPr>
              <w:t>The assumed health care cost trend rates at December 31, 2021 were as follows: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cost trend rate assumed for 2021</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Rate that the cost trend rate gradually declines to</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Year that the rate reaches the rate it is assumed to remain</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discount rates used to calculate the benefit obligations at the end of each year and the cost for each year are presented below:</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980" w:type="dxa"/>
            <w:vAlign w:val="bottom"/>
            <w:gridSpan w:val="2"/>
          </w:tcPr>
          <w:p>
            <w:pPr>
              <w:jc w:val="right"/>
              <w:ind w:right="60"/>
              <w:spacing w:after="0"/>
              <w:rPr>
                <w:sz w:val="20"/>
                <w:szCs w:val="20"/>
                <w:color w:val="auto"/>
              </w:rPr>
            </w:pPr>
            <w:r>
              <w:rPr>
                <w:rFonts w:ascii="Arial" w:cs="Arial" w:eastAsia="Arial" w:hAnsi="Arial"/>
                <w:sz w:val="18"/>
                <w:szCs w:val="18"/>
                <w:color w:val="auto"/>
              </w:rPr>
              <w:t>2021</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2019</w:t>
            </w:r>
          </w:p>
        </w:tc>
      </w:tr>
      <w:tr>
        <w:trPr>
          <w:trHeight w:val="223"/>
        </w:trPr>
        <w:tc>
          <w:tcPr>
            <w:tcW w:w="6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obligations</w:t>
            </w:r>
          </w:p>
        </w:tc>
        <w:tc>
          <w:tcPr>
            <w:tcW w:w="9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3.4 %</w:t>
            </w:r>
          </w:p>
        </w:tc>
        <w:tc>
          <w:tcPr>
            <w:tcW w:w="4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2.8 %</w:t>
            </w:r>
          </w:p>
        </w:tc>
        <w:tc>
          <w:tcPr>
            <w:tcW w:w="4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480" w:type="dxa"/>
            <w:vAlign w:val="bottom"/>
          </w:tcPr>
          <w:p>
            <w:pPr>
              <w:jc w:val="right"/>
              <w:spacing w:after="0"/>
              <w:rPr>
                <w:sz w:val="20"/>
                <w:szCs w:val="20"/>
                <w:color w:val="auto"/>
              </w:rPr>
            </w:pPr>
            <w:r>
              <w:rPr>
                <w:rFonts w:ascii="Arial" w:cs="Arial" w:eastAsia="Arial" w:hAnsi="Arial"/>
                <w:sz w:val="18"/>
                <w:szCs w:val="18"/>
                <w:color w:val="auto"/>
                <w:w w:val="95"/>
              </w:rPr>
              <w:t>5.9 %</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4.1 %</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6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3.6 %</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3.3 %</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bl>
    <w:p>
      <w:pPr>
        <w:spacing w:after="0" w:line="31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Defined Contribution Benefit Plans. </w:t>
      </w:r>
      <w:r>
        <w:rPr>
          <w:rFonts w:ascii="Arial" w:cs="Arial" w:eastAsia="Arial" w:hAnsi="Arial"/>
          <w:sz w:val="18"/>
          <w:szCs w:val="18"/>
          <w:color w:val="auto"/>
        </w:rPr>
        <w:t>The Company also sponsors defined contribution benefit plans in certain jurisdictions including the U.S.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U.K. The Company recognized expense of $12, $13, and $11 in 2021, 2020 and 2019 related to these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Arial" w:cs="Arial" w:eastAsia="Arial" w:hAnsi="Arial"/>
                <w:sz w:val="18"/>
                <w:szCs w:val="18"/>
                <w:b w:val="1"/>
                <w:bCs w:val="1"/>
                <w:color w:val="auto"/>
              </w:rPr>
              <w:t>S.  Income Taxes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20" w:type="dxa"/>
            <w:vAlign w:val="bottom"/>
          </w:tcPr>
          <w:p>
            <w:pPr>
              <w:spacing w:after="0"/>
              <w:rPr>
                <w:sz w:val="20"/>
                <w:szCs w:val="20"/>
                <w:color w:val="auto"/>
              </w:rPr>
            </w:pPr>
            <w:r>
              <w:rPr>
                <w:rFonts w:ascii="Arial" w:cs="Arial" w:eastAsia="Arial" w:hAnsi="Arial"/>
                <w:sz w:val="18"/>
                <w:szCs w:val="18"/>
                <w:color w:val="auto"/>
              </w:rPr>
              <w:t>The components of income before income taxes were as follows: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provision for income taxes consisted of the following: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U.S. federal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foreign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U.S. federal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foreign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4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The provision for income taxes differs from the amount of income tax determined by applying the U.S. statutory federal income tax rate to pre-tax income as a result of the following items: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statutory rate at 21%</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Tax on foreign income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changes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State taxes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taxes on foreign income, net of credits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Tax contingencies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law changes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 net</w:t>
            </w: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 (benefit)</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benefits from certain incentives in Brazil which allow it to pay reduced income taxes. The incentives expire at various dates beginning in December 2025. These incentives increased net income attributable to the Company by $21 in 2021 and $17 in both 2020 and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taxes of $253, $189 and $173 in 2021, 2020 and 2019.</w:t>
      </w:r>
    </w:p>
    <w:p>
      <w:pPr>
        <w:spacing w:after="0" w:line="239" w:lineRule="exact"/>
        <w:rPr>
          <w:sz w:val="20"/>
          <w:szCs w:val="20"/>
          <w:color w:val="auto"/>
        </w:rPr>
      </w:pPr>
    </w:p>
    <w:p>
      <w:pPr>
        <w:jc w:val="both"/>
        <w:spacing w:after="0" w:line="266" w:lineRule="auto"/>
        <w:rPr>
          <w:rFonts w:ascii="Arial" w:cs="Arial" w:eastAsia="Arial" w:hAnsi="Arial"/>
          <w:sz w:val="16"/>
          <w:szCs w:val="16"/>
          <w:color w:val="auto"/>
        </w:rPr>
      </w:pPr>
      <w:r>
        <w:rPr>
          <w:rFonts w:ascii="Arial" w:cs="Arial" w:eastAsia="Arial" w:hAnsi="Arial"/>
          <w:sz w:val="16"/>
          <w:szCs w:val="16"/>
          <w:color w:val="auto"/>
        </w:rPr>
        <w:t xml:space="preserve">In 2021, tax on foreign income includes income tax charges of $42 in continuing operations for reorganizations and other transactions required to prepare the European Tinplate business for sale. Additionally, the Company recorded an income tax charge of $44 to establish a valuation allowance for deferred tax assets related to tax loss carryforwards in France. The Company believes that it is more likely than not that these tax loss carryforwards will not be utilized after the sale of the European Tinplate business. See </w:t>
      </w:r>
      <w:hyperlink w:anchor="page54">
        <w:r>
          <w:rPr>
            <w:rFonts w:ascii="Arial" w:cs="Arial" w:eastAsia="Arial" w:hAnsi="Arial"/>
            <w:sz w:val="16"/>
            <w:szCs w:val="16"/>
            <w:u w:val="single" w:color="auto"/>
            <w:color w:val="0000FF"/>
          </w:rPr>
          <w:t>Note B</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more information regarding the sale of the European Tinplate business.</w:t>
      </w:r>
    </w:p>
    <w:p>
      <w:pPr>
        <w:spacing w:after="0" w:line="183"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In 2021, the Company also recorded a tax benefit of $18 related to a deferred tax valuation allowance release resulting from improved profitability in a Transit Packaging corporate entity. Additionally, the Company also recorded income tax benefits related to tax law changes in India, Turkey and the U.K.</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2019, the Company recorded an income tax benefit of $36 related to a deferred tax valuation allowance release resulting from an internal reorganization in Transit Packaging. Additionally, the Company recorded a charge of $15 related to the settlement of a pre-acquisition tax contingency that arose from a transaction that occurred prior to its acquisition of Signode in 2018. The Company also recorded a benefit of $9 arising from tax law changes in India.</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2021, the Company had not provided deferred taxes on approximately $1,500 of earnings in certain non-U.S. subsidiaries because such earnings are indefinitely reinvested in its international operations. Upon distribution of such earnings in the form of dividends or otherwise, the Company may be subject to incremental foreign tax. It is not practicable to estimate the amount of foreign tax that might be payable.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The components of deferred taxes at December 31 were:</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89"/>
              </w:rPr>
              <w:t>2020</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Assets</w:t>
            </w: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Assets</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carryforwards</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Pensions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105</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w:t>
            </w:r>
          </w:p>
        </w:tc>
        <w:tc>
          <w:tcPr>
            <w:tcW w:w="5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Accruals and other</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Asbestos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Postretirement and postemployment benefits</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Lease liabilities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Valuation allowances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5"/>
              </w:rPr>
              <w:t>(227)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Tax carryforwards expire as follows:</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7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78"/>
              </w:rPr>
              <w:t>Year</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4"/>
          </w:tcPr>
          <w:p>
            <w:pPr>
              <w:ind w:left="80"/>
              <w:spacing w:after="0"/>
              <w:rPr>
                <w:sz w:val="20"/>
                <w:szCs w:val="20"/>
                <w:color w:val="auto"/>
              </w:rPr>
            </w:pPr>
            <w:r>
              <w:rPr>
                <w:rFonts w:ascii="Arial" w:cs="Arial" w:eastAsia="Arial" w:hAnsi="Arial"/>
                <w:sz w:val="18"/>
                <w:szCs w:val="18"/>
                <w:color w:val="auto"/>
              </w:rPr>
              <w:t>Amount</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2026</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Unlimited</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 carryforwards expiring after 2026 include $110 of U.S. state tax loss carryforwards. The unlimited category includes $33 of Luxembourg tax loss carryforwards and $62 of French tax loss carryforwards.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Realization of any portion of the Company’s deferred tax assets is dependent upon the availability of taxable income in the relevant jurisdictions. The Company considers all sources of taxable income, including (i) taxable income in any available carryback period, (ii) the reversal of taxable temporary differences, (iii) tax-planning strategies, and (iv) taxable income expected to be generated in the future other than from reversing temporary differences. The Company also considers whether there have been cumulative losses in recent years. The Company records a valuation allowance when it is more likely than not that some portion or all of the deferred tax assets will not be realized.</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valuation allowances at December 31, 2021 include $167 primarily related to the portion of U.S. state tax loss carryforwards that the Company does not believe are more likely than not to be utilized prior to their expiration. The Company’s ability to utilize state tax loss carryforwards is impacted by several factors including taxable income, expiration dates, limitations imposed by certain states on the amount of loss carryforwards that can be used in a given year to offset taxable income and whether the state permits the Company to file a combined return.</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Management’s estimate of the appropriate valuation allowance in any jurisdiction involves a number of assumptions and judgments, including the amount and timing of future taxable income. Should future results differ from management’s estimates, it is possible there could be future adjustments to the valuation allowances that would result in an increase or decrease in tax expense in the period such changes in estimates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7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Crown Holdings, Inc.</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769"/>
        </w:trPr>
        <w:tc>
          <w:tcPr>
            <w:tcW w:w="4340" w:type="dxa"/>
            <w:vAlign w:val="bottom"/>
          </w:tcPr>
          <w:p>
            <w:pPr>
              <w:spacing w:after="0"/>
              <w:rPr>
                <w:sz w:val="20"/>
                <w:szCs w:val="20"/>
                <w:color w:val="auto"/>
              </w:rPr>
            </w:pPr>
            <w:r>
              <w:rPr>
                <w:rFonts w:ascii="Arial" w:cs="Arial" w:eastAsia="Arial" w:hAnsi="Arial"/>
                <w:sz w:val="18"/>
                <w:szCs w:val="18"/>
                <w:color w:val="auto"/>
              </w:rPr>
              <w:t>A reconciliation of unrecognized tax benefits follows:</w:t>
            </w: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7"/>
        </w:trPr>
        <w:tc>
          <w:tcPr>
            <w:tcW w:w="4340" w:type="dxa"/>
            <w:vAlign w:val="bottom"/>
          </w:tcPr>
          <w:p>
            <w:pPr>
              <w:spacing w:after="0"/>
              <w:rPr>
                <w:sz w:val="22"/>
                <w:szCs w:val="22"/>
                <w:color w:val="auto"/>
              </w:rPr>
            </w:pPr>
          </w:p>
        </w:tc>
        <w:tc>
          <w:tcPr>
            <w:tcW w:w="2720" w:type="dxa"/>
            <w:vAlign w:val="bottom"/>
            <w:gridSpan w:val="2"/>
          </w:tcPr>
          <w:p>
            <w:pPr>
              <w:jc w:val="right"/>
              <w:ind w:right="5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6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Additions for prior year tax positions</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of statute of limitations</w:t>
            </w:r>
          </w:p>
        </w:tc>
        <w:tc>
          <w:tcPr>
            <w:tcW w:w="1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6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168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1"/>
        </w:trPr>
        <w:tc>
          <w:tcPr>
            <w:tcW w:w="4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unrecognized tax benefits include potential liabilities related to transfer pricing, foreign withholding taxes, and non-deductibility of expenses and exclude $2 of interest and penalties as of December 31, 2021.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interest and penalties recorded in income tax expense was less than $1 in 2021, 2020 and 2019. As of December 31, 2021, unrecognized tax benefits of $48, if recognized, would affect the Company's effective tax rate.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unrecognized tax benefits are not expected to increase over the next twelve months and are expected to decrease as open tax years lapse or claims are settled. The Company is unable to estimate a range of reasonably possible changes in its unrecognized tax benefits in the next twelve months as it is unable to predict when, or if, the tax authorities will commence their audits, the time needed for the audits, and the audit findings that will require settlement with the applicable tax authorities, if any.</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tax years that remained subject to examination by major tax jurisdictions as of December 31, 2021 were, 2010 and subsequent years for Germany; 2013 and subsequent years for India; 2015 and subsequent years for Spain; 2016 and subsequent years for France, Italy, Mexico and the U.K.; 2017 and subsequent for Brazil and 2018 and subsequent years for Canada and the U.S. The U.S. also remains subject to exam for 2017, specifically as it relates to the transition tax incurred related to the 2017 Tax Act. In addition, tax authorities in certain jurisdictions, including France, Belgium and the U.S., may examine earlier years when tax carryforwards that were generated in those years are subsequently utilized.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r>
              <w:rPr>
                <w:rFonts w:ascii="Arial" w:cs="Arial" w:eastAsia="Arial" w:hAnsi="Arial"/>
                <w:sz w:val="18"/>
                <w:szCs w:val="18"/>
                <w:b w:val="1"/>
                <w:bCs w:val="1"/>
                <w:color w:val="auto"/>
              </w:rPr>
              <w:t>T.  Capital Stock</w:t>
            </w: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7880" w:type="dxa"/>
            <w:vAlign w:val="bottom"/>
            <w:gridSpan w:val="3"/>
          </w:tcPr>
          <w:p>
            <w:pPr>
              <w:spacing w:after="0"/>
              <w:rPr>
                <w:sz w:val="20"/>
                <w:szCs w:val="20"/>
                <w:color w:val="auto"/>
              </w:rPr>
            </w:pPr>
            <w:r>
              <w:rPr>
                <w:rFonts w:ascii="Arial" w:cs="Arial" w:eastAsia="Arial" w:hAnsi="Arial"/>
                <w:sz w:val="18"/>
                <w:szCs w:val="18"/>
                <w:color w:val="auto"/>
              </w:rPr>
              <w:t>A summary of common share activity for the years ended December 31 follows (in shares):</w:t>
            </w: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6"/>
        </w:trPr>
        <w:tc>
          <w:tcPr>
            <w:tcW w:w="6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outstanding at January 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134,801,030</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135,577,878</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135,173,948</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Shares repurchased</w:t>
            </w:r>
          </w:p>
        </w:tc>
        <w:tc>
          <w:tcPr>
            <w:tcW w:w="1340" w:type="dxa"/>
            <w:vAlign w:val="bottom"/>
          </w:tcPr>
          <w:p>
            <w:pPr>
              <w:jc w:val="right"/>
              <w:spacing w:after="0"/>
              <w:rPr>
                <w:sz w:val="20"/>
                <w:szCs w:val="20"/>
                <w:color w:val="auto"/>
              </w:rPr>
            </w:pPr>
            <w:r>
              <w:rPr>
                <w:rFonts w:ascii="Arial" w:cs="Arial" w:eastAsia="Arial" w:hAnsi="Arial"/>
                <w:sz w:val="18"/>
                <w:szCs w:val="18"/>
                <w:color w:val="auto"/>
              </w:rPr>
              <w:t>(9,121,328)</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(1,240,328)</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(106,388)</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upon exercise of employee stock options</w:t>
            </w:r>
          </w:p>
        </w:tc>
        <w:tc>
          <w:tcPr>
            <w:tcW w:w="1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Restricted stock issued to employees, net of forfeitures</w:t>
            </w:r>
          </w:p>
        </w:tc>
        <w:tc>
          <w:tcPr>
            <w:tcW w:w="1340" w:type="dxa"/>
            <w:vAlign w:val="bottom"/>
          </w:tcPr>
          <w:p>
            <w:pPr>
              <w:jc w:val="right"/>
              <w:spacing w:after="0"/>
              <w:rPr>
                <w:sz w:val="20"/>
                <w:szCs w:val="20"/>
                <w:color w:val="auto"/>
              </w:rPr>
            </w:pPr>
            <w:r>
              <w:rPr>
                <w:rFonts w:ascii="Arial" w:cs="Arial" w:eastAsia="Arial" w:hAnsi="Arial"/>
                <w:sz w:val="18"/>
                <w:szCs w:val="18"/>
                <w:color w:val="auto"/>
              </w:rPr>
              <w:t>435,129</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439,700</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416,695</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to non-employee directors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16,968</w:t>
            </w:r>
          </w:p>
        </w:tc>
        <w:tc>
          <w:tcPr>
            <w:tcW w:w="4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23,780</w:t>
            </w:r>
          </w:p>
        </w:tc>
        <w:tc>
          <w:tcPr>
            <w:tcW w:w="4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23,623</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Common shares outstanding at December 31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126,131,799</w:t>
            </w:r>
          </w:p>
        </w:tc>
        <w:tc>
          <w:tcPr>
            <w:tcW w:w="4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134,801,030</w:t>
            </w:r>
          </w:p>
        </w:tc>
        <w:tc>
          <w:tcPr>
            <w:tcW w:w="4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135,577,878</w:t>
            </w:r>
          </w:p>
        </w:tc>
      </w:tr>
      <w:tr>
        <w:trPr>
          <w:trHeight w:val="20"/>
        </w:trPr>
        <w:tc>
          <w:tcPr>
            <w:tcW w:w="6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declared and paid dividends of $0.80 per share in 2021. Additionally, on February 24, 2022, the Company's Board of Directors declared a dividend of $0.22 per share payable on March 24, 2022 to shareholders of record as of March 10, 2022.</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9, 2021, the Company's Board of Directors authorized the repurchase of an aggregate amount of $3,000 of Company common stock through the end of 2024. The new authorization supersedes the previous authorization announced in February 2021, which authorized the repurchase of an aggregate amount of $1,500 of Company common stock through the end of 2023.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The Company repurchased $950 of its shares during 2021.</w:t>
      </w:r>
    </w:p>
    <w:p>
      <w:pPr>
        <w:spacing w:after="0" w:line="21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is not obligated to acquire any shares of its common stock and the share repurchase program may be suspended or terminated at any time at the Company's discretion. Share repurchases are subject to the terms of the Company's debt agreements, market conditions and other factors.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Board of Directors has the authority to issue, at any time or from time to time, up to 30 million shares of preferred stock and has authority to fix the designations, number and voting rights, preferences, privileges, limitations, restrictions, conversion rights and other special or relative rights, if any, of any class or series of any class of preferred stock that may be desired, provided the shares of any such class or series of preferred stock shall not be entitled to more than one vote per share when voting as a class with holders of the Company's common stock.</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Dividends are payable when declared by the Company's Board of Directors and in accordance with the restrictions set forth in the Company's debt agreements. While the Company's debt agreements impose restrictions on the Company's ability to pay dividends and repurchase common stock, the debt agreements generally permit dividends and common stock repurchases provided that the Company is in compliance with applicable financial and other covenants and meets certain liquidity requirements.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 Accumulated Other Comprehensive Loss Attributable to Crown Holdings</w:t>
      </w:r>
    </w:p>
    <w:p>
      <w:pPr>
        <w:spacing w:after="0" w:line="256" w:lineRule="exact"/>
        <w:rPr>
          <w:sz w:val="20"/>
          <w:szCs w:val="20"/>
          <w:color w:val="auto"/>
        </w:rPr>
      </w:pPr>
    </w:p>
    <w:p>
      <w:pPr>
        <w:ind w:right="320"/>
        <w:spacing w:after="0" w:line="273" w:lineRule="auto"/>
        <w:rPr>
          <w:sz w:val="20"/>
          <w:szCs w:val="20"/>
          <w:color w:val="auto"/>
        </w:rPr>
      </w:pPr>
      <w:r>
        <w:rPr>
          <w:rFonts w:ascii="Arial" w:cs="Arial" w:eastAsia="Arial" w:hAnsi="Arial"/>
          <w:sz w:val="18"/>
          <w:szCs w:val="18"/>
          <w:color w:val="auto"/>
        </w:rPr>
        <w:t>The following table provides information about the changes in each component of accumulated other comprehensive income/ (loss) for the years ended December 31, 2021 and 2020.</w:t>
      </w:r>
    </w:p>
    <w:tbl>
      <w:tblPr>
        <w:tblLayout w:type="fixed"/>
        <w:tblInd w:w="0" w:type="dxa"/>
        <w:tblCellMar>
          <w:top w:w="0" w:type="dxa"/>
          <w:left w:w="0" w:type="dxa"/>
          <w:bottom w:w="0" w:type="dxa"/>
          <w:right w:w="0" w:type="dxa"/>
        </w:tblCellMar>
      </w:tblPr>
      <w:tr>
        <w:trPr>
          <w:trHeight w:val="178"/>
        </w:trPr>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8"/>
                <w:szCs w:val="18"/>
                <w:color w:val="auto"/>
                <w:w w:val="93"/>
              </w:rPr>
              <w:t>Defined</w:t>
            </w:r>
          </w:p>
        </w:tc>
        <w:tc>
          <w:tcPr>
            <w:tcW w:w="140" w:type="dxa"/>
            <w:vAlign w:val="bottom"/>
          </w:tcPr>
          <w:p>
            <w:pPr>
              <w:spacing w:after="0"/>
              <w:rPr>
                <w:sz w:val="15"/>
                <w:szCs w:val="15"/>
                <w:color w:val="auto"/>
              </w:rPr>
            </w:pPr>
          </w:p>
        </w:tc>
        <w:tc>
          <w:tcPr>
            <w:tcW w:w="1180" w:type="dxa"/>
            <w:vAlign w:val="bottom"/>
            <w:gridSpan w:val="2"/>
          </w:tcPr>
          <w:p>
            <w:pPr>
              <w:jc w:val="center"/>
              <w:ind w:right="340"/>
              <w:spacing w:after="0" w:line="178" w:lineRule="exact"/>
              <w:rPr>
                <w:sz w:val="20"/>
                <w:szCs w:val="20"/>
                <w:color w:val="auto"/>
              </w:rPr>
            </w:pPr>
            <w:r>
              <w:rPr>
                <w:rFonts w:ascii="Arial" w:cs="Arial" w:eastAsia="Arial" w:hAnsi="Arial"/>
                <w:sz w:val="18"/>
                <w:szCs w:val="18"/>
                <w:color w:val="auto"/>
                <w:w w:val="91"/>
              </w:rPr>
              <w:t>Foreign</w:t>
            </w:r>
          </w:p>
        </w:tc>
        <w:tc>
          <w:tcPr>
            <w:tcW w:w="120" w:type="dxa"/>
            <w:vAlign w:val="bottom"/>
          </w:tcPr>
          <w:p>
            <w:pPr>
              <w:spacing w:after="0"/>
              <w:rPr>
                <w:sz w:val="15"/>
                <w:szCs w:val="15"/>
                <w:color w:val="auto"/>
              </w:rPr>
            </w:pPr>
          </w:p>
        </w:tc>
        <w:tc>
          <w:tcPr>
            <w:tcW w:w="1200" w:type="dxa"/>
            <w:vAlign w:val="bottom"/>
            <w:gridSpan w:val="2"/>
          </w:tcPr>
          <w:p>
            <w:pPr>
              <w:jc w:val="center"/>
              <w:ind w:right="320"/>
              <w:spacing w:after="0" w:line="178" w:lineRule="exact"/>
              <w:rPr>
                <w:sz w:val="20"/>
                <w:szCs w:val="20"/>
                <w:color w:val="auto"/>
              </w:rPr>
            </w:pPr>
            <w:r>
              <w:rPr>
                <w:rFonts w:ascii="Arial" w:cs="Arial" w:eastAsia="Arial" w:hAnsi="Arial"/>
                <w:sz w:val="18"/>
                <w:szCs w:val="18"/>
                <w:color w:val="auto"/>
                <w:w w:val="87"/>
              </w:rPr>
              <w:t>Gains and</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2"/>
              </w:rPr>
              <w:t>currency</w:t>
            </w:r>
          </w:p>
        </w:tc>
        <w:tc>
          <w:tcPr>
            <w:tcW w:w="1320" w:type="dxa"/>
            <w:vAlign w:val="bottom"/>
            <w:gridSpan w:val="3"/>
          </w:tcPr>
          <w:p>
            <w:pPr>
              <w:jc w:val="center"/>
              <w:ind w:right="180"/>
              <w:spacing w:after="0" w:line="176" w:lineRule="exact"/>
              <w:rPr>
                <w:sz w:val="20"/>
                <w:szCs w:val="20"/>
                <w:color w:val="auto"/>
              </w:rPr>
            </w:pPr>
            <w:r>
              <w:rPr>
                <w:rFonts w:ascii="Arial" w:cs="Arial" w:eastAsia="Arial" w:hAnsi="Arial"/>
                <w:sz w:val="18"/>
                <w:szCs w:val="18"/>
                <w:color w:val="auto"/>
                <w:w w:val="85"/>
              </w:rPr>
              <w:t>losses on cash</w:t>
            </w:r>
          </w:p>
        </w:tc>
        <w:tc>
          <w:tcPr>
            <w:tcW w:w="240" w:type="dxa"/>
            <w:vAlign w:val="bottom"/>
          </w:tcPr>
          <w:p>
            <w:pPr>
              <w:spacing w:after="0"/>
              <w:rPr>
                <w:sz w:val="15"/>
                <w:szCs w:val="15"/>
                <w:color w:val="auto"/>
              </w:rPr>
            </w:pPr>
          </w:p>
        </w:tc>
        <w:tc>
          <w:tcPr>
            <w:tcW w:w="860" w:type="dxa"/>
            <w:vAlign w:val="bottom"/>
            <w:vMerge w:val="restart"/>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6040" w:type="dxa"/>
            <w:vAlign w:val="bottom"/>
          </w:tcPr>
          <w:p>
            <w:pPr>
              <w:spacing w:after="0"/>
              <w:rPr>
                <w:sz w:val="19"/>
                <w:szCs w:val="19"/>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benefit plans</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translation</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flow hedges</w:t>
            </w: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Other comprehensive (loss) / income before reclassifications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 income</w:t>
            </w: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Other comprehensive (loss) / income before reclassifications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 (loss)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63">
        <w:r>
          <w:rPr>
            <w:rFonts w:ascii="Arial" w:cs="Arial" w:eastAsia="Arial" w:hAnsi="Arial"/>
            <w:sz w:val="18"/>
            <w:szCs w:val="18"/>
            <w:u w:val="single" w:color="auto"/>
            <w:color w:val="0000FF"/>
          </w:rPr>
          <w:t>Note 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71">
        <w:r>
          <w:rPr>
            <w:rFonts w:ascii="Arial" w:cs="Arial" w:eastAsia="Arial" w:hAnsi="Arial"/>
            <w:sz w:val="18"/>
            <w:szCs w:val="18"/>
            <w:u w:val="single" w:color="auto"/>
            <w:color w:val="0000FF"/>
          </w:rPr>
          <w:t>Note R</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of amounts reclassified from accumulated other comprehensive income related to cash flow hedges and defined benefit plans.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year-ended December 31, 2021, the Company reclassified foreign currency translation as a result of the sale of the European Tinplate business.</w:t>
      </w:r>
    </w:p>
    <w:p>
      <w:pPr>
        <w:spacing w:after="0" w:line="8"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54">
        <w:r>
          <w:rPr>
            <w:rFonts w:ascii="Arial" w:cs="Arial" w:eastAsia="Arial" w:hAnsi="Arial"/>
            <w:sz w:val="18"/>
            <w:szCs w:val="18"/>
            <w:u w:val="single" w:color="auto"/>
            <w:color w:val="0000FF"/>
          </w:rPr>
          <w:t>Note 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2021, 2020 and 2019, the Company recognized revenue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w:t>
            </w:r>
          </w:p>
        </w:tc>
      </w:tr>
      <w:tr>
        <w:trPr>
          <w:trHeight w:val="22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 at a point in time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11,394</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9,559</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84">
        <w:r>
          <w:rPr>
            <w:rFonts w:ascii="Arial" w:cs="Arial" w:eastAsia="Arial" w:hAnsi="Arial"/>
            <w:sz w:val="18"/>
            <w:szCs w:val="18"/>
            <w:u w:val="single" w:color="auto"/>
            <w:color w:val="0000FF"/>
          </w:rPr>
          <w:t>Note Y</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disaggregation of the Company's revenue.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applied the practical expedient to exclude disclosure of remaining performance obligations as its binding orders typically have a term of one year or less.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assets are typically recognized for work in process related to the Company's three-piece printed products and equipment business. Contract assets and liabilities are reported in a net position on a contract-by-contract basis. The Company had net contract assets of $23 and $20 as of December 31, 2021 and 2020 included in prepaid and other current assets. For the year ended December 31, 2021, the Company satisfied performance obligations related to contract assets at December 31,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jc w:val="center"/>
        <w:ind w:right="-9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related to the Company's equipment business and also recorded new contract assets primarily related to work in process for the equipment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 Stock-Based Compensation</w:t>
      </w:r>
    </w:p>
    <w:p>
      <w:pPr>
        <w:spacing w:after="0" w:line="256"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The Company’s shareholder-approved stock-based incentive compensation plans provide for the granting of awards in the form of stock options, deferred stock, restricted stock or stock appreciation rights (“SARs”). The awards may be subject to the achievement of certain performance goals as determined by the Compensation Committee designated by the Company’s Board of Directors. There have been no awards of SARs. At December 31, 2021, there were 2.2 million authorized shares available for future awards.</w:t>
      </w:r>
    </w:p>
    <w:p>
      <w:pPr>
        <w:spacing w:after="0" w:line="133"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Restricted and Deferred Stock</w:t>
      </w:r>
    </w:p>
    <w:p>
      <w:pPr>
        <w:spacing w:after="0" w:line="252" w:lineRule="exact"/>
        <w:rPr>
          <w:sz w:val="20"/>
          <w:szCs w:val="20"/>
          <w:color w:val="auto"/>
        </w:rPr>
      </w:pPr>
    </w:p>
    <w:p>
      <w:pPr>
        <w:jc w:val="both"/>
        <w:ind w:left="100"/>
        <w:spacing w:after="0" w:line="277" w:lineRule="auto"/>
        <w:rPr>
          <w:sz w:val="20"/>
          <w:szCs w:val="20"/>
          <w:color w:val="auto"/>
        </w:rPr>
      </w:pPr>
      <w:r>
        <w:rPr>
          <w:rFonts w:ascii="Arial" w:cs="Arial" w:eastAsia="Arial" w:hAnsi="Arial"/>
          <w:sz w:val="18"/>
          <w:szCs w:val="18"/>
          <w:color w:val="auto"/>
        </w:rPr>
        <w:t>Annually, the Company awards shares of restricted stock to certain senior executives in the form of time-vesting restricted stock and performance-based shares. The time-vesting restricted stock vests ratably over three years.</w:t>
      </w:r>
    </w:p>
    <w:p>
      <w:pPr>
        <w:spacing w:after="0" w:line="197"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The performance-based share awards are subject to either a market condition or a performance condition. For awards subject to a market condition, the metric is the Company’s Total Shareholder Return (“TSR”), which includes share price appreciation and dividends paid, during the three-year term of the award measured against the TSR of a peer group of companies. For awards subject to a performance condition, the metric is the Company's average return on invested capital over the three-year term.</w:t>
      </w:r>
    </w:p>
    <w:p>
      <w:pPr>
        <w:spacing w:after="0" w:line="214" w:lineRule="exact"/>
        <w:rPr>
          <w:sz w:val="20"/>
          <w:szCs w:val="20"/>
          <w:color w:val="auto"/>
        </w:rPr>
      </w:pPr>
    </w:p>
    <w:p>
      <w:pPr>
        <w:jc w:val="both"/>
        <w:ind w:left="100"/>
        <w:spacing w:after="0" w:line="279" w:lineRule="auto"/>
        <w:rPr>
          <w:sz w:val="20"/>
          <w:szCs w:val="20"/>
          <w:color w:val="auto"/>
        </w:rPr>
      </w:pPr>
      <w:r>
        <w:rPr>
          <w:rFonts w:ascii="Arial" w:cs="Arial" w:eastAsia="Arial" w:hAnsi="Arial"/>
          <w:sz w:val="17"/>
          <w:szCs w:val="17"/>
          <w:color w:val="auto"/>
        </w:rPr>
        <w:t>The performance-based shares cliff vest at the end of three years. The number of performance-based shares that will ultimately vest is based on the level of performance achieved, ranging between 0% and 200% of the shares originally awarded, and is settled in shares of common stock. Participants who terminate employment because of disability, death or, subject to Company approval, retirement, receive accelerated vesting of their service condition to the date of termination and, if approved, performance restrictions laps on the original vesting date.</w:t>
      </w:r>
    </w:p>
    <w:p>
      <w:pPr>
        <w:spacing w:after="0" w:line="198" w:lineRule="exact"/>
        <w:rPr>
          <w:sz w:val="20"/>
          <w:szCs w:val="20"/>
          <w:color w:val="auto"/>
        </w:rPr>
      </w:pPr>
    </w:p>
    <w:p>
      <w:pPr>
        <w:jc w:val="both"/>
        <w:ind w:left="100"/>
        <w:spacing w:after="0" w:line="277" w:lineRule="auto"/>
        <w:rPr>
          <w:sz w:val="20"/>
          <w:szCs w:val="20"/>
          <w:color w:val="auto"/>
        </w:rPr>
      </w:pPr>
      <w:r>
        <w:rPr>
          <w:rFonts w:ascii="Arial" w:cs="Arial" w:eastAsia="Arial" w:hAnsi="Arial"/>
          <w:sz w:val="18"/>
          <w:szCs w:val="18"/>
          <w:color w:val="auto"/>
        </w:rPr>
        <w:t>The Company also issues shares of time-vesting restricted stock to U.S. employees and deferred stock to non-U.S. employees which vest ratably over three to five years.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 summary of restricted and deferred stock activity follows:</w:t>
            </w: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92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Number of shares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shares outstanding at January 1, 2021</w:t>
            </w: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1,820,159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Awarded:</w:t>
            </w: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Time-vesting</w:t>
            </w: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221,042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920" w:type="dxa"/>
            <w:vAlign w:val="bottom"/>
          </w:tcPr>
          <w:p>
            <w:pPr>
              <w:ind w:left="360"/>
              <w:spacing w:after="0"/>
              <w:rPr>
                <w:sz w:val="20"/>
                <w:szCs w:val="20"/>
                <w:color w:val="auto"/>
              </w:rPr>
            </w:pPr>
            <w:r>
              <w:rPr>
                <w:rFonts w:ascii="Arial" w:cs="Arial" w:eastAsia="Arial" w:hAnsi="Arial"/>
                <w:sz w:val="18"/>
                <w:szCs w:val="18"/>
                <w:color w:val="auto"/>
              </w:rPr>
              <w:t>Performance-based</w:t>
            </w: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170,036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920" w:type="dxa"/>
            <w:vAlign w:val="bottom"/>
          </w:tcPr>
          <w:p>
            <w:pPr>
              <w:ind w:left="360"/>
              <w:spacing w:after="0"/>
              <w:rPr>
                <w:sz w:val="20"/>
                <w:szCs w:val="20"/>
                <w:color w:val="auto"/>
              </w:rPr>
            </w:pPr>
            <w:r>
              <w:rPr>
                <w:rFonts w:ascii="Arial" w:cs="Arial" w:eastAsia="Arial" w:hAnsi="Arial"/>
                <w:sz w:val="18"/>
                <w:szCs w:val="18"/>
                <w:color w:val="auto"/>
              </w:rPr>
              <w:t>Time-vesting</w:t>
            </w: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(418,426)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Performance-based</w:t>
            </w: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(224,358)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Forfeitures:</w:t>
            </w: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Time-vesting</w:t>
            </w: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(284,247)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Performance-based</w:t>
            </w:r>
          </w:p>
        </w:tc>
        <w:tc>
          <w:tcPr>
            <w:tcW w:w="12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shares outstanding at December 31, 2021</w:t>
            </w:r>
          </w:p>
        </w:tc>
        <w:tc>
          <w:tcPr>
            <w:tcW w:w="1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1,284,206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gridSpan w:val="4"/>
            <w:vMerge w:val="restart"/>
          </w:tcPr>
          <w:p>
            <w:pPr>
              <w:spacing w:after="0"/>
              <w:rPr>
                <w:sz w:val="20"/>
                <w:szCs w:val="20"/>
                <w:color w:val="auto"/>
              </w:rPr>
            </w:pPr>
            <w:r>
              <w:rPr>
                <w:rFonts w:ascii="Arial" w:cs="Arial" w:eastAsia="Arial" w:hAnsi="Arial"/>
                <w:sz w:val="18"/>
                <w:szCs w:val="18"/>
                <w:color w:val="auto"/>
                <w:w w:val="91"/>
              </w:rPr>
              <w:t>The average grant-date fair value of restricted stock awarded in 2021, 2020 and 2019 follows:</w:t>
            </w: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682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2021</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6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4"/>
                <w:szCs w:val="24"/>
                <w:color w:val="auto"/>
              </w:rPr>
            </w:pPr>
          </w:p>
        </w:tc>
        <w:tc>
          <w:tcPr>
            <w:tcW w:w="1360" w:type="dxa"/>
            <w:vAlign w:val="bottom"/>
            <w:gridSpan w:val="2"/>
          </w:tcPr>
          <w:p>
            <w:pPr>
              <w:jc w:val="right"/>
              <w:ind w:right="730"/>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sting</w:t>
            </w:r>
          </w:p>
        </w:tc>
        <w:tc>
          <w:tcPr>
            <w:tcW w:w="1200" w:type="dxa"/>
            <w:vAlign w:val="bottom"/>
            <w:tcBorders>
              <w:top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100$.08</w:t>
            </w:r>
          </w:p>
        </w:tc>
        <w:tc>
          <w:tcPr>
            <w:tcW w:w="2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2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gridSpan w:val="2"/>
            <w:shd w:val="clear" w:color="auto" w:fill="CCEEFF"/>
          </w:tcPr>
          <w:p>
            <w:pPr>
              <w:jc w:val="center"/>
              <w:ind w:left="710"/>
              <w:spacing w:after="0"/>
              <w:rPr>
                <w:sz w:val="20"/>
                <w:szCs w:val="20"/>
                <w:color w:val="auto"/>
              </w:rPr>
            </w:pPr>
            <w:r>
              <w:rPr>
                <w:rFonts w:ascii="Arial" w:cs="Arial" w:eastAsia="Arial" w:hAnsi="Arial"/>
                <w:sz w:val="18"/>
                <w:szCs w:val="18"/>
                <w:color w:val="auto"/>
                <w:w w:val="88"/>
              </w:rPr>
              <w:t>56.06</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ance-based</w:t>
            </w: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100.99</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72.08</w:t>
            </w:r>
          </w:p>
        </w:tc>
        <w:tc>
          <w:tcPr>
            <w:tcW w:w="220" w:type="dxa"/>
            <w:vAlign w:val="bottom"/>
          </w:tcPr>
          <w:p>
            <w:pPr>
              <w:spacing w:after="0"/>
              <w:rPr>
                <w:sz w:val="20"/>
                <w:szCs w:val="20"/>
                <w:color w:val="auto"/>
              </w:rPr>
            </w:pPr>
          </w:p>
        </w:tc>
        <w:tc>
          <w:tcPr>
            <w:tcW w:w="1360" w:type="dxa"/>
            <w:vAlign w:val="bottom"/>
            <w:gridSpan w:val="2"/>
          </w:tcPr>
          <w:p>
            <w:pPr>
              <w:jc w:val="center"/>
              <w:ind w:left="710"/>
              <w:spacing w:after="0"/>
              <w:rPr>
                <w:sz w:val="20"/>
                <w:szCs w:val="20"/>
                <w:color w:val="auto"/>
              </w:rPr>
            </w:pPr>
            <w:r>
              <w:rPr>
                <w:rFonts w:ascii="Arial" w:cs="Arial" w:eastAsia="Arial" w:hAnsi="Arial"/>
                <w:sz w:val="18"/>
                <w:szCs w:val="18"/>
                <w:color w:val="auto"/>
                <w:w w:val="88"/>
              </w:rPr>
              <w:t>46.08</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83" w:name="page84"/>
    <w:bookmarkEnd w:id="83"/>
    <w:p>
      <w:pPr>
        <w:jc w:val="center"/>
        <w:ind w:right="-9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100" w:right="220"/>
        <w:spacing w:after="0" w:line="273" w:lineRule="auto"/>
        <w:rPr>
          <w:sz w:val="20"/>
          <w:szCs w:val="20"/>
          <w:color w:val="auto"/>
        </w:rPr>
      </w:pPr>
      <w:r>
        <w:rPr>
          <w:rFonts w:ascii="Arial" w:cs="Arial" w:eastAsia="Arial" w:hAnsi="Arial"/>
          <w:sz w:val="18"/>
          <w:szCs w:val="18"/>
          <w:color w:val="auto"/>
        </w:rPr>
        <w:t>The fair values of the performance-based awards that include a market condition were calculated using a Monte Carlo valuation model and the following weighted average assumptions:</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2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r>
    </w:tbl>
    <w:p>
      <w:pPr>
        <w:spacing w:after="0" w:line="323" w:lineRule="exact"/>
        <w:rPr>
          <w:sz w:val="20"/>
          <w:szCs w:val="20"/>
          <w:color w:val="auto"/>
        </w:rPr>
      </w:pPr>
    </w:p>
    <w:p>
      <w:pPr>
        <w:ind w:left="100"/>
        <w:spacing w:after="0" w:line="342" w:lineRule="auto"/>
        <w:rPr>
          <w:sz w:val="20"/>
          <w:szCs w:val="20"/>
          <w:color w:val="auto"/>
        </w:rPr>
      </w:pPr>
      <w:r>
        <w:rPr>
          <w:rFonts w:ascii="Arial" w:cs="Arial" w:eastAsia="Arial" w:hAnsi="Arial"/>
          <w:sz w:val="16"/>
          <w:szCs w:val="16"/>
          <w:color w:val="auto"/>
        </w:rPr>
        <w:t>At December 31, 2021, unrecognized compensation cost related to outstanding restricted and deferred stock was $48. The weighted average period over which the expense is expected to be recognized is 1.9 years. The aggregate market value of the shares released on the vesting dates was $66 in 2021.</w:t>
      </w:r>
    </w:p>
    <w:p>
      <w:pPr>
        <w:spacing w:after="0" w:line="390" w:lineRule="exact"/>
        <w:rPr>
          <w:sz w:val="20"/>
          <w:szCs w:val="20"/>
          <w:color w:val="auto"/>
        </w:rPr>
      </w:pPr>
    </w:p>
    <w:p>
      <w:pPr>
        <w:ind w:left="100"/>
        <w:spacing w:after="0"/>
        <w:tabs>
          <w:tab w:leader="none" w:pos="44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Earnings Per Share</w:t>
      </w:r>
    </w:p>
    <w:p>
      <w:pPr>
        <w:spacing w:after="0" w:line="256" w:lineRule="exact"/>
        <w:rPr>
          <w:sz w:val="20"/>
          <w:szCs w:val="20"/>
          <w:color w:val="auto"/>
        </w:rPr>
      </w:pPr>
    </w:p>
    <w:p>
      <w:pPr>
        <w:ind w:left="100" w:right="320"/>
        <w:spacing w:after="0" w:line="286" w:lineRule="auto"/>
        <w:rPr>
          <w:sz w:val="20"/>
          <w:szCs w:val="20"/>
          <w:color w:val="auto"/>
        </w:rPr>
      </w:pPr>
      <w:r>
        <w:rPr>
          <w:rFonts w:ascii="Arial" w:cs="Arial" w:eastAsia="Arial" w:hAnsi="Arial"/>
          <w:sz w:val="17"/>
          <w:szCs w:val="17"/>
          <w:color w:val="auto"/>
        </w:rPr>
        <w:t>The following table summarizes basic and diluted earnings per share ("EPS"). Basic EBS excludes all potentially dilutive securities and is computed by dividing net income attributable to Crown Holdings by the weighted average number of common shares outstanding during the period. Diluted EPS includes the effect of stock options and restricted stock, when dilutive, as calculated under the treasury stock method.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w w:val="97"/>
              </w:rPr>
              <w:t>ss) / income from continuing operations attributable to Crown Holdings</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2021</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6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240" w:type="dxa"/>
            <w:vAlign w:val="bottom"/>
          </w:tcPr>
          <w:p>
            <w:pPr>
              <w:jc w:val="right"/>
              <w:ind w:right="670"/>
              <w:spacing w:after="0"/>
              <w:rPr>
                <w:sz w:val="20"/>
                <w:szCs w:val="20"/>
                <w:color w:val="auto"/>
              </w:rPr>
            </w:pPr>
            <w:r>
              <w:rPr>
                <w:rFonts w:ascii="Arial" w:cs="Arial" w:eastAsia="Arial" w:hAnsi="Arial"/>
                <w:sz w:val="18"/>
                <w:szCs w:val="18"/>
                <w:color w:val="auto"/>
              </w:rPr>
              <w:t>2019</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4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w w:val="93"/>
              </w:rPr>
              <w:t>ss) / income from discontinued operations attributable to Crown Holdings</w:t>
            </w:r>
          </w:p>
        </w:tc>
        <w:tc>
          <w:tcPr>
            <w:tcW w:w="8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ss) / income attributable to Crown Holdings</w:t>
            </w:r>
          </w:p>
        </w:tc>
        <w:tc>
          <w:tcPr>
            <w:tcW w:w="840" w:type="dxa"/>
            <w:vAlign w:val="bottom"/>
          </w:tcPr>
          <w:p>
            <w:pPr>
              <w:jc w:val="center"/>
              <w:ind w:right="2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2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ed average shares outstanding:</w:t>
            </w:r>
          </w:p>
        </w:tc>
        <w:tc>
          <w:tcPr>
            <w:tcW w:w="8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46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60" w:type="dxa"/>
            <w:vAlign w:val="bottom"/>
            <w:gridSpan w:val="2"/>
          </w:tcPr>
          <w:p>
            <w:pPr>
              <w:spacing w:after="0"/>
              <w:rPr>
                <w:sz w:val="20"/>
                <w:szCs w:val="20"/>
                <w:color w:val="auto"/>
              </w:rPr>
            </w:pPr>
            <w:r>
              <w:rPr>
                <w:rFonts w:ascii="Arial" w:cs="Arial" w:eastAsia="Arial" w:hAnsi="Arial"/>
                <w:sz w:val="18"/>
                <w:szCs w:val="18"/>
                <w:color w:val="auto"/>
              </w:rPr>
              <w:t>sic</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130.38</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133.53</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133.89</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d: dilutive stock options and restricted stock</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0.99</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luted</w:t>
            </w:r>
          </w:p>
        </w:tc>
        <w:tc>
          <w:tcPr>
            <w:tcW w:w="8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130.38</w:t>
            </w:r>
          </w:p>
        </w:tc>
        <w:tc>
          <w:tcPr>
            <w:tcW w:w="2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134.56</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134.88</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 w:type="dxa"/>
            <w:vAlign w:val="bottom"/>
            <w:vMerge w:val="restart"/>
          </w:tcPr>
          <w:p>
            <w:pPr>
              <w:spacing w:after="0"/>
              <w:rPr>
                <w:sz w:val="20"/>
                <w:szCs w:val="20"/>
                <w:color w:val="auto"/>
              </w:rPr>
            </w:pPr>
            <w:r>
              <w:rPr>
                <w:rFonts w:ascii="Arial" w:cs="Arial" w:eastAsia="Arial" w:hAnsi="Arial"/>
                <w:sz w:val="10"/>
                <w:szCs w:val="10"/>
                <w:color w:val="auto"/>
                <w:w w:val="75"/>
              </w:rPr>
              <w:t>gs</w:t>
            </w:r>
          </w:p>
        </w:tc>
        <w:tc>
          <w:tcPr>
            <w:tcW w:w="5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100" w:type="dxa"/>
            <w:vAlign w:val="bottom"/>
            <w:vMerge w:val="continue"/>
          </w:tcPr>
          <w:p>
            <w:pPr>
              <w:spacing w:after="0"/>
              <w:rPr>
                <w:sz w:val="20"/>
                <w:szCs w:val="20"/>
                <w:color w:val="auto"/>
              </w:rPr>
            </w:pPr>
          </w:p>
        </w:tc>
        <w:tc>
          <w:tcPr>
            <w:tcW w:w="5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0" w:type="dxa"/>
            <w:vAlign w:val="bottom"/>
            <w:vMerge w:val="continue"/>
          </w:tcPr>
          <w:p>
            <w:pPr>
              <w:spacing w:after="0"/>
              <w:rPr>
                <w:sz w:val="19"/>
                <w:szCs w:val="19"/>
                <w:color w:val="auto"/>
              </w:rPr>
            </w:pPr>
          </w:p>
        </w:tc>
        <w:tc>
          <w:tcPr>
            <w:tcW w:w="5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 common share attributable to Crown Holdings:</w:t>
            </w: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loss) / earnings per common share from continuing operations</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2"/>
          </w:tcPr>
          <w:p>
            <w:pPr>
              <w:spacing w:after="0"/>
              <w:rPr>
                <w:sz w:val="20"/>
                <w:szCs w:val="20"/>
                <w:color w:val="auto"/>
              </w:rPr>
            </w:pPr>
            <w:r>
              <w:rPr>
                <w:rFonts w:ascii="Arial" w:cs="Arial" w:eastAsia="Arial" w:hAnsi="Arial"/>
                <w:sz w:val="18"/>
                <w:szCs w:val="18"/>
                <w:color w:val="auto"/>
              </w:rPr>
              <w:t>loss) / earnings per common share from discontinued operations</w:t>
            </w:r>
          </w:p>
        </w:tc>
        <w:tc>
          <w:tcPr>
            <w:tcW w:w="8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loss) / earnings per share</w:t>
            </w:r>
          </w:p>
        </w:tc>
        <w:tc>
          <w:tcPr>
            <w:tcW w:w="840" w:type="dxa"/>
            <w:vAlign w:val="bottom"/>
          </w:tcPr>
          <w:p>
            <w:pPr>
              <w:jc w:val="center"/>
              <w:ind w:right="2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100" w:type="dxa"/>
            <w:vAlign w:val="bottom"/>
            <w:vMerge w:val="restart"/>
          </w:tcPr>
          <w:p>
            <w:pPr>
              <w:spacing w:after="0"/>
              <w:rPr>
                <w:sz w:val="20"/>
                <w:szCs w:val="20"/>
                <w:color w:val="auto"/>
              </w:rPr>
            </w:pPr>
          </w:p>
        </w:tc>
        <w:tc>
          <w:tcPr>
            <w:tcW w:w="5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0" w:type="dxa"/>
            <w:vAlign w:val="bottom"/>
            <w:vMerge w:val="continue"/>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(loss) / earnings per common share from continuing operations</w:t>
            </w: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 earnings per common share from discontinued operations</w:t>
            </w:r>
          </w:p>
        </w:tc>
        <w:tc>
          <w:tcPr>
            <w:tcW w:w="8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 earnings per share</w:t>
            </w:r>
          </w:p>
        </w:tc>
        <w:tc>
          <w:tcPr>
            <w:tcW w:w="840" w:type="dxa"/>
            <w:vAlign w:val="bottom"/>
            <w:tcBorders>
              <w:bottom w:val="single" w:sz="8" w:color="CCEEFF"/>
            </w:tcBorders>
            <w:shd w:val="clear" w:color="auto" w:fill="CCEEFF"/>
          </w:tcPr>
          <w:p>
            <w:pPr>
              <w:jc w:val="center"/>
              <w:ind w:right="2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20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880" w:type="dxa"/>
            <w:vAlign w:val="bottom"/>
            <w:gridSpan w:val="4"/>
          </w:tcPr>
          <w:p>
            <w:pPr>
              <w:spacing w:after="0"/>
              <w:rPr>
                <w:sz w:val="20"/>
                <w:szCs w:val="20"/>
                <w:color w:val="auto"/>
              </w:rPr>
            </w:pPr>
            <w:r>
              <w:rPr>
                <w:rFonts w:ascii="Arial" w:cs="Arial" w:eastAsia="Arial" w:hAnsi="Arial"/>
                <w:sz w:val="18"/>
                <w:szCs w:val="18"/>
                <w:color w:val="auto"/>
              </w:rPr>
              <w:t>gently issuable shares excluded from the computation of diluted earnings per share</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because the effect would have been anti-dilutive</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1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840" w:type="dxa"/>
            <w:vAlign w:val="bottom"/>
          </w:tcPr>
          <w:p>
            <w:pPr>
              <w:jc w:val="center"/>
              <w:ind w:right="210"/>
              <w:spacing w:after="0"/>
              <w:rPr>
                <w:sz w:val="20"/>
                <w:szCs w:val="20"/>
                <w:color w:val="auto"/>
              </w:rPr>
            </w:pPr>
            <w:r>
              <w:rPr>
                <w:rFonts w:ascii="Arial" w:cs="Arial" w:eastAsia="Arial" w:hAnsi="Arial"/>
                <w:sz w:val="18"/>
                <w:szCs w:val="18"/>
                <w:color w:val="auto"/>
                <w:w w:val="89"/>
              </w:rPr>
              <w:t>82</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7179310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-3548380</wp:posOffset>
            </wp:positionV>
            <wp:extent cx="6591935"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91935"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-3248025</wp:posOffset>
            </wp:positionV>
            <wp:extent cx="659193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91935" cy="17145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-2931160</wp:posOffset>
            </wp:positionV>
            <wp:extent cx="6591935"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91935" cy="1454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-2639695</wp:posOffset>
            </wp:positionV>
            <wp:extent cx="6591935"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91935" cy="17145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-2005330</wp:posOffset>
            </wp:positionV>
            <wp:extent cx="6591935"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91935" cy="1454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-882015</wp:posOffset>
            </wp:positionV>
            <wp:extent cx="6591935" cy="2571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91935" cy="25717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business is generally organized by product line and geography. The Company has determined that it has the following reportable segments: Americas Beverage, European Beverage, Asia Pacific and Transit Packaging. Other includes the Company's food can, aerosol can and closures businesses in North America, and beverage tooling and equipment operations in the U.S. and U.K.</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evaluates performance and allocates resources based on segment income. Segment income, which is not a defined term under GAAP, is defined by the Company as income from operations adjusted to exclude intangibles amortization charges, Restructuring and Other and the impact of fair value adjustments related to inventory acquired in an acquisition. Segment income should not be considered in isolation or as a substitute for net income data prepared in accordance with GAAP and may not be comparable to calculations of similarly titled measures by other companies.</w:t>
      </w:r>
    </w:p>
    <w:p>
      <w:pPr>
        <w:spacing w:after="0" w:line="184"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The tables below present information about operating segments reported as continuing operations for the three years ended December 31, 2021, 2020 and 2019:</w:t>
      </w:r>
    </w:p>
    <w:tbl>
      <w:tblPr>
        <w:tblLayout w:type="fixed"/>
        <w:tblInd w:w="0" w:type="dxa"/>
        <w:tblCellMar>
          <w:top w:w="0" w:type="dxa"/>
          <w:left w:w="0" w:type="dxa"/>
          <w:bottom w:w="0" w:type="dxa"/>
          <w:right w:w="0" w:type="dxa"/>
        </w:tblCellMar>
      </w:tblPr>
      <w:tr>
        <w:trPr>
          <w:trHeight w:val="191"/>
        </w:trPr>
        <w:tc>
          <w:tcPr>
            <w:tcW w:w="1840" w:type="dxa"/>
            <w:vAlign w:val="bottom"/>
            <w:gridSpan w:val="2"/>
          </w:tcPr>
          <w:p>
            <w:pPr>
              <w:ind w:left="1480"/>
              <w:spacing w:after="0" w:line="191" w:lineRule="exact"/>
              <w:rPr>
                <w:sz w:val="20"/>
                <w:szCs w:val="20"/>
                <w:color w:val="auto"/>
              </w:rPr>
            </w:pPr>
            <w:r>
              <w:rPr>
                <w:rFonts w:ascii="Arial" w:cs="Arial" w:eastAsia="Arial" w:hAnsi="Arial"/>
                <w:sz w:val="18"/>
                <w:szCs w:val="18"/>
                <w:color w:val="auto"/>
                <w:w w:val="84"/>
              </w:rPr>
              <w:t>2021</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10"/>
              <w:spacing w:after="0" w:line="191" w:lineRule="exact"/>
              <w:rPr>
                <w:sz w:val="20"/>
                <w:szCs w:val="20"/>
                <w:color w:val="auto"/>
              </w:rPr>
            </w:pPr>
            <w:r>
              <w:rPr>
                <w:rFonts w:ascii="Arial" w:cs="Arial" w:eastAsia="Arial" w:hAnsi="Arial"/>
                <w:sz w:val="18"/>
                <w:szCs w:val="18"/>
                <w:color w:val="auto"/>
                <w:w w:val="90"/>
              </w:rPr>
              <w:t>Inter-</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4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External</w:t>
            </w:r>
          </w:p>
        </w:tc>
        <w:tc>
          <w:tcPr>
            <w:tcW w:w="1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segment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Segment</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92"/>
              </w:rPr>
              <w:t>Capital</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center"/>
              <w:ind w:right="70"/>
              <w:spacing w:after="0"/>
              <w:rPr>
                <w:sz w:val="20"/>
                <w:szCs w:val="20"/>
                <w:color w:val="auto"/>
              </w:rPr>
            </w:pPr>
            <w:r>
              <w:rPr>
                <w:rFonts w:ascii="Arial" w:cs="Arial" w:eastAsia="Arial" w:hAnsi="Arial"/>
                <w:sz w:val="18"/>
                <w:szCs w:val="18"/>
                <w:color w:val="auto"/>
                <w:w w:val="85"/>
              </w:rPr>
              <w:t>Segment</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80"/>
              </w:rPr>
              <w:t>sales</w:t>
            </w:r>
          </w:p>
        </w:tc>
        <w:tc>
          <w:tcPr>
            <w:tcW w:w="14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80"/>
              </w:rPr>
              <w:t>sales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80"/>
              </w:rPr>
              <w:t>assets</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9"/>
              </w:rPr>
              <w:t>expenditures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center"/>
              <w:ind w:right="70"/>
              <w:spacing w:after="0"/>
              <w:rPr>
                <w:sz w:val="20"/>
                <w:szCs w:val="20"/>
                <w:color w:val="auto"/>
              </w:rPr>
            </w:pPr>
            <w:r>
              <w:rPr>
                <w:rFonts w:ascii="Arial" w:cs="Arial" w:eastAsia="Arial" w:hAnsi="Arial"/>
                <w:sz w:val="18"/>
                <w:szCs w:val="18"/>
                <w:color w:val="auto"/>
                <w:w w:val="92"/>
              </w:rPr>
              <w:t>income</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29"/>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European Beverage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Transit Packaging</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10,136</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1,258</w:t>
            </w: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114</w:t>
            </w: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1,129</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3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11,394</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1840" w:type="dxa"/>
            <w:vAlign w:val="bottom"/>
            <w:gridSpan w:val="2"/>
          </w:tcPr>
          <w:p>
            <w:pPr>
              <w:ind w:left="1480"/>
              <w:spacing w:after="0"/>
              <w:rPr>
                <w:sz w:val="20"/>
                <w:szCs w:val="20"/>
                <w:color w:val="auto"/>
              </w:rPr>
            </w:pPr>
            <w:r>
              <w:rPr>
                <w:rFonts w:ascii="Arial" w:cs="Arial" w:eastAsia="Arial" w:hAnsi="Arial"/>
                <w:sz w:val="18"/>
                <w:szCs w:val="18"/>
                <w:color w:val="auto"/>
                <w:w w:val="84"/>
              </w:rPr>
              <w:t>2020</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0"/>
              </w:rPr>
              <w:t>Inter-</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4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External</w:t>
            </w:r>
          </w:p>
        </w:tc>
        <w:tc>
          <w:tcPr>
            <w:tcW w:w="1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segment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Segment</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92"/>
              </w:rPr>
              <w:t>Capital</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center"/>
              <w:ind w:right="70"/>
              <w:spacing w:after="0"/>
              <w:rPr>
                <w:sz w:val="20"/>
                <w:szCs w:val="20"/>
                <w:color w:val="auto"/>
              </w:rPr>
            </w:pPr>
            <w:r>
              <w:rPr>
                <w:rFonts w:ascii="Arial" w:cs="Arial" w:eastAsia="Arial" w:hAnsi="Arial"/>
                <w:sz w:val="18"/>
                <w:szCs w:val="18"/>
                <w:color w:val="auto"/>
                <w:w w:val="85"/>
              </w:rPr>
              <w:t>Segment</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80"/>
              </w:rPr>
              <w:t>sales</w:t>
            </w:r>
          </w:p>
        </w:tc>
        <w:tc>
          <w:tcPr>
            <w:tcW w:w="14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80"/>
              </w:rPr>
              <w:t>sales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80"/>
              </w:rPr>
              <w:t>assets</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9"/>
              </w:rPr>
              <w:t>expenditures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center"/>
              <w:ind w:right="70"/>
              <w:spacing w:after="0"/>
              <w:rPr>
                <w:sz w:val="20"/>
                <w:szCs w:val="20"/>
                <w:color w:val="auto"/>
              </w:rPr>
            </w:pPr>
            <w:r>
              <w:rPr>
                <w:rFonts w:ascii="Arial" w:cs="Arial" w:eastAsia="Arial" w:hAnsi="Arial"/>
                <w:sz w:val="18"/>
                <w:szCs w:val="18"/>
                <w:color w:val="auto"/>
                <w:w w:val="92"/>
              </w:rPr>
              <w:t>income</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30"/>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European Beverage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9"/>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Transit Packaging</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8,224</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1,168</w:t>
            </w: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927</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3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9,392</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1840" w:type="dxa"/>
            <w:vAlign w:val="bottom"/>
            <w:gridSpan w:val="2"/>
          </w:tcPr>
          <w:p>
            <w:pPr>
              <w:ind w:left="1480"/>
              <w:spacing w:after="0"/>
              <w:rPr>
                <w:sz w:val="20"/>
                <w:szCs w:val="20"/>
                <w:color w:val="auto"/>
              </w:rPr>
            </w:pPr>
            <w:r>
              <w:rPr>
                <w:rFonts w:ascii="Arial" w:cs="Arial" w:eastAsia="Arial" w:hAnsi="Arial"/>
                <w:sz w:val="18"/>
                <w:szCs w:val="18"/>
                <w:color w:val="auto"/>
                <w:w w:val="84"/>
              </w:rPr>
              <w:t>2019</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0"/>
              </w:rPr>
              <w:t>Inter-</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4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External</w:t>
            </w:r>
          </w:p>
        </w:tc>
        <w:tc>
          <w:tcPr>
            <w:tcW w:w="1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segment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Segment</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92"/>
              </w:rPr>
              <w:t>Capital</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center"/>
              <w:ind w:right="70"/>
              <w:spacing w:after="0"/>
              <w:rPr>
                <w:sz w:val="20"/>
                <w:szCs w:val="20"/>
                <w:color w:val="auto"/>
              </w:rPr>
            </w:pPr>
            <w:r>
              <w:rPr>
                <w:rFonts w:ascii="Arial" w:cs="Arial" w:eastAsia="Arial" w:hAnsi="Arial"/>
                <w:sz w:val="18"/>
                <w:szCs w:val="18"/>
                <w:color w:val="auto"/>
                <w:w w:val="85"/>
              </w:rPr>
              <w:t>Segment</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80"/>
              </w:rPr>
              <w:t>sales</w:t>
            </w:r>
          </w:p>
        </w:tc>
        <w:tc>
          <w:tcPr>
            <w:tcW w:w="14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80"/>
              </w:rPr>
              <w:t>sales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80"/>
              </w:rPr>
              <w:t>assets</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9"/>
              </w:rPr>
              <w:t>expenditures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center"/>
              <w:ind w:right="70"/>
              <w:spacing w:after="0"/>
              <w:rPr>
                <w:sz w:val="20"/>
                <w:szCs w:val="20"/>
                <w:color w:val="auto"/>
              </w:rPr>
            </w:pPr>
            <w:r>
              <w:rPr>
                <w:rFonts w:ascii="Arial" w:cs="Arial" w:eastAsia="Arial" w:hAnsi="Arial"/>
                <w:sz w:val="18"/>
                <w:szCs w:val="18"/>
                <w:color w:val="auto"/>
                <w:w w:val="92"/>
              </w:rPr>
              <w:t>income</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0"/>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European Beverage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Transit Packaging</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1,129</w:t>
            </w: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110</w:t>
            </w: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904</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3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9,559</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83</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Intersegment sales primarily include sales of cans, ends and parts and equipment used in the manufacturing process.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Corporate and unallocated items include corporate and administrative costs, technology costs, and unallocated items such as stock-based compensation.</w:t>
      </w:r>
    </w:p>
    <w:p>
      <w:pPr>
        <w:spacing w:after="0" w:line="275" w:lineRule="exact"/>
        <w:rPr>
          <w:sz w:val="20"/>
          <w:szCs w:val="20"/>
          <w:color w:val="auto"/>
        </w:rPr>
      </w:pPr>
    </w:p>
    <w:p>
      <w:pPr>
        <w:ind w:right="280"/>
        <w:spacing w:after="0" w:line="273" w:lineRule="auto"/>
        <w:rPr>
          <w:sz w:val="20"/>
          <w:szCs w:val="20"/>
          <w:color w:val="auto"/>
        </w:rPr>
      </w:pPr>
      <w:r>
        <w:rPr>
          <w:rFonts w:ascii="Arial" w:cs="Arial" w:eastAsia="Arial" w:hAnsi="Arial"/>
          <w:sz w:val="18"/>
          <w:szCs w:val="18"/>
          <w:color w:val="auto"/>
        </w:rPr>
        <w:t>A reconciliation of segment income of reportable segments to income before income taxes for the three years ended December 31, 2021, 2020 and 2019 follows:</w:t>
      </w:r>
    </w:p>
    <w:p>
      <w:pPr>
        <w:sectPr>
          <w:pgSz w:w="11900" w:h="16838" w:orient="portrait"/>
          <w:cols w:equalWidth="0" w:num="1">
            <w:col w:w="11240"/>
          </w:cols>
          <w:pgMar w:left="320" w:top="121" w:right="339" w:bottom="1440" w:gutter="0" w:footer="0" w:header="0"/>
        </w:sectPr>
      </w:pPr>
    </w:p>
    <w:p>
      <w:pPr>
        <w:spacing w:after="0" w:line="231" w:lineRule="exact"/>
        <w:rPr>
          <w:sz w:val="20"/>
          <w:szCs w:val="20"/>
          <w:color w:val="auto"/>
        </w:rPr>
      </w:pPr>
    </w:p>
    <w:p>
      <w:pPr>
        <w:ind w:left="20" w:right="2480"/>
        <w:spacing w:after="0" w:line="274" w:lineRule="auto"/>
        <w:rPr>
          <w:sz w:val="20"/>
          <w:szCs w:val="20"/>
          <w:color w:val="auto"/>
        </w:rPr>
      </w:pPr>
      <w:r>
        <w:rPr>
          <w:rFonts w:ascii="Arial" w:cs="Arial" w:eastAsia="Arial" w:hAnsi="Arial"/>
          <w:sz w:val="18"/>
          <w:szCs w:val="18"/>
          <w:color w:val="auto"/>
        </w:rPr>
        <w:t>Segment income of reportable segments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665226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5226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665226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5226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Corporate and unallocated items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Restructuring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65226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5226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intangibles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from early extinguishments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65226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5226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pension and postretirement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65226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5226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income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652260" cy="2571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52260" cy="257175"/>
                    </a:xfrm>
                    <a:prstGeom prst="rect">
                      <a:avLst/>
                    </a:prstGeom>
                    <a:noFill/>
                  </pic:spPr>
                </pic:pic>
              </a:graphicData>
            </a:graphic>
          </wp:anchor>
        </w:drawing>
      </w:r>
    </w:p>
    <w:p>
      <w:pPr>
        <w:spacing w:after="0" w:line="3"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Income / (loss) from continuing operations before income taxes and equity in net earnings of affiliates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2"/>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1,515</w:t>
            </w:r>
          </w:p>
        </w:tc>
        <w:tc>
          <w:tcPr>
            <w:tcW w:w="4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1,296</w:t>
            </w:r>
          </w:p>
        </w:tc>
        <w:tc>
          <w:tcPr>
            <w:tcW w:w="4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(1,515)</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0"/>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(419)</w:t>
            </w:r>
          </w:p>
        </w:tc>
        <w:tc>
          <w:tcPr>
            <w:tcW w:w="4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725</w:t>
            </w:r>
          </w:p>
        </w:tc>
        <w:tc>
          <w:tcPr>
            <w:tcW w:w="460" w:type="dxa"/>
            <w:vAlign w:val="bottom"/>
          </w:tcPr>
          <w:p>
            <w:pPr>
              <w:spacing w:after="0"/>
              <w:rPr>
                <w:sz w:val="24"/>
                <w:szCs w:val="24"/>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68"/>
        </w:trPr>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Borders>
              <w:bottom w:val="single" w:sz="8" w:color="auto"/>
            </w:tcBorders>
            <w:vMerge w:val="continue"/>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00" w:space="140"/>
            <w:col w:w="5700"/>
          </w:cols>
          <w:pgMar w:left="320" w:top="121"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For the three years ended December 31, 2021, 2020 and 2019, intercompany profit of $8, $9 and $6 was eliminated within segment income of other.</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2021, two customers each accounted for 11% of the Company's consolidated net sales. These customers are global beverage companies served by the Company's beverage operations in the Americas, Europe and Asia. These same two customers accounted for 11% and 10%, respectively, of the Company's consolidated net sales in 2020. For the year ended December 31, 2019, one of these customers accounted for 12% of the Company's consolidated net sales.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Sales by major product were: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6"/>
        </w:trPr>
        <w:tc>
          <w:tcPr>
            <w:tcW w:w="55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Metal beverage cans and ends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Transit packaging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2,530</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2,274</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Metal food cans and ends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Other products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580</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metal packaging</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4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11,394</w:t>
            </w:r>
          </w:p>
        </w:tc>
        <w:tc>
          <w:tcPr>
            <w:tcW w:w="4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9,392</w:t>
            </w:r>
          </w:p>
        </w:tc>
        <w:tc>
          <w:tcPr>
            <w:tcW w:w="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9,559</w:t>
            </w:r>
          </w:p>
        </w:tc>
      </w:tr>
      <w:tr>
        <w:trPr>
          <w:trHeight w:val="21"/>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color w:val="auto"/>
        </w:rPr>
        <w:t>The following table provides sales and long-lived asset information for the major countries in which the Company operates. Long-lived assets comprises property, plant and equipment.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rPr>
              <w:t>Long-Lived Assets</w:t>
            </w:r>
          </w:p>
        </w:tc>
      </w:tr>
      <w:tr>
        <w:trPr>
          <w:trHeight w:val="223"/>
        </w:trPr>
        <w:tc>
          <w:tcPr>
            <w:tcW w:w="49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Brazil</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11,394</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SCHEDULE II – VALUATION AND QUALIFYING ACCOUNTS AND RESERVES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6" w:lineRule="exact"/>
        <w:rPr>
          <w:sz w:val="20"/>
          <w:szCs w:val="20"/>
          <w:color w:val="auto"/>
        </w:rPr>
      </w:pPr>
    </w:p>
    <w:tbl>
      <w:tblPr>
        <w:tblLayout w:type="fixed"/>
        <w:tblInd w:w="50" w:type="dxa"/>
        <w:tblCellMar>
          <w:top w:w="0" w:type="dxa"/>
          <w:left w:w="0" w:type="dxa"/>
          <w:bottom w:w="0" w:type="dxa"/>
          <w:right w:w="0" w:type="dxa"/>
        </w:tblCellMar>
      </w:tblPr>
      <w:tr>
        <w:trPr>
          <w:trHeight w:val="203"/>
        </w:trPr>
        <w:tc>
          <w:tcPr>
            <w:tcW w:w="980" w:type="dxa"/>
            <w:vAlign w:val="bottom"/>
            <w:tcBorders>
              <w:top w:val="single" w:sz="8" w:color="auto"/>
              <w:left w:val="single" w:sz="8" w:color="auto"/>
            </w:tcBorders>
          </w:tcPr>
          <w:p>
            <w:pPr>
              <w:ind w:left="20"/>
              <w:spacing w:after="0" w:line="202" w:lineRule="exact"/>
              <w:rPr>
                <w:sz w:val="20"/>
                <w:szCs w:val="20"/>
                <w:color w:val="auto"/>
              </w:rPr>
            </w:pPr>
            <w:r>
              <w:rPr>
                <w:rFonts w:ascii="Arial" w:cs="Arial" w:eastAsia="Arial" w:hAnsi="Arial"/>
                <w:sz w:val="18"/>
                <w:szCs w:val="18"/>
                <w:color w:val="auto"/>
                <w:w w:val="98"/>
              </w:rPr>
              <w:t>COLUMN A</w:t>
            </w:r>
          </w:p>
        </w:tc>
        <w:tc>
          <w:tcPr>
            <w:tcW w:w="2120" w:type="dxa"/>
            <w:vAlign w:val="bottom"/>
            <w:tcBorders>
              <w:top w:val="single" w:sz="8" w:color="auto"/>
              <w:right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right w:val="single" w:sz="8" w:color="auto"/>
            </w:tcBorders>
            <w:gridSpan w:val="2"/>
          </w:tcPr>
          <w:p>
            <w:pPr>
              <w:jc w:val="center"/>
              <w:ind w:right="220"/>
              <w:spacing w:after="0" w:line="202" w:lineRule="exact"/>
              <w:rPr>
                <w:sz w:val="20"/>
                <w:szCs w:val="20"/>
                <w:color w:val="auto"/>
              </w:rPr>
            </w:pPr>
            <w:r>
              <w:rPr>
                <w:rFonts w:ascii="Arial" w:cs="Arial" w:eastAsia="Arial" w:hAnsi="Arial"/>
                <w:sz w:val="18"/>
                <w:szCs w:val="18"/>
                <w:color w:val="auto"/>
                <w:w w:val="98"/>
              </w:rPr>
              <w:t>COLUMN B</w:t>
            </w:r>
          </w:p>
        </w:tc>
        <w:tc>
          <w:tcPr>
            <w:tcW w:w="880" w:type="dxa"/>
            <w:vAlign w:val="bottom"/>
            <w:tcBorders>
              <w:top w:val="single" w:sz="8" w:color="auto"/>
            </w:tcBorders>
          </w:tcPr>
          <w:p>
            <w:pPr>
              <w:spacing w:after="0"/>
              <w:rPr>
                <w:sz w:val="17"/>
                <w:szCs w:val="17"/>
                <w:color w:val="auto"/>
              </w:rPr>
            </w:pPr>
          </w:p>
        </w:tc>
        <w:tc>
          <w:tcPr>
            <w:tcW w:w="1880" w:type="dxa"/>
            <w:vAlign w:val="bottom"/>
            <w:tcBorders>
              <w:top w:val="single" w:sz="8" w:color="auto"/>
              <w:right w:val="single" w:sz="8" w:color="auto"/>
            </w:tcBorders>
            <w:gridSpan w:val="3"/>
          </w:tcPr>
          <w:p>
            <w:pPr>
              <w:jc w:val="center"/>
              <w:ind w:right="920"/>
              <w:spacing w:after="0" w:line="202" w:lineRule="exact"/>
              <w:rPr>
                <w:sz w:val="20"/>
                <w:szCs w:val="20"/>
                <w:color w:val="auto"/>
              </w:rPr>
            </w:pPr>
            <w:r>
              <w:rPr>
                <w:rFonts w:ascii="Arial" w:cs="Arial" w:eastAsia="Arial" w:hAnsi="Arial"/>
                <w:sz w:val="18"/>
                <w:szCs w:val="18"/>
                <w:color w:val="auto"/>
                <w:w w:val="99"/>
              </w:rPr>
              <w:t>COLUMN C</w:t>
            </w:r>
          </w:p>
        </w:tc>
        <w:tc>
          <w:tcPr>
            <w:tcW w:w="1360" w:type="dxa"/>
            <w:vAlign w:val="bottom"/>
            <w:tcBorders>
              <w:top w:val="single" w:sz="8" w:color="auto"/>
              <w:right w:val="single" w:sz="8" w:color="auto"/>
            </w:tcBorders>
            <w:gridSpan w:val="3"/>
          </w:tcPr>
          <w:p>
            <w:pPr>
              <w:ind w:left="180"/>
              <w:spacing w:after="0" w:line="202" w:lineRule="exact"/>
              <w:rPr>
                <w:sz w:val="20"/>
                <w:szCs w:val="20"/>
                <w:color w:val="auto"/>
              </w:rPr>
            </w:pPr>
            <w:r>
              <w:rPr>
                <w:rFonts w:ascii="Arial" w:cs="Arial" w:eastAsia="Arial" w:hAnsi="Arial"/>
                <w:sz w:val="18"/>
                <w:szCs w:val="18"/>
                <w:color w:val="auto"/>
              </w:rPr>
              <w:t>COLUMN D</w:t>
            </w:r>
          </w:p>
        </w:tc>
        <w:tc>
          <w:tcPr>
            <w:tcW w:w="1260" w:type="dxa"/>
            <w:vAlign w:val="bottom"/>
            <w:tcBorders>
              <w:top w:val="single" w:sz="8" w:color="auto"/>
              <w:right w:val="single" w:sz="8" w:color="auto"/>
            </w:tcBorders>
            <w:gridSpan w:val="3"/>
          </w:tcPr>
          <w:p>
            <w:pPr>
              <w:jc w:val="center"/>
              <w:ind w:right="40"/>
              <w:spacing w:after="0" w:line="202" w:lineRule="exact"/>
              <w:rPr>
                <w:sz w:val="20"/>
                <w:szCs w:val="20"/>
                <w:color w:val="auto"/>
              </w:rPr>
            </w:pPr>
            <w:r>
              <w:rPr>
                <w:rFonts w:ascii="Arial" w:cs="Arial" w:eastAsia="Arial" w:hAnsi="Arial"/>
                <w:sz w:val="18"/>
                <w:szCs w:val="18"/>
                <w:color w:val="auto"/>
                <w:w w:val="98"/>
              </w:rPr>
              <w:t>COLUMN E</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right w:val="single" w:sz="8" w:color="auto"/>
            </w:tcBorders>
            <w:gridSpan w:val="2"/>
          </w:tcPr>
          <w:p>
            <w:pPr>
              <w:jc w:val="center"/>
              <w:ind w:right="240"/>
              <w:spacing w:after="0" w:line="202" w:lineRule="exact"/>
              <w:rPr>
                <w:sz w:val="20"/>
                <w:szCs w:val="20"/>
                <w:color w:val="auto"/>
              </w:rPr>
            </w:pPr>
            <w:r>
              <w:rPr>
                <w:rFonts w:ascii="Arial" w:cs="Arial" w:eastAsia="Arial" w:hAnsi="Arial"/>
                <w:sz w:val="18"/>
                <w:szCs w:val="18"/>
                <w:color w:val="auto"/>
                <w:w w:val="97"/>
              </w:rPr>
              <w:t>COLUMN F</w:t>
            </w:r>
          </w:p>
        </w:tc>
        <w:tc>
          <w:tcPr>
            <w:tcW w:w="0" w:type="dxa"/>
            <w:vAlign w:val="bottom"/>
          </w:tcPr>
          <w:p>
            <w:pPr>
              <w:spacing w:after="0"/>
              <w:rPr>
                <w:sz w:val="1"/>
                <w:szCs w:val="1"/>
                <w:color w:val="auto"/>
              </w:rPr>
            </w:pPr>
          </w:p>
        </w:tc>
      </w:tr>
      <w:tr>
        <w:trPr>
          <w:trHeight w:val="250"/>
        </w:trPr>
        <w:tc>
          <w:tcPr>
            <w:tcW w:w="980" w:type="dxa"/>
            <w:vAlign w:val="bottom"/>
            <w:tcBorders>
              <w:top w:val="single" w:sz="8" w:color="auto"/>
              <w:left w:val="single" w:sz="8" w:color="auto"/>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9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Additions</w:t>
            </w:r>
          </w:p>
        </w:tc>
        <w:tc>
          <w:tcPr>
            <w:tcW w:w="9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980" w:type="dxa"/>
            <w:vAlign w:val="bottom"/>
            <w:tcBorders>
              <w:left w:val="single" w:sz="8" w:color="auto"/>
            </w:tcBorders>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220"/>
              <w:spacing w:after="0" w:line="169" w:lineRule="exact"/>
              <w:rPr>
                <w:sz w:val="20"/>
                <w:szCs w:val="20"/>
                <w:color w:val="auto"/>
              </w:rPr>
            </w:pPr>
            <w:r>
              <w:rPr>
                <w:rFonts w:ascii="Arial" w:cs="Arial" w:eastAsia="Arial" w:hAnsi="Arial"/>
                <w:sz w:val="18"/>
                <w:szCs w:val="18"/>
                <w:color w:val="auto"/>
                <w:w w:val="86"/>
              </w:rPr>
              <w:t>Balance at</w:t>
            </w:r>
          </w:p>
        </w:tc>
        <w:tc>
          <w:tcPr>
            <w:tcW w:w="13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8"/>
              </w:rPr>
              <w:t>Charged to costs</w:t>
            </w:r>
          </w:p>
        </w:tc>
        <w:tc>
          <w:tcPr>
            <w:tcW w:w="1380" w:type="dxa"/>
            <w:vAlign w:val="bottom"/>
            <w:tcBorders>
              <w:right w:val="single" w:sz="8" w:color="auto"/>
            </w:tcBorders>
            <w:gridSpan w:val="2"/>
            <w:vMerge w:val="restart"/>
          </w:tcPr>
          <w:p>
            <w:pPr>
              <w:jc w:val="center"/>
              <w:ind w:right="60"/>
              <w:spacing w:after="0"/>
              <w:rPr>
                <w:sz w:val="20"/>
                <w:szCs w:val="20"/>
                <w:color w:val="auto"/>
              </w:rPr>
            </w:pPr>
            <w:r>
              <w:rPr>
                <w:rFonts w:ascii="Arial" w:cs="Arial" w:eastAsia="Arial" w:hAnsi="Arial"/>
                <w:sz w:val="18"/>
                <w:szCs w:val="18"/>
                <w:color w:val="auto"/>
                <w:w w:val="89"/>
              </w:rPr>
              <w:t>Charged to</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right w:val="single" w:sz="8" w:color="auto"/>
            </w:tcBorders>
            <w:gridSpan w:val="2"/>
            <w:vMerge w:val="restart"/>
          </w:tcPr>
          <w:p>
            <w:pPr>
              <w:jc w:val="center"/>
              <w:ind w:right="180"/>
              <w:spacing w:after="0"/>
              <w:rPr>
                <w:sz w:val="20"/>
                <w:szCs w:val="20"/>
                <w:color w:val="auto"/>
              </w:rPr>
            </w:pPr>
            <w:r>
              <w:rPr>
                <w:rFonts w:ascii="Arial" w:cs="Arial" w:eastAsia="Arial" w:hAnsi="Arial"/>
                <w:sz w:val="18"/>
                <w:szCs w:val="18"/>
                <w:color w:val="auto"/>
                <w:w w:val="91"/>
              </w:rPr>
              <w:t>Deductions</w:t>
            </w:r>
          </w:p>
        </w:tc>
        <w:tc>
          <w:tcPr>
            <w:tcW w:w="200" w:type="dxa"/>
            <w:vAlign w:val="bottom"/>
          </w:tcPr>
          <w:p>
            <w:pPr>
              <w:spacing w:after="0"/>
              <w:rPr>
                <w:sz w:val="14"/>
                <w:szCs w:val="14"/>
                <w:color w:val="auto"/>
              </w:rPr>
            </w:pPr>
          </w:p>
        </w:tc>
        <w:tc>
          <w:tcPr>
            <w:tcW w:w="116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8"/>
                <w:szCs w:val="18"/>
                <w:color w:val="auto"/>
                <w:w w:val="89"/>
              </w:rPr>
              <w:t>Balance at</w:t>
            </w:r>
          </w:p>
        </w:tc>
        <w:tc>
          <w:tcPr>
            <w:tcW w:w="0" w:type="dxa"/>
            <w:vAlign w:val="bottom"/>
          </w:tcPr>
          <w:p>
            <w:pPr>
              <w:spacing w:after="0"/>
              <w:rPr>
                <w:sz w:val="1"/>
                <w:szCs w:val="1"/>
                <w:color w:val="auto"/>
              </w:rPr>
            </w:pPr>
          </w:p>
        </w:tc>
      </w:tr>
      <w:tr>
        <w:trPr>
          <w:trHeight w:val="175"/>
        </w:trPr>
        <w:tc>
          <w:tcPr>
            <w:tcW w:w="310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Description</w:t>
            </w:r>
          </w:p>
        </w:tc>
        <w:tc>
          <w:tcPr>
            <w:tcW w:w="200" w:type="dxa"/>
            <w:vAlign w:val="bottom"/>
          </w:tcPr>
          <w:p>
            <w:pPr>
              <w:spacing w:after="0"/>
              <w:rPr>
                <w:sz w:val="15"/>
                <w:szCs w:val="15"/>
                <w:color w:val="auto"/>
              </w:rPr>
            </w:pPr>
          </w:p>
        </w:tc>
        <w:tc>
          <w:tcPr>
            <w:tcW w:w="1160" w:type="dxa"/>
            <w:vAlign w:val="bottom"/>
            <w:tcBorders>
              <w:right w:val="single" w:sz="8" w:color="auto"/>
            </w:tcBorders>
            <w:gridSpan w:val="2"/>
          </w:tcPr>
          <w:p>
            <w:pPr>
              <w:jc w:val="center"/>
              <w:ind w:right="220"/>
              <w:spacing w:after="0" w:line="176" w:lineRule="exact"/>
              <w:rPr>
                <w:sz w:val="20"/>
                <w:szCs w:val="20"/>
                <w:color w:val="auto"/>
              </w:rPr>
            </w:pPr>
            <w:r>
              <w:rPr>
                <w:rFonts w:ascii="Arial" w:cs="Arial" w:eastAsia="Arial" w:hAnsi="Arial"/>
                <w:sz w:val="18"/>
                <w:szCs w:val="18"/>
                <w:color w:val="auto"/>
                <w:w w:val="91"/>
              </w:rPr>
              <w:t>beginning of</w:t>
            </w:r>
          </w:p>
        </w:tc>
        <w:tc>
          <w:tcPr>
            <w:tcW w:w="1380" w:type="dxa"/>
            <w:vAlign w:val="bottom"/>
            <w:tcBorders>
              <w:right w:val="single" w:sz="8" w:color="auto"/>
            </w:tcBorders>
            <w:gridSpan w:val="2"/>
            <w:vMerge w:val="continue"/>
          </w:tcPr>
          <w:p>
            <w:pPr>
              <w:spacing w:after="0"/>
              <w:rPr>
                <w:sz w:val="15"/>
                <w:szCs w:val="15"/>
                <w:color w:val="auto"/>
              </w:rPr>
            </w:pPr>
          </w:p>
        </w:tc>
        <w:tc>
          <w:tcPr>
            <w:tcW w:w="1380" w:type="dxa"/>
            <w:vAlign w:val="bottom"/>
            <w:tcBorders>
              <w:right w:val="single" w:sz="8" w:color="auto"/>
            </w:tcBorders>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5"/>
                <w:szCs w:val="15"/>
                <w:color w:val="auto"/>
              </w:rPr>
            </w:pPr>
          </w:p>
        </w:tc>
        <w:tc>
          <w:tcPr>
            <w:tcW w:w="1120" w:type="dxa"/>
            <w:vAlign w:val="bottom"/>
            <w:tcBorders>
              <w:right w:val="single" w:sz="8" w:color="auto"/>
            </w:tcBorders>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00" w:type="dxa"/>
            <w:vAlign w:val="bottom"/>
            <w:tcBorders>
              <w:left w:val="single" w:sz="8" w:color="auto"/>
              <w:bottom w:val="single" w:sz="8" w:color="auto"/>
              <w:right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1"/>
              </w:rPr>
              <w:t>period</w:t>
            </w:r>
          </w:p>
        </w:tc>
        <w:tc>
          <w:tcPr>
            <w:tcW w:w="13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and expense</w:t>
            </w:r>
          </w:p>
        </w:tc>
        <w:tc>
          <w:tcPr>
            <w:tcW w:w="1380" w:type="dxa"/>
            <w:vAlign w:val="bottom"/>
            <w:tcBorders>
              <w:bottom w:val="single" w:sz="8" w:color="auto"/>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1"/>
              </w:rPr>
              <w:t>other accounts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5"/>
              </w:rPr>
              <w:t>– write-offs</w:t>
            </w:r>
          </w:p>
        </w:tc>
        <w:tc>
          <w:tcPr>
            <w:tcW w:w="136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end of period</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7106285"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Allowances deducted from assets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7106285" cy="2571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which they apply:</w:t>
      </w:r>
    </w:p>
    <w:p>
      <w:pPr>
        <w:spacing w:after="0" w:line="263" w:lineRule="exact"/>
        <w:rPr>
          <w:sz w:val="20"/>
          <w:szCs w:val="20"/>
          <w:color w:val="auto"/>
        </w:rPr>
      </w:pPr>
    </w:p>
    <w:p>
      <w:pPr>
        <w:ind w:left="40"/>
        <w:spacing w:after="0"/>
        <w:tabs>
          <w:tab w:leader="none" w:pos="4120" w:val="left"/>
          <w:tab w:leader="none" w:pos="5580" w:val="left"/>
          <w:tab w:leader="none" w:pos="6960" w:val="left"/>
          <w:tab w:leader="none" w:pos="8320" w:val="left"/>
          <w:tab w:leader="none" w:pos="9500" w:val="left"/>
          <w:tab w:leader="none" w:pos="10860" w:val="left"/>
        </w:tabs>
        <w:rPr>
          <w:sz w:val="20"/>
          <w:szCs w:val="20"/>
          <w:color w:val="auto"/>
        </w:rPr>
      </w:pPr>
      <w:r>
        <w:rPr>
          <w:rFonts w:ascii="Arial" w:cs="Arial" w:eastAsia="Arial" w:hAnsi="Arial"/>
          <w:sz w:val="18"/>
          <w:szCs w:val="18"/>
          <w:color w:val="auto"/>
        </w:rPr>
        <w:t>Deferred tax assets</w:t>
      </w:r>
      <w:r>
        <w:rPr>
          <w:sz w:val="20"/>
          <w:szCs w:val="20"/>
          <w:color w:val="auto"/>
        </w:rPr>
        <w:tab/>
      </w:r>
      <w:r>
        <w:rPr>
          <w:rFonts w:ascii="Arial" w:cs="Arial" w:eastAsia="Arial" w:hAnsi="Arial"/>
          <w:sz w:val="18"/>
          <w:szCs w:val="18"/>
          <w:color w:val="auto"/>
        </w:rPr>
        <w:t>204</w:t>
      </w:r>
      <w:r>
        <w:rPr>
          <w:sz w:val="20"/>
          <w:szCs w:val="20"/>
          <w:color w:val="auto"/>
        </w:rPr>
        <w:tab/>
      </w: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7106285"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7106285"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Allowances deducted from assets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7106285" cy="2571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which they apply:</w:t>
      </w:r>
    </w:p>
    <w:p>
      <w:pPr>
        <w:spacing w:after="0" w:line="263" w:lineRule="exact"/>
        <w:rPr>
          <w:sz w:val="20"/>
          <w:szCs w:val="20"/>
          <w:color w:val="auto"/>
        </w:rPr>
      </w:pPr>
    </w:p>
    <w:p>
      <w:pPr>
        <w:ind w:left="40"/>
        <w:spacing w:after="0"/>
        <w:tabs>
          <w:tab w:leader="none" w:pos="4120" w:val="left"/>
          <w:tab w:leader="none" w:pos="5500" w:val="left"/>
          <w:tab w:leader="none" w:pos="7040" w:val="left"/>
          <w:tab w:leader="none" w:pos="8320" w:val="left"/>
          <w:tab w:leader="none" w:pos="9500" w:val="left"/>
          <w:tab w:leader="none" w:pos="10860" w:val="left"/>
        </w:tabs>
        <w:rPr>
          <w:sz w:val="20"/>
          <w:szCs w:val="20"/>
          <w:color w:val="auto"/>
        </w:rPr>
      </w:pPr>
      <w:r>
        <w:rPr>
          <w:rFonts w:ascii="Arial" w:cs="Arial" w:eastAsia="Arial" w:hAnsi="Arial"/>
          <w:sz w:val="18"/>
          <w:szCs w:val="18"/>
          <w:color w:val="auto"/>
        </w:rPr>
        <w:t>Deferred tax assets</w:t>
      </w:r>
      <w:r>
        <w:rPr>
          <w:sz w:val="20"/>
          <w:szCs w:val="20"/>
          <w:color w:val="auto"/>
        </w:rPr>
        <w:tab/>
      </w: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w:t>
      </w:r>
      <w:r>
        <w:rPr>
          <w:sz w:val="20"/>
          <w:szCs w:val="20"/>
          <w:color w:val="auto"/>
        </w:rPr>
        <w:tab/>
      </w:r>
      <w:r>
        <w:rPr>
          <w:rFonts w:ascii="Arial" w:cs="Arial" w:eastAsia="Arial" w:hAnsi="Arial"/>
          <w:sz w:val="15"/>
          <w:szCs w:val="15"/>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7106285"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7106285"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Allowances deducted from assets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7106285" cy="2571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which they apply:</w:t>
      </w:r>
    </w:p>
    <w:p>
      <w:pPr>
        <w:spacing w:after="0" w:line="263" w:lineRule="exact"/>
        <w:rPr>
          <w:sz w:val="20"/>
          <w:szCs w:val="20"/>
          <w:color w:val="auto"/>
        </w:rPr>
      </w:pPr>
    </w:p>
    <w:p>
      <w:pPr>
        <w:ind w:left="40"/>
        <w:spacing w:after="0"/>
        <w:tabs>
          <w:tab w:leader="none" w:pos="4120" w:val="left"/>
          <w:tab w:leader="none" w:pos="5500" w:val="left"/>
          <w:tab w:leader="none" w:pos="7040" w:val="left"/>
          <w:tab w:leader="none" w:pos="8320" w:val="left"/>
          <w:tab w:leader="none" w:pos="9520" w:val="left"/>
          <w:tab w:leader="none" w:pos="10860" w:val="left"/>
        </w:tabs>
        <w:rPr>
          <w:sz w:val="20"/>
          <w:szCs w:val="20"/>
          <w:color w:val="auto"/>
        </w:rPr>
      </w:pPr>
      <w:r>
        <w:rPr>
          <w:rFonts w:ascii="Arial" w:cs="Arial" w:eastAsia="Arial" w:hAnsi="Arial"/>
          <w:sz w:val="18"/>
          <w:szCs w:val="18"/>
          <w:color w:val="auto"/>
        </w:rPr>
        <w:t>Deferred tax assets</w:t>
      </w:r>
      <w:r>
        <w:rPr>
          <w:sz w:val="20"/>
          <w:szCs w:val="20"/>
          <w:color w:val="auto"/>
        </w:rPr>
        <w:tab/>
      </w: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7106285"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177800</wp:posOffset>
            </wp:positionV>
            <wp:extent cx="71062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9.</w:t>
      </w:r>
      <w:r>
        <w:rPr>
          <w:sz w:val="20"/>
          <w:szCs w:val="20"/>
          <w:color w:val="auto"/>
        </w:rPr>
        <w:tab/>
      </w:r>
      <w:r>
        <w:rPr>
          <w:rFonts w:ascii="Arial" w:cs="Arial" w:eastAsia="Arial" w:hAnsi="Arial"/>
          <w:sz w:val="17"/>
          <w:szCs w:val="17"/>
          <w:u w:val="single" w:color="auto"/>
          <w:color w:val="auto"/>
        </w:rPr>
        <w:t>CHANGES IN AND DISAGREEMENTS WITH ACCOUNTANTS ON ACCOUNTING AND FINANCIAL DISCLOSURE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9A.</w:t>
      </w:r>
      <w:r>
        <w:rPr>
          <w:sz w:val="20"/>
          <w:szCs w:val="20"/>
          <w:color w:val="auto"/>
        </w:rPr>
        <w:tab/>
      </w:r>
      <w:r>
        <w:rPr>
          <w:rFonts w:ascii="Arial" w:cs="Arial" w:eastAsia="Arial" w:hAnsi="Arial"/>
          <w:sz w:val="17"/>
          <w:szCs w:val="17"/>
          <w:u w:val="single" w:color="auto"/>
          <w:color w:val="auto"/>
        </w:rPr>
        <w:t>CONTROLS AND PROCEDURES</w:t>
      </w:r>
    </w:p>
    <w:p>
      <w:pPr>
        <w:spacing w:after="0" w:line="3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the end of the period covered by this Annual Report on Form 10-K, management, including the Company’s Chief Executive Officer and Chief Financial Officer, has evaluated the effectiveness of the design and operation of its disclosure controls and procedures. Based upon that evaluation and as of the end of the period for which this report is made, the Company’s Chief Executive Officer and Chief Financial Officer concluded that the disclosure controls and procedures were effective to ensure that information to be disclosed in reports that the Company files and submits under the Exchange Act is recorded, processed, summarized and reported within the time periods specified in the rules and terms of the Securities and Exchange Commission, and to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 on internal control over financial reporting is included in Part II, Item 8 of this Annual Report on Form 10-K.</w:t>
      </w:r>
    </w:p>
    <w:p>
      <w:pPr>
        <w:spacing w:after="0" w:line="2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has been no change in internal control over financial reporting that occurred during the quarter ended December 31, 2021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9B.</w:t>
      </w:r>
      <w:r>
        <w:rPr>
          <w:sz w:val="20"/>
          <w:szCs w:val="20"/>
          <w:color w:val="auto"/>
        </w:rPr>
        <w:tab/>
      </w:r>
      <w:r>
        <w:rPr>
          <w:rFonts w:ascii="Arial" w:cs="Arial" w:eastAsia="Arial" w:hAnsi="Arial"/>
          <w:sz w:val="17"/>
          <w:szCs w:val="17"/>
          <w:u w:val="single" w:color="auto"/>
          <w:color w:val="auto"/>
        </w:rPr>
        <w:t>OTHER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9C.</w:t>
      </w:r>
      <w:r>
        <w:rPr>
          <w:sz w:val="20"/>
          <w:szCs w:val="20"/>
          <w:color w:val="auto"/>
        </w:rPr>
        <w:tab/>
      </w:r>
      <w:r>
        <w:rPr>
          <w:rFonts w:ascii="Arial" w:cs="Arial" w:eastAsia="Arial" w:hAnsi="Arial"/>
          <w:sz w:val="17"/>
          <w:szCs w:val="17"/>
          <w:u w:val="single" w:color="auto"/>
          <w:color w:val="auto"/>
        </w:rPr>
        <w:t>DISCLOSURE REGARDING FOREIGN JURISDICTIONS THAT PREVENT INSPECTIONS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54"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10.</w:t>
      </w:r>
      <w:r>
        <w:rPr>
          <w:sz w:val="20"/>
          <w:szCs w:val="20"/>
          <w:color w:val="auto"/>
        </w:rPr>
        <w:tab/>
      </w:r>
      <w:r>
        <w:rPr>
          <w:rFonts w:ascii="Arial" w:cs="Arial" w:eastAsia="Arial" w:hAnsi="Arial"/>
          <w:sz w:val="17"/>
          <w:szCs w:val="17"/>
          <w:u w:val="single" w:color="auto"/>
          <w:color w:val="auto"/>
        </w:rPr>
        <w:t>DIRECTORS, EXECUTIVE OFFICERS AND CORPORATE GOVERNANCE</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within the sections entitled “Election of Directors,” “Section 16(a) Beneficial Ownership Reporting Compliance” and “Corporate Governance” and is incorporated herein by reference.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concerning the principal executive officers of the Company, including their ages and positions.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0" w:type="dxa"/>
            <w:vAlign w:val="bottom"/>
            <w:gridSpan w:val="2"/>
          </w:tcPr>
          <w:p>
            <w:pPr>
              <w:ind w:left="960"/>
              <w:spacing w:after="0"/>
              <w:rPr>
                <w:sz w:val="20"/>
                <w:szCs w:val="20"/>
                <w:color w:val="auto"/>
              </w:rPr>
            </w:pPr>
            <w:r>
              <w:rPr>
                <w:rFonts w:ascii="Arial" w:cs="Arial" w:eastAsia="Arial" w:hAnsi="Arial"/>
                <w:sz w:val="18"/>
                <w:szCs w:val="18"/>
                <w:b w:val="1"/>
                <w:bCs w:val="1"/>
                <w:color w:val="auto"/>
                <w:w w:val="97"/>
              </w:rPr>
              <w:t>Year Assumed</w:t>
            </w:r>
          </w:p>
        </w:tc>
      </w:tr>
      <w:tr>
        <w:trPr>
          <w:trHeight w:val="194"/>
        </w:trPr>
        <w:tc>
          <w:tcPr>
            <w:tcW w:w="460" w:type="dxa"/>
            <w:vAlign w:val="bottom"/>
          </w:tcPr>
          <w:p>
            <w:pPr>
              <w:spacing w:after="0" w:line="194" w:lineRule="exact"/>
              <w:rPr>
                <w:sz w:val="20"/>
                <w:szCs w:val="20"/>
                <w:color w:val="auto"/>
              </w:rPr>
            </w:pPr>
            <w:r>
              <w:rPr>
                <w:rFonts w:ascii="Arial" w:cs="Arial" w:eastAsia="Arial" w:hAnsi="Arial"/>
                <w:sz w:val="18"/>
                <w:szCs w:val="18"/>
                <w:b w:val="1"/>
                <w:bCs w:val="1"/>
                <w:color w:val="auto"/>
                <w:w w:val="89"/>
              </w:rPr>
              <w:t>Name</w:t>
            </w:r>
          </w:p>
        </w:tc>
        <w:tc>
          <w:tcPr>
            <w:tcW w:w="2400" w:type="dxa"/>
            <w:vAlign w:val="bottom"/>
          </w:tcPr>
          <w:p>
            <w:pPr>
              <w:spacing w:after="0"/>
              <w:rPr>
                <w:sz w:val="16"/>
                <w:szCs w:val="16"/>
                <w:color w:val="auto"/>
              </w:rPr>
            </w:pPr>
          </w:p>
        </w:tc>
        <w:tc>
          <w:tcPr>
            <w:tcW w:w="500" w:type="dxa"/>
            <w:vAlign w:val="bottom"/>
            <w:gridSpan w:val="2"/>
          </w:tcPr>
          <w:p>
            <w:pPr>
              <w:jc w:val="right"/>
              <w:ind w:right="200"/>
              <w:spacing w:after="0" w:line="194" w:lineRule="exact"/>
              <w:rPr>
                <w:sz w:val="20"/>
                <w:szCs w:val="20"/>
                <w:color w:val="auto"/>
              </w:rPr>
            </w:pPr>
            <w:r>
              <w:rPr>
                <w:rFonts w:ascii="Arial" w:cs="Arial" w:eastAsia="Arial" w:hAnsi="Arial"/>
                <w:sz w:val="18"/>
                <w:szCs w:val="18"/>
                <w:b w:val="1"/>
                <w:bCs w:val="1"/>
                <w:color w:val="auto"/>
                <w:w w:val="82"/>
              </w:rPr>
              <w:t>Age</w:t>
            </w:r>
          </w:p>
        </w:tc>
        <w:tc>
          <w:tcPr>
            <w:tcW w:w="2760" w:type="dxa"/>
            <w:vAlign w:val="bottom"/>
          </w:tcPr>
          <w:p>
            <w:pPr>
              <w:spacing w:after="0"/>
              <w:rPr>
                <w:sz w:val="16"/>
                <w:szCs w:val="16"/>
                <w:color w:val="auto"/>
              </w:rPr>
            </w:pPr>
          </w:p>
        </w:tc>
        <w:tc>
          <w:tcPr>
            <w:tcW w:w="22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Title</w:t>
            </w:r>
          </w:p>
        </w:tc>
        <w:tc>
          <w:tcPr>
            <w:tcW w:w="1220" w:type="dxa"/>
            <w:vAlign w:val="bottom"/>
          </w:tcPr>
          <w:p>
            <w:pPr>
              <w:spacing w:after="0"/>
              <w:rPr>
                <w:sz w:val="16"/>
                <w:szCs w:val="16"/>
                <w:color w:val="auto"/>
              </w:rPr>
            </w:pPr>
          </w:p>
        </w:tc>
        <w:tc>
          <w:tcPr>
            <w:tcW w:w="9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0"/>
              </w:rPr>
              <w:t>Present Title</w:t>
            </w:r>
          </w:p>
        </w:tc>
      </w:tr>
      <w:tr>
        <w:trPr>
          <w:trHeight w:val="20"/>
        </w:trPr>
        <w:tc>
          <w:tcPr>
            <w:tcW w:w="4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465"/>
        </w:trPr>
        <w:tc>
          <w:tcPr>
            <w:tcW w:w="2860" w:type="dxa"/>
            <w:vAlign w:val="bottom"/>
            <w:gridSpan w:val="2"/>
          </w:tcPr>
          <w:p>
            <w:pPr>
              <w:spacing w:after="0"/>
              <w:rPr>
                <w:sz w:val="20"/>
                <w:szCs w:val="20"/>
                <w:color w:val="auto"/>
              </w:rPr>
            </w:pPr>
            <w:r>
              <w:rPr>
                <w:rFonts w:ascii="Arial" w:cs="Arial" w:eastAsia="Arial" w:hAnsi="Arial"/>
                <w:sz w:val="18"/>
                <w:szCs w:val="18"/>
                <w:color w:val="auto"/>
              </w:rPr>
              <w:t>Timothy J. Donahue</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President and Chief Executive Officer</w:t>
            </w:r>
          </w:p>
        </w:tc>
        <w:tc>
          <w:tcPr>
            <w:tcW w:w="220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2016</w:t>
            </w: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Gerard H. Gifford</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and Chief Operating Officer</w:t>
            </w:r>
          </w:p>
        </w:tc>
        <w:tc>
          <w:tcPr>
            <w:tcW w:w="220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2017</w:t>
            </w:r>
          </w:p>
        </w:tc>
      </w:tr>
      <w:tr>
        <w:trPr>
          <w:trHeight w:val="229"/>
        </w:trPr>
        <w:tc>
          <w:tcPr>
            <w:tcW w:w="2860" w:type="dxa"/>
            <w:vAlign w:val="bottom"/>
            <w:gridSpan w:val="2"/>
          </w:tcPr>
          <w:p>
            <w:pPr>
              <w:spacing w:after="0"/>
              <w:rPr>
                <w:sz w:val="20"/>
                <w:szCs w:val="20"/>
                <w:color w:val="auto"/>
              </w:rPr>
            </w:pPr>
            <w:r>
              <w:rPr>
                <w:rFonts w:ascii="Arial" w:cs="Arial" w:eastAsia="Arial" w:hAnsi="Arial"/>
                <w:sz w:val="18"/>
                <w:szCs w:val="18"/>
                <w:color w:val="auto"/>
              </w:rPr>
              <w:t>Djalma Novaes, Jr.</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President – Americas Division</w:t>
            </w:r>
          </w:p>
        </w:tc>
        <w:tc>
          <w:tcPr>
            <w:tcW w:w="220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2015</w:t>
            </w: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Hock Huat Goh</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President – Asia Pacific Division</w:t>
            </w:r>
          </w:p>
        </w:tc>
        <w:tc>
          <w:tcPr>
            <w:tcW w:w="220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2018</w:t>
            </w:r>
          </w:p>
        </w:tc>
      </w:tr>
      <w:tr>
        <w:trPr>
          <w:trHeight w:val="224"/>
        </w:trPr>
        <w:tc>
          <w:tcPr>
            <w:tcW w:w="2860" w:type="dxa"/>
            <w:vAlign w:val="bottom"/>
            <w:gridSpan w:val="2"/>
          </w:tcPr>
          <w:p>
            <w:pPr>
              <w:spacing w:after="0"/>
              <w:rPr>
                <w:sz w:val="20"/>
                <w:szCs w:val="20"/>
                <w:color w:val="auto"/>
              </w:rPr>
            </w:pPr>
            <w:r>
              <w:rPr>
                <w:rFonts w:ascii="Arial" w:cs="Arial" w:eastAsia="Arial" w:hAnsi="Arial"/>
                <w:sz w:val="18"/>
                <w:szCs w:val="18"/>
                <w:color w:val="auto"/>
              </w:rPr>
              <w:t>Robert H. Bourque, Jr.</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President – Transit Packaging Division</w:t>
            </w:r>
          </w:p>
        </w:tc>
        <w:tc>
          <w:tcPr>
            <w:tcW w:w="220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2018</w:t>
            </w:r>
          </w:p>
        </w:tc>
      </w:tr>
      <w:tr>
        <w:trPr>
          <w:trHeight w:val="230"/>
        </w:trPr>
        <w:tc>
          <w:tcPr>
            <w:tcW w:w="2860" w:type="dxa"/>
            <w:vAlign w:val="bottom"/>
            <w:gridSpan w:val="2"/>
          </w:tcPr>
          <w:p>
            <w:pPr>
              <w:spacing w:after="0" w:line="230" w:lineRule="exact"/>
              <w:rPr>
                <w:sz w:val="20"/>
                <w:szCs w:val="20"/>
                <w:color w:val="auto"/>
              </w:rPr>
            </w:pPr>
            <w:r>
              <w:rPr>
                <w:rFonts w:ascii="Arial" w:cs="Arial" w:eastAsia="Arial" w:hAnsi="Arial"/>
                <w:sz w:val="18"/>
                <w:szCs w:val="18"/>
                <w:color w:val="auto"/>
              </w:rPr>
              <w:t>Thomas A. Kelly</w:t>
            </w:r>
            <w:r>
              <w:rPr>
                <w:rFonts w:ascii="Arial" w:cs="Arial" w:eastAsia="Arial" w:hAnsi="Arial"/>
                <w:sz w:val="23"/>
                <w:szCs w:val="23"/>
                <w:color w:val="auto"/>
                <w:vertAlign w:val="superscript"/>
              </w:rPr>
              <w:t>(1)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Senior Vice President</w:t>
            </w:r>
          </w:p>
        </w:tc>
        <w:tc>
          <w:tcPr>
            <w:tcW w:w="220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2022</w:t>
            </w:r>
          </w:p>
        </w:tc>
      </w:tr>
      <w:tr>
        <w:trPr>
          <w:trHeight w:val="235"/>
        </w:trPr>
        <w:tc>
          <w:tcPr>
            <w:tcW w:w="2860" w:type="dxa"/>
            <w:vAlign w:val="bottom"/>
            <w:gridSpan w:val="2"/>
          </w:tcPr>
          <w:p>
            <w:pPr>
              <w:spacing w:after="0" w:line="235" w:lineRule="exact"/>
              <w:rPr>
                <w:sz w:val="20"/>
                <w:szCs w:val="20"/>
                <w:color w:val="auto"/>
              </w:rPr>
            </w:pPr>
            <w:r>
              <w:rPr>
                <w:rFonts w:ascii="Arial" w:cs="Arial" w:eastAsia="Arial" w:hAnsi="Arial"/>
                <w:sz w:val="18"/>
                <w:szCs w:val="18"/>
                <w:color w:val="auto"/>
              </w:rPr>
              <w:t>Kevin C. Clothier</w:t>
            </w:r>
            <w:r>
              <w:rPr>
                <w:rFonts w:ascii="Arial" w:cs="Arial" w:eastAsia="Arial" w:hAnsi="Arial"/>
                <w:sz w:val="23"/>
                <w:szCs w:val="23"/>
                <w:color w:val="auto"/>
                <w:vertAlign w:val="superscript"/>
              </w:rPr>
              <w:t>(1)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Senior Vice President and Chief Financial Officer</w:t>
            </w:r>
          </w:p>
        </w:tc>
        <w:tc>
          <w:tcPr>
            <w:tcW w:w="220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2022</w:t>
            </w: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Christy L. Kalaus</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Vice President and Corporate Controller</w:t>
            </w:r>
          </w:p>
        </w:tc>
        <w:tc>
          <w:tcPr>
            <w:tcW w:w="220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2022</w:t>
            </w:r>
          </w:p>
        </w:tc>
      </w:tr>
    </w:tbl>
    <w:p>
      <w:pPr>
        <w:spacing w:after="0" w:line="323" w:lineRule="exact"/>
        <w:rPr>
          <w:sz w:val="20"/>
          <w:szCs w:val="20"/>
          <w:color w:val="auto"/>
        </w:rPr>
      </w:pPr>
    </w:p>
    <w:p>
      <w:pPr>
        <w:ind w:right="600" w:firstLine="8"/>
        <w:spacing w:after="0" w:line="267" w:lineRule="auto"/>
        <w:tabs>
          <w:tab w:leader="none" w:pos="181"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Thomas A. Kelly stepped down as the Chief Financial Officer on December 31, 2021 and will retire from the Company in March 2022. Kevin C. Clothier, was appointed to the role of Senior Vice President and Chief Financial Officer, effective January 1, 2022.</w:t>
      </w:r>
    </w:p>
    <w:p>
      <w:pPr>
        <w:spacing w:after="0" w:line="242"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11.</w:t>
      </w:r>
      <w:r>
        <w:rPr>
          <w:sz w:val="20"/>
          <w:szCs w:val="20"/>
          <w:color w:val="auto"/>
        </w:rPr>
        <w:tab/>
      </w:r>
      <w:r>
        <w:rPr>
          <w:rFonts w:ascii="Arial" w:cs="Arial" w:eastAsia="Arial" w:hAnsi="Arial"/>
          <w:sz w:val="17"/>
          <w:szCs w:val="17"/>
          <w:u w:val="single" w:color="auto"/>
          <w:color w:val="auto"/>
        </w:rPr>
        <w:t>EXECUTIVE COMPENSATION</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within the sections entitled “Executive Compensation,” “Compensation Discussion and Analysis” and “Corporate Governance”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340" w:right="520" w:hanging="1322"/>
        <w:spacing w:after="0" w:line="235" w:lineRule="auto"/>
        <w:tabs>
          <w:tab w:leader="none" w:pos="1320" w:val="left"/>
        </w:tabs>
        <w:rPr>
          <w:sz w:val="20"/>
          <w:szCs w:val="20"/>
          <w:color w:val="auto"/>
        </w:rPr>
      </w:pPr>
      <w:r>
        <w:rPr>
          <w:rFonts w:ascii="Arial" w:cs="Arial" w:eastAsia="Arial" w:hAnsi="Arial"/>
          <w:sz w:val="18"/>
          <w:szCs w:val="18"/>
          <w:u w:val="single" w:color="auto"/>
          <w:color w:val="auto"/>
        </w:rPr>
        <w:t>ITEM 12.</w:t>
      </w:r>
      <w:r>
        <w:rPr>
          <w:sz w:val="20"/>
          <w:szCs w:val="20"/>
          <w:color w:val="auto"/>
        </w:rPr>
        <w:tab/>
      </w:r>
      <w:r>
        <w:rPr>
          <w:rFonts w:ascii="Arial" w:cs="Arial" w:eastAsia="Arial" w:hAnsi="Arial"/>
          <w:sz w:val="18"/>
          <w:szCs w:val="18"/>
          <w:u w:val="single" w:color="auto"/>
          <w:color w:val="auto"/>
        </w:rPr>
        <w:t>SECURITY OWNERSHIP OF CERTAIN BENEFICIAL OWNERS AND MANAGEMENT AND RELATED STOCKHOLDER MATTERS</w:t>
      </w:r>
    </w:p>
    <w:p>
      <w:pPr>
        <w:spacing w:after="0" w:line="3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Certain information required by this Item is set forth in the Company’s Proxy Statement within the sections entitled “Proxy Statement – Meeting, April 28, 2022” and “Common Stock Ownership of Certain Beneficial Owners, Directors and Executive Officers” and is incorporated herein by reference.</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following table provides information as of December 31, 2021 with respect to shares of the Company’s Common Stock that may be issued under its equity compensation plans:</w:t>
      </w:r>
    </w:p>
    <w:p>
      <w:pPr>
        <w:spacing w:after="0" w:line="2"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91"/>
              </w:rPr>
              <w:t>Equity Compensation Plan Information</w:t>
            </w:r>
          </w:p>
        </w:tc>
        <w:tc>
          <w:tcPr>
            <w:tcW w:w="1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91"/>
              </w:rPr>
              <w:t>Number of Securities</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2"/>
              </w:rPr>
              <w:t>Remaining Available</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2000" w:type="dxa"/>
            <w:vAlign w:val="bottom"/>
            <w:vMerge w:val="restart"/>
          </w:tcPr>
          <w:p>
            <w:pPr>
              <w:jc w:val="center"/>
              <w:ind w:left="50"/>
              <w:spacing w:after="0"/>
              <w:rPr>
                <w:sz w:val="20"/>
                <w:szCs w:val="20"/>
                <w:color w:val="auto"/>
              </w:rPr>
            </w:pPr>
            <w:r>
              <w:rPr>
                <w:rFonts w:ascii="Arial" w:cs="Arial" w:eastAsia="Arial" w:hAnsi="Arial"/>
                <w:sz w:val="18"/>
                <w:szCs w:val="18"/>
                <w:color w:val="auto"/>
                <w:w w:val="91"/>
              </w:rPr>
              <w:t>Number of Securities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8"/>
              </w:rPr>
              <w:t>For Future Issuance</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vMerge w:val="restart"/>
          </w:tcPr>
          <w:p>
            <w:pPr>
              <w:jc w:val="center"/>
              <w:ind w:right="460"/>
              <w:spacing w:after="0"/>
              <w:rPr>
                <w:sz w:val="20"/>
                <w:szCs w:val="20"/>
                <w:color w:val="auto"/>
              </w:rPr>
            </w:pPr>
            <w:r>
              <w:rPr>
                <w:rFonts w:ascii="Arial" w:cs="Arial" w:eastAsia="Arial" w:hAnsi="Arial"/>
                <w:sz w:val="18"/>
                <w:szCs w:val="18"/>
                <w:color w:val="auto"/>
                <w:w w:val="88"/>
              </w:rPr>
              <w:t>Weighted average Exercise</w:t>
            </w:r>
          </w:p>
        </w:tc>
        <w:tc>
          <w:tcPr>
            <w:tcW w:w="19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4"/>
              </w:rPr>
              <w:t>Under Equity</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2000" w:type="dxa"/>
            <w:vAlign w:val="bottom"/>
          </w:tcPr>
          <w:p>
            <w:pPr>
              <w:jc w:val="center"/>
              <w:ind w:left="50"/>
              <w:spacing w:after="0" w:line="176" w:lineRule="exact"/>
              <w:rPr>
                <w:sz w:val="20"/>
                <w:szCs w:val="20"/>
                <w:color w:val="auto"/>
              </w:rPr>
            </w:pPr>
            <w:r>
              <w:rPr>
                <w:rFonts w:ascii="Arial" w:cs="Arial" w:eastAsia="Arial" w:hAnsi="Arial"/>
                <w:sz w:val="18"/>
                <w:szCs w:val="18"/>
                <w:color w:val="auto"/>
                <w:w w:val="88"/>
              </w:rPr>
              <w:t>to be Issued Upon</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98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9"/>
              </w:rPr>
              <w:t>Compensation</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200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1"/>
              </w:rPr>
              <w:t>Exercise of Outstanding</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tcPr>
          <w:p>
            <w:pPr>
              <w:jc w:val="center"/>
              <w:ind w:right="460"/>
              <w:spacing w:after="0" w:line="176" w:lineRule="exact"/>
              <w:rPr>
                <w:sz w:val="20"/>
                <w:szCs w:val="20"/>
                <w:color w:val="auto"/>
              </w:rPr>
            </w:pPr>
            <w:r>
              <w:rPr>
                <w:rFonts w:ascii="Arial" w:cs="Arial" w:eastAsia="Arial" w:hAnsi="Arial"/>
                <w:sz w:val="18"/>
                <w:szCs w:val="18"/>
                <w:color w:val="auto"/>
                <w:w w:val="94"/>
              </w:rPr>
              <w:t>Price of</w:t>
            </w:r>
          </w:p>
        </w:tc>
        <w:tc>
          <w:tcPr>
            <w:tcW w:w="19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0"/>
              </w:rPr>
              <w:t>Plans (Excluding</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2000" w:type="dxa"/>
            <w:vAlign w:val="bottom"/>
          </w:tcPr>
          <w:p>
            <w:pPr>
              <w:jc w:val="center"/>
              <w:ind w:left="50"/>
              <w:spacing w:after="0" w:line="176" w:lineRule="exact"/>
              <w:rPr>
                <w:sz w:val="20"/>
                <w:szCs w:val="20"/>
                <w:color w:val="auto"/>
              </w:rPr>
            </w:pPr>
            <w:r>
              <w:rPr>
                <w:rFonts w:ascii="Arial" w:cs="Arial" w:eastAsia="Arial" w:hAnsi="Arial"/>
                <w:sz w:val="18"/>
                <w:szCs w:val="18"/>
                <w:color w:val="auto"/>
                <w:w w:val="89"/>
              </w:rPr>
              <w:t>Options, Warrants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tcPr>
          <w:p>
            <w:pPr>
              <w:jc w:val="center"/>
              <w:ind w:right="460"/>
              <w:spacing w:after="0" w:line="176" w:lineRule="exact"/>
              <w:rPr>
                <w:sz w:val="20"/>
                <w:szCs w:val="20"/>
                <w:color w:val="auto"/>
              </w:rPr>
            </w:pPr>
            <w:r>
              <w:rPr>
                <w:rFonts w:ascii="Arial" w:cs="Arial" w:eastAsia="Arial" w:hAnsi="Arial"/>
                <w:sz w:val="18"/>
                <w:szCs w:val="18"/>
                <w:color w:val="auto"/>
                <w:w w:val="91"/>
              </w:rPr>
              <w:t>Outstanding Options,</w:t>
            </w:r>
          </w:p>
        </w:tc>
        <w:tc>
          <w:tcPr>
            <w:tcW w:w="19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1"/>
              </w:rPr>
              <w:t>Securities Reflected</w:t>
            </w:r>
          </w:p>
        </w:tc>
        <w:tc>
          <w:tcPr>
            <w:tcW w:w="0" w:type="dxa"/>
            <w:vAlign w:val="bottom"/>
          </w:tcPr>
          <w:p>
            <w:pPr>
              <w:spacing w:after="0"/>
              <w:rPr>
                <w:sz w:val="1"/>
                <w:szCs w:val="1"/>
                <w:color w:val="auto"/>
              </w:rPr>
            </w:pPr>
          </w:p>
        </w:tc>
      </w:tr>
      <w:tr>
        <w:trPr>
          <w:trHeight w:val="175"/>
        </w:trPr>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Plan category</w:t>
            </w:r>
          </w:p>
        </w:tc>
        <w:tc>
          <w:tcPr>
            <w:tcW w:w="200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0"/>
              </w:rPr>
              <w:t>and Rights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tcPr>
          <w:p>
            <w:pPr>
              <w:jc w:val="center"/>
              <w:ind w:right="460"/>
              <w:spacing w:after="0" w:line="176" w:lineRule="exact"/>
              <w:rPr>
                <w:sz w:val="20"/>
                <w:szCs w:val="20"/>
                <w:color w:val="auto"/>
              </w:rPr>
            </w:pPr>
            <w:r>
              <w:rPr>
                <w:rFonts w:ascii="Arial" w:cs="Arial" w:eastAsia="Arial" w:hAnsi="Arial"/>
                <w:sz w:val="18"/>
                <w:szCs w:val="18"/>
                <w:color w:val="auto"/>
                <w:w w:val="88"/>
              </w:rPr>
              <w:t>Warrants and Rights</w:t>
            </w:r>
          </w:p>
        </w:tc>
        <w:tc>
          <w:tcPr>
            <w:tcW w:w="198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In Column (a))</w:t>
            </w:r>
          </w:p>
        </w:tc>
        <w:tc>
          <w:tcPr>
            <w:tcW w:w="0" w:type="dxa"/>
            <w:vAlign w:val="bottom"/>
          </w:tcPr>
          <w:p>
            <w:pPr>
              <w:spacing w:after="0"/>
              <w:rPr>
                <w:sz w:val="1"/>
                <w:szCs w:val="1"/>
                <w:color w:val="auto"/>
              </w:rPr>
            </w:pPr>
          </w:p>
        </w:tc>
      </w:tr>
      <w:tr>
        <w:trPr>
          <w:trHeight w:val="230"/>
        </w:trPr>
        <w:tc>
          <w:tcPr>
            <w:tcW w:w="3380" w:type="dxa"/>
            <w:vAlign w:val="bottom"/>
            <w:vMerge w:val="continue"/>
          </w:tcPr>
          <w:p>
            <w:pPr>
              <w:spacing w:after="0"/>
              <w:rPr>
                <w:sz w:val="19"/>
                <w:szCs w:val="19"/>
                <w:color w:val="auto"/>
              </w:rPr>
            </w:pPr>
          </w:p>
        </w:tc>
        <w:tc>
          <w:tcPr>
            <w:tcW w:w="2000" w:type="dxa"/>
            <w:vAlign w:val="bottom"/>
          </w:tcPr>
          <w:p>
            <w:pPr>
              <w:jc w:val="center"/>
              <w:ind w:left="70"/>
              <w:spacing w:after="0"/>
              <w:rPr>
                <w:sz w:val="20"/>
                <w:szCs w:val="20"/>
                <w:color w:val="auto"/>
              </w:rPr>
            </w:pPr>
            <w:r>
              <w:rPr>
                <w:rFonts w:ascii="Arial" w:cs="Arial" w:eastAsia="Arial" w:hAnsi="Arial"/>
                <w:sz w:val="18"/>
                <w:szCs w:val="18"/>
                <w:color w:val="auto"/>
                <w:w w:val="90"/>
              </w:rPr>
              <w:t>(a)</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gridSpan w:val="3"/>
          </w:tcPr>
          <w:p>
            <w:pPr>
              <w:jc w:val="center"/>
              <w:ind w:right="460"/>
              <w:spacing w:after="0"/>
              <w:rPr>
                <w:sz w:val="20"/>
                <w:szCs w:val="20"/>
                <w:color w:val="auto"/>
              </w:rPr>
            </w:pPr>
            <w:r>
              <w:rPr>
                <w:rFonts w:ascii="Arial" w:cs="Arial" w:eastAsia="Arial" w:hAnsi="Arial"/>
                <w:sz w:val="18"/>
                <w:szCs w:val="18"/>
                <w:color w:val="auto"/>
                <w:w w:val="99"/>
              </w:rPr>
              <w:t>(b)</w:t>
            </w:r>
          </w:p>
        </w:tc>
        <w:tc>
          <w:tcPr>
            <w:tcW w:w="1980" w:type="dxa"/>
            <w:vAlign w:val="bottom"/>
          </w:tcPr>
          <w:p>
            <w:pPr>
              <w:jc w:val="center"/>
              <w:ind w:right="13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75"/>
        </w:trPr>
        <w:tc>
          <w:tcPr>
            <w:tcW w:w="3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compensation plans</w:t>
            </w:r>
          </w:p>
        </w:tc>
        <w:tc>
          <w:tcPr>
            <w:tcW w:w="2000" w:type="dxa"/>
            <w:vAlign w:val="bottom"/>
            <w:vMerge w:val="restart"/>
            <w:shd w:val="clear" w:color="auto" w:fill="CCEEFF"/>
          </w:tcPr>
          <w:p>
            <w:pPr>
              <w:jc w:val="center"/>
              <w:ind w:left="50"/>
              <w:spacing w:after="0"/>
              <w:rPr>
                <w:sz w:val="20"/>
                <w:szCs w:val="20"/>
                <w:color w:val="auto"/>
              </w:rPr>
            </w:pPr>
            <w:r>
              <w:rPr>
                <w:rFonts w:ascii="Arial" w:cs="Arial" w:eastAsia="Arial" w:hAnsi="Arial"/>
                <w:sz w:val="18"/>
                <w:szCs w:val="18"/>
                <w:color w:val="auto"/>
                <w:w w:val="89"/>
              </w:rPr>
              <w:t>220,669</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0" w:type="dxa"/>
            <w:vAlign w:val="bottom"/>
            <w:gridSpan w:val="3"/>
            <w:vMerge w:val="restart"/>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980" w:type="dxa"/>
            <w:vAlign w:val="bottom"/>
            <w:vMerge w:val="restart"/>
            <w:shd w:val="clear" w:color="auto" w:fill="CCEEFF"/>
          </w:tcPr>
          <w:p>
            <w:pPr>
              <w:jc w:val="center"/>
              <w:ind w:right="110"/>
              <w:spacing w:after="0"/>
              <w:rPr>
                <w:sz w:val="20"/>
                <w:szCs w:val="20"/>
                <w:color w:val="auto"/>
              </w:rPr>
            </w:pPr>
            <w:r>
              <w:rPr>
                <w:rFonts w:ascii="Arial" w:cs="Arial" w:eastAsia="Arial" w:hAnsi="Arial"/>
                <w:sz w:val="18"/>
                <w:szCs w:val="18"/>
                <w:color w:val="auto"/>
                <w:w w:val="87"/>
              </w:rPr>
              <w:t>2,902,113</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approved by security holders</w:t>
            </w:r>
          </w:p>
        </w:tc>
        <w:tc>
          <w:tcPr>
            <w:tcW w:w="20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0" w:type="dxa"/>
            <w:vAlign w:val="bottom"/>
            <w:gridSpan w:val="3"/>
            <w:vMerge w:val="continue"/>
            <w:shd w:val="clear" w:color="auto" w:fill="CCEEFF"/>
          </w:tcPr>
          <w:p>
            <w:pPr>
              <w:spacing w:after="0"/>
              <w:rPr>
                <w:sz w:val="19"/>
                <w:szCs w:val="19"/>
                <w:color w:val="auto"/>
              </w:rPr>
            </w:pPr>
          </w:p>
        </w:tc>
        <w:tc>
          <w:tcPr>
            <w:tcW w:w="1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line="176" w:lineRule="exact"/>
              <w:rPr>
                <w:sz w:val="20"/>
                <w:szCs w:val="20"/>
                <w:color w:val="auto"/>
              </w:rPr>
            </w:pPr>
            <w:r>
              <w:rPr>
                <w:rFonts w:ascii="Arial" w:cs="Arial" w:eastAsia="Arial" w:hAnsi="Arial"/>
                <w:sz w:val="18"/>
                <w:szCs w:val="18"/>
                <w:color w:val="auto"/>
              </w:rPr>
              <w:t>Equity compensation plans not</w:t>
            </w: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approved by security holders</w:t>
            </w:r>
          </w:p>
        </w:tc>
        <w:tc>
          <w:tcPr>
            <w:tcW w:w="2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9"/>
              </w:rPr>
              <w:t>220,669</w:t>
            </w: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87"/>
              </w:rPr>
              <w:t>2,902,113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720" w:hanging="388"/>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the 2013 Stock-Based Incentive Compensation Plan.</w:t>
      </w:r>
    </w:p>
    <w:p>
      <w:pPr>
        <w:spacing w:after="0" w:line="252" w:lineRule="exact"/>
        <w:rPr>
          <w:rFonts w:ascii="Arial" w:cs="Arial" w:eastAsia="Arial" w:hAnsi="Arial"/>
          <w:sz w:val="18"/>
          <w:szCs w:val="18"/>
          <w:color w:val="auto"/>
        </w:rPr>
      </w:pPr>
    </w:p>
    <w:p>
      <w:pPr>
        <w:jc w:val="both"/>
        <w:ind w:left="820" w:hanging="488"/>
        <w:spacing w:after="0" w:line="263" w:lineRule="auto"/>
        <w:tabs>
          <w:tab w:leader="none" w:pos="8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220,669 shares of deferred stock awarded from the 2013 Stock-Based Incentive Compensation Plan during each year from 2013 through 2021. The shares are time-vesting and will be issued up to four years from their grant date. The weighted-average exercise price in the table does not include these shares.</w:t>
      </w:r>
    </w:p>
    <w:p>
      <w:pPr>
        <w:spacing w:after="0" w:line="210" w:lineRule="exact"/>
        <w:rPr>
          <w:rFonts w:ascii="Arial" w:cs="Arial" w:eastAsia="Arial" w:hAnsi="Arial"/>
          <w:sz w:val="18"/>
          <w:szCs w:val="18"/>
          <w:color w:val="auto"/>
        </w:rPr>
      </w:pPr>
    </w:p>
    <w:p>
      <w:pPr>
        <w:ind w:left="820" w:hanging="488"/>
        <w:spacing w:after="0" w:line="308" w:lineRule="auto"/>
        <w:tabs>
          <w:tab w:leader="none" w:pos="589"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2,376,677, 707,490 and 38,615 shares available for issuance at December 31, 2021 under the 2013 Stock Based Incentive Compensation Plan, the Company’s Employee Stock Purchase Plan, and the Stock Compensation Plan for Non-Employee Directors.</w:t>
      </w:r>
    </w:p>
    <w:p>
      <w:pPr>
        <w:spacing w:after="0" w:line="214"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13.</w:t>
      </w:r>
      <w:r>
        <w:rPr>
          <w:sz w:val="20"/>
          <w:szCs w:val="20"/>
          <w:color w:val="auto"/>
        </w:rPr>
        <w:tab/>
      </w:r>
      <w:r>
        <w:rPr>
          <w:rFonts w:ascii="Arial" w:cs="Arial" w:eastAsia="Arial" w:hAnsi="Arial"/>
          <w:sz w:val="17"/>
          <w:szCs w:val="17"/>
          <w:u w:val="single" w:color="auto"/>
          <w:color w:val="auto"/>
        </w:rPr>
        <w:t>CERTAIN RELATIONSHIPS AND RELATED TRANSACTIONS, AND DIRECTOR INDEPENDENCE</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within the sections entitled “Election of Directors,” “Corporate Governance” and “Executive Compensation” and is incorporated herein by reference.</w:t>
      </w:r>
    </w:p>
    <w:p>
      <w:pPr>
        <w:spacing w:after="0" w:line="23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u w:val="single" w:color="auto"/>
          <w:color w:val="auto"/>
        </w:rPr>
        <w:t>ITEM 14.</w:t>
      </w:r>
      <w:r>
        <w:rPr>
          <w:sz w:val="20"/>
          <w:szCs w:val="20"/>
          <w:color w:val="auto"/>
        </w:rPr>
        <w:tab/>
      </w:r>
      <w:r>
        <w:rPr>
          <w:rFonts w:ascii="Arial" w:cs="Arial" w:eastAsia="Arial" w:hAnsi="Arial"/>
          <w:sz w:val="17"/>
          <w:szCs w:val="17"/>
          <w:u w:val="single" w:color="auto"/>
          <w:color w:val="auto"/>
        </w:rPr>
        <w:t>PRINCIPAL ACCOUNTING FEES AND SERVICES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within the sections entitled “Principal Accounting Fees and Services”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ind w:right="2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PART IV</w:t>
      </w:r>
    </w:p>
    <w:p>
      <w:pPr>
        <w:spacing w:after="0" w:line="5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u w:val="single" w:color="auto"/>
          <w:color w:val="auto"/>
        </w:rPr>
        <w:t>ITEM 15.</w:t>
      </w:r>
      <w:r>
        <w:rPr>
          <w:sz w:val="20"/>
          <w:szCs w:val="20"/>
          <w:color w:val="auto"/>
        </w:rPr>
        <w:tab/>
      </w:r>
      <w:r>
        <w:rPr>
          <w:rFonts w:ascii="Arial" w:cs="Arial" w:eastAsia="Arial" w:hAnsi="Arial"/>
          <w:sz w:val="17"/>
          <w:szCs w:val="17"/>
          <w:u w:val="single" w:color="auto"/>
          <w:color w:val="auto"/>
        </w:rPr>
        <w:t>EXHIBITS AND FINANCIAL STATEMENT SCHEDULES</w:t>
      </w:r>
    </w:p>
    <w:p>
      <w:pPr>
        <w:spacing w:after="0" w:line="144" w:lineRule="exact"/>
        <w:rPr>
          <w:sz w:val="20"/>
          <w:szCs w:val="20"/>
          <w:color w:val="auto"/>
        </w:rPr>
      </w:pPr>
    </w:p>
    <w:p>
      <w:pPr>
        <w:ind w:left="660" w:hanging="65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90" w:lineRule="exact"/>
        <w:rPr>
          <w:rFonts w:ascii="Arial" w:cs="Arial" w:eastAsia="Arial" w:hAnsi="Arial"/>
          <w:sz w:val="18"/>
          <w:szCs w:val="18"/>
          <w:color w:val="auto"/>
        </w:rPr>
      </w:pPr>
    </w:p>
    <w:p>
      <w:pPr>
        <w:ind w:left="540" w:hanging="309"/>
        <w:spacing w:after="0"/>
        <w:tabs>
          <w:tab w:leader="none" w:pos="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Financial Statements (see Part II, Item 8)</w:t>
      </w:r>
    </w:p>
    <w:p>
      <w:pPr>
        <w:spacing w:after="0" w:line="252" w:lineRule="exact"/>
        <w:rPr>
          <w:rFonts w:ascii="Arial" w:cs="Arial" w:eastAsia="Arial" w:hAnsi="Arial"/>
          <w:sz w:val="18"/>
          <w:szCs w:val="18"/>
          <w:color w:val="auto"/>
        </w:rPr>
      </w:pPr>
    </w:p>
    <w:p>
      <w:pPr>
        <w:ind w:left="560" w:right="5760"/>
        <w:spacing w:after="0" w:line="598" w:lineRule="auto"/>
        <w:rPr>
          <w:rFonts w:ascii="Arial" w:cs="Arial" w:eastAsia="Arial" w:hAnsi="Arial"/>
          <w:sz w:val="18"/>
          <w:szCs w:val="18"/>
          <w:color w:val="auto"/>
        </w:rPr>
      </w:pPr>
      <w:r>
        <w:rPr>
          <w:rFonts w:ascii="Arial" w:cs="Arial" w:eastAsia="Arial" w:hAnsi="Arial"/>
          <w:sz w:val="16"/>
          <w:szCs w:val="16"/>
          <w:color w:val="auto"/>
        </w:rPr>
        <w:t>Management’s Report on Internal Control Over Financial Reporting Report of Independent Registered Public Accounting Firm</w:t>
      </w:r>
    </w:p>
    <w:p>
      <w:pPr>
        <w:spacing w:after="0" w:line="1" w:lineRule="exact"/>
        <w:rPr>
          <w:rFonts w:ascii="Arial" w:cs="Arial" w:eastAsia="Arial" w:hAnsi="Arial"/>
          <w:sz w:val="18"/>
          <w:szCs w:val="18"/>
          <w:color w:val="auto"/>
        </w:rPr>
      </w:pPr>
    </w:p>
    <w:p>
      <w:pPr>
        <w:ind w:left="560" w:right="2880"/>
        <w:spacing w:after="0" w:line="532" w:lineRule="auto"/>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2021, 2020 and 2019 Consolidated Statements of Comprehensive Income for the years ended December 31, 2021, 2020 and 2019 Consolidated Balance Sheets as of December 31, 2021 and 2020</w:t>
      </w:r>
    </w:p>
    <w:p>
      <w:pPr>
        <w:ind w:left="560"/>
        <w:spacing w:after="0"/>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2021, 2020 and 2019</w:t>
      </w:r>
    </w:p>
    <w:p>
      <w:pPr>
        <w:spacing w:after="0" w:line="252" w:lineRule="exact"/>
        <w:rPr>
          <w:rFonts w:ascii="Arial" w:cs="Arial" w:eastAsia="Arial" w:hAnsi="Arial"/>
          <w:sz w:val="18"/>
          <w:szCs w:val="18"/>
          <w:color w:val="auto"/>
        </w:rPr>
      </w:pPr>
    </w:p>
    <w:p>
      <w:pPr>
        <w:ind w:left="560" w:right="2260"/>
        <w:spacing w:after="0" w:line="559" w:lineRule="auto"/>
        <w:rPr>
          <w:rFonts w:ascii="Arial" w:cs="Arial" w:eastAsia="Arial" w:hAnsi="Arial"/>
          <w:sz w:val="18"/>
          <w:szCs w:val="18"/>
          <w:color w:val="auto"/>
        </w:rPr>
      </w:pPr>
      <w:r>
        <w:rPr>
          <w:rFonts w:ascii="Arial" w:cs="Arial" w:eastAsia="Arial" w:hAnsi="Arial"/>
          <w:sz w:val="18"/>
          <w:szCs w:val="18"/>
          <w:color w:val="auto"/>
        </w:rPr>
        <w:t>Consolidated Statements of Changes in Shareholders' Equity for the years ended December 31, 2021, 2020 and 2019 Notes to Consolidated Financial Statements</w:t>
      </w:r>
    </w:p>
    <w:p>
      <w:pPr>
        <w:spacing w:after="0" w:line="48" w:lineRule="exact"/>
        <w:rPr>
          <w:rFonts w:ascii="Arial" w:cs="Arial" w:eastAsia="Arial" w:hAnsi="Arial"/>
          <w:sz w:val="18"/>
          <w:szCs w:val="18"/>
          <w:color w:val="auto"/>
        </w:rPr>
      </w:pPr>
    </w:p>
    <w:p>
      <w:pPr>
        <w:ind w:left="480" w:hanging="249"/>
        <w:spacing w:after="0"/>
        <w:tabs>
          <w:tab w:leader="none" w:pos="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Schedule II – Valuation and Qualifying Accounts and Reserves for the years ended December 31, 2021, 2020 and 2019</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All other schedules have been omitted because they are not applicable or the required information is included in the Consolidated Financial Statements.</w:t>
      </w:r>
    </w:p>
    <w:p>
      <w:pPr>
        <w:spacing w:after="0" w:line="275" w:lineRule="exact"/>
        <w:rPr>
          <w:sz w:val="20"/>
          <w:szCs w:val="20"/>
          <w:color w:val="auto"/>
        </w:rPr>
      </w:pPr>
    </w:p>
    <w:p>
      <w:pPr>
        <w:ind w:left="540" w:hanging="309"/>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ind w:left="1120" w:hanging="567"/>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3.a </w:t>
      </w:r>
      <w:hyperlink r:id="rId139">
        <w:r>
          <w:rPr>
            <w:rFonts w:ascii="Arial" w:cs="Arial" w:eastAsia="Arial" w:hAnsi="Arial"/>
            <w:sz w:val="18"/>
            <w:szCs w:val="18"/>
            <w:u w:val="single" w:color="auto"/>
            <w:color w:val="0000FF"/>
          </w:rPr>
          <w:t>Articles of Incorporation of Crown Holdings, Inc., as amended (incorporated by reference to Exhibit 3.a of the Registrant’s Annual Report on</w:t>
        </w:r>
      </w:hyperlink>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FF"/>
          </w:rPr>
          <w:t>Form 10-K for the year ended December 31, 2004 (File No. 000-50189)).</w:t>
        </w:r>
      </w:hyperlink>
    </w:p>
    <w:p>
      <w:pPr>
        <w:spacing w:after="0" w:line="197" w:lineRule="exact"/>
        <w:rPr>
          <w:rFonts w:ascii="Arial" w:cs="Arial" w:eastAsia="Arial" w:hAnsi="Arial"/>
          <w:sz w:val="18"/>
          <w:szCs w:val="18"/>
          <w:u w:val="single" w:color="auto"/>
          <w:color w:val="0000FF"/>
        </w:rPr>
      </w:pPr>
    </w:p>
    <w:p>
      <w:pPr>
        <w:ind w:left="1120" w:hanging="567"/>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3.b </w:t>
      </w:r>
      <w:hyperlink r:id="rId140">
        <w:r>
          <w:rPr>
            <w:rFonts w:ascii="Arial" w:cs="Arial" w:eastAsia="Arial" w:hAnsi="Arial"/>
            <w:sz w:val="18"/>
            <w:szCs w:val="18"/>
            <w:u w:val="single" w:color="auto"/>
            <w:color w:val="0000FF"/>
          </w:rPr>
          <w:t>Amended and Restated By-Laws of Crown Holdings, Inc. (incorporated by reference to Exhibit 3.ii of the Registrant's Current Report on</w:t>
        </w:r>
      </w:hyperlink>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FF"/>
          </w:rPr>
          <w:t>Form 8-K dated March 23, 2020 (File No. 000-50189)).</w:t>
        </w:r>
      </w:hyperlink>
    </w:p>
    <w:p>
      <w:pPr>
        <w:spacing w:after="0" w:line="197" w:lineRule="exact"/>
        <w:rPr>
          <w:rFonts w:ascii="Arial" w:cs="Arial" w:eastAsia="Arial" w:hAnsi="Arial"/>
          <w:sz w:val="18"/>
          <w:szCs w:val="18"/>
          <w:u w:val="single" w:color="auto"/>
          <w:color w:val="0000FF"/>
        </w:rPr>
      </w:pPr>
    </w:p>
    <w:p>
      <w:pPr>
        <w:ind w:left="1120" w:hanging="567"/>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4.a Specimen certificate of Registrant’s Common Stock (incorporated by reference to Exhibit 4.a of the Registrant’s Annual Report on Form 10-K for the year ended December 31, 1995 (File No. 1-2227)).</w:t>
      </w:r>
    </w:p>
    <w:p>
      <w:pPr>
        <w:spacing w:after="0" w:line="197" w:lineRule="exact"/>
        <w:rPr>
          <w:rFonts w:ascii="Arial" w:cs="Arial" w:eastAsia="Arial" w:hAnsi="Arial"/>
          <w:sz w:val="18"/>
          <w:szCs w:val="18"/>
          <w:u w:val="single" w:color="auto"/>
          <w:color w:val="0000FF"/>
        </w:rPr>
      </w:pPr>
    </w:p>
    <w:p>
      <w:pPr>
        <w:ind w:left="1120" w:hanging="567"/>
        <w:spacing w:after="0" w:line="263" w:lineRule="auto"/>
        <w:rPr>
          <w:rFonts w:ascii="Arial" w:cs="Arial" w:eastAsia="Arial" w:hAnsi="Arial"/>
          <w:sz w:val="18"/>
          <w:szCs w:val="18"/>
          <w:u w:val="single" w:color="auto"/>
          <w:color w:val="0000FF"/>
        </w:rPr>
      </w:pPr>
      <w:r>
        <w:rPr>
          <w:rFonts w:ascii="Arial" w:cs="Arial" w:eastAsia="Arial" w:hAnsi="Arial"/>
          <w:sz w:val="18"/>
          <w:szCs w:val="18"/>
          <w:color w:val="auto"/>
        </w:rPr>
        <w:t>4.b Indenture, dated December 17, 1996, among Crown Cork &amp; Seal Company, Inc., Crown Cork &amp; Seal Finance PLC, Crown Cork &amp; Seal Finance S.A. and the Bank of New York, as trustee (incorporated by reference to Exhibit 4.1 of the Registrant's Current Report on Form 8-K dated December 17, 1996 (File No. 1-2227)).</w:t>
      </w:r>
    </w:p>
    <w:p>
      <w:pPr>
        <w:spacing w:after="0" w:line="210" w:lineRule="exact"/>
        <w:rPr>
          <w:rFonts w:ascii="Arial" w:cs="Arial" w:eastAsia="Arial" w:hAnsi="Arial"/>
          <w:sz w:val="18"/>
          <w:szCs w:val="18"/>
          <w:u w:val="single" w:color="auto"/>
          <w:color w:val="0000FF"/>
        </w:rPr>
      </w:pPr>
    </w:p>
    <w:p>
      <w:pPr>
        <w:ind w:left="1120" w:hanging="567"/>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4.c Form of the Registrant's 7-3/8% Debentures Due 2026 (incorporated by reference to Exhibit 99.1 of the Registrant's Current Report on Form 8-K dated December 17, 1996 (File No. 1-2227)).</w:t>
      </w:r>
    </w:p>
    <w:p>
      <w:pPr>
        <w:spacing w:after="0" w:line="197" w:lineRule="exact"/>
        <w:rPr>
          <w:rFonts w:ascii="Arial" w:cs="Arial" w:eastAsia="Arial" w:hAnsi="Arial"/>
          <w:sz w:val="18"/>
          <w:szCs w:val="18"/>
          <w:u w:val="single" w:color="auto"/>
          <w:color w:val="0000FF"/>
        </w:rPr>
      </w:pPr>
    </w:p>
    <w:p>
      <w:pPr>
        <w:ind w:left="1120" w:hanging="567"/>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4.d Officers' Certificate for 7-3/8% Debentures Due 2026 (incorporated by reference to Exhibit 99.6 of the Registrant's Current Report on Form 8-K dated December 17, 1996 (File No. 1-2227)).</w:t>
      </w:r>
    </w:p>
    <w:p>
      <w:pPr>
        <w:spacing w:after="0" w:line="197" w:lineRule="exact"/>
        <w:rPr>
          <w:rFonts w:ascii="Arial" w:cs="Arial" w:eastAsia="Arial" w:hAnsi="Arial"/>
          <w:sz w:val="18"/>
          <w:szCs w:val="18"/>
          <w:u w:val="single" w:color="auto"/>
          <w:color w:val="0000FF"/>
        </w:rPr>
      </w:pPr>
    </w:p>
    <w:p>
      <w:pPr>
        <w:ind w:left="1120" w:hanging="567"/>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4.e Form of the Registrant's 7-1/2% Debentures Due 2096 (incorporated by reference to Exhibit 99.2 of the Registrant's Current Report on Form 8-K dated December 17, 1996 (File No. 1-2227)).</w:t>
      </w:r>
    </w:p>
    <w:p>
      <w:pPr>
        <w:spacing w:after="0" w:line="197" w:lineRule="exact"/>
        <w:rPr>
          <w:rFonts w:ascii="Arial" w:cs="Arial" w:eastAsia="Arial" w:hAnsi="Arial"/>
          <w:sz w:val="18"/>
          <w:szCs w:val="18"/>
          <w:u w:val="single" w:color="auto"/>
          <w:color w:val="0000FF"/>
        </w:rPr>
      </w:pPr>
    </w:p>
    <w:p>
      <w:pPr>
        <w:ind w:left="1120" w:hanging="567"/>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4.f Officers' Certificate for 7-1/2% Debentures Due 2096 (incorporated by reference to Exhibit 99.7 of the Registrant's Current Report on From 8-K dated December 17, 1996 (File No. 1-2227)).</w:t>
      </w:r>
    </w:p>
    <w:p>
      <w:pPr>
        <w:spacing w:after="0" w:line="197" w:lineRule="exact"/>
        <w:rPr>
          <w:rFonts w:ascii="Arial" w:cs="Arial" w:eastAsia="Arial" w:hAnsi="Arial"/>
          <w:sz w:val="18"/>
          <w:szCs w:val="18"/>
          <w:u w:val="single" w:color="auto"/>
          <w:color w:val="0000FF"/>
        </w:rPr>
      </w:pPr>
    </w:p>
    <w:p>
      <w:pPr>
        <w:ind w:left="1120" w:hanging="567"/>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4.g Terms Agreement, dated December 12, 1996 (incorporated by reference to Exhibit 1.1 of the Registrant's Current Report on Form 8-K dated December 17, 1996 (File No. 1-2227)).</w:t>
      </w:r>
    </w:p>
    <w:p>
      <w:pPr>
        <w:sectPr>
          <w:pgSz w:w="11900" w:h="16838" w:orient="portrait"/>
          <w:cols w:equalWidth="0" w:num="1">
            <w:col w:w="11220"/>
          </w:cols>
          <w:pgMar w:left="340" w:top="121" w:right="339" w:bottom="1440" w:gutter="0" w:footer="0" w:header="0"/>
        </w:sectPr>
      </w:pPr>
    </w:p>
    <w:p>
      <w:pPr>
        <w:spacing w:after="0" w:line="200" w:lineRule="exact"/>
        <w:rPr>
          <w:rFonts w:ascii="Arial" w:cs="Arial" w:eastAsia="Arial" w:hAnsi="Arial"/>
          <w:sz w:val="18"/>
          <w:szCs w:val="18"/>
          <w:u w:val="single" w:color="auto"/>
          <w:color w:val="0000FF"/>
        </w:rPr>
      </w:pPr>
    </w:p>
    <w:p>
      <w:pPr>
        <w:spacing w:after="0" w:line="308"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bookmarkStart w:id="90" w:name="page91"/>
    <w:bookmarkEnd w:id="90"/>
    <w:p>
      <w:pPr>
        <w:ind w:left="4225"/>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425" w:hanging="566"/>
        <w:spacing w:after="0" w:line="277" w:lineRule="auto"/>
        <w:tabs>
          <w:tab w:leader="none" w:pos="405" w:val="left"/>
        </w:tabs>
        <w:rPr>
          <w:sz w:val="20"/>
          <w:szCs w:val="20"/>
          <w:color w:val="auto"/>
        </w:rPr>
      </w:pPr>
      <w:r>
        <w:rPr>
          <w:rFonts w:ascii="Arial" w:cs="Arial" w:eastAsia="Arial" w:hAnsi="Arial"/>
          <w:sz w:val="18"/>
          <w:szCs w:val="18"/>
          <w:color w:val="auto"/>
        </w:rPr>
        <w:t>4.h</w:t>
        <w:tab/>
        <w:t>Form of Bearer Security Depositary Agreement (incorporated by reference to Exhibit 4.2 of the Registrant's Registration Statement on Form S-3, dated November 26, 1996, amended December 5 and 10, 1996 (File No. 333-16869)).</w:t>
      </w:r>
    </w:p>
    <w:p>
      <w:pPr>
        <w:spacing w:after="0" w:line="197" w:lineRule="exact"/>
        <w:rPr>
          <w:sz w:val="20"/>
          <w:szCs w:val="20"/>
          <w:color w:val="auto"/>
        </w:rPr>
      </w:pPr>
    </w:p>
    <w:p>
      <w:pPr>
        <w:jc w:val="both"/>
        <w:ind w:left="365" w:hanging="566"/>
        <w:spacing w:after="0" w:line="259" w:lineRule="auto"/>
        <w:tabs>
          <w:tab w:leader="none" w:pos="345" w:val="left"/>
        </w:tabs>
        <w:rPr>
          <w:rFonts w:ascii="Arial" w:cs="Arial" w:eastAsia="Arial" w:hAnsi="Arial"/>
          <w:sz w:val="18"/>
          <w:szCs w:val="18"/>
          <w:u w:val="single" w:color="auto"/>
          <w:color w:val="0000FF"/>
        </w:rPr>
      </w:pPr>
      <w:r>
        <w:rPr>
          <w:rFonts w:ascii="Arial" w:cs="Arial" w:eastAsia="Arial" w:hAnsi="Arial"/>
          <w:sz w:val="18"/>
          <w:szCs w:val="18"/>
          <w:color w:val="auto"/>
        </w:rPr>
        <w:t>4.i</w:t>
      </w:r>
      <w:r>
        <w:rPr>
          <w:sz w:val="20"/>
          <w:szCs w:val="20"/>
          <w:color w:val="auto"/>
        </w:rPr>
        <w:tab/>
      </w:r>
      <w:hyperlink r:id="rId142">
        <w:r>
          <w:rPr>
            <w:rFonts w:ascii="Arial" w:cs="Arial" w:eastAsia="Arial" w:hAnsi="Arial"/>
            <w:sz w:val="18"/>
            <w:szCs w:val="18"/>
            <w:u w:val="single" w:color="auto"/>
            <w:color w:val="0000FF"/>
          </w:rPr>
          <w:t>Supplemental Indenture to Indenture dated December 17, 1996, dated as of February 25, 2003, between Crown Cork &amp; Seal Company, Inc., as</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Issuer and Guarantor, Crown Cork &amp; Seal Finance PLC, as Issuer, Crown Cork &amp; Seal Finance S.A., as Issuer, Crown Holdings, Inc., as</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Additional Guarantor and Bank One Trust Company, N.A., as Trustee (incorporated by reference to Exhibit 4.5 of the Registrant’s Current</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Report on Form 8-K dated February 26, 2003 (File No. 000-50189)).</w:t>
        </w:r>
      </w:hyperlink>
    </w:p>
    <w:p>
      <w:pPr>
        <w:spacing w:after="0" w:line="214" w:lineRule="exact"/>
        <w:rPr>
          <w:rFonts w:ascii="Arial" w:cs="Arial" w:eastAsia="Arial" w:hAnsi="Arial"/>
          <w:sz w:val="18"/>
          <w:szCs w:val="18"/>
          <w:u w:val="single" w:color="auto"/>
          <w:color w:val="0000FF"/>
        </w:rPr>
      </w:pPr>
    </w:p>
    <w:p>
      <w:pPr>
        <w:ind w:left="565" w:hanging="565"/>
        <w:spacing w:after="0" w:line="311" w:lineRule="auto"/>
        <w:tabs>
          <w:tab w:leader="none" w:pos="194" w:val="left"/>
        </w:tabs>
        <w:numPr>
          <w:ilvl w:val="0"/>
          <w:numId w:val="29"/>
        </w:numPr>
        <w:rPr>
          <w:rFonts w:ascii="Arial" w:cs="Arial" w:eastAsia="Arial" w:hAnsi="Arial"/>
          <w:sz w:val="16"/>
          <w:szCs w:val="16"/>
          <w:u w:val="single" w:color="auto"/>
          <w:color w:val="0000FF"/>
        </w:rPr>
      </w:pPr>
      <w:r>
        <w:rPr>
          <w:rFonts w:ascii="Arial" w:cs="Arial" w:eastAsia="Arial" w:hAnsi="Arial"/>
          <w:sz w:val="16"/>
          <w:szCs w:val="16"/>
          <w:color w:val="auto"/>
        </w:rPr>
        <w:t xml:space="preserve">j </w:t>
      </w:r>
      <w:hyperlink r:id="rId143">
        <w:r>
          <w:rPr>
            <w:rFonts w:ascii="Arial" w:cs="Arial" w:eastAsia="Arial" w:hAnsi="Arial"/>
            <w:sz w:val="16"/>
            <w:szCs w:val="16"/>
            <w:u w:val="single" w:color="auto"/>
            <w:color w:val="0000FF"/>
          </w:rPr>
          <w:t>Indenture, dated as of September 15, 2016, by and among Crown European Holdings S.A., as Issuer, the Guarantors named therein, U.S.</w:t>
        </w:r>
      </w:hyperlink>
      <w:r>
        <w:rPr>
          <w:rFonts w:ascii="Arial" w:cs="Arial" w:eastAsia="Arial" w:hAnsi="Arial"/>
          <w:sz w:val="16"/>
          <w:szCs w:val="16"/>
          <w:color w:val="auto"/>
        </w:rPr>
        <w:t xml:space="preserve"> </w:t>
      </w:r>
      <w:hyperlink r:id="rId143">
        <w:r>
          <w:rPr>
            <w:rFonts w:ascii="Arial" w:cs="Arial" w:eastAsia="Arial" w:hAnsi="Arial"/>
            <w:sz w:val="16"/>
            <w:szCs w:val="16"/>
            <w:u w:val="single" w:color="auto"/>
            <w:color w:val="0000FF"/>
          </w:rPr>
          <w:t>Bank National Association, as Trustee, and the other parties thereto, relating to the €600 million 2.625% Senior Notes due 2024</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(incorporated by reference to Exhibit 4.1 of the Registrant's Current Report on Form 8-K dated September 19, 2016 (File No. 000-50189)).</w:t>
        </w:r>
      </w:hyperlink>
    </w:p>
    <w:p>
      <w:pPr>
        <w:spacing w:after="0" w:line="176" w:lineRule="exact"/>
        <w:rPr>
          <w:rFonts w:ascii="Arial" w:cs="Arial" w:eastAsia="Arial" w:hAnsi="Arial"/>
          <w:sz w:val="16"/>
          <w:szCs w:val="16"/>
          <w:color w:val="auto"/>
        </w:rPr>
      </w:pPr>
    </w:p>
    <w:p>
      <w:pPr>
        <w:ind w:left="565" w:hanging="565"/>
        <w:spacing w:after="0" w:line="311" w:lineRule="auto"/>
        <w:tabs>
          <w:tab w:leader="none" w:pos="197" w:val="left"/>
        </w:tabs>
        <w:numPr>
          <w:ilvl w:val="0"/>
          <w:numId w:val="30"/>
        </w:numPr>
        <w:rPr>
          <w:rFonts w:ascii="Arial" w:cs="Arial" w:eastAsia="Arial" w:hAnsi="Arial"/>
          <w:sz w:val="16"/>
          <w:szCs w:val="16"/>
          <w:u w:val="single" w:color="auto"/>
          <w:color w:val="0000FF"/>
        </w:rPr>
      </w:pPr>
      <w:r>
        <w:rPr>
          <w:rFonts w:ascii="Arial" w:cs="Arial" w:eastAsia="Arial" w:hAnsi="Arial"/>
          <w:sz w:val="16"/>
          <w:szCs w:val="16"/>
          <w:color w:val="auto"/>
        </w:rPr>
        <w:t xml:space="preserve">k </w:t>
      </w:r>
      <w:hyperlink r:id="rId144">
        <w:r>
          <w:rPr>
            <w:rFonts w:ascii="Arial" w:cs="Arial" w:eastAsia="Arial" w:hAnsi="Arial"/>
            <w:sz w:val="16"/>
            <w:szCs w:val="16"/>
            <w:u w:val="single" w:color="auto"/>
            <w:color w:val="0000FF"/>
          </w:rPr>
          <w:t>Indenture, dated as of September 15, 2016, by and among Crown Americas LLC and Crown Americas Capital Corp. V, as Issuers, the</w:t>
        </w:r>
      </w:hyperlink>
      <w:r>
        <w:rPr>
          <w:rFonts w:ascii="Arial" w:cs="Arial" w:eastAsia="Arial" w:hAnsi="Arial"/>
          <w:sz w:val="16"/>
          <w:szCs w:val="16"/>
          <w:color w:val="auto"/>
        </w:rPr>
        <w:t xml:space="preserve"> </w:t>
      </w:r>
      <w:hyperlink r:id="rId144">
        <w:r>
          <w:rPr>
            <w:rFonts w:ascii="Arial" w:cs="Arial" w:eastAsia="Arial" w:hAnsi="Arial"/>
            <w:sz w:val="16"/>
            <w:szCs w:val="16"/>
            <w:u w:val="single" w:color="auto"/>
            <w:color w:val="0000FF"/>
          </w:rPr>
          <w:t>Guarantors named therein and U.S. Bank National Association, as Trustee, relating to the $400 million 4.250% Senior Notes due 2026</w:t>
        </w:r>
      </w:hyperlink>
      <w:r>
        <w:rPr>
          <w:rFonts w:ascii="Arial" w:cs="Arial" w:eastAsia="Arial" w:hAnsi="Arial"/>
          <w:sz w:val="16"/>
          <w:szCs w:val="16"/>
          <w:u w:val="single" w:color="auto"/>
          <w:color w:val="0000FF"/>
        </w:rPr>
        <w:t xml:space="preserve"> </w:t>
      </w:r>
      <w:hyperlink r:id="rId144">
        <w:r>
          <w:rPr>
            <w:rFonts w:ascii="Arial" w:cs="Arial" w:eastAsia="Arial" w:hAnsi="Arial"/>
            <w:sz w:val="16"/>
            <w:szCs w:val="16"/>
            <w:u w:val="single" w:color="auto"/>
            <w:color w:val="0000FF"/>
          </w:rPr>
          <w:t>(incorporated by reference to Exhibit 4.2 of the Registrant's Current Report on Form 8-K dated September 19, 2016 (File No. 000-50189)).</w:t>
        </w:r>
      </w:hyperlink>
    </w:p>
    <w:p>
      <w:pPr>
        <w:spacing w:after="0" w:line="176" w:lineRule="exact"/>
        <w:rPr>
          <w:rFonts w:ascii="Arial" w:cs="Arial" w:eastAsia="Arial" w:hAnsi="Arial"/>
          <w:sz w:val="16"/>
          <w:szCs w:val="16"/>
          <w:color w:val="auto"/>
        </w:rPr>
      </w:pPr>
    </w:p>
    <w:p>
      <w:pPr>
        <w:jc w:val="both"/>
        <w:ind w:left="485" w:hanging="566"/>
        <w:spacing w:after="0" w:line="259" w:lineRule="auto"/>
        <w:tabs>
          <w:tab w:leader="none" w:pos="465" w:val="left"/>
        </w:tabs>
        <w:rPr>
          <w:rFonts w:ascii="Arial" w:cs="Arial" w:eastAsia="Arial" w:hAnsi="Arial"/>
          <w:sz w:val="18"/>
          <w:szCs w:val="18"/>
          <w:u w:val="single" w:color="auto"/>
          <w:color w:val="0000FF"/>
        </w:rPr>
      </w:pPr>
      <w:r>
        <w:rPr>
          <w:rFonts w:ascii="Arial" w:cs="Arial" w:eastAsia="Arial" w:hAnsi="Arial"/>
          <w:sz w:val="18"/>
          <w:szCs w:val="18"/>
          <w:color w:val="auto"/>
        </w:rPr>
        <w:t>4.l</w:t>
      </w:r>
      <w:r>
        <w:rPr>
          <w:sz w:val="20"/>
          <w:szCs w:val="20"/>
          <w:color w:val="auto"/>
        </w:rPr>
        <w:tab/>
      </w:r>
      <w:hyperlink r:id="rId145">
        <w:r>
          <w:rPr>
            <w:rFonts w:ascii="Arial" w:cs="Arial" w:eastAsia="Arial" w:hAnsi="Arial"/>
            <w:sz w:val="18"/>
            <w:szCs w:val="18"/>
            <w:u w:val="single" w:color="auto"/>
            <w:color w:val="0000FF"/>
          </w:rPr>
          <w:t>Indenture, dated as of May 5, 2015, among Crown European Holdings S.A., the Guarantors (as defined therein), U.S. Bank National</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Association, as trustee, Elavon Financial Services Limited, UK Branch, as paying agent, and Elavon Financial Services Limited, as registrar</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and transfer agent, relating to the €600 million 3.375% Senior Notes due 2025 (incorporated by reference to Exhibit 10.1 of the Registrant's</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Quarterly Report on Form 10-Q dated July 30, 2015 (File No. 000-50189)).</w:t>
        </w:r>
      </w:hyperlink>
    </w:p>
    <w:p>
      <w:pPr>
        <w:spacing w:after="0" w:line="214" w:lineRule="exact"/>
        <w:rPr>
          <w:rFonts w:ascii="Arial" w:cs="Arial" w:eastAsia="Arial" w:hAnsi="Arial"/>
          <w:sz w:val="18"/>
          <w:szCs w:val="18"/>
          <w:u w:val="single" w:color="auto"/>
          <w:color w:val="0000FF"/>
        </w:rPr>
      </w:pPr>
    </w:p>
    <w:p>
      <w:pPr>
        <w:jc w:val="both"/>
        <w:ind w:left="465" w:hanging="566"/>
        <w:spacing w:after="0" w:line="296" w:lineRule="auto"/>
        <w:tabs>
          <w:tab w:leader="none" w:pos="445" w:val="left"/>
        </w:tabs>
        <w:rPr>
          <w:rFonts w:ascii="Arial" w:cs="Arial" w:eastAsia="Arial" w:hAnsi="Arial"/>
          <w:sz w:val="16"/>
          <w:szCs w:val="16"/>
          <w:u w:val="single" w:color="auto"/>
          <w:color w:val="0000FF"/>
        </w:rPr>
      </w:pPr>
      <w:r>
        <w:rPr>
          <w:rFonts w:ascii="Arial" w:cs="Arial" w:eastAsia="Arial" w:hAnsi="Arial"/>
          <w:sz w:val="18"/>
          <w:szCs w:val="18"/>
          <w:color w:val="auto"/>
        </w:rPr>
        <w:t>4.m</w:t>
      </w:r>
      <w:r>
        <w:rPr>
          <w:sz w:val="20"/>
          <w:szCs w:val="20"/>
          <w:color w:val="auto"/>
        </w:rPr>
        <w:tab/>
      </w:r>
      <w:hyperlink r:id="rId146">
        <w:r>
          <w:rPr>
            <w:rFonts w:ascii="Arial" w:cs="Arial" w:eastAsia="Arial" w:hAnsi="Arial"/>
            <w:sz w:val="16"/>
            <w:szCs w:val="16"/>
            <w:u w:val="single" w:color="auto"/>
            <w:color w:val="0000FF"/>
          </w:rPr>
          <w:t>Amended &amp; Restated Credit Agreement, dated April 7, 2017, by and among Crown Americas LLC, Crown European Holdings S.A., Crown</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Metal Packaging Canada LP, each of the Subsidiary Borrowers from time to time party thereto, Crown Holdings, Inc., Crown Cork &amp; Seal</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Company, Inc., Crown International Holdings, Inc., each other Credit Party from time to time party thereto, Deutsche Bank AG Canada</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Branch, Deutsche Bank AG London Branch, Deutsche Bank AG New York Branch, and various Lenders referred to therein (incorporated</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by reference to Exhibit 4 of the Registrant's Quarterly Report on Form 10-Q for the quarter ended March 31, 2017 (File No. 000-50189)).</w:t>
        </w:r>
      </w:hyperlink>
    </w:p>
    <w:p>
      <w:pPr>
        <w:spacing w:after="0" w:line="188" w:lineRule="exact"/>
        <w:rPr>
          <w:rFonts w:ascii="Arial" w:cs="Arial" w:eastAsia="Arial" w:hAnsi="Arial"/>
          <w:sz w:val="16"/>
          <w:szCs w:val="16"/>
          <w:u w:val="single" w:color="auto"/>
          <w:color w:val="0000FF"/>
        </w:rPr>
      </w:pPr>
    </w:p>
    <w:p>
      <w:pPr>
        <w:jc w:val="both"/>
        <w:ind w:left="505" w:hanging="566"/>
        <w:spacing w:after="0" w:line="255" w:lineRule="auto"/>
        <w:tabs>
          <w:tab w:leader="none" w:pos="485" w:val="left"/>
        </w:tabs>
        <w:rPr>
          <w:rFonts w:ascii="Arial" w:cs="Arial" w:eastAsia="Arial" w:hAnsi="Arial"/>
          <w:sz w:val="18"/>
          <w:szCs w:val="18"/>
          <w:u w:val="single" w:color="auto"/>
          <w:color w:val="0000FF"/>
        </w:rPr>
      </w:pPr>
      <w:r>
        <w:rPr>
          <w:rFonts w:ascii="Arial" w:cs="Arial" w:eastAsia="Arial" w:hAnsi="Arial"/>
          <w:sz w:val="18"/>
          <w:szCs w:val="18"/>
          <w:color w:val="auto"/>
        </w:rPr>
        <w:t>4.n</w:t>
      </w:r>
      <w:r>
        <w:rPr>
          <w:sz w:val="20"/>
          <w:szCs w:val="20"/>
          <w:color w:val="auto"/>
        </w:rPr>
        <w:tab/>
      </w:r>
      <w:hyperlink r:id="rId147">
        <w:r>
          <w:rPr>
            <w:rFonts w:ascii="Arial" w:cs="Arial" w:eastAsia="Arial" w:hAnsi="Arial"/>
            <w:sz w:val="18"/>
            <w:szCs w:val="18"/>
            <w:u w:val="single" w:color="auto"/>
            <w:color w:val="0000FF"/>
          </w:rPr>
          <w:t>First Amendment to Amended and Restated Credit Agreement, dated as of December 28, 2017, among Crown Americas LLC, Crown</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European Holdings S.A., Crown Metal Packaging Canada LP, each of the Subsidiary Borrowers party thereto, Crown Holdings, Inc.,</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Crown Cork &amp; Seal Company, Inc. and Crown International Holdings, Inc., each other Credit Party from time to time party thereto,</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Deutsche Bank AG New York Branch, Deutsche Bank AG, London Branch, Deutsche Bank AG, Canada Branch, and various Lenders</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referred to therein (incorporated by reference to Exhibit 4 of the Registrant's Annual Report on Form 10-K for the year ended December 31,</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2017 (File No. 000-50189)).</w:t>
        </w:r>
      </w:hyperlink>
    </w:p>
    <w:p>
      <w:pPr>
        <w:spacing w:after="0" w:line="219" w:lineRule="exact"/>
        <w:rPr>
          <w:rFonts w:ascii="Arial" w:cs="Arial" w:eastAsia="Arial" w:hAnsi="Arial"/>
          <w:sz w:val="18"/>
          <w:szCs w:val="18"/>
          <w:u w:val="single" w:color="auto"/>
          <w:color w:val="0000FF"/>
        </w:rPr>
      </w:pPr>
    </w:p>
    <w:p>
      <w:pPr>
        <w:jc w:val="both"/>
        <w:ind w:left="425" w:hanging="566"/>
        <w:spacing w:after="0" w:line="275" w:lineRule="auto"/>
        <w:tabs>
          <w:tab w:leader="none" w:pos="405" w:val="left"/>
        </w:tabs>
        <w:rPr>
          <w:rFonts w:ascii="Arial" w:cs="Arial" w:eastAsia="Arial" w:hAnsi="Arial"/>
          <w:sz w:val="17"/>
          <w:szCs w:val="17"/>
          <w:u w:val="single" w:color="auto"/>
          <w:color w:val="0000FF"/>
        </w:rPr>
      </w:pPr>
      <w:r>
        <w:rPr>
          <w:rFonts w:ascii="Arial" w:cs="Arial" w:eastAsia="Arial" w:hAnsi="Arial"/>
          <w:sz w:val="18"/>
          <w:szCs w:val="18"/>
          <w:color w:val="auto"/>
        </w:rPr>
        <w:t>4.o</w:t>
      </w:r>
      <w:r>
        <w:rPr>
          <w:sz w:val="20"/>
          <w:szCs w:val="20"/>
          <w:color w:val="auto"/>
        </w:rPr>
        <w:tab/>
      </w:r>
      <w:hyperlink r:id="rId148">
        <w:r>
          <w:rPr>
            <w:rFonts w:ascii="Arial" w:cs="Arial" w:eastAsia="Arial" w:hAnsi="Arial"/>
            <w:sz w:val="17"/>
            <w:szCs w:val="17"/>
            <w:u w:val="single" w:color="auto"/>
            <w:color w:val="0000FF"/>
          </w:rPr>
          <w:t>Incremental Amendment No. 1, dated as of January 29, 2018, among Crown Americas LLC, Crown European Holdings S.A., Crown Metal</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Packaging Canada LP, each of the Subsidiary Borrowers party thereto, Crown Holdings, Inc., Crown Cork &amp; Seal Company, Inc. and</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Crown International Holdings, Inc., each other Credit Party from time to time party thereto, Deutsche Bank AG New York Branch,</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Deutsche Bank AG, London Branch, Deutsche Bank AG, Canada Branch, and various Lenders referred to therein (incorporated by</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reference to Exhibit 4.1 of the Registrant's Annual Report on Form 10-K for the year ended December 31, 2017).</w:t>
        </w:r>
      </w:hyperlink>
    </w:p>
    <w:p>
      <w:pPr>
        <w:spacing w:after="0" w:line="176" w:lineRule="exact"/>
        <w:rPr>
          <w:rFonts w:ascii="Arial" w:cs="Arial" w:eastAsia="Arial" w:hAnsi="Arial"/>
          <w:sz w:val="17"/>
          <w:szCs w:val="17"/>
          <w:u w:val="single" w:color="auto"/>
          <w:color w:val="0000FF"/>
        </w:rPr>
      </w:pPr>
    </w:p>
    <w:p>
      <w:pPr>
        <w:jc w:val="both"/>
        <w:ind w:left="425" w:hanging="566"/>
        <w:spacing w:after="0" w:line="259" w:lineRule="auto"/>
        <w:tabs>
          <w:tab w:leader="none" w:pos="405" w:val="left"/>
        </w:tabs>
        <w:rPr>
          <w:rFonts w:ascii="Arial" w:cs="Arial" w:eastAsia="Arial" w:hAnsi="Arial"/>
          <w:sz w:val="18"/>
          <w:szCs w:val="18"/>
          <w:u w:val="single" w:color="auto"/>
          <w:color w:val="0000FF"/>
        </w:rPr>
      </w:pPr>
      <w:r>
        <w:rPr>
          <w:rFonts w:ascii="Arial" w:cs="Arial" w:eastAsia="Arial" w:hAnsi="Arial"/>
          <w:sz w:val="18"/>
          <w:szCs w:val="18"/>
          <w:color w:val="auto"/>
        </w:rPr>
        <w:t>4.p</w:t>
      </w:r>
      <w:r>
        <w:rPr>
          <w:sz w:val="20"/>
          <w:szCs w:val="20"/>
          <w:color w:val="auto"/>
        </w:rPr>
        <w:tab/>
      </w:r>
      <w:hyperlink r:id="rId149">
        <w:r>
          <w:rPr>
            <w:rFonts w:ascii="Arial" w:cs="Arial" w:eastAsia="Arial" w:hAnsi="Arial"/>
            <w:sz w:val="18"/>
            <w:szCs w:val="18"/>
            <w:u w:val="single" w:color="auto"/>
            <w:color w:val="0000FF"/>
          </w:rPr>
          <w:t>Indenture, dated as of January 26, 2018, by and among Crown European Holdings S.A., as Issuer, the Guarantors named therein, U.S. Bank</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National Association, as Trustee, and the other parties thereto, relating to the €335 million 2.250% Senior Notes due 2023 and the €500</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million 2.875% Senior Notes due 2026 (incorporated by reference to Exhibit 4.1 of the Registrant's Current Report on Form 8-K dated</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February 1, 2018 (File No. 000-50189)).</w:t>
        </w:r>
      </w:hyperlink>
    </w:p>
    <w:p>
      <w:pPr>
        <w:spacing w:after="0" w:line="214" w:lineRule="exact"/>
        <w:rPr>
          <w:rFonts w:ascii="Arial" w:cs="Arial" w:eastAsia="Arial" w:hAnsi="Arial"/>
          <w:sz w:val="18"/>
          <w:szCs w:val="18"/>
          <w:u w:val="single" w:color="auto"/>
          <w:color w:val="0000FF"/>
        </w:rPr>
      </w:pPr>
    </w:p>
    <w:p>
      <w:pPr>
        <w:jc w:val="both"/>
        <w:ind w:left="505" w:right="20" w:hanging="566"/>
        <w:spacing w:after="0" w:line="277" w:lineRule="auto"/>
        <w:tabs>
          <w:tab w:leader="none" w:pos="485" w:val="left"/>
        </w:tabs>
        <w:rPr>
          <w:rFonts w:ascii="Arial" w:cs="Arial" w:eastAsia="Arial" w:hAnsi="Arial"/>
          <w:sz w:val="18"/>
          <w:szCs w:val="18"/>
          <w:u w:val="single" w:color="auto"/>
          <w:color w:val="0000FF"/>
        </w:rPr>
      </w:pPr>
      <w:r>
        <w:rPr>
          <w:rFonts w:ascii="Arial" w:cs="Arial" w:eastAsia="Arial" w:hAnsi="Arial"/>
          <w:sz w:val="18"/>
          <w:szCs w:val="18"/>
          <w:color w:val="auto"/>
        </w:rPr>
        <w:t>4.q</w:t>
      </w:r>
      <w:r>
        <w:rPr>
          <w:sz w:val="20"/>
          <w:szCs w:val="20"/>
          <w:color w:val="auto"/>
        </w:rPr>
        <w:tab/>
      </w:r>
      <w:hyperlink r:id="rId150">
        <w:r>
          <w:rPr>
            <w:rFonts w:ascii="Arial" w:cs="Arial" w:eastAsia="Arial" w:hAnsi="Arial"/>
            <w:sz w:val="18"/>
            <w:szCs w:val="18"/>
            <w:u w:val="single" w:color="auto"/>
            <w:color w:val="0000FF"/>
          </w:rPr>
          <w:t>Indenture, dated as of January 26, 2018, by and among Crown Americas LLC and Crown Americas Capital Corp. VI, as Issuers, the</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Guarantors named therein and U.S. Bank National Association, as Trustee, relating to</w:t>
        </w:r>
      </w:hyperlink>
    </w:p>
    <w:p>
      <w:pPr>
        <w:spacing w:after="0" w:line="200" w:lineRule="exact"/>
        <w:rPr>
          <w:sz w:val="20"/>
          <w:szCs w:val="20"/>
          <w:color w:val="auto"/>
        </w:rPr>
      </w:pPr>
    </w:p>
    <w:p>
      <w:pPr>
        <w:spacing w:after="0" w:line="308" w:lineRule="exact"/>
        <w:rPr>
          <w:sz w:val="20"/>
          <w:szCs w:val="20"/>
          <w:color w:val="auto"/>
        </w:rPr>
      </w:pPr>
    </w:p>
    <w:p>
      <w:pPr>
        <w:ind w:left="4965"/>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5"/>
          </w:cols>
          <w:pgMar w:left="895" w:top="121" w:right="339" w:bottom="1440" w:gutter="0" w:footer="0" w:header="0"/>
        </w:sectPr>
      </w:pPr>
    </w:p>
    <w:bookmarkStart w:id="91" w:name="page92"/>
    <w:bookmarkEnd w:id="91"/>
    <w:p>
      <w:pPr>
        <w:ind w:left="43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640"/>
        <w:spacing w:after="0" w:line="277" w:lineRule="auto"/>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the $875 million 4.750% Senior Notes due 2026 (incorporated by reference to Exhibit 4.2 of the Registrant's Current Report on Form 8-K</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dated February 1, 2018 (File No. 000-50189)).</w:t>
        </w:r>
      </w:hyperlink>
    </w:p>
    <w:p>
      <w:pPr>
        <w:spacing w:after="0" w:line="197" w:lineRule="exact"/>
        <w:rPr>
          <w:sz w:val="20"/>
          <w:szCs w:val="20"/>
          <w:color w:val="auto"/>
        </w:rPr>
      </w:pPr>
    </w:p>
    <w:p>
      <w:pPr>
        <w:jc w:val="both"/>
        <w:ind w:left="560" w:hanging="566"/>
        <w:spacing w:after="0" w:line="259"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4.r</w:t>
      </w:r>
      <w:r>
        <w:rPr>
          <w:sz w:val="20"/>
          <w:szCs w:val="20"/>
          <w:color w:val="auto"/>
        </w:rPr>
        <w:tab/>
      </w:r>
      <w:hyperlink r:id="rId152">
        <w:r>
          <w:rPr>
            <w:rFonts w:ascii="Arial" w:cs="Arial" w:eastAsia="Arial" w:hAnsi="Arial"/>
            <w:sz w:val="18"/>
            <w:szCs w:val="18"/>
            <w:u w:val="single" w:color="auto"/>
            <w:color w:val="0000FF"/>
          </w:rPr>
          <w:t>Registration Rights Agreement, dated as of January 26, 2018, by and among Crown Holdings, Inc., Crown Americas LLC and Crown</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Americas Capital Corp. VI, Citigroup Global Markets Inc., as representative of the initial purchasers, and the Guarantors (as defined</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therein), relating to the $875 million 4.750% Senior Notes due 2026 (incorporated by reference to Exhibit 4.3 of the Registrant's Current</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Report on Form 8-K dated February 1, 2018 (File No. 000-50189)).</w:t>
        </w:r>
      </w:hyperlink>
    </w:p>
    <w:p>
      <w:pPr>
        <w:spacing w:after="0" w:line="214" w:lineRule="exact"/>
        <w:rPr>
          <w:rFonts w:ascii="Arial" w:cs="Arial" w:eastAsia="Arial" w:hAnsi="Arial"/>
          <w:sz w:val="18"/>
          <w:szCs w:val="18"/>
          <w:u w:val="single" w:color="auto"/>
          <w:color w:val="0000FF"/>
        </w:rPr>
      </w:pPr>
    </w:p>
    <w:p>
      <w:pPr>
        <w:jc w:val="both"/>
        <w:ind w:left="480" w:hanging="566"/>
        <w:spacing w:after="0" w:line="254" w:lineRule="auto"/>
        <w:tabs>
          <w:tab w:leader="none" w:pos="460" w:val="left"/>
        </w:tabs>
        <w:rPr>
          <w:rFonts w:ascii="Arial" w:cs="Arial" w:eastAsia="Arial" w:hAnsi="Arial"/>
          <w:sz w:val="18"/>
          <w:szCs w:val="18"/>
          <w:u w:val="single" w:color="auto"/>
          <w:color w:val="0000FF"/>
        </w:rPr>
      </w:pPr>
      <w:r>
        <w:rPr>
          <w:rFonts w:ascii="Arial" w:cs="Arial" w:eastAsia="Arial" w:hAnsi="Arial"/>
          <w:sz w:val="18"/>
          <w:szCs w:val="18"/>
          <w:color w:val="auto"/>
        </w:rPr>
        <w:t>4.s</w:t>
      </w:r>
      <w:r>
        <w:rPr>
          <w:sz w:val="20"/>
          <w:szCs w:val="20"/>
          <w:color w:val="auto"/>
        </w:rPr>
        <w:tab/>
      </w:r>
      <w:hyperlink r:id="rId148">
        <w:r>
          <w:rPr>
            <w:rFonts w:ascii="Arial" w:cs="Arial" w:eastAsia="Arial" w:hAnsi="Arial"/>
            <w:sz w:val="18"/>
            <w:szCs w:val="18"/>
            <w:u w:val="single" w:color="auto"/>
            <w:color w:val="0000FF"/>
          </w:rPr>
          <w:t>Second Amendment to Amended and Restated Credit Agreement, First Amendment to the U.S. Guarantee Agreement and First Amendment</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to U.S. Indemnity, Subrogation and Contribution Agreement, dated as of March 23, 2018, among Crown Americas LLC, Crown European</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Holdings S.A., Crown Metal Packaging Canada LP, each of the Subsidiary Borrowers from time to time party thereto, Crown Holdings,</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Inc., Crown Cork &amp; Seal Company, Inc. and Crown International Holdings, Inc., each other Credit Party from time to time party thereto,</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Deutsche Bank AG New York Branch, Deutsche Bank AG, London Branch, Deutsche Bank AG, Canada Branch, and various Lenders</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referred to therein (incorporated by reference to Exhibit 4.cc of the Registrant's Annual Report on Form 10-K for the year ended December</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31, 2018).</w:t>
        </w:r>
      </w:hyperlink>
    </w:p>
    <w:p>
      <w:pPr>
        <w:spacing w:after="0" w:line="222" w:lineRule="exact"/>
        <w:rPr>
          <w:rFonts w:ascii="Arial" w:cs="Arial" w:eastAsia="Arial" w:hAnsi="Arial"/>
          <w:sz w:val="18"/>
          <w:szCs w:val="18"/>
          <w:u w:val="single" w:color="auto"/>
          <w:color w:val="0000FF"/>
        </w:rPr>
      </w:pPr>
    </w:p>
    <w:p>
      <w:pPr>
        <w:jc w:val="both"/>
        <w:ind w:left="460" w:hanging="566"/>
        <w:spacing w:after="0" w:line="255"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4.t</w:t>
      </w:r>
      <w:r>
        <w:rPr>
          <w:sz w:val="20"/>
          <w:szCs w:val="20"/>
          <w:color w:val="auto"/>
        </w:rPr>
        <w:tab/>
      </w:r>
      <w:hyperlink r:id="rId153">
        <w:r>
          <w:rPr>
            <w:rFonts w:ascii="Arial" w:cs="Arial" w:eastAsia="Arial" w:hAnsi="Arial"/>
            <w:sz w:val="18"/>
            <w:szCs w:val="18"/>
            <w:u w:val="single" w:color="auto"/>
            <w:color w:val="0000FF"/>
          </w:rPr>
          <w:t>Incremental Amendment No. 2 and Third Amendment to Amended and Restated Credit Agreement, dated as of December 13, 2019, among</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Crown Americas LLC, Crown European Holdings S.A., Crown Metal Packaging Canada LP, each of the Subsidiary Borrowers from time to</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time party thereto, Crown Holdings, Inc., Crown Cork &amp; Seal Company, Inc., and Crown International Holdings, Inc., each other Credit</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Party from time to time party thereto, Deutsche Bank AG New York Branch, Deutsche Bank AG London Branch, Deutsche Bank AG,</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Canada Branch, and the various Lenders referred to therein (incorporated by reference to Exhibit 4.1 of the Registrant's Current Report on</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Form 8-K/A dated February 28, 2020 (File No. 000-50189)).</w:t>
        </w:r>
      </w:hyperlink>
    </w:p>
    <w:p>
      <w:pPr>
        <w:spacing w:after="0" w:line="219" w:lineRule="exact"/>
        <w:rPr>
          <w:rFonts w:ascii="Arial" w:cs="Arial" w:eastAsia="Arial" w:hAnsi="Arial"/>
          <w:sz w:val="18"/>
          <w:szCs w:val="18"/>
          <w:u w:val="single" w:color="auto"/>
          <w:color w:val="0000FF"/>
        </w:rPr>
      </w:pPr>
    </w:p>
    <w:p>
      <w:pPr>
        <w:jc w:val="both"/>
        <w:ind w:left="500" w:right="20" w:hanging="566"/>
        <w:spacing w:after="0" w:line="311" w:lineRule="auto"/>
        <w:tabs>
          <w:tab w:leader="none" w:pos="480" w:val="left"/>
        </w:tabs>
        <w:rPr>
          <w:rFonts w:ascii="Arial" w:cs="Arial" w:eastAsia="Arial" w:hAnsi="Arial"/>
          <w:sz w:val="16"/>
          <w:szCs w:val="16"/>
          <w:u w:val="single" w:color="auto"/>
          <w:color w:val="0000FF"/>
        </w:rPr>
      </w:pPr>
      <w:r>
        <w:rPr>
          <w:rFonts w:ascii="Arial" w:cs="Arial" w:eastAsia="Arial" w:hAnsi="Arial"/>
          <w:sz w:val="18"/>
          <w:szCs w:val="18"/>
          <w:color w:val="auto"/>
        </w:rPr>
        <w:t>4.u</w:t>
      </w:r>
      <w:r>
        <w:rPr>
          <w:sz w:val="20"/>
          <w:szCs w:val="20"/>
          <w:color w:val="auto"/>
        </w:rPr>
        <w:tab/>
      </w:r>
      <w:hyperlink r:id="rId154">
        <w:r>
          <w:rPr>
            <w:rFonts w:ascii="Arial" w:cs="Arial" w:eastAsia="Arial" w:hAnsi="Arial"/>
            <w:sz w:val="16"/>
            <w:szCs w:val="16"/>
            <w:u w:val="single" w:color="auto"/>
            <w:color w:val="0000FF"/>
          </w:rPr>
          <w:t>Indenture, dated as of October 31, 2019, by and among Crown European Holdings S.A., as Issuer, the Guarantors named therein, U.S. Bank</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National Association, as Trustee, and the other parties thereto, relating to the €550 million 0.750% Senior Notes due 2023 (incorporated by</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reference to Exhibit 4.1 of the Registrant's Current Report on Form 8-K dated November 4, 2019 (File No. 000-50189)).</w:t>
        </w:r>
      </w:hyperlink>
    </w:p>
    <w:p>
      <w:pPr>
        <w:spacing w:after="0" w:line="176" w:lineRule="exact"/>
        <w:rPr>
          <w:rFonts w:ascii="Arial" w:cs="Arial" w:eastAsia="Arial" w:hAnsi="Arial"/>
          <w:sz w:val="16"/>
          <w:szCs w:val="16"/>
          <w:u w:val="single" w:color="auto"/>
          <w:color w:val="0000FF"/>
        </w:rPr>
      </w:pPr>
    </w:p>
    <w:p>
      <w:pPr>
        <w:ind w:left="640" w:hanging="565"/>
        <w:spacing w:after="0" w:line="257" w:lineRule="auto"/>
        <w:tabs>
          <w:tab w:leader="none" w:pos="280" w:val="left"/>
        </w:tabs>
        <w:numPr>
          <w:ilvl w:val="0"/>
          <w:numId w:val="31"/>
        </w:numPr>
        <w:rPr>
          <w:rFonts w:ascii="Arial" w:cs="Arial" w:eastAsia="Arial" w:hAnsi="Arial"/>
          <w:sz w:val="18"/>
          <w:szCs w:val="18"/>
          <w:u w:val="single" w:color="auto"/>
          <w:color w:val="0000FF"/>
        </w:rPr>
      </w:pPr>
      <w:r>
        <w:rPr>
          <w:rFonts w:ascii="Arial" w:cs="Arial" w:eastAsia="Arial" w:hAnsi="Arial"/>
          <w:sz w:val="18"/>
          <w:szCs w:val="18"/>
          <w:color w:val="auto"/>
        </w:rPr>
        <w:t xml:space="preserve">v </w:t>
      </w:r>
      <w:hyperlink w:anchor="page97">
        <w:r>
          <w:rPr>
            <w:rFonts w:ascii="Arial" w:cs="Arial" w:eastAsia="Arial" w:hAnsi="Arial"/>
            <w:sz w:val="18"/>
            <w:szCs w:val="18"/>
            <w:u w:val="single" w:color="auto"/>
            <w:color w:val="0000FF"/>
          </w:rPr>
          <w:t>Fourth Amendment to Amended and Restated Credit Agreement, dated as of October 4, 2021, among Crown Americas LLC, Crown</w:t>
        </w:r>
      </w:hyperlink>
      <w:r>
        <w:rPr>
          <w:rFonts w:ascii="Arial" w:cs="Arial" w:eastAsia="Arial" w:hAnsi="Arial"/>
          <w:sz w:val="18"/>
          <w:szCs w:val="18"/>
          <w:color w:val="auto"/>
        </w:rPr>
        <w:t xml:space="preserve"> </w:t>
      </w:r>
      <w:hyperlink w:anchor="page97">
        <w:r>
          <w:rPr>
            <w:rFonts w:ascii="Arial" w:cs="Arial" w:eastAsia="Arial" w:hAnsi="Arial"/>
            <w:sz w:val="18"/>
            <w:szCs w:val="18"/>
            <w:u w:val="single" w:color="auto"/>
            <w:color w:val="0000FF"/>
          </w:rPr>
          <w:t>European Holdings S.A., Crown Metal Packaging Canada LP, each of the Subsidiary Borrowers from time to time party thereto, Crown</w:t>
        </w:r>
      </w:hyperlink>
      <w:r>
        <w:rPr>
          <w:rFonts w:ascii="Arial" w:cs="Arial" w:eastAsia="Arial" w:hAnsi="Arial"/>
          <w:sz w:val="18"/>
          <w:szCs w:val="18"/>
          <w:u w:val="single" w:color="auto"/>
          <w:color w:val="0000FF"/>
        </w:rPr>
        <w:t xml:space="preserve"> </w:t>
      </w:r>
      <w:hyperlink w:anchor="page97">
        <w:r>
          <w:rPr>
            <w:rFonts w:ascii="Arial" w:cs="Arial" w:eastAsia="Arial" w:hAnsi="Arial"/>
            <w:sz w:val="18"/>
            <w:szCs w:val="18"/>
            <w:u w:val="single" w:color="auto"/>
            <w:color w:val="0000FF"/>
          </w:rPr>
          <w:t>Holdings, Inc., Crown Cork &amp; Seal Company, Inc. and Crown International Holdings, Inc., each other Credit Party from time to time party</w:t>
        </w:r>
      </w:hyperlink>
      <w:r>
        <w:rPr>
          <w:rFonts w:ascii="Arial" w:cs="Arial" w:eastAsia="Arial" w:hAnsi="Arial"/>
          <w:sz w:val="18"/>
          <w:szCs w:val="18"/>
          <w:u w:val="single" w:color="auto"/>
          <w:color w:val="0000FF"/>
        </w:rPr>
        <w:t xml:space="preserve"> </w:t>
      </w:r>
      <w:hyperlink w:anchor="page97">
        <w:r>
          <w:rPr>
            <w:rFonts w:ascii="Arial" w:cs="Arial" w:eastAsia="Arial" w:hAnsi="Arial"/>
            <w:sz w:val="18"/>
            <w:szCs w:val="18"/>
            <w:u w:val="single" w:color="auto"/>
            <w:color w:val="0000FF"/>
          </w:rPr>
          <w:t>thereto, Deutsche Bank AG New York Branch, Deutsche Bank AG, London Branch, Deutsche Bank AG, Canada Branch, and various</w:t>
        </w:r>
      </w:hyperlink>
      <w:r>
        <w:rPr>
          <w:rFonts w:ascii="Arial" w:cs="Arial" w:eastAsia="Arial" w:hAnsi="Arial"/>
          <w:sz w:val="18"/>
          <w:szCs w:val="18"/>
          <w:u w:val="single" w:color="auto"/>
          <w:color w:val="0000FF"/>
        </w:rPr>
        <w:t xml:space="preserve"> </w:t>
      </w:r>
      <w:hyperlink w:anchor="page97">
        <w:r>
          <w:rPr>
            <w:rFonts w:ascii="Arial" w:cs="Arial" w:eastAsia="Arial" w:hAnsi="Arial"/>
            <w:sz w:val="18"/>
            <w:szCs w:val="18"/>
            <w:u w:val="single" w:color="auto"/>
            <w:color w:val="0000FF"/>
          </w:rPr>
          <w:t>Lenders referred to therein.</w:t>
        </w:r>
      </w:hyperlink>
    </w:p>
    <w:p>
      <w:pPr>
        <w:spacing w:after="0" w:line="215" w:lineRule="exact"/>
        <w:rPr>
          <w:rFonts w:ascii="Arial" w:cs="Arial" w:eastAsia="Arial" w:hAnsi="Arial"/>
          <w:sz w:val="18"/>
          <w:szCs w:val="18"/>
          <w:u w:val="single" w:color="auto"/>
          <w:color w:val="0000FF"/>
        </w:rPr>
      </w:pPr>
    </w:p>
    <w:p>
      <w:pPr>
        <w:ind w:left="560" w:hanging="566"/>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4.w</w:t>
      </w:r>
      <w:r>
        <w:rPr>
          <w:sz w:val="20"/>
          <w:szCs w:val="20"/>
          <w:color w:val="auto"/>
        </w:rPr>
        <w:tab/>
      </w:r>
      <w:hyperlink r:id="rId155">
        <w:r>
          <w:rPr>
            <w:rFonts w:ascii="Arial" w:cs="Arial" w:eastAsia="Arial" w:hAnsi="Arial"/>
            <w:sz w:val="18"/>
            <w:szCs w:val="18"/>
            <w:u w:val="single" w:color="auto"/>
            <w:color w:val="0000FF"/>
          </w:rPr>
          <w:t>Description of the Registrant's Securities (incorporated by reference to Exhibit 4.ff of the Registrant's Annual Report on Form 10-k for the</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year ended December 31, 2019 (File No. 000-50189)).</w:t>
        </w:r>
      </w:hyperlink>
    </w:p>
    <w:p>
      <w:pPr>
        <w:spacing w:after="0" w:line="197" w:lineRule="exact"/>
        <w:rPr>
          <w:sz w:val="20"/>
          <w:szCs w:val="20"/>
          <w:color w:val="auto"/>
        </w:rPr>
      </w:pPr>
    </w:p>
    <w:p>
      <w:pPr>
        <w:ind w:left="500" w:hanging="566"/>
        <w:spacing w:after="0" w:line="277" w:lineRule="auto"/>
        <w:tabs>
          <w:tab w:leader="none" w:pos="480" w:val="left"/>
        </w:tabs>
        <w:rPr>
          <w:sz w:val="20"/>
          <w:szCs w:val="20"/>
          <w:color w:val="auto"/>
        </w:rPr>
      </w:pPr>
      <w:r>
        <w:rPr>
          <w:rFonts w:ascii="Arial" w:cs="Arial" w:eastAsia="Arial" w:hAnsi="Arial"/>
          <w:sz w:val="18"/>
          <w:szCs w:val="18"/>
          <w:color w:val="auto"/>
        </w:rPr>
        <w:t>4.x</w:t>
        <w:tab/>
        <w:t>Other long-term agreements of the Registrant are not filed pursuant to Item 601(b)(4)(iii)(A) of Regulation S-K, and the Registrant agrees to furnish copies of such agreements to the Securities and Exchange Commission upon its requests.</w:t>
      </w:r>
    </w:p>
    <w:p>
      <w:pPr>
        <w:spacing w:after="0" w:line="19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10.a</w:t>
      </w:r>
      <w:r>
        <w:rPr>
          <w:sz w:val="20"/>
          <w:szCs w:val="20"/>
          <w:color w:val="auto"/>
        </w:rPr>
        <w:tab/>
      </w:r>
      <w:r>
        <w:rPr>
          <w:rFonts w:ascii="Arial" w:cs="Arial" w:eastAsia="Arial" w:hAnsi="Arial"/>
          <w:sz w:val="16"/>
          <w:szCs w:val="16"/>
          <w:color w:val="auto"/>
        </w:rPr>
        <w:t>Employment Contracts:</w:t>
      </w:r>
    </w:p>
    <w:p>
      <w:pPr>
        <w:spacing w:after="0" w:line="252" w:lineRule="exact"/>
        <w:rPr>
          <w:sz w:val="20"/>
          <w:szCs w:val="20"/>
          <w:color w:val="auto"/>
        </w:rPr>
      </w:pPr>
    </w:p>
    <w:p>
      <w:pPr>
        <w:ind w:left="1120" w:hanging="478"/>
        <w:spacing w:after="0" w:line="308" w:lineRule="auto"/>
        <w:tabs>
          <w:tab w:leader="none" w:pos="1087" w:val="left"/>
        </w:tabs>
        <w:numPr>
          <w:ilvl w:val="0"/>
          <w:numId w:val="32"/>
        </w:numPr>
        <w:rPr>
          <w:rFonts w:ascii="Arial" w:cs="Arial" w:eastAsia="Arial" w:hAnsi="Arial"/>
          <w:sz w:val="17"/>
          <w:szCs w:val="17"/>
          <w:u w:val="single" w:color="auto"/>
          <w:color w:val="0000FF"/>
        </w:rPr>
      </w:pPr>
      <w:hyperlink r:id="rId156">
        <w:r>
          <w:rPr>
            <w:rFonts w:ascii="Arial" w:cs="Arial" w:eastAsia="Arial" w:hAnsi="Arial"/>
            <w:sz w:val="17"/>
            <w:szCs w:val="17"/>
            <w:u w:val="single" w:color="auto"/>
            <w:color w:val="0000FF"/>
          </w:rPr>
          <w:t>Employment Agreement, dated December 30, 2015, between Crown Holdings, Inc. and Timothy J. Donahue (incorporated by</w:t>
        </w:r>
      </w:hyperlink>
      <w:r>
        <w:rPr>
          <w:rFonts w:ascii="Arial" w:cs="Arial" w:eastAsia="Arial" w:hAnsi="Arial"/>
          <w:sz w:val="17"/>
          <w:szCs w:val="17"/>
          <w:u w:val="single" w:color="auto"/>
          <w:color w:val="0000FF"/>
        </w:rPr>
        <w:t xml:space="preserve"> </w:t>
      </w:r>
      <w:hyperlink r:id="rId156">
        <w:r>
          <w:rPr>
            <w:rFonts w:ascii="Arial" w:cs="Arial" w:eastAsia="Arial" w:hAnsi="Arial"/>
            <w:sz w:val="17"/>
            <w:szCs w:val="17"/>
            <w:u w:val="single" w:color="auto"/>
            <w:color w:val="0000FF"/>
          </w:rPr>
          <w:t>reference to Exhibit 10.1 of the Registrant’s Current Report on Form 8-K dated January 5, 2016 (File No. 000-50189)).</w:t>
        </w:r>
      </w:hyperlink>
    </w:p>
    <w:p>
      <w:pPr>
        <w:spacing w:after="0" w:line="173" w:lineRule="exact"/>
        <w:rPr>
          <w:rFonts w:ascii="Arial" w:cs="Arial" w:eastAsia="Arial" w:hAnsi="Arial"/>
          <w:sz w:val="17"/>
          <w:szCs w:val="17"/>
          <w:u w:val="single" w:color="auto"/>
          <w:color w:val="0000FF"/>
        </w:rPr>
      </w:pPr>
    </w:p>
    <w:p>
      <w:pPr>
        <w:ind w:left="1120" w:hanging="478"/>
        <w:spacing w:after="0" w:line="263" w:lineRule="auto"/>
        <w:tabs>
          <w:tab w:leader="none" w:pos="1051" w:val="left"/>
        </w:tabs>
        <w:numPr>
          <w:ilvl w:val="0"/>
          <w:numId w:val="32"/>
        </w:numPr>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First amendment to the employment contract, effective June 1, 2012, between Crown Holdings, Inc. and Gerard Gifford, dated as of</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July 24, 2013 (incorporated by reference to Exhibit 10.3 of the Registrant's Quarterly Report on Form 10-Q for the quarter ended</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June 30, 2013 (File No 000-50189)).</w:t>
        </w:r>
      </w:hyperlink>
    </w:p>
    <w:p>
      <w:pPr>
        <w:spacing w:after="0" w:line="210" w:lineRule="exact"/>
        <w:rPr>
          <w:rFonts w:ascii="Arial" w:cs="Arial" w:eastAsia="Arial" w:hAnsi="Arial"/>
          <w:sz w:val="18"/>
          <w:szCs w:val="18"/>
          <w:u w:val="single" w:color="auto"/>
          <w:color w:val="0000FF"/>
        </w:rPr>
      </w:pPr>
    </w:p>
    <w:p>
      <w:pPr>
        <w:jc w:val="both"/>
        <w:ind w:left="1120" w:hanging="478"/>
        <w:spacing w:after="0" w:line="263" w:lineRule="auto"/>
        <w:tabs>
          <w:tab w:leader="none" w:pos="1132" w:val="left"/>
        </w:tabs>
        <w:numPr>
          <w:ilvl w:val="0"/>
          <w:numId w:val="32"/>
        </w:numPr>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Executive Employment Agreement, effective June 1, 2012, between Crown Holdings, Inc. and Gerard Gifford (incorporated by</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reference to Exhibit 10.1 of the Registrant's Quarterly Report on Form 10-Q for the quarter ended June 30, 2012 (File No 000-</w:t>
        </w:r>
      </w:hyperlink>
      <w:hyperlink r:id="rId158">
        <w:r>
          <w:rPr>
            <w:rFonts w:ascii="Arial" w:cs="Arial" w:eastAsia="Arial" w:hAnsi="Arial"/>
            <w:sz w:val="18"/>
            <w:szCs w:val="18"/>
            <w:u w:val="single" w:color="auto"/>
            <w:color w:val="0000FF"/>
          </w:rPr>
          <w:t>50189)).</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64" w:lineRule="exact"/>
        <w:rPr>
          <w:rFonts w:ascii="Arial" w:cs="Arial" w:eastAsia="Arial" w:hAnsi="Arial"/>
          <w:sz w:val="18"/>
          <w:szCs w:val="18"/>
          <w:u w:val="single" w:color="auto"/>
          <w:color w:val="0000FF"/>
        </w:rPr>
      </w:pPr>
    </w:p>
    <w:p>
      <w:pPr>
        <w:jc w:val="center"/>
        <w:ind w:right="480"/>
        <w:spacing w:after="0"/>
        <w:rPr>
          <w:sz w:val="20"/>
          <w:szCs w:val="20"/>
          <w:color w:val="auto"/>
        </w:rPr>
      </w:pPr>
      <w:r>
        <w:rPr>
          <w:rFonts w:ascii="Arial" w:cs="Arial" w:eastAsia="Arial" w:hAnsi="Arial"/>
          <w:sz w:val="18"/>
          <w:szCs w:val="18"/>
          <w:color w:val="auto"/>
        </w:rPr>
        <w:t>90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21" w:right="339" w:bottom="1440" w:gutter="0" w:footer="0" w:header="0"/>
        </w:sectPr>
      </w:pPr>
    </w:p>
    <w:bookmarkStart w:id="92" w:name="page93"/>
    <w:bookmarkEnd w:id="92"/>
    <w:p>
      <w:pPr>
        <w:ind w:left="422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1040" w:right="20" w:hanging="478"/>
        <w:spacing w:after="0" w:line="308" w:lineRule="auto"/>
        <w:tabs>
          <w:tab w:leader="none" w:pos="1002" w:val="left"/>
        </w:tabs>
        <w:numPr>
          <w:ilvl w:val="0"/>
          <w:numId w:val="33"/>
        </w:numPr>
        <w:rPr>
          <w:rFonts w:ascii="Arial" w:cs="Arial" w:eastAsia="Arial" w:hAnsi="Arial"/>
          <w:sz w:val="17"/>
          <w:szCs w:val="17"/>
          <w:u w:val="single" w:color="auto"/>
          <w:color w:val="0000FF"/>
        </w:rPr>
      </w:pPr>
      <w:hyperlink r:id="rId160">
        <w:r>
          <w:rPr>
            <w:rFonts w:ascii="Arial" w:cs="Arial" w:eastAsia="Arial" w:hAnsi="Arial"/>
            <w:sz w:val="17"/>
            <w:szCs w:val="17"/>
            <w:u w:val="single" w:color="auto"/>
            <w:color w:val="0000FF"/>
          </w:rPr>
          <w:t>Employment contract between Crown Holdings, Inc. and Thomas A. Kelly, dated July 24, 2013 (incorporated by reference to Exhibit</w:t>
        </w:r>
      </w:hyperlink>
      <w:r>
        <w:rPr>
          <w:rFonts w:ascii="Arial" w:cs="Arial" w:eastAsia="Arial" w:hAnsi="Arial"/>
          <w:sz w:val="17"/>
          <w:szCs w:val="17"/>
          <w:u w:val="single" w:color="auto"/>
          <w:color w:val="0000FF"/>
        </w:rPr>
        <w:t xml:space="preserve"> </w:t>
      </w:r>
      <w:hyperlink r:id="rId160">
        <w:r>
          <w:rPr>
            <w:rFonts w:ascii="Arial" w:cs="Arial" w:eastAsia="Arial" w:hAnsi="Arial"/>
            <w:sz w:val="17"/>
            <w:szCs w:val="17"/>
            <w:u w:val="single" w:color="auto"/>
            <w:color w:val="0000FF"/>
          </w:rPr>
          <w:t>10 of the Registrant’s Quarterly Report on Form 10-Q for the quarter ended June 30, 2013 (File No. 000-50189)).</w:t>
        </w:r>
      </w:hyperlink>
    </w:p>
    <w:p>
      <w:pPr>
        <w:spacing w:after="0" w:line="173" w:lineRule="exact"/>
        <w:rPr>
          <w:rFonts w:ascii="Arial" w:cs="Arial" w:eastAsia="Arial" w:hAnsi="Arial"/>
          <w:sz w:val="17"/>
          <w:szCs w:val="17"/>
          <w:u w:val="single" w:color="auto"/>
          <w:color w:val="0000FF"/>
        </w:rPr>
      </w:pPr>
    </w:p>
    <w:p>
      <w:pPr>
        <w:ind w:left="1040" w:hanging="478"/>
        <w:spacing w:after="0" w:line="342" w:lineRule="auto"/>
        <w:tabs>
          <w:tab w:leader="none" w:pos="984" w:val="left"/>
        </w:tabs>
        <w:numPr>
          <w:ilvl w:val="0"/>
          <w:numId w:val="33"/>
        </w:numPr>
        <w:rPr>
          <w:rFonts w:ascii="Arial" w:cs="Arial" w:eastAsia="Arial" w:hAnsi="Arial"/>
          <w:sz w:val="16"/>
          <w:szCs w:val="16"/>
          <w:u w:val="single" w:color="auto"/>
          <w:color w:val="0000FF"/>
        </w:rPr>
      </w:pPr>
      <w:hyperlink r:id="rId161">
        <w:r>
          <w:rPr>
            <w:rFonts w:ascii="Arial" w:cs="Arial" w:eastAsia="Arial" w:hAnsi="Arial"/>
            <w:sz w:val="16"/>
            <w:szCs w:val="16"/>
            <w:u w:val="single" w:color="auto"/>
            <w:color w:val="0000FF"/>
          </w:rPr>
          <w:t>Employment contract between Crown Holdings, Inc. and Djalma Novaes Jr., dated February 26, 2015 (incorporated by reference to</w:t>
        </w:r>
      </w:hyperlink>
      <w:r>
        <w:rPr>
          <w:rFonts w:ascii="Arial" w:cs="Arial" w:eastAsia="Arial" w:hAnsi="Arial"/>
          <w:sz w:val="16"/>
          <w:szCs w:val="16"/>
          <w:u w:val="single" w:color="auto"/>
          <w:color w:val="0000FF"/>
        </w:rPr>
        <w:t xml:space="preserve"> </w:t>
      </w:r>
      <w:hyperlink r:id="rId161">
        <w:r>
          <w:rPr>
            <w:rFonts w:ascii="Arial" w:cs="Arial" w:eastAsia="Arial" w:hAnsi="Arial"/>
            <w:sz w:val="16"/>
            <w:szCs w:val="16"/>
            <w:u w:val="single" w:color="auto"/>
            <w:color w:val="0000FF"/>
          </w:rPr>
          <w:t>Exhibit 10.c(11) of the Registrant’s Annual Report on Form 10-K for the year ended December 31, 2014 (File No. 000-50189)).</w:t>
        </w:r>
      </w:hyperlink>
    </w:p>
    <w:p>
      <w:pPr>
        <w:spacing w:after="0" w:line="150" w:lineRule="exact"/>
        <w:rPr>
          <w:rFonts w:ascii="Arial" w:cs="Arial" w:eastAsia="Arial" w:hAnsi="Arial"/>
          <w:sz w:val="16"/>
          <w:szCs w:val="16"/>
          <w:u w:val="single" w:color="auto"/>
          <w:color w:val="0000FF"/>
        </w:rPr>
      </w:pPr>
    </w:p>
    <w:p>
      <w:pPr>
        <w:jc w:val="both"/>
        <w:ind w:left="1040" w:hanging="478"/>
        <w:spacing w:after="0" w:line="263" w:lineRule="auto"/>
        <w:tabs>
          <w:tab w:leader="none" w:pos="984" w:val="left"/>
        </w:tabs>
        <w:numPr>
          <w:ilvl w:val="0"/>
          <w:numId w:val="33"/>
        </w:numPr>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Executive Employment Agreement, effective May 1, 2016, between Crown Holdings, Inc. and Robert Bourque, Jr. (incorporated by</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reference to Exhibit 10.2 of the Registrant’s Quarterly Report on Form 10-Q for the quarter ended March 31, 2016 (File No. 000-</w:t>
        </w:r>
      </w:hyperlink>
      <w:hyperlink r:id="rId162">
        <w:r>
          <w:rPr>
            <w:rFonts w:ascii="Arial" w:cs="Arial" w:eastAsia="Arial" w:hAnsi="Arial"/>
            <w:sz w:val="18"/>
            <w:szCs w:val="18"/>
            <w:u w:val="single" w:color="auto"/>
            <w:color w:val="0000FF"/>
          </w:rPr>
          <w:t>50189)).</w:t>
        </w:r>
      </w:hyperlink>
    </w:p>
    <w:p>
      <w:pPr>
        <w:spacing w:after="0" w:line="210" w:lineRule="exact"/>
        <w:rPr>
          <w:rFonts w:ascii="Arial" w:cs="Arial" w:eastAsia="Arial" w:hAnsi="Arial"/>
          <w:sz w:val="18"/>
          <w:szCs w:val="18"/>
          <w:u w:val="single" w:color="auto"/>
          <w:color w:val="0000FF"/>
        </w:rPr>
      </w:pPr>
    </w:p>
    <w:p>
      <w:pPr>
        <w:ind w:left="1040" w:hanging="478"/>
        <w:spacing w:after="0" w:line="308" w:lineRule="auto"/>
        <w:tabs>
          <w:tab w:leader="none" w:pos="1025" w:val="left"/>
        </w:tabs>
        <w:numPr>
          <w:ilvl w:val="0"/>
          <w:numId w:val="33"/>
        </w:numPr>
        <w:rPr>
          <w:rFonts w:ascii="Arial" w:cs="Arial" w:eastAsia="Arial" w:hAnsi="Arial"/>
          <w:sz w:val="17"/>
          <w:szCs w:val="17"/>
          <w:u w:val="single" w:color="auto"/>
          <w:color w:val="0000FF"/>
        </w:rPr>
      </w:pPr>
      <w:hyperlink r:id="rId163">
        <w:r>
          <w:rPr>
            <w:rFonts w:ascii="Arial" w:cs="Arial" w:eastAsia="Arial" w:hAnsi="Arial"/>
            <w:sz w:val="17"/>
            <w:szCs w:val="17"/>
            <w:u w:val="single" w:color="auto"/>
            <w:color w:val="0000FF"/>
          </w:rPr>
          <w:t>Employment contract between Crown Holdings, Inc. and Didier Sourisseau, effective April 1, 2017 (incorporated by reference to</w:t>
        </w:r>
      </w:hyperlink>
      <w:r>
        <w:rPr>
          <w:rFonts w:ascii="Arial" w:cs="Arial" w:eastAsia="Arial" w:hAnsi="Arial"/>
          <w:sz w:val="17"/>
          <w:szCs w:val="17"/>
          <w:u w:val="single" w:color="auto"/>
          <w:color w:val="0000FF"/>
        </w:rPr>
        <w:t xml:space="preserve"> </w:t>
      </w:r>
      <w:hyperlink r:id="rId163">
        <w:r>
          <w:rPr>
            <w:rFonts w:ascii="Arial" w:cs="Arial" w:eastAsia="Arial" w:hAnsi="Arial"/>
            <w:sz w:val="17"/>
            <w:szCs w:val="17"/>
            <w:u w:val="single" w:color="auto"/>
            <w:color w:val="0000FF"/>
          </w:rPr>
          <w:t>Exhibit 10.a of the Registrant's Quarterly Report on Form 10-Q for the quarter ended March 31, 2017) (File No. 000-50189)).</w:t>
        </w:r>
      </w:hyperlink>
    </w:p>
    <w:p>
      <w:pPr>
        <w:spacing w:after="0" w:line="173" w:lineRule="exact"/>
        <w:rPr>
          <w:rFonts w:ascii="Arial" w:cs="Arial" w:eastAsia="Arial" w:hAnsi="Arial"/>
          <w:sz w:val="17"/>
          <w:szCs w:val="17"/>
          <w:u w:val="single" w:color="auto"/>
          <w:color w:val="0000FF"/>
        </w:rPr>
      </w:pPr>
    </w:p>
    <w:p>
      <w:pPr>
        <w:ind w:left="1040" w:right="20" w:hanging="478"/>
        <w:spacing w:after="0" w:line="277" w:lineRule="auto"/>
        <w:tabs>
          <w:tab w:leader="none" w:pos="971" w:val="left"/>
        </w:tabs>
        <w:numPr>
          <w:ilvl w:val="0"/>
          <w:numId w:val="33"/>
        </w:numPr>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Employment Agreement, dated January 7, 2022, between Crown Holdings, Inc. and Kevin C. Clothier (incorporated by reference to</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Exhibit 10.1 of the Registrant’s Periodic Report on Form 8-K filed January 11, 2022 (File No. 000-50189)).</w:t>
        </w:r>
      </w:hyperlink>
    </w:p>
    <w:p>
      <w:pPr>
        <w:spacing w:after="0" w:line="197" w:lineRule="exact"/>
        <w:rPr>
          <w:rFonts w:ascii="Arial" w:cs="Arial" w:eastAsia="Arial" w:hAnsi="Arial"/>
          <w:sz w:val="18"/>
          <w:szCs w:val="18"/>
          <w:color w:val="auto"/>
        </w:rPr>
      </w:pPr>
    </w:p>
    <w:p>
      <w:pPr>
        <w:ind w:left="560" w:hanging="566"/>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10.b</w:t>
      </w:r>
      <w:r>
        <w:rPr>
          <w:sz w:val="20"/>
          <w:szCs w:val="20"/>
          <w:color w:val="auto"/>
        </w:rPr>
        <w:tab/>
      </w:r>
      <w:hyperlink r:id="rId165">
        <w:r>
          <w:rPr>
            <w:rFonts w:ascii="Arial" w:cs="Arial" w:eastAsia="Arial" w:hAnsi="Arial"/>
            <w:sz w:val="18"/>
            <w:szCs w:val="18"/>
            <w:u w:val="single" w:color="auto"/>
            <w:color w:val="0000FF"/>
          </w:rPr>
          <w:t>Crown Holdings, Inc. Economic Profit Incentive Plan, effective as of January 1, 2018 (incorporated by reference to Exhibit 10.b of the</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Registrant's Annual Report on Form 10-K for the year ended December 31, 2018 (File No. 000-50189)).</w:t>
        </w:r>
      </w:hyperlink>
    </w:p>
    <w:p>
      <w:pPr>
        <w:spacing w:after="0" w:line="197" w:lineRule="exact"/>
        <w:rPr>
          <w:sz w:val="20"/>
          <w:szCs w:val="20"/>
          <w:color w:val="auto"/>
        </w:rPr>
      </w:pPr>
    </w:p>
    <w:p>
      <w:pPr>
        <w:ind w:left="560" w:hanging="566"/>
        <w:spacing w:after="0" w:line="308" w:lineRule="auto"/>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10.c</w:t>
      </w:r>
      <w:r>
        <w:rPr>
          <w:sz w:val="20"/>
          <w:szCs w:val="20"/>
          <w:color w:val="auto"/>
        </w:rPr>
        <w:tab/>
      </w:r>
      <w:hyperlink r:id="rId166">
        <w:r>
          <w:rPr>
            <w:rFonts w:ascii="Arial" w:cs="Arial" w:eastAsia="Arial" w:hAnsi="Arial"/>
            <w:sz w:val="17"/>
            <w:szCs w:val="17"/>
            <w:u w:val="single" w:color="auto"/>
            <w:color w:val="0000FF"/>
          </w:rPr>
          <w:t>Crown Holdings, Inc. Senior Executive Retirement Plan, as amended and restated as of January 1, 2008 (incorporated by reference to</w:t>
        </w:r>
      </w:hyperlink>
      <w:r>
        <w:rPr>
          <w:rFonts w:ascii="Arial" w:cs="Arial" w:eastAsia="Arial" w:hAnsi="Arial"/>
          <w:sz w:val="17"/>
          <w:szCs w:val="17"/>
          <w:u w:val="single" w:color="auto"/>
          <w:color w:val="0000FF"/>
        </w:rPr>
        <w:t xml:space="preserve"> </w:t>
      </w:r>
      <w:hyperlink r:id="rId166">
        <w:r>
          <w:rPr>
            <w:rFonts w:ascii="Arial" w:cs="Arial" w:eastAsia="Arial" w:hAnsi="Arial"/>
            <w:sz w:val="17"/>
            <w:szCs w:val="17"/>
            <w:u w:val="single" w:color="auto"/>
            <w:color w:val="0000FF"/>
          </w:rPr>
          <w:t>Exhibit 10.l of the Registrant’s Annual Report on Form 10-K for the year ended December 31, 2007 (File No. 000-50189)).</w:t>
        </w:r>
      </w:hyperlink>
    </w:p>
    <w:p>
      <w:pPr>
        <w:spacing w:after="0" w:line="17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10.d</w:t>
      </w:r>
      <w:r>
        <w:rPr>
          <w:sz w:val="20"/>
          <w:szCs w:val="20"/>
          <w:color w:val="auto"/>
        </w:rPr>
        <w:tab/>
      </w:r>
      <w:r>
        <w:rPr>
          <w:rFonts w:ascii="Arial" w:cs="Arial" w:eastAsia="Arial" w:hAnsi="Arial"/>
          <w:sz w:val="16"/>
          <w:szCs w:val="16"/>
          <w:color w:val="auto"/>
        </w:rPr>
        <w:t>Senior Executive Retirement Agreements:</w:t>
      </w:r>
    </w:p>
    <w:p>
      <w:pPr>
        <w:spacing w:after="0" w:line="252" w:lineRule="exact"/>
        <w:rPr>
          <w:sz w:val="20"/>
          <w:szCs w:val="20"/>
          <w:color w:val="auto"/>
        </w:rPr>
      </w:pPr>
    </w:p>
    <w:p>
      <w:pPr>
        <w:jc w:val="both"/>
        <w:ind w:left="1040" w:hanging="478"/>
        <w:spacing w:after="0" w:line="263" w:lineRule="auto"/>
        <w:tabs>
          <w:tab w:leader="none" w:pos="1074" w:val="left"/>
        </w:tabs>
        <w:numPr>
          <w:ilvl w:val="0"/>
          <w:numId w:val="34"/>
        </w:numPr>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Senior Executive Retirement Agreement between Crown Holdings, Inc. and Timothy J. Donahue, dated May 3, 2007 (incorporated</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by reference to Exhibit 10.4(e) of the Registrant’s Quarterly Report on Form 10-Q for the quarter ended March 31, 2007 (File No.</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000-50189)).</w:t>
        </w:r>
      </w:hyperlink>
    </w:p>
    <w:p>
      <w:pPr>
        <w:spacing w:after="0" w:line="210" w:lineRule="exact"/>
        <w:rPr>
          <w:rFonts w:ascii="Arial" w:cs="Arial" w:eastAsia="Arial" w:hAnsi="Arial"/>
          <w:sz w:val="18"/>
          <w:szCs w:val="18"/>
          <w:u w:val="single" w:color="auto"/>
          <w:color w:val="0000FF"/>
        </w:rPr>
      </w:pPr>
    </w:p>
    <w:p>
      <w:pPr>
        <w:ind w:left="1040" w:right="20" w:hanging="478"/>
        <w:spacing w:after="0" w:line="263" w:lineRule="auto"/>
        <w:tabs>
          <w:tab w:leader="none" w:pos="971" w:val="left"/>
        </w:tabs>
        <w:numPr>
          <w:ilvl w:val="0"/>
          <w:numId w:val="34"/>
        </w:numPr>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Senior Executive Retirement Agreement, effective June 1, 2012, between Crown Holdings, Inc. and Gerard Gifford (incorporated by</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reference to Exhibit 10.2 of the Registrant's Quarterly Report on Form 10-Q for the quarter ended June 30, 2012 (File No 000-</w:t>
        </w:r>
      </w:hyperlink>
      <w:hyperlink r:id="rId168">
        <w:r>
          <w:rPr>
            <w:rFonts w:ascii="Arial" w:cs="Arial" w:eastAsia="Arial" w:hAnsi="Arial"/>
            <w:sz w:val="18"/>
            <w:szCs w:val="18"/>
            <w:u w:val="single" w:color="auto"/>
            <w:color w:val="0000FF"/>
          </w:rPr>
          <w:t>50189)).</w:t>
        </w:r>
      </w:hyperlink>
    </w:p>
    <w:p>
      <w:pPr>
        <w:spacing w:after="0" w:line="210" w:lineRule="exact"/>
        <w:rPr>
          <w:rFonts w:ascii="Arial" w:cs="Arial" w:eastAsia="Arial" w:hAnsi="Arial"/>
          <w:sz w:val="18"/>
          <w:szCs w:val="18"/>
          <w:u w:val="single" w:color="auto"/>
          <w:color w:val="0000FF"/>
        </w:rPr>
      </w:pPr>
    </w:p>
    <w:p>
      <w:pPr>
        <w:ind w:left="1040" w:hanging="478"/>
        <w:spacing w:after="0" w:line="263" w:lineRule="auto"/>
        <w:tabs>
          <w:tab w:leader="none" w:pos="957" w:val="left"/>
        </w:tabs>
        <w:numPr>
          <w:ilvl w:val="0"/>
          <w:numId w:val="34"/>
        </w:numPr>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Amendment No. 1 to the Senior Executive Retirement Agreement, effective June 1, 2012, between Crown Holdings, Inc. and Gerard</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Gifford dated December 28, 2012 (incorporated by reference to Exhibit 10.m(7) of the Registrant’s Annual Report on Form 10-K for</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the year ended December 31, 2012 (File No. 000-50189)).</w:t>
        </w:r>
      </w:hyperlink>
    </w:p>
    <w:p>
      <w:pPr>
        <w:spacing w:after="0" w:line="210" w:lineRule="exact"/>
        <w:rPr>
          <w:rFonts w:ascii="Arial" w:cs="Arial" w:eastAsia="Arial" w:hAnsi="Arial"/>
          <w:sz w:val="18"/>
          <w:szCs w:val="18"/>
          <w:u w:val="single" w:color="auto"/>
          <w:color w:val="0000FF"/>
        </w:rPr>
      </w:pPr>
    </w:p>
    <w:p>
      <w:pPr>
        <w:ind w:left="1040" w:hanging="478"/>
        <w:spacing w:after="0" w:line="263" w:lineRule="auto"/>
        <w:tabs>
          <w:tab w:leader="none" w:pos="971" w:val="left"/>
        </w:tabs>
        <w:numPr>
          <w:ilvl w:val="0"/>
          <w:numId w:val="34"/>
        </w:numPr>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Senior Executive Retirement Agreement, effective July 24, 2013, between Crown Holdings, Inc. and Thomas A. Kelly (incorporated</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by reference to Exhibit 10.2 of the Registrant's Quarterly Report on Form 10-Q for the quarter ended June 30, 2013 (File No 000-</w:t>
        </w:r>
      </w:hyperlink>
      <w:hyperlink r:id="rId170">
        <w:r>
          <w:rPr>
            <w:rFonts w:ascii="Arial" w:cs="Arial" w:eastAsia="Arial" w:hAnsi="Arial"/>
            <w:sz w:val="18"/>
            <w:szCs w:val="18"/>
            <w:u w:val="single" w:color="auto"/>
            <w:color w:val="0000FF"/>
          </w:rPr>
          <w:t>50189)).</w:t>
        </w:r>
      </w:hyperlink>
    </w:p>
    <w:p>
      <w:pPr>
        <w:spacing w:after="0" w:line="210" w:lineRule="exact"/>
        <w:rPr>
          <w:rFonts w:ascii="Arial" w:cs="Arial" w:eastAsia="Arial" w:hAnsi="Arial"/>
          <w:sz w:val="18"/>
          <w:szCs w:val="18"/>
          <w:u w:val="single" w:color="auto"/>
          <w:color w:val="0000FF"/>
        </w:rPr>
      </w:pPr>
    </w:p>
    <w:p>
      <w:pPr>
        <w:ind w:left="1040" w:hanging="478"/>
        <w:spacing w:after="0" w:line="263" w:lineRule="auto"/>
        <w:tabs>
          <w:tab w:leader="none" w:pos="944" w:val="left"/>
        </w:tabs>
        <w:numPr>
          <w:ilvl w:val="0"/>
          <w:numId w:val="34"/>
        </w:numPr>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Senior Executive Retirement Agreement between Crown Holdings, Inc. and Djalma Novaes Jr., dated February 26, 2015 (incorporated</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by reference to Exhibit 10.f(9) of the Registrant’s Annual Report on Form 10-K for the year ended December 31, 2014 (File No.</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000-50189)).</w:t>
        </w:r>
      </w:hyperlink>
    </w:p>
    <w:p>
      <w:pPr>
        <w:spacing w:after="0" w:line="210" w:lineRule="exact"/>
        <w:rPr>
          <w:rFonts w:ascii="Arial" w:cs="Arial" w:eastAsia="Arial" w:hAnsi="Arial"/>
          <w:sz w:val="18"/>
          <w:szCs w:val="18"/>
          <w:u w:val="single" w:color="auto"/>
          <w:color w:val="0000FF"/>
        </w:rPr>
      </w:pPr>
    </w:p>
    <w:p>
      <w:pPr>
        <w:ind w:left="1040" w:hanging="478"/>
        <w:spacing w:after="0" w:line="263" w:lineRule="auto"/>
        <w:tabs>
          <w:tab w:leader="none" w:pos="944" w:val="left"/>
        </w:tabs>
        <w:numPr>
          <w:ilvl w:val="0"/>
          <w:numId w:val="34"/>
        </w:numPr>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Senior Executive Retirement Agreement, effective May 1, 2016, between Crown Holdings, Inc. and Robert Bourque, Jr. (incorporated</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by reference to Exhibit 10.3 of the Registrant’s Quarterly Report on Form 10-Q for the quarter ended March 31, 2016 (File No. 000-</w:t>
        </w:r>
      </w:hyperlink>
      <w:hyperlink r:id="rId172">
        <w:r>
          <w:rPr>
            <w:rFonts w:ascii="Arial" w:cs="Arial" w:eastAsia="Arial" w:hAnsi="Arial"/>
            <w:sz w:val="18"/>
            <w:szCs w:val="18"/>
            <w:u w:val="single" w:color="auto"/>
            <w:color w:val="0000FF"/>
          </w:rPr>
          <w:t>50189)).</w:t>
        </w:r>
      </w:hyperlink>
    </w:p>
    <w:p>
      <w:pPr>
        <w:spacing w:after="0" w:line="210" w:lineRule="exact"/>
        <w:rPr>
          <w:rFonts w:ascii="Arial" w:cs="Arial" w:eastAsia="Arial" w:hAnsi="Arial"/>
          <w:sz w:val="18"/>
          <w:szCs w:val="18"/>
          <w:u w:val="single" w:color="auto"/>
          <w:color w:val="0000FF"/>
        </w:rPr>
      </w:pPr>
    </w:p>
    <w:p>
      <w:pPr>
        <w:jc w:val="both"/>
        <w:ind w:left="960" w:hanging="398"/>
        <w:spacing w:after="0" w:line="263" w:lineRule="auto"/>
        <w:tabs>
          <w:tab w:leader="none" w:pos="972" w:val="left"/>
        </w:tabs>
        <w:numPr>
          <w:ilvl w:val="0"/>
          <w:numId w:val="34"/>
        </w:numPr>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Amendment No. 2 to the Senior Executive Retirement Agreement, effective as of May 17, 2016, between Crown Holdings, Inc. and</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Gerard Gifford (incorporated by reference to Exhibit 10.1 of the Registrant’s Current Report on Form 8-K dated May 18, 2016 (File</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No. 000-50189)).</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64" w:lineRule="exact"/>
        <w:rPr>
          <w:rFonts w:ascii="Arial" w:cs="Arial" w:eastAsia="Arial" w:hAnsi="Arial"/>
          <w:sz w:val="18"/>
          <w:szCs w:val="18"/>
          <w:u w:val="single" w:color="auto"/>
          <w:color w:val="0000FF"/>
        </w:rPr>
      </w:pPr>
    </w:p>
    <w:p>
      <w:pPr>
        <w:ind w:left="4960"/>
        <w:spacing w:after="0"/>
        <w:rPr>
          <w:sz w:val="20"/>
          <w:szCs w:val="20"/>
          <w:color w:val="auto"/>
        </w:rPr>
      </w:pPr>
      <w:r>
        <w:rPr>
          <w:rFonts w:ascii="Arial" w:cs="Arial" w:eastAsia="Arial" w:hAnsi="Arial"/>
          <w:sz w:val="18"/>
          <w:szCs w:val="18"/>
          <w:color w:val="auto"/>
        </w:rPr>
        <w:t>91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21" w:right="339" w:bottom="1440" w:gutter="0" w:footer="0" w:header="0"/>
        </w:sectPr>
      </w:pPr>
    </w:p>
    <w:bookmarkStart w:id="93" w:name="page94"/>
    <w:bookmarkEnd w:id="93"/>
    <w:p>
      <w:pPr>
        <w:ind w:left="422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1040" w:hanging="478"/>
        <w:spacing w:after="0" w:line="263" w:lineRule="auto"/>
        <w:tabs>
          <w:tab w:leader="none" w:pos="971" w:val="left"/>
        </w:tabs>
        <w:numPr>
          <w:ilvl w:val="0"/>
          <w:numId w:val="35"/>
        </w:numPr>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Senior Executive Retirement Agreement between Crown Holdings, Inc. and Didier Sourisseau, effective April 1, 2017 (incorporated</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by reference to Exhibit 10.b of the Registrant's Quarterly Report on Form 10-Q for the quarter ended March 31, 2017 (File No. 000-</w:t>
        </w:r>
      </w:hyperlink>
      <w:hyperlink r:id="rId175">
        <w:r>
          <w:rPr>
            <w:rFonts w:ascii="Arial" w:cs="Arial" w:eastAsia="Arial" w:hAnsi="Arial"/>
            <w:sz w:val="18"/>
            <w:szCs w:val="18"/>
            <w:u w:val="single" w:color="auto"/>
            <w:color w:val="0000FF"/>
          </w:rPr>
          <w:t>50189)).</w:t>
        </w:r>
      </w:hyperlink>
    </w:p>
    <w:p>
      <w:pPr>
        <w:spacing w:after="0" w:line="210" w:lineRule="exact"/>
        <w:rPr>
          <w:rFonts w:ascii="Arial" w:cs="Arial" w:eastAsia="Arial" w:hAnsi="Arial"/>
          <w:sz w:val="18"/>
          <w:szCs w:val="18"/>
          <w:u w:val="single" w:color="auto"/>
          <w:color w:val="0000FF"/>
        </w:rPr>
      </w:pPr>
    </w:p>
    <w:p>
      <w:pPr>
        <w:jc w:val="both"/>
        <w:ind w:left="1040" w:hanging="478"/>
        <w:spacing w:after="0" w:line="263" w:lineRule="auto"/>
        <w:tabs>
          <w:tab w:leader="none" w:pos="1011" w:val="left"/>
        </w:tabs>
        <w:numPr>
          <w:ilvl w:val="0"/>
          <w:numId w:val="35"/>
        </w:numPr>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Amended and Restated Senior Executive Retirement Agreement, effective as of June 1, 2017, between Crown Holdings, Inc. and</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Gerard Gifford (incorporated by reference to Exhibit 10.c of the Registrant's Quarterly Report on Form 10-Q for the quarter ended</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March 31, 2017 (File No. 000-50189)).</w:t>
        </w:r>
      </w:hyperlink>
    </w:p>
    <w:p>
      <w:pPr>
        <w:spacing w:after="0" w:line="210" w:lineRule="exact"/>
        <w:rPr>
          <w:rFonts w:ascii="Arial" w:cs="Arial" w:eastAsia="Arial" w:hAnsi="Arial"/>
          <w:sz w:val="18"/>
          <w:szCs w:val="18"/>
          <w:u w:val="single" w:color="auto"/>
          <w:color w:val="0000FF"/>
        </w:rPr>
      </w:pPr>
    </w:p>
    <w:p>
      <w:pPr>
        <w:jc w:val="both"/>
        <w:ind w:left="960" w:hanging="398"/>
        <w:spacing w:after="0" w:line="263" w:lineRule="auto"/>
        <w:tabs>
          <w:tab w:leader="none" w:pos="927" w:val="left"/>
        </w:tabs>
        <w:numPr>
          <w:ilvl w:val="0"/>
          <w:numId w:val="35"/>
        </w:numPr>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Amendment No.1 to Amend and Restate Senior Executive Retirement Agreement, effective October 21, 2020, between Crown</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Holdings, Inc. and Gerard Gifford (incorporated by reference to Exhibit 10.d of the Registrant's Quarterly Report on Form 10-Q for</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the Quarter ended September 30, 2020 (File No. 000-50189)).</w:t>
        </w:r>
      </w:hyperlink>
    </w:p>
    <w:p>
      <w:pPr>
        <w:spacing w:after="0" w:line="211" w:lineRule="exact"/>
        <w:rPr>
          <w:rFonts w:ascii="Arial" w:cs="Arial" w:eastAsia="Arial" w:hAnsi="Arial"/>
          <w:sz w:val="18"/>
          <w:szCs w:val="18"/>
          <w:u w:val="single" w:color="auto"/>
          <w:color w:val="0000FF"/>
        </w:rPr>
      </w:pPr>
    </w:p>
    <w:p>
      <w:pPr>
        <w:jc w:val="both"/>
        <w:ind w:left="960" w:hanging="404"/>
        <w:spacing w:after="0" w:line="271" w:lineRule="auto"/>
        <w:rPr>
          <w:sz w:val="20"/>
          <w:szCs w:val="20"/>
          <w:color w:val="auto"/>
        </w:rPr>
      </w:pPr>
      <w:r>
        <w:rPr>
          <w:rFonts w:ascii="Arial" w:cs="Arial" w:eastAsia="Arial" w:hAnsi="Arial"/>
          <w:sz w:val="18"/>
          <w:szCs w:val="18"/>
          <w:color w:val="auto"/>
        </w:rPr>
        <w:t>(11) Amendment No.1 to Amend and Restate Senior Executive Retirement Agreement, effective April 21,</w:t>
      </w:r>
      <w:r>
        <w:rPr>
          <w:sz w:val="20"/>
          <w:szCs w:val="20"/>
          <w:color w:val="auto"/>
        </w:rPr>
        <w:t xml:space="preserve"> </w:t>
      </w:r>
      <w:r>
        <w:rPr>
          <w:rFonts w:ascii="Arial" w:cs="Arial" w:eastAsia="Arial" w:hAnsi="Arial"/>
          <w:sz w:val="18"/>
          <w:szCs w:val="18"/>
          <w:color w:val="auto"/>
        </w:rPr>
        <w:t>2021, between Crown Holdings, Inc. and Didier Sourisseau (incorporated by reference to Exhibit 10(d)(11) of the Registrant’s Periodic Report on Form 8-K filed April 23, 2021 (File No. 000-50189)).</w:t>
      </w:r>
    </w:p>
    <w:p>
      <w:pPr>
        <w:spacing w:after="0" w:line="200" w:lineRule="exact"/>
        <w:rPr>
          <w:rFonts w:ascii="Arial" w:cs="Arial" w:eastAsia="Arial" w:hAnsi="Arial"/>
          <w:sz w:val="18"/>
          <w:szCs w:val="18"/>
          <w:u w:val="single" w:color="auto"/>
          <w:color w:val="0000FF"/>
        </w:rPr>
      </w:pPr>
    </w:p>
    <w:p>
      <w:pPr>
        <w:spacing w:after="0" w:line="224" w:lineRule="exact"/>
        <w:rPr>
          <w:rFonts w:ascii="Arial" w:cs="Arial" w:eastAsia="Arial" w:hAnsi="Arial"/>
          <w:sz w:val="18"/>
          <w:szCs w:val="18"/>
          <w:u w:val="single" w:color="auto"/>
          <w:color w:val="0000FF"/>
        </w:rPr>
      </w:pPr>
    </w:p>
    <w:p>
      <w:pPr>
        <w:jc w:val="both"/>
        <w:ind w:left="520" w:hanging="566"/>
        <w:spacing w:after="0" w:line="263" w:lineRule="auto"/>
        <w:tabs>
          <w:tab w:leader="none" w:pos="500" w:val="left"/>
        </w:tabs>
        <w:rPr>
          <w:rFonts w:ascii="Arial" w:cs="Arial" w:eastAsia="Arial" w:hAnsi="Arial"/>
          <w:sz w:val="18"/>
          <w:szCs w:val="18"/>
          <w:u w:val="single" w:color="auto"/>
          <w:color w:val="0000FF"/>
        </w:rPr>
      </w:pPr>
      <w:r>
        <w:rPr>
          <w:rFonts w:ascii="Arial" w:cs="Arial" w:eastAsia="Arial" w:hAnsi="Arial"/>
          <w:sz w:val="18"/>
          <w:szCs w:val="18"/>
          <w:color w:val="auto"/>
        </w:rPr>
        <w:t>10.e</w:t>
      </w:r>
      <w:r>
        <w:rPr>
          <w:sz w:val="20"/>
          <w:szCs w:val="20"/>
          <w:color w:val="auto"/>
        </w:rPr>
        <w:tab/>
      </w:r>
      <w:hyperlink r:id="rId178">
        <w:r>
          <w:rPr>
            <w:rFonts w:ascii="Arial" w:cs="Arial" w:eastAsia="Arial" w:hAnsi="Arial"/>
            <w:sz w:val="18"/>
            <w:szCs w:val="18"/>
            <w:u w:val="single" w:color="auto"/>
            <w:color w:val="0000FF"/>
          </w:rPr>
          <w:t>Form of Agreement for Non-Qualified Stock Option Awards under Crown Holdings, Inc. 2004 Stock-Based Incentive Compensation Plan</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(incorporated by reference to Exhibit 10.6 of the Registrant’s Quarterly Report on Form 10-Q for the quarter ended September 30, 2004</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(File No. 000-51089)).</w:t>
        </w:r>
      </w:hyperlink>
    </w:p>
    <w:p>
      <w:pPr>
        <w:spacing w:after="0" w:line="211" w:lineRule="exact"/>
        <w:rPr>
          <w:rFonts w:ascii="Arial" w:cs="Arial" w:eastAsia="Arial" w:hAnsi="Arial"/>
          <w:sz w:val="18"/>
          <w:szCs w:val="18"/>
          <w:u w:val="single" w:color="auto"/>
          <w:color w:val="0000FF"/>
        </w:rPr>
      </w:pPr>
    </w:p>
    <w:p>
      <w:pPr>
        <w:jc w:val="both"/>
        <w:ind w:left="540" w:hanging="566"/>
        <w:spacing w:after="0" w:line="342" w:lineRule="auto"/>
        <w:tabs>
          <w:tab w:leader="none" w:pos="520" w:val="left"/>
        </w:tabs>
        <w:rPr>
          <w:rFonts w:ascii="Arial" w:cs="Arial" w:eastAsia="Arial" w:hAnsi="Arial"/>
          <w:sz w:val="16"/>
          <w:szCs w:val="16"/>
          <w:u w:val="single" w:color="auto"/>
          <w:color w:val="0000FF"/>
        </w:rPr>
      </w:pPr>
      <w:r>
        <w:rPr>
          <w:rFonts w:ascii="Arial" w:cs="Arial" w:eastAsia="Arial" w:hAnsi="Arial"/>
          <w:sz w:val="18"/>
          <w:szCs w:val="18"/>
          <w:color w:val="auto"/>
        </w:rPr>
        <w:t>10.f</w:t>
      </w:r>
      <w:r>
        <w:rPr>
          <w:sz w:val="20"/>
          <w:szCs w:val="20"/>
          <w:color w:val="auto"/>
        </w:rPr>
        <w:tab/>
      </w:r>
      <w:hyperlink r:id="rId179">
        <w:r>
          <w:rPr>
            <w:rFonts w:ascii="Arial" w:cs="Arial" w:eastAsia="Arial" w:hAnsi="Arial"/>
            <w:sz w:val="16"/>
            <w:szCs w:val="16"/>
            <w:u w:val="single" w:color="auto"/>
            <w:color w:val="0000FF"/>
          </w:rPr>
          <w:t>Crown Holdings, Inc. Deferred Compensation Plan for Directors, as Amended and Restated, effective January 1, 2008 (incorporated by</w:t>
        </w:r>
      </w:hyperlink>
      <w:r>
        <w:rPr>
          <w:rFonts w:ascii="Arial" w:cs="Arial" w:eastAsia="Arial" w:hAnsi="Arial"/>
          <w:sz w:val="16"/>
          <w:szCs w:val="16"/>
          <w:u w:val="single" w:color="auto"/>
          <w:color w:val="0000FF"/>
        </w:rPr>
        <w:t xml:space="preserve"> </w:t>
      </w:r>
      <w:hyperlink r:id="rId179">
        <w:r>
          <w:rPr>
            <w:rFonts w:ascii="Arial" w:cs="Arial" w:eastAsia="Arial" w:hAnsi="Arial"/>
            <w:sz w:val="16"/>
            <w:szCs w:val="16"/>
            <w:u w:val="single" w:color="auto"/>
            <w:color w:val="0000FF"/>
          </w:rPr>
          <w:t>reference to Exhibit 10.w of the Registrant’s Annual Report on Form 10-K for the year ended December 31, 2008 (File No. 000-50189)).</w:t>
        </w:r>
      </w:hyperlink>
    </w:p>
    <w:p>
      <w:pPr>
        <w:spacing w:after="0" w:line="151" w:lineRule="exact"/>
        <w:rPr>
          <w:sz w:val="20"/>
          <w:szCs w:val="20"/>
          <w:color w:val="auto"/>
        </w:rPr>
      </w:pPr>
    </w:p>
    <w:p>
      <w:pPr>
        <w:jc w:val="both"/>
        <w:ind w:left="520" w:hanging="566"/>
        <w:spacing w:after="0" w:line="263" w:lineRule="auto"/>
        <w:tabs>
          <w:tab w:leader="none" w:pos="500" w:val="left"/>
        </w:tabs>
        <w:rPr>
          <w:rFonts w:ascii="Arial" w:cs="Arial" w:eastAsia="Arial" w:hAnsi="Arial"/>
          <w:sz w:val="18"/>
          <w:szCs w:val="18"/>
          <w:u w:val="single" w:color="auto"/>
          <w:color w:val="0000FF"/>
        </w:rPr>
      </w:pPr>
      <w:r>
        <w:rPr>
          <w:rFonts w:ascii="Arial" w:cs="Arial" w:eastAsia="Arial" w:hAnsi="Arial"/>
          <w:sz w:val="18"/>
          <w:szCs w:val="18"/>
          <w:color w:val="auto"/>
        </w:rPr>
        <w:t>10.g</w:t>
      </w:r>
      <w:r>
        <w:rPr>
          <w:sz w:val="20"/>
          <w:szCs w:val="20"/>
          <w:color w:val="auto"/>
        </w:rPr>
        <w:tab/>
      </w:r>
      <w:hyperlink r:id="rId180">
        <w:r>
          <w:rPr>
            <w:rFonts w:ascii="Arial" w:cs="Arial" w:eastAsia="Arial" w:hAnsi="Arial"/>
            <w:sz w:val="18"/>
            <w:szCs w:val="18"/>
            <w:u w:val="single" w:color="auto"/>
            <w:color w:val="0000FF"/>
          </w:rPr>
          <w:t>Crown Holdings, Inc. Stock Compensation Plan for Non-Employee Directors, dated as of April 22, 2004 (incorporated by reference to the</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Registrant’s Definitive Proxy Statement on Schedule 14A, filed with the Securities and Exchange Commission on March 19, 2004 (File No.</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000-50189)).</w:t>
        </w:r>
      </w:hyperlink>
    </w:p>
    <w:p>
      <w:pPr>
        <w:spacing w:after="0" w:line="211" w:lineRule="exact"/>
        <w:rPr>
          <w:rFonts w:ascii="Arial" w:cs="Arial" w:eastAsia="Arial" w:hAnsi="Arial"/>
          <w:sz w:val="18"/>
          <w:szCs w:val="18"/>
          <w:u w:val="single" w:color="auto"/>
          <w:color w:val="0000FF"/>
        </w:rPr>
      </w:pPr>
    </w:p>
    <w:p>
      <w:pPr>
        <w:jc w:val="both"/>
        <w:ind w:left="500" w:hanging="566"/>
        <w:spacing w:after="0" w:line="263" w:lineRule="auto"/>
        <w:tabs>
          <w:tab w:leader="none" w:pos="480" w:val="left"/>
        </w:tabs>
        <w:rPr>
          <w:rFonts w:ascii="Arial" w:cs="Arial" w:eastAsia="Arial" w:hAnsi="Arial"/>
          <w:sz w:val="18"/>
          <w:szCs w:val="18"/>
          <w:u w:val="single" w:color="auto"/>
          <w:color w:val="0000FF"/>
        </w:rPr>
      </w:pPr>
      <w:r>
        <w:rPr>
          <w:rFonts w:ascii="Arial" w:cs="Arial" w:eastAsia="Arial" w:hAnsi="Arial"/>
          <w:sz w:val="18"/>
          <w:szCs w:val="18"/>
          <w:color w:val="auto"/>
        </w:rPr>
        <w:t>10.h</w:t>
      </w:r>
      <w:r>
        <w:rPr>
          <w:sz w:val="20"/>
          <w:szCs w:val="20"/>
          <w:color w:val="auto"/>
        </w:rPr>
        <w:tab/>
      </w:r>
      <w:hyperlink r:id="rId181">
        <w:r>
          <w:rPr>
            <w:rFonts w:ascii="Arial" w:cs="Arial" w:eastAsia="Arial" w:hAnsi="Arial"/>
            <w:sz w:val="18"/>
            <w:szCs w:val="18"/>
            <w:u w:val="single" w:color="auto"/>
            <w:color w:val="0000FF"/>
          </w:rPr>
          <w:t>Amendment No. 1, effective April 1, 2005, to the Crown Holdings, Inc. Stock Compensation Plan for Non-Employee Directors, dated as of</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April 22, 2004 (incorporated by reference to Exhibit 10 to the Registrant’s Quarterly Report on Form 10-Q for the quarter ended March 31,</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2005 (File No. 000-50189)).</w:t>
        </w:r>
      </w:hyperlink>
    </w:p>
    <w:p>
      <w:pPr>
        <w:spacing w:after="0" w:line="211" w:lineRule="exact"/>
        <w:rPr>
          <w:rFonts w:ascii="Arial" w:cs="Arial" w:eastAsia="Arial" w:hAnsi="Arial"/>
          <w:sz w:val="18"/>
          <w:szCs w:val="18"/>
          <w:u w:val="single" w:color="auto"/>
          <w:color w:val="0000FF"/>
        </w:rPr>
      </w:pPr>
    </w:p>
    <w:p>
      <w:pPr>
        <w:jc w:val="both"/>
        <w:ind w:left="560" w:hanging="566"/>
        <w:spacing w:after="0" w:line="308" w:lineRule="auto"/>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10.i</w:t>
      </w:r>
      <w:r>
        <w:rPr>
          <w:sz w:val="20"/>
          <w:szCs w:val="20"/>
          <w:color w:val="auto"/>
        </w:rPr>
        <w:tab/>
      </w:r>
      <w:hyperlink r:id="rId182">
        <w:r>
          <w:rPr>
            <w:rFonts w:ascii="Arial" w:cs="Arial" w:eastAsia="Arial" w:hAnsi="Arial"/>
            <w:sz w:val="17"/>
            <w:szCs w:val="17"/>
            <w:u w:val="single" w:color="auto"/>
            <w:color w:val="0000FF"/>
          </w:rPr>
          <w:t>Crown Holdings, Inc. 2013 Stock-Based Incentive Compensation Plan (incorporated by reference to the Registrant's Definitive Proxy</w:t>
        </w:r>
      </w:hyperlink>
      <w:r>
        <w:rPr>
          <w:rFonts w:ascii="Arial" w:cs="Arial" w:eastAsia="Arial" w:hAnsi="Arial"/>
          <w:sz w:val="17"/>
          <w:szCs w:val="17"/>
          <w:u w:val="single" w:color="auto"/>
          <w:color w:val="0000FF"/>
        </w:rPr>
        <w:t xml:space="preserve"> </w:t>
      </w:r>
      <w:hyperlink r:id="rId182">
        <w:r>
          <w:rPr>
            <w:rFonts w:ascii="Arial" w:cs="Arial" w:eastAsia="Arial" w:hAnsi="Arial"/>
            <w:sz w:val="17"/>
            <w:szCs w:val="17"/>
            <w:u w:val="single" w:color="auto"/>
            <w:color w:val="0000FF"/>
          </w:rPr>
          <w:t>Statement on Schedule 14A, filed with the Securities and Exchange Commission on March 18, 2013 (File No. 000-50189)).</w:t>
        </w:r>
      </w:hyperlink>
    </w:p>
    <w:p>
      <w:pPr>
        <w:spacing w:after="0" w:line="173" w:lineRule="exact"/>
        <w:rPr>
          <w:sz w:val="20"/>
          <w:szCs w:val="20"/>
          <w:color w:val="auto"/>
        </w:rPr>
      </w:pPr>
    </w:p>
    <w:p>
      <w:pPr>
        <w:jc w:val="both"/>
        <w:ind w:left="460" w:hanging="566"/>
        <w:spacing w:after="0" w:line="263"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10.j</w:t>
      </w:r>
      <w:r>
        <w:rPr>
          <w:sz w:val="20"/>
          <w:szCs w:val="20"/>
          <w:color w:val="auto"/>
        </w:rPr>
        <w:tab/>
      </w:r>
      <w:hyperlink r:id="rId183">
        <w:r>
          <w:rPr>
            <w:rFonts w:ascii="Arial" w:cs="Arial" w:eastAsia="Arial" w:hAnsi="Arial"/>
            <w:sz w:val="18"/>
            <w:szCs w:val="18"/>
            <w:u w:val="single" w:color="auto"/>
            <w:color w:val="0000FF"/>
          </w:rPr>
          <w:t>Form of Agreement for Restricted Stock Awards under Crown Holdings, Inc. 2013 Stock-Based Incentive Compensation Plan (incorporated</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by reference to Exhibit 10.1 of the Registrant’s Quarterly Report on Form 10-Q for the quarter ended September 30, 2013 (File No. 000-</w:t>
        </w:r>
      </w:hyperlink>
      <w:hyperlink r:id="rId183">
        <w:r>
          <w:rPr>
            <w:rFonts w:ascii="Arial" w:cs="Arial" w:eastAsia="Arial" w:hAnsi="Arial"/>
            <w:sz w:val="18"/>
            <w:szCs w:val="18"/>
            <w:u w:val="single" w:color="auto"/>
            <w:color w:val="0000FF"/>
          </w:rPr>
          <w:t>50189)).</w:t>
        </w:r>
      </w:hyperlink>
    </w:p>
    <w:p>
      <w:pPr>
        <w:spacing w:after="0" w:line="211" w:lineRule="exact"/>
        <w:rPr>
          <w:rFonts w:ascii="Arial" w:cs="Arial" w:eastAsia="Arial" w:hAnsi="Arial"/>
          <w:sz w:val="18"/>
          <w:szCs w:val="18"/>
          <w:u w:val="single" w:color="auto"/>
          <w:color w:val="0000FF"/>
        </w:rPr>
      </w:pPr>
    </w:p>
    <w:p>
      <w:pPr>
        <w:jc w:val="both"/>
        <w:ind w:left="520" w:hanging="566"/>
        <w:spacing w:after="0" w:line="263" w:lineRule="auto"/>
        <w:tabs>
          <w:tab w:leader="none" w:pos="500" w:val="left"/>
        </w:tabs>
        <w:rPr>
          <w:rFonts w:ascii="Arial" w:cs="Arial" w:eastAsia="Arial" w:hAnsi="Arial"/>
          <w:sz w:val="18"/>
          <w:szCs w:val="18"/>
          <w:u w:val="single" w:color="auto"/>
          <w:color w:val="0000FF"/>
        </w:rPr>
      </w:pPr>
      <w:r>
        <w:rPr>
          <w:rFonts w:ascii="Arial" w:cs="Arial" w:eastAsia="Arial" w:hAnsi="Arial"/>
          <w:sz w:val="18"/>
          <w:szCs w:val="18"/>
          <w:color w:val="auto"/>
        </w:rPr>
        <w:t>10.k</w:t>
      </w:r>
      <w:r>
        <w:rPr>
          <w:sz w:val="20"/>
          <w:szCs w:val="20"/>
          <w:color w:val="auto"/>
        </w:rPr>
        <w:tab/>
      </w:r>
      <w:hyperlink r:id="rId184">
        <w:r>
          <w:rPr>
            <w:rFonts w:ascii="Arial" w:cs="Arial" w:eastAsia="Arial" w:hAnsi="Arial"/>
            <w:sz w:val="18"/>
            <w:szCs w:val="18"/>
            <w:u w:val="single" w:color="auto"/>
            <w:color w:val="0000FF"/>
          </w:rPr>
          <w:t>Form of Agreement for Deferred Stock Awards under Crown Holdings, Inc. 2013 Stock-Based Incentive Compensation Plan (incorporated</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by reference to Exhibit 10.2 of the Registrant’s Quarterly Report on Form 10-Q for the quarter ended September 30, 2013 (File No. 000-</w:t>
        </w:r>
      </w:hyperlink>
      <w:hyperlink r:id="rId184">
        <w:r>
          <w:rPr>
            <w:rFonts w:ascii="Arial" w:cs="Arial" w:eastAsia="Arial" w:hAnsi="Arial"/>
            <w:sz w:val="18"/>
            <w:szCs w:val="18"/>
            <w:u w:val="single" w:color="auto"/>
            <w:color w:val="0000FF"/>
          </w:rPr>
          <w:t>50189)).</w:t>
        </w:r>
      </w:hyperlink>
    </w:p>
    <w:p>
      <w:pPr>
        <w:spacing w:after="0" w:line="211" w:lineRule="exact"/>
        <w:rPr>
          <w:rFonts w:ascii="Arial" w:cs="Arial" w:eastAsia="Arial" w:hAnsi="Arial"/>
          <w:sz w:val="18"/>
          <w:szCs w:val="18"/>
          <w:u w:val="single" w:color="auto"/>
          <w:color w:val="0000FF"/>
        </w:rPr>
      </w:pPr>
    </w:p>
    <w:p>
      <w:pPr>
        <w:jc w:val="both"/>
        <w:ind w:left="540" w:hanging="566"/>
        <w:spacing w:after="0" w:line="277" w:lineRule="auto"/>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10.l</w:t>
      </w:r>
      <w:r>
        <w:rPr>
          <w:sz w:val="20"/>
          <w:szCs w:val="20"/>
          <w:color w:val="auto"/>
        </w:rPr>
        <w:tab/>
      </w:r>
      <w:hyperlink r:id="rId185">
        <w:r>
          <w:rPr>
            <w:rFonts w:ascii="Arial" w:cs="Arial" w:eastAsia="Arial" w:hAnsi="Arial"/>
            <w:sz w:val="18"/>
            <w:szCs w:val="18"/>
            <w:u w:val="single" w:color="auto"/>
            <w:color w:val="0000FF"/>
          </w:rPr>
          <w:t>Crown Cork &amp; Seal Company, Inc. Restoration Plan, dated July 28, 2010 (incorporated by reference to Exhibit 10.3 of the Registrant's</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Quarterly Report on Form 10-Q for the quarter ended June 30, 2012 (File No. 000-50189)).</w:t>
        </w:r>
      </w:hyperlink>
    </w:p>
    <w:p>
      <w:pPr>
        <w:spacing w:after="0" w:line="197" w:lineRule="exact"/>
        <w:rPr>
          <w:sz w:val="20"/>
          <w:szCs w:val="20"/>
          <w:color w:val="auto"/>
        </w:rPr>
      </w:pPr>
    </w:p>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10.m</w:t>
      </w:r>
      <w:r>
        <w:rPr>
          <w:sz w:val="20"/>
          <w:szCs w:val="20"/>
          <w:color w:val="auto"/>
        </w:rPr>
        <w:tab/>
      </w:r>
      <w:hyperlink r:id="rId186">
        <w:r>
          <w:rPr>
            <w:rFonts w:ascii="Arial" w:cs="Arial" w:eastAsia="Arial" w:hAnsi="Arial"/>
            <w:sz w:val="16"/>
            <w:szCs w:val="16"/>
            <w:u w:val="single" w:color="auto"/>
            <w:color w:val="0000FF"/>
          </w:rPr>
          <w:t>Amendment No. 1, effective July 1, 2011, to the Crown Cork &amp; Seal Company, Inc. Restoration Plan (incorporated by reference to Exhibit</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10.4 of the Registrant's Quarterly Report on Form 10-Q for the quarter ended June 30, 2012 (File No. 000-50189)).</w:t>
        </w:r>
      </w:hyperlink>
    </w:p>
    <w:p>
      <w:pPr>
        <w:spacing w:after="0" w:line="238" w:lineRule="exact"/>
        <w:rPr>
          <w:sz w:val="20"/>
          <w:szCs w:val="20"/>
          <w:color w:val="auto"/>
        </w:rPr>
      </w:pPr>
    </w:p>
    <w:p>
      <w:pPr>
        <w:jc w:val="both"/>
        <w:ind w:left="560" w:right="20" w:hanging="566"/>
        <w:spacing w:after="0" w:line="34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10.n </w:t>
      </w:r>
      <w:hyperlink r:id="rId187">
        <w:r>
          <w:rPr>
            <w:rFonts w:ascii="Arial" w:cs="Arial" w:eastAsia="Arial" w:hAnsi="Arial"/>
            <w:sz w:val="16"/>
            <w:szCs w:val="16"/>
            <w:u w:val="single" w:color="auto"/>
            <w:color w:val="0000FF"/>
          </w:rPr>
          <w:t>Amendment No. 1, effective February 28, 2020, to the Crown Holdings, Inc. 2013 Stock-Based Incentive Compensation Plan (incorporated by</w:t>
        </w:r>
      </w:hyperlink>
      <w:r>
        <w:rPr>
          <w:rFonts w:ascii="Arial" w:cs="Arial" w:eastAsia="Arial" w:hAnsi="Arial"/>
          <w:sz w:val="16"/>
          <w:szCs w:val="16"/>
          <w:color w:val="auto"/>
        </w:rPr>
        <w:t xml:space="preserve"> </w:t>
      </w:r>
      <w:hyperlink r:id="rId187">
        <w:r>
          <w:rPr>
            <w:rFonts w:ascii="Arial" w:cs="Arial" w:eastAsia="Arial" w:hAnsi="Arial"/>
            <w:sz w:val="16"/>
            <w:szCs w:val="16"/>
            <w:u w:val="single" w:color="auto"/>
            <w:color w:val="0000FF"/>
          </w:rPr>
          <w:t>reference to Exhibit 10.2 of the Registrant's Quarterly Report on From 10-Q for the quarter ended March 31, 2020 (File No. 000-50189)).</w:t>
        </w:r>
      </w:hyperlink>
    </w:p>
    <w:p>
      <w:pPr>
        <w:spacing w:after="0" w:line="151" w:lineRule="exact"/>
        <w:rPr>
          <w:sz w:val="20"/>
          <w:szCs w:val="20"/>
          <w:color w:val="auto"/>
        </w:rPr>
      </w:pPr>
    </w:p>
    <w:p>
      <w:pPr>
        <w:spacing w:after="0"/>
        <w:tabs>
          <w:tab w:leader="none" w:pos="460" w:val="left"/>
        </w:tabs>
        <w:rPr>
          <w:rFonts w:ascii="Arial" w:cs="Arial" w:eastAsia="Arial" w:hAnsi="Arial"/>
          <w:sz w:val="16"/>
          <w:szCs w:val="16"/>
          <w:u w:val="single" w:color="auto"/>
          <w:color w:val="0000FF"/>
        </w:rPr>
      </w:pPr>
      <w:r>
        <w:rPr>
          <w:rFonts w:ascii="Arial" w:cs="Arial" w:eastAsia="Arial" w:hAnsi="Arial"/>
          <w:sz w:val="18"/>
          <w:szCs w:val="18"/>
          <w:color w:val="auto"/>
        </w:rPr>
        <w:t>10.v</w:t>
      </w:r>
      <w:r>
        <w:rPr>
          <w:sz w:val="20"/>
          <w:szCs w:val="20"/>
          <w:color w:val="auto"/>
        </w:rPr>
        <w:tab/>
      </w:r>
      <w:hyperlink r:id="rId188">
        <w:r>
          <w:rPr>
            <w:rFonts w:ascii="Arial" w:cs="Arial" w:eastAsia="Arial" w:hAnsi="Arial"/>
            <w:sz w:val="16"/>
            <w:szCs w:val="16"/>
            <w:u w:val="single" w:color="auto"/>
            <w:color w:val="0000FF"/>
          </w:rPr>
          <w:t>Amendment No. 2, effective February 25, 2021, to the Crown Holdings, Inc. 2013 Stock-Based Incentive Compensation Plan.</w:t>
        </w:r>
      </w:hyperlink>
    </w:p>
    <w:p>
      <w:pPr>
        <w:spacing w:after="0" w:line="200" w:lineRule="exact"/>
        <w:rPr>
          <w:sz w:val="20"/>
          <w:szCs w:val="20"/>
          <w:color w:val="auto"/>
        </w:rPr>
      </w:pPr>
    </w:p>
    <w:p>
      <w:pPr>
        <w:spacing w:after="0" w:line="3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21" w:right="339" w:bottom="1440" w:gutter="0" w:footer="0" w:header="0"/>
        </w:sectPr>
      </w:pPr>
    </w:p>
    <w:bookmarkStart w:id="94" w:name="page95"/>
    <w:bookmarkEnd w:id="94"/>
    <w:p>
      <w:pPr>
        <w:jc w:val="center"/>
        <w:ind w:right="2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120" w:hanging="566"/>
        <w:spacing w:after="0" w:line="308" w:lineRule="auto"/>
        <w:tabs>
          <w:tab w:leader="none" w:pos="1100" w:val="left"/>
        </w:tabs>
        <w:rPr>
          <w:sz w:val="20"/>
          <w:szCs w:val="20"/>
          <w:color w:val="auto"/>
        </w:rPr>
      </w:pPr>
      <w:r>
        <w:rPr>
          <w:rFonts w:ascii="Arial" w:cs="Arial" w:eastAsia="Arial" w:hAnsi="Arial"/>
          <w:sz w:val="18"/>
          <w:szCs w:val="18"/>
          <w:color w:val="auto"/>
        </w:rPr>
        <w:t>10.o</w:t>
      </w:r>
      <w:r>
        <w:rPr>
          <w:sz w:val="20"/>
          <w:szCs w:val="20"/>
          <w:color w:val="auto"/>
        </w:rPr>
        <w:tab/>
      </w:r>
      <w:r>
        <w:rPr>
          <w:rFonts w:ascii="Arial" w:cs="Arial" w:eastAsia="Arial" w:hAnsi="Arial"/>
          <w:sz w:val="17"/>
          <w:szCs w:val="17"/>
          <w:color w:val="auto"/>
        </w:rPr>
        <w:t>Transaction Bonus Agreement, effective April 16, 2021, by, and between Crown Holdings, Inc. and Didier Sourisseau (incorporated by reference to Exhibit 10(d)(12) of the Registrant’s Periodic Report on Form 8-K filed July 23, 2022 (File No. 000-50189)).</w:t>
      </w:r>
    </w:p>
    <w:p>
      <w:pPr>
        <w:spacing w:after="0" w:line="173" w:lineRule="exact"/>
        <w:rPr>
          <w:sz w:val="20"/>
          <w:szCs w:val="20"/>
          <w:color w:val="auto"/>
        </w:rPr>
      </w:pPr>
    </w:p>
    <w:p>
      <w:pPr>
        <w:jc w:val="both"/>
        <w:ind w:left="1120" w:hanging="566"/>
        <w:spacing w:after="0" w:line="277" w:lineRule="auto"/>
        <w:rPr>
          <w:sz w:val="20"/>
          <w:szCs w:val="20"/>
          <w:color w:val="auto"/>
        </w:rPr>
      </w:pPr>
      <w:r>
        <w:rPr>
          <w:rFonts w:ascii="Arial" w:cs="Arial" w:eastAsia="Arial" w:hAnsi="Arial"/>
          <w:sz w:val="18"/>
          <w:szCs w:val="18"/>
          <w:color w:val="auto"/>
        </w:rPr>
        <w:t>10.p Consulting Agreement, effective August 1, 2021, by, and between Crown Holdings, Inc. and Didier Sourisseau (incorporated by reference to Exhibit 10(d)(13) of the Registrant’s Periodic Report on Form 8-K filed July 23, 2022 (File No. 000-50189)).</w:t>
      </w:r>
    </w:p>
    <w:p>
      <w:pPr>
        <w:spacing w:after="0" w:line="197" w:lineRule="exact"/>
        <w:rPr>
          <w:sz w:val="20"/>
          <w:szCs w:val="20"/>
          <w:color w:val="auto"/>
        </w:rPr>
      </w:pPr>
    </w:p>
    <w:p>
      <w:pPr>
        <w:jc w:val="both"/>
        <w:ind w:left="1120" w:hanging="566"/>
        <w:spacing w:after="0" w:line="263" w:lineRule="auto"/>
        <w:rPr>
          <w:sz w:val="20"/>
          <w:szCs w:val="20"/>
          <w:color w:val="auto"/>
        </w:rPr>
      </w:pPr>
      <w:r>
        <w:rPr>
          <w:rFonts w:ascii="Arial" w:cs="Arial" w:eastAsia="Arial" w:hAnsi="Arial"/>
          <w:sz w:val="18"/>
          <w:szCs w:val="18"/>
          <w:color w:val="auto"/>
        </w:rPr>
        <w:t>10.y Share and Asset Purchase Agreement, dated as of April 8, 2021, by and among the Company, Crown Cork &amp; Seal Deutschland Holdings GmbH, Blitz F21-387 GmbH, Kouti B.V. and Macsco 20.10 Limited (incorporated by reference to Exhibit 2.1 of the Registrant’s Current Report on Form 8-K dated April 13, 2021 (File No. 000-50189)).</w:t>
      </w:r>
    </w:p>
    <w:p>
      <w:pPr>
        <w:spacing w:after="0" w:line="211"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Exhibits 10.c through 10.m are management contracts or compensatory plans or arrangements required to be filed as exhibits pursuant to Item 14(c) of this Report.</w:t>
      </w:r>
    </w:p>
    <w:p>
      <w:pPr>
        <w:spacing w:after="0" w:line="197" w:lineRule="exact"/>
        <w:rPr>
          <w:sz w:val="20"/>
          <w:szCs w:val="20"/>
          <w:color w:val="auto"/>
        </w:rPr>
      </w:pPr>
    </w:p>
    <w:p>
      <w:pPr>
        <w:ind w:left="920" w:hanging="365"/>
        <w:spacing w:after="0"/>
        <w:tabs>
          <w:tab w:leader="none" w:pos="920" w:val="left"/>
        </w:tabs>
        <w:numPr>
          <w:ilvl w:val="0"/>
          <w:numId w:val="36"/>
        </w:numPr>
        <w:rPr>
          <w:rFonts w:ascii="Arial" w:cs="Arial" w:eastAsia="Arial" w:hAnsi="Arial"/>
          <w:sz w:val="18"/>
          <w:szCs w:val="18"/>
          <w:u w:val="single" w:color="auto"/>
          <w:color w:val="0000FF"/>
        </w:rPr>
      </w:pPr>
      <w:hyperlink w:anchor="page350">
        <w:r>
          <w:rPr>
            <w:rFonts w:ascii="Arial" w:cs="Arial" w:eastAsia="Arial" w:hAnsi="Arial"/>
            <w:sz w:val="18"/>
            <w:szCs w:val="18"/>
            <w:u w:val="single" w:color="auto"/>
            <w:color w:val="0000FF"/>
          </w:rPr>
          <w:t>Subsidiaries of Registrant.</w:t>
        </w:r>
      </w:hyperlink>
    </w:p>
    <w:p>
      <w:pPr>
        <w:spacing w:after="0" w:line="252" w:lineRule="exact"/>
        <w:rPr>
          <w:rFonts w:ascii="Arial" w:cs="Arial" w:eastAsia="Arial" w:hAnsi="Arial"/>
          <w:sz w:val="18"/>
          <w:szCs w:val="18"/>
          <w:u w:val="single" w:color="auto"/>
          <w:color w:val="0000FF"/>
        </w:rPr>
      </w:pPr>
    </w:p>
    <w:p>
      <w:pPr>
        <w:ind w:left="920" w:hanging="365"/>
        <w:spacing w:after="0"/>
        <w:tabs>
          <w:tab w:leader="none" w:pos="920" w:val="left"/>
        </w:tabs>
        <w:numPr>
          <w:ilvl w:val="0"/>
          <w:numId w:val="36"/>
        </w:numPr>
        <w:rPr>
          <w:rFonts w:ascii="Arial" w:cs="Arial" w:eastAsia="Arial" w:hAnsi="Arial"/>
          <w:sz w:val="18"/>
          <w:szCs w:val="18"/>
          <w:u w:val="single" w:color="auto"/>
          <w:color w:val="0000FF"/>
        </w:rPr>
      </w:pPr>
      <w:hyperlink w:anchor="page355">
        <w:r>
          <w:rPr>
            <w:rFonts w:ascii="Arial" w:cs="Arial" w:eastAsia="Arial" w:hAnsi="Arial"/>
            <w:sz w:val="18"/>
            <w:szCs w:val="18"/>
            <w:u w:val="single" w:color="auto"/>
            <w:color w:val="0000FF"/>
          </w:rPr>
          <w:t>List of Guarantors.</w:t>
        </w:r>
      </w:hyperlink>
    </w:p>
    <w:p>
      <w:pPr>
        <w:spacing w:after="0" w:line="252" w:lineRule="exact"/>
        <w:rPr>
          <w:rFonts w:ascii="Arial" w:cs="Arial" w:eastAsia="Arial" w:hAnsi="Arial"/>
          <w:sz w:val="18"/>
          <w:szCs w:val="18"/>
          <w:u w:val="single" w:color="auto"/>
          <w:color w:val="0000FF"/>
        </w:rPr>
      </w:pPr>
    </w:p>
    <w:p>
      <w:pPr>
        <w:ind w:left="920" w:hanging="365"/>
        <w:spacing w:after="0"/>
        <w:tabs>
          <w:tab w:leader="none" w:pos="920" w:val="left"/>
        </w:tabs>
        <w:numPr>
          <w:ilvl w:val="0"/>
          <w:numId w:val="36"/>
        </w:numPr>
        <w:rPr>
          <w:rFonts w:ascii="Arial" w:cs="Arial" w:eastAsia="Arial" w:hAnsi="Arial"/>
          <w:sz w:val="18"/>
          <w:szCs w:val="18"/>
          <w:u w:val="single" w:color="auto"/>
          <w:color w:val="0000FF"/>
        </w:rPr>
      </w:pPr>
      <w:hyperlink w:anchor="page356">
        <w:r>
          <w:rPr>
            <w:rFonts w:ascii="Arial" w:cs="Arial" w:eastAsia="Arial" w:hAnsi="Arial"/>
            <w:sz w:val="18"/>
            <w:szCs w:val="18"/>
            <w:u w:val="single" w:color="auto"/>
            <w:color w:val="0000FF"/>
          </w:rPr>
          <w:t>Consent of Independent Registered Public Accounting Firm.</w:t>
        </w:r>
      </w:hyperlink>
    </w:p>
    <w:p>
      <w:pPr>
        <w:spacing w:after="0" w:line="252" w:lineRule="exact"/>
        <w:rPr>
          <w:rFonts w:ascii="Arial" w:cs="Arial" w:eastAsia="Arial" w:hAnsi="Arial"/>
          <w:sz w:val="18"/>
          <w:szCs w:val="18"/>
          <w:color w:val="auto"/>
        </w:rPr>
      </w:pPr>
    </w:p>
    <w:p>
      <w:pPr>
        <w:ind w:left="1100" w:right="20" w:hanging="566"/>
        <w:spacing w:after="0" w:line="277"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357">
        <w:r>
          <w:rPr>
            <w:rFonts w:ascii="Arial" w:cs="Arial" w:eastAsia="Arial" w:hAnsi="Arial"/>
            <w:sz w:val="18"/>
            <w:szCs w:val="18"/>
            <w:u w:val="single" w:color="auto"/>
            <w:color w:val="0000FF"/>
          </w:rPr>
          <w:t>Certification of Chief Executive Officer pursuant to Rule 13a-14(a) or 15d-14(a) of the Securities and Exchange Act of 1934, as adopted</w:t>
        </w:r>
      </w:hyperlink>
      <w:r>
        <w:rPr>
          <w:rFonts w:ascii="Arial" w:cs="Arial" w:eastAsia="Arial" w:hAnsi="Arial"/>
          <w:sz w:val="18"/>
          <w:szCs w:val="18"/>
          <w:u w:val="single" w:color="auto"/>
          <w:color w:val="0000FF"/>
        </w:rPr>
        <w:t xml:space="preserve"> </w:t>
      </w:r>
      <w:hyperlink w:anchor="page357">
        <w:r>
          <w:rPr>
            <w:rFonts w:ascii="Arial" w:cs="Arial" w:eastAsia="Arial" w:hAnsi="Arial"/>
            <w:sz w:val="18"/>
            <w:szCs w:val="18"/>
            <w:u w:val="single" w:color="auto"/>
            <w:color w:val="0000FF"/>
          </w:rPr>
          <w:t>pursuant to Section 302 of the Sarbanes-Oxley Act of 2002.</w:t>
        </w:r>
      </w:hyperlink>
    </w:p>
    <w:p>
      <w:pPr>
        <w:spacing w:after="0" w:line="197" w:lineRule="exact"/>
        <w:rPr>
          <w:sz w:val="20"/>
          <w:szCs w:val="20"/>
          <w:color w:val="auto"/>
        </w:rPr>
      </w:pPr>
    </w:p>
    <w:p>
      <w:pPr>
        <w:ind w:left="1100" w:hanging="566"/>
        <w:spacing w:after="0" w:line="277"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358">
        <w:r>
          <w:rPr>
            <w:rFonts w:ascii="Arial" w:cs="Arial" w:eastAsia="Arial" w:hAnsi="Arial"/>
            <w:sz w:val="18"/>
            <w:szCs w:val="18"/>
            <w:u w:val="single" w:color="auto"/>
            <w:color w:val="0000FF"/>
          </w:rPr>
          <w:t>Certification of Chief Financial Officer pursuant to Rule 13a-14(a) or 15d-14(a) of the Securities and Exchange Act of 1934, as adopted</w:t>
        </w:r>
      </w:hyperlink>
      <w:r>
        <w:rPr>
          <w:rFonts w:ascii="Arial" w:cs="Arial" w:eastAsia="Arial" w:hAnsi="Arial"/>
          <w:sz w:val="18"/>
          <w:szCs w:val="18"/>
          <w:u w:val="single" w:color="auto"/>
          <w:color w:val="0000FF"/>
        </w:rPr>
        <w:t xml:space="preserve"> </w:t>
      </w:r>
      <w:hyperlink w:anchor="page358">
        <w:r>
          <w:rPr>
            <w:rFonts w:ascii="Arial" w:cs="Arial" w:eastAsia="Arial" w:hAnsi="Arial"/>
            <w:sz w:val="18"/>
            <w:szCs w:val="18"/>
            <w:u w:val="single" w:color="auto"/>
            <w:color w:val="0000FF"/>
          </w:rPr>
          <w:t>pursuant to Section 302 of the Sarbanes-Oxley Act of 2002.</w:t>
        </w:r>
      </w:hyperlink>
    </w:p>
    <w:p>
      <w:pPr>
        <w:spacing w:after="0" w:line="197" w:lineRule="exact"/>
        <w:rPr>
          <w:sz w:val="20"/>
          <w:szCs w:val="20"/>
          <w:color w:val="auto"/>
        </w:rPr>
      </w:pPr>
    </w:p>
    <w:p>
      <w:pPr>
        <w:ind w:left="1120" w:hanging="565"/>
        <w:spacing w:after="0" w:line="263" w:lineRule="auto"/>
        <w:tabs>
          <w:tab w:leader="none" w:pos="913" w:val="left"/>
        </w:tabs>
        <w:numPr>
          <w:ilvl w:val="0"/>
          <w:numId w:val="37"/>
        </w:numPr>
        <w:rPr>
          <w:rFonts w:ascii="Arial" w:cs="Arial" w:eastAsia="Arial" w:hAnsi="Arial"/>
          <w:sz w:val="18"/>
          <w:szCs w:val="18"/>
          <w:u w:val="single" w:color="auto"/>
          <w:color w:val="0000FF"/>
        </w:rPr>
      </w:pPr>
      <w:hyperlink w:anchor="page359">
        <w:r>
          <w:rPr>
            <w:rFonts w:ascii="Arial" w:cs="Arial" w:eastAsia="Arial" w:hAnsi="Arial"/>
            <w:sz w:val="18"/>
            <w:szCs w:val="18"/>
            <w:u w:val="single" w:color="auto"/>
            <w:color w:val="0000FF"/>
          </w:rPr>
          <w:t>Certification pursuant to 18 U.S.C. Section 1350, as adopted pursuant to Section 906 of the Sarbanes-Oxley Act of 2002, executed by Timothy</w:t>
        </w:r>
      </w:hyperlink>
      <w:r>
        <w:rPr>
          <w:rFonts w:ascii="Arial" w:cs="Arial" w:eastAsia="Arial" w:hAnsi="Arial"/>
          <w:sz w:val="18"/>
          <w:szCs w:val="18"/>
          <w:u w:val="single" w:color="auto"/>
          <w:color w:val="0000FF"/>
        </w:rPr>
        <w:t xml:space="preserve"> </w:t>
      </w:r>
      <w:hyperlink w:anchor="page359">
        <w:r>
          <w:rPr>
            <w:rFonts w:ascii="Arial" w:cs="Arial" w:eastAsia="Arial" w:hAnsi="Arial"/>
            <w:sz w:val="18"/>
            <w:szCs w:val="18"/>
            <w:u w:val="single" w:color="auto"/>
            <w:color w:val="0000FF"/>
          </w:rPr>
          <w:t>J. Donahue, President and Chief Executive Officer of Crown Holdings, Inc. and Thomas A. Kelly, Senior Vice President and Chief</w:t>
        </w:r>
      </w:hyperlink>
      <w:r>
        <w:rPr>
          <w:rFonts w:ascii="Arial" w:cs="Arial" w:eastAsia="Arial" w:hAnsi="Arial"/>
          <w:sz w:val="18"/>
          <w:szCs w:val="18"/>
          <w:u w:val="single" w:color="auto"/>
          <w:color w:val="0000FF"/>
        </w:rPr>
        <w:t xml:space="preserve"> </w:t>
      </w:r>
      <w:hyperlink w:anchor="page359">
        <w:r>
          <w:rPr>
            <w:rFonts w:ascii="Arial" w:cs="Arial" w:eastAsia="Arial" w:hAnsi="Arial"/>
            <w:sz w:val="18"/>
            <w:szCs w:val="18"/>
            <w:u w:val="single" w:color="auto"/>
            <w:color w:val="0000FF"/>
          </w:rPr>
          <w:t>Financial Officer of Crown Holdings, Inc.</w:t>
        </w:r>
      </w:hyperlink>
    </w:p>
    <w:p>
      <w:pPr>
        <w:spacing w:after="0" w:line="211" w:lineRule="exact"/>
        <w:rPr>
          <w:rFonts w:ascii="Arial" w:cs="Arial" w:eastAsia="Arial" w:hAnsi="Arial"/>
          <w:sz w:val="18"/>
          <w:szCs w:val="18"/>
          <w:u w:val="single" w:color="auto"/>
          <w:color w:val="0000FF"/>
        </w:rPr>
      </w:pPr>
    </w:p>
    <w:p>
      <w:pPr>
        <w:ind w:left="1120" w:hanging="565"/>
        <w:spacing w:after="0" w:line="293" w:lineRule="auto"/>
        <w:tabs>
          <w:tab w:leader="none" w:pos="102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following financial information from the Registrant’s Annual Report on Form 10-K for the year ended December 31, 2021 formatted in Inline XBRL (eXtensible Business Reporting Language): (i) Consolidated Statements of Operations for the twelve months ended December 31, 2021, 2020 and 2019, (ii) Consolidated Statements of Comprehensive Income for the twelve months ended December 31, 2021, 2020 and 2019; (iii) Consolidated Balance Sheets as of December 31, 2021 and December 31, 2020, (iv) Consolidated Statements of Cash Flows for the twelve months ended December 31, 2021, 2020 and 2019, (v) Consolidated Statements of Changes in Shareholders' Equity for the twelve months ended December 31, 2021, 2020 and 2019 and (vi) Notes to Consolidated Financial Statements.</w:t>
      </w:r>
    </w:p>
    <w:p>
      <w:pPr>
        <w:spacing w:after="0" w:line="191" w:lineRule="exact"/>
        <w:rPr>
          <w:rFonts w:ascii="Arial" w:cs="Arial" w:eastAsia="Arial" w:hAnsi="Arial"/>
          <w:sz w:val="18"/>
          <w:szCs w:val="18"/>
          <w:u w:val="single" w:color="auto"/>
          <w:color w:val="0000FF"/>
        </w:rPr>
      </w:pPr>
    </w:p>
    <w:p>
      <w:pPr>
        <w:ind w:left="1120" w:hanging="565"/>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 the XBRL document.</w:t>
      </w:r>
    </w:p>
    <w:p>
      <w:pPr>
        <w:spacing w:after="0" w:line="238" w:lineRule="exact"/>
        <w:rPr>
          <w:rFonts w:ascii="Arial" w:cs="Arial" w:eastAsia="Arial" w:hAnsi="Arial"/>
          <w:sz w:val="18"/>
          <w:szCs w:val="18"/>
          <w:u w:val="single" w:color="auto"/>
          <w:color w:val="0000FF"/>
        </w:rPr>
      </w:pPr>
    </w:p>
    <w:p>
      <w:pPr>
        <w:spacing w:after="0"/>
        <w:tabs>
          <w:tab w:leader="none" w:pos="1300" w:val="left"/>
        </w:tabs>
        <w:rPr>
          <w:sz w:val="20"/>
          <w:szCs w:val="20"/>
          <w:color w:val="auto"/>
        </w:rPr>
      </w:pPr>
      <w:r>
        <w:rPr>
          <w:rFonts w:ascii="Arial" w:cs="Arial" w:eastAsia="Arial" w:hAnsi="Arial"/>
          <w:sz w:val="18"/>
          <w:szCs w:val="18"/>
          <w:u w:val="single" w:color="auto"/>
          <w:color w:val="auto"/>
        </w:rPr>
        <w:t>ITEM 16.</w:t>
      </w:r>
      <w:r>
        <w:rPr>
          <w:sz w:val="20"/>
          <w:szCs w:val="20"/>
          <w:color w:val="auto"/>
        </w:rPr>
        <w:tab/>
      </w:r>
      <w:r>
        <w:rPr>
          <w:rFonts w:ascii="Arial" w:cs="Arial" w:eastAsia="Arial" w:hAnsi="Arial"/>
          <w:sz w:val="17"/>
          <w:szCs w:val="17"/>
          <w:u w:val="single" w:color="auto"/>
          <w:color w:val="auto"/>
        </w:rPr>
        <w:t>FORM 10-K SUMMARY</w:t>
      </w:r>
    </w:p>
    <w:p>
      <w:pPr>
        <w:spacing w:after="0" w:line="104" w:lineRule="exact"/>
        <w:rPr>
          <w:rFonts w:ascii="Arial" w:cs="Arial" w:eastAsia="Arial" w:hAnsi="Arial"/>
          <w:sz w:val="18"/>
          <w:szCs w:val="18"/>
          <w:u w:val="single" w:color="auto"/>
          <w:color w:val="0000FF"/>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u w:val="single" w:color="auto"/>
          <w:color w:val="0000FF"/>
        </w:rPr>
      </w:pPr>
    </w:p>
    <w:p>
      <w:pPr>
        <w:spacing w:after="0" w:line="363" w:lineRule="exact"/>
        <w:rPr>
          <w:rFonts w:ascii="Arial" w:cs="Arial" w:eastAsia="Arial" w:hAnsi="Arial"/>
          <w:sz w:val="18"/>
          <w:szCs w:val="18"/>
          <w:u w:val="single" w:color="auto"/>
          <w:color w:val="0000FF"/>
        </w:rPr>
      </w:pPr>
    </w:p>
    <w:p>
      <w:pPr>
        <w:jc w:val="center"/>
        <w:ind w:right="20"/>
        <w:spacing w:after="0"/>
        <w:rPr>
          <w:sz w:val="20"/>
          <w:szCs w:val="20"/>
          <w:color w:val="auto"/>
        </w:rPr>
      </w:pPr>
      <w:r>
        <w:rPr>
          <w:rFonts w:ascii="Arial" w:cs="Arial" w:eastAsia="Arial" w:hAnsi="Arial"/>
          <w:sz w:val="18"/>
          <w:szCs w:val="18"/>
          <w:color w:val="auto"/>
        </w:rPr>
        <w:t>93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w:t>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Crown Holdings, Inc.</w:t>
      </w:r>
    </w:p>
    <w:p>
      <w:pPr>
        <w:ind w:left="4620"/>
        <w:spacing w:after="0"/>
        <w:rPr>
          <w:sz w:val="20"/>
          <w:szCs w:val="20"/>
          <w:color w:val="auto"/>
        </w:rPr>
      </w:pPr>
      <w:r>
        <w:rPr>
          <w:rFonts w:ascii="Arial" w:cs="Arial" w:eastAsia="Arial" w:hAnsi="Arial"/>
          <w:sz w:val="18"/>
          <w:szCs w:val="18"/>
          <w:color w:val="auto"/>
        </w:rPr>
        <w:t>Registrant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ind w:left="388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Christy L. Kalaus</w:t>
            </w:r>
          </w:p>
        </w:tc>
        <w:tc>
          <w:tcPr>
            <w:tcW w:w="0" w:type="dxa"/>
            <w:vAlign w:val="bottom"/>
          </w:tcPr>
          <w:p>
            <w:pPr>
              <w:spacing w:after="0"/>
              <w:rPr>
                <w:sz w:val="1"/>
                <w:szCs w:val="1"/>
                <w:color w:val="auto"/>
              </w:rPr>
            </w:pPr>
          </w:p>
        </w:tc>
      </w:tr>
      <w:tr>
        <w:trPr>
          <w:trHeight w:val="222"/>
        </w:trPr>
        <w:tc>
          <w:tcPr>
            <w:tcW w:w="46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Christy L. Kalaus</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behalf by the undersigned, thereunto duly authorized.</w:t>
            </w:r>
          </w:p>
        </w:tc>
        <w:tc>
          <w:tcPr>
            <w:tcW w:w="4000" w:type="dxa"/>
            <w:vAlign w:val="bottom"/>
          </w:tcPr>
          <w:p>
            <w:pPr>
              <w:spacing w:after="0"/>
              <w:rPr>
                <w:sz w:val="20"/>
                <w:szCs w:val="20"/>
                <w:color w:val="auto"/>
              </w:rPr>
            </w:pPr>
            <w:r>
              <w:rPr>
                <w:rFonts w:ascii="Arial" w:cs="Arial" w:eastAsia="Arial" w:hAnsi="Arial"/>
                <w:sz w:val="18"/>
                <w:szCs w:val="18"/>
                <w:color w:val="auto"/>
              </w:rPr>
              <w:t>Vice President and Corporate Controller</w:t>
            </w:r>
          </w:p>
        </w:tc>
        <w:tc>
          <w:tcPr>
            <w:tcW w:w="0" w:type="dxa"/>
            <w:vAlign w:val="bottom"/>
          </w:tcPr>
          <w:p>
            <w:pPr>
              <w:spacing w:after="0"/>
              <w:rPr>
                <w:sz w:val="1"/>
                <w:szCs w:val="1"/>
                <w:color w:val="auto"/>
              </w:rPr>
            </w:pPr>
          </w:p>
        </w:tc>
      </w:tr>
      <w:tr>
        <w:trPr>
          <w:trHeight w:val="108"/>
        </w:trPr>
        <w:tc>
          <w:tcPr>
            <w:tcW w:w="4620" w:type="dxa"/>
            <w:vAlign w:val="bottom"/>
            <w:vMerge w:val="continue"/>
          </w:tcPr>
          <w:p>
            <w:pPr>
              <w:spacing w:after="0"/>
              <w:rPr>
                <w:sz w:val="9"/>
                <w:szCs w:val="9"/>
                <w:color w:val="auto"/>
              </w:rPr>
            </w:pPr>
          </w:p>
        </w:tc>
        <w:tc>
          <w:tcPr>
            <w:tcW w:w="4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1"/>
        </w:trPr>
        <w:tc>
          <w:tcPr>
            <w:tcW w:w="4620" w:type="dxa"/>
            <w:vAlign w:val="bottom"/>
          </w:tcPr>
          <w:p>
            <w:pPr>
              <w:spacing w:after="0"/>
              <w:rPr>
                <w:sz w:val="20"/>
                <w:szCs w:val="20"/>
                <w:color w:val="auto"/>
              </w:rPr>
            </w:pPr>
            <w:r>
              <w:rPr>
                <w:rFonts w:ascii="Arial" w:cs="Arial" w:eastAsia="Arial" w:hAnsi="Arial"/>
                <w:sz w:val="18"/>
                <w:szCs w:val="18"/>
                <w:color w:val="auto"/>
              </w:rPr>
              <w:t>Date: February 28, 2022</w:t>
            </w:r>
          </w:p>
        </w:tc>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POWER OF ATTORNEY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KNOW ALL MEN BY THESE PRESENTS, that each person whose signature appears below constitutes and appoints Timothy J. Donahue, Kevin C. Clothier and Adam J. Dickstein, and each of them, his or her true and lawful attorneys-in-fact and agents, with full power of substitution and resubstitution, for him or her and in his or her name, place and stead, in any and all capacities to sign any and all amendments to the Annual Report on Form 10-K for the Company’s 2021 fiscal year,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respective substitutes, may lawfully do or cause to be done by virtue hereof.</w:t>
      </w:r>
    </w:p>
    <w:p>
      <w:pPr>
        <w:spacing w:after="0" w:line="140" w:lineRule="exact"/>
        <w:rPr>
          <w:sz w:val="20"/>
          <w:szCs w:val="20"/>
          <w:color w:val="auto"/>
        </w:rPr>
      </w:pPr>
    </w:p>
    <w:p>
      <w:pPr>
        <w:ind w:right="180"/>
        <w:spacing w:after="0" w:line="31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 indicated above.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3940" w:type="dxa"/>
            <w:vAlign w:val="bottom"/>
            <w:gridSpan w:val="5"/>
          </w:tcPr>
          <w:p>
            <w:pPr>
              <w:ind w:left="36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Timothy J. Donahue</w:t>
            </w:r>
          </w:p>
        </w:tc>
        <w:tc>
          <w:tcPr>
            <w:tcW w:w="3940" w:type="dxa"/>
            <w:vAlign w:val="bottom"/>
            <w:gridSpan w:val="5"/>
            <w:vMerge w:val="restart"/>
          </w:tcPr>
          <w:p>
            <w:pPr>
              <w:ind w:left="360"/>
              <w:spacing w:after="0"/>
              <w:rPr>
                <w:sz w:val="20"/>
                <w:szCs w:val="20"/>
                <w:color w:val="auto"/>
              </w:rPr>
            </w:pPr>
            <w:r>
              <w:rPr>
                <w:rFonts w:ascii="Arial" w:cs="Arial" w:eastAsia="Arial" w:hAnsi="Arial"/>
                <w:sz w:val="18"/>
                <w:szCs w:val="18"/>
                <w:color w:val="auto"/>
                <w:w w:val="95"/>
              </w:rPr>
              <w:t>Director, President and Chief Executive Officer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Timothy J. Donahue</w:t>
            </w:r>
          </w:p>
        </w:tc>
        <w:tc>
          <w:tcPr>
            <w:tcW w:w="39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C. Clothier</w:t>
            </w:r>
          </w:p>
        </w:tc>
        <w:tc>
          <w:tcPr>
            <w:tcW w:w="3940" w:type="dxa"/>
            <w:vAlign w:val="bottom"/>
            <w:gridSpan w:val="5"/>
            <w:vMerge w:val="restart"/>
          </w:tcPr>
          <w:p>
            <w:pPr>
              <w:ind w:left="360"/>
              <w:spacing w:after="0"/>
              <w:rPr>
                <w:sz w:val="20"/>
                <w:szCs w:val="20"/>
                <w:color w:val="auto"/>
              </w:rPr>
            </w:pPr>
            <w:r>
              <w:rPr>
                <w:rFonts w:ascii="Arial" w:cs="Arial" w:eastAsia="Arial" w:hAnsi="Arial"/>
                <w:sz w:val="18"/>
                <w:szCs w:val="18"/>
                <w:color w:val="auto"/>
                <w:w w:val="91"/>
              </w:rPr>
              <w:t>Senior Vice President and Chief Financial Officer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Kevin C. Clothier</w:t>
            </w:r>
          </w:p>
        </w:tc>
        <w:tc>
          <w:tcPr>
            <w:tcW w:w="39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Christy L. Kalaus</w:t>
            </w:r>
          </w:p>
        </w:tc>
        <w:tc>
          <w:tcPr>
            <w:tcW w:w="3940" w:type="dxa"/>
            <w:vAlign w:val="bottom"/>
            <w:gridSpan w:val="5"/>
            <w:vMerge w:val="restart"/>
          </w:tcPr>
          <w:p>
            <w:pPr>
              <w:ind w:left="360"/>
              <w:spacing w:after="0"/>
              <w:rPr>
                <w:sz w:val="20"/>
                <w:szCs w:val="20"/>
                <w:color w:val="auto"/>
              </w:rPr>
            </w:pPr>
            <w:r>
              <w:rPr>
                <w:rFonts w:ascii="Arial" w:cs="Arial" w:eastAsia="Arial" w:hAnsi="Arial"/>
                <w:sz w:val="18"/>
                <w:szCs w:val="18"/>
                <w:color w:val="auto"/>
              </w:rPr>
              <w:t>Vice President and Corporate Controller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Christy L. Kalaus</w:t>
            </w:r>
          </w:p>
        </w:tc>
        <w:tc>
          <w:tcPr>
            <w:tcW w:w="39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DIRECTORS</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1240"/>
          </w:cols>
          <w:pgMar w:left="320" w:top="121" w:right="339" w:bottom="1440" w:gutter="0" w:footer="0" w:header="0"/>
        </w:sectPr>
      </w:pPr>
    </w:p>
    <w:p>
      <w:pPr>
        <w:ind w:left="40"/>
        <w:spacing w:after="0"/>
        <w:rPr>
          <w:sz w:val="20"/>
          <w:szCs w:val="20"/>
          <w:color w:val="auto"/>
        </w:rPr>
      </w:pPr>
      <w:r>
        <w:rPr>
          <w:rFonts w:ascii="Arial" w:cs="Arial" w:eastAsia="Arial" w:hAnsi="Arial"/>
          <w:sz w:val="18"/>
          <w:szCs w:val="18"/>
          <w:color w:val="auto"/>
        </w:rPr>
        <w:t>/s/ John W.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457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John W. Conway, Chairman of the Board</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H. Fearon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457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H. Fearon</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Andrea J. Funk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457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Andrea J. Funk</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J. Hagge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457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J. Hagge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H.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457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H. Miller</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Josef M.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457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Josef M. Müller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 B. Craig Owens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1629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 Craig Owens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 Caesar F. Sweitzer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29210</wp:posOffset>
            </wp:positionV>
            <wp:extent cx="31629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Caesar F. Sweitzer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Jim L.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1629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Jim L. Turner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William S. Urkiel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1629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S. Urkiel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 Dwayne A.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29210</wp:posOffset>
            </wp:positionV>
            <wp:extent cx="31629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Dwayne A. Wilson</w:t>
      </w:r>
    </w:p>
    <w:p>
      <w:pPr>
        <w:spacing w:after="0" w:line="834" w:lineRule="exact"/>
        <w:rPr>
          <w:sz w:val="20"/>
          <w:szCs w:val="20"/>
          <w:color w:val="auto"/>
        </w:rPr>
      </w:pPr>
    </w:p>
    <w:p>
      <w:pPr>
        <w:sectPr>
          <w:pgSz w:w="11900" w:h="16838" w:orient="portrait"/>
          <w:cols w:equalWidth="0" w:num="2">
            <w:col w:w="5540" w:space="720"/>
            <w:col w:w="49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40"/>
          </w:cols>
          <w:pgMar w:left="320" w:top="121" w:right="339" w:bottom="1440" w:gutter="0" w:footer="0" w:header="0"/>
          <w:type w:val="continuous"/>
        </w:sectPr>
      </w:pPr>
    </w:p>
    <w:bookmarkStart w:id="96" w:name="page97"/>
    <w:bookmarkEnd w:id="96"/>
    <w:p>
      <w:pPr>
        <w:jc w:val="center"/>
        <w:ind w:right="-19"/>
        <w:spacing w:after="0"/>
        <w:rPr>
          <w:sz w:val="20"/>
          <w:szCs w:val="20"/>
          <w:color w:val="auto"/>
        </w:rPr>
      </w:pPr>
      <w:r>
        <w:rPr>
          <w:rFonts w:ascii="Arial" w:cs="Arial" w:eastAsia="Arial" w:hAnsi="Arial"/>
          <w:sz w:val="20"/>
          <w:szCs w:val="20"/>
          <w:b w:val="1"/>
          <w:bCs w:val="1"/>
          <w:color w:val="auto"/>
        </w:rPr>
        <w:t>FOURTH AMENDMENT TO AMENDED AND RESTATED CREDIT AGREEMENT</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FOURTH AMENDMENT to Amended and RESTATED CREDIT AGREEMENT, dated as of October 4, 2021 (this “</w:t>
      </w:r>
      <w:r>
        <w:rPr>
          <w:rFonts w:ascii="Arial" w:cs="Arial" w:eastAsia="Arial" w:hAnsi="Arial"/>
          <w:sz w:val="19"/>
          <w:szCs w:val="19"/>
          <w:u w:val="single" w:color="auto"/>
          <w:color w:val="auto"/>
        </w:rPr>
        <w:t>Fourth</w:t>
      </w:r>
    </w:p>
    <w:p>
      <w:pPr>
        <w:spacing w:after="0" w:line="237" w:lineRule="auto"/>
        <w:rPr>
          <w:sz w:val="20"/>
          <w:szCs w:val="20"/>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among CROWN AMERICAS LLC, a Pennsylvania limited liability company (“</w:t>
      </w:r>
      <w:r>
        <w:rPr>
          <w:rFonts w:ascii="Arial" w:cs="Arial" w:eastAsia="Arial" w:hAnsi="Arial"/>
          <w:sz w:val="19"/>
          <w:szCs w:val="19"/>
          <w:u w:val="single" w:color="auto"/>
          <w:color w:val="auto"/>
        </w:rPr>
        <w:t>U.S. Borrower</w:t>
      </w:r>
      <w:r>
        <w:rPr>
          <w:rFonts w:ascii="Arial" w:cs="Arial" w:eastAsia="Arial" w:hAnsi="Arial"/>
          <w:sz w:val="19"/>
          <w:szCs w:val="19"/>
          <w:color w:val="auto"/>
        </w:rPr>
        <w:t>”), CROWN EUROPEAN</w:t>
      </w:r>
    </w:p>
    <w:p>
      <w:pPr>
        <w:spacing w:after="0"/>
        <w:rPr>
          <w:sz w:val="20"/>
          <w:szCs w:val="20"/>
          <w:color w:val="auto"/>
        </w:rPr>
      </w:pPr>
      <w:r>
        <w:rPr>
          <w:rFonts w:ascii="Arial" w:cs="Arial" w:eastAsia="Arial" w:hAnsi="Arial"/>
          <w:sz w:val="18"/>
          <w:szCs w:val="18"/>
          <w:color w:val="auto"/>
        </w:rPr>
        <w:t>HOLDINGS S.A., a corporation organized under the laws of France (“</w:t>
      </w:r>
      <w:r>
        <w:rPr>
          <w:rFonts w:ascii="Arial" w:cs="Arial" w:eastAsia="Arial" w:hAnsi="Arial"/>
          <w:sz w:val="18"/>
          <w:szCs w:val="18"/>
          <w:u w:val="single" w:color="auto"/>
          <w:color w:val="auto"/>
        </w:rPr>
        <w:t>European Borrower</w:t>
      </w:r>
      <w:r>
        <w:rPr>
          <w:rFonts w:ascii="Arial" w:cs="Arial" w:eastAsia="Arial" w:hAnsi="Arial"/>
          <w:sz w:val="18"/>
          <w:szCs w:val="18"/>
          <w:color w:val="auto"/>
        </w:rPr>
        <w:t>”), each of the Subsidiary Borrowers party hereto,</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CROWN METAL PACKAGING CANADA LP, a limited partnership organized under the laws of the Province of Ontario, Canada</w:t>
      </w:r>
    </w:p>
    <w:p>
      <w:pPr>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Borrower</w:t>
      </w:r>
      <w:r>
        <w:rPr>
          <w:rFonts w:ascii="Arial" w:cs="Arial" w:eastAsia="Arial" w:hAnsi="Arial"/>
          <w:sz w:val="19"/>
          <w:szCs w:val="19"/>
          <w:color w:val="auto"/>
        </w:rPr>
        <w:t>”, and together with U.S. Borrower, European Borrower and the Subsidiary Borrowers party hereto, “</w:t>
      </w:r>
      <w:r>
        <w:rPr>
          <w:rFonts w:ascii="Arial" w:cs="Arial" w:eastAsia="Arial" w:hAnsi="Arial"/>
          <w:sz w:val="19"/>
          <w:szCs w:val="19"/>
          <w:u w:val="single" w:color="auto"/>
          <w:color w:val="auto"/>
        </w:rPr>
        <w:t>Borrowers</w:t>
      </w:r>
      <w:r>
        <w:rPr>
          <w:rFonts w:ascii="Arial" w:cs="Arial" w:eastAsia="Arial" w:hAnsi="Arial"/>
          <w:sz w:val="19"/>
          <w:szCs w:val="19"/>
          <w:color w:val="auto"/>
        </w:rPr>
        <w:t>”),</w:t>
      </w:r>
    </w:p>
    <w:p>
      <w:pPr>
        <w:spacing w:after="0" w:line="225" w:lineRule="auto"/>
        <w:rPr>
          <w:sz w:val="20"/>
          <w:szCs w:val="20"/>
          <w:color w:val="auto"/>
        </w:rPr>
      </w:pPr>
      <w:r>
        <w:rPr>
          <w:rFonts w:ascii="Arial" w:cs="Arial" w:eastAsia="Arial" w:hAnsi="Arial"/>
          <w:sz w:val="20"/>
          <w:szCs w:val="20"/>
          <w:color w:val="auto"/>
        </w:rPr>
        <w:t>CROWN CORK &amp; SEAL COMPANY, INC., a Pennsylvania corporation (“</w:t>
      </w:r>
      <w:r>
        <w:rPr>
          <w:rFonts w:ascii="Arial" w:cs="Arial" w:eastAsia="Arial" w:hAnsi="Arial"/>
          <w:sz w:val="20"/>
          <w:szCs w:val="20"/>
          <w:u w:val="single" w:color="auto"/>
          <w:color w:val="auto"/>
        </w:rPr>
        <w:t>CCSC</w:t>
      </w:r>
      <w:r>
        <w:rPr>
          <w:rFonts w:ascii="Arial" w:cs="Arial" w:eastAsia="Arial" w:hAnsi="Arial"/>
          <w:sz w:val="20"/>
          <w:szCs w:val="20"/>
          <w:color w:val="auto"/>
        </w:rPr>
        <w:t>”), CROWN HOLDINGS, INC. 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corporation (“</w:t>
      </w:r>
      <w:r>
        <w:rPr>
          <w:rFonts w:ascii="Arial" w:cs="Arial" w:eastAsia="Arial" w:hAnsi="Arial"/>
          <w:sz w:val="18"/>
          <w:szCs w:val="18"/>
          <w:u w:val="single" w:color="auto"/>
          <w:color w:val="auto"/>
        </w:rPr>
        <w:t>Crown Holdings</w:t>
      </w:r>
      <w:r>
        <w:rPr>
          <w:rFonts w:ascii="Arial" w:cs="Arial" w:eastAsia="Arial" w:hAnsi="Arial"/>
          <w:sz w:val="18"/>
          <w:szCs w:val="18"/>
          <w:color w:val="auto"/>
        </w:rPr>
        <w:t>”), and CROWN INTERNATIONAL HOLDINGS, INC., a Delaware corporation (“</w:t>
      </w:r>
      <w:r>
        <w:rPr>
          <w:rFonts w:ascii="Arial" w:cs="Arial" w:eastAsia="Arial" w:hAnsi="Arial"/>
          <w:sz w:val="18"/>
          <w:szCs w:val="18"/>
          <w:u w:val="single" w:color="auto"/>
          <w:color w:val="auto"/>
        </w:rPr>
        <w:t>Crown International</w:t>
      </w:r>
      <w:r>
        <w:rPr>
          <w:rFonts w:ascii="Arial" w:cs="Arial" w:eastAsia="Arial" w:hAnsi="Arial"/>
          <w:sz w:val="18"/>
          <w:szCs w:val="18"/>
          <w:color w:val="auto"/>
        </w:rPr>
        <w: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together with CCSC and Crown Holdings, “</w:t>
      </w:r>
      <w:r>
        <w:rPr>
          <w:rFonts w:ascii="Arial" w:cs="Arial" w:eastAsia="Arial" w:hAnsi="Arial"/>
          <w:sz w:val="18"/>
          <w:szCs w:val="18"/>
          <w:u w:val="single" w:color="auto"/>
          <w:color w:val="auto"/>
        </w:rPr>
        <w:t>Parent Guarantors</w:t>
      </w:r>
      <w:r>
        <w:rPr>
          <w:rFonts w:ascii="Arial" w:cs="Arial" w:eastAsia="Arial" w:hAnsi="Arial"/>
          <w:sz w:val="18"/>
          <w:szCs w:val="18"/>
          <w:color w:val="auto"/>
        </w:rPr>
        <w:t>”), each other Credit Party party hereto, DEUTSCHE BANK AG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BRANCH, as administrative agent for certain Lenders (as defined in the Amended Credit Agreement (as defined below)) (in such capacity,</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DEUTSCHE BANK AG, LONDON BRANCH, as U.K. administrative agent for certain Lenders (in such</w:t>
      </w:r>
    </w:p>
    <w:p>
      <w:pPr>
        <w:spacing w:after="0" w:line="237" w:lineRule="auto"/>
        <w:rPr>
          <w:sz w:val="20"/>
          <w:szCs w:val="20"/>
          <w:color w:val="auto"/>
        </w:rPr>
      </w:pPr>
      <w:r>
        <w:rPr>
          <w:rFonts w:ascii="Arial" w:cs="Arial" w:eastAsia="Arial" w:hAnsi="Arial"/>
          <w:sz w:val="19"/>
          <w:szCs w:val="19"/>
          <w:color w:val="auto"/>
        </w:rPr>
        <w:t>capacity, “</w:t>
      </w:r>
      <w:r>
        <w:rPr>
          <w:rFonts w:ascii="Arial" w:cs="Arial" w:eastAsia="Arial" w:hAnsi="Arial"/>
          <w:sz w:val="19"/>
          <w:szCs w:val="19"/>
          <w:u w:val="single" w:color="auto"/>
          <w:color w:val="auto"/>
        </w:rPr>
        <w:t>U.K. Administrative Agent</w:t>
      </w:r>
      <w:r>
        <w:rPr>
          <w:rFonts w:ascii="Arial" w:cs="Arial" w:eastAsia="Arial" w:hAnsi="Arial"/>
          <w:sz w:val="19"/>
          <w:szCs w:val="19"/>
          <w:color w:val="auto"/>
        </w:rPr>
        <w:t>”), DEUTSCHE BANK AG, CANADA BRANCH, as Canadian administrative agent for certain</w:t>
      </w:r>
    </w:p>
    <w:p>
      <w:pPr>
        <w:spacing w:after="0"/>
        <w:rPr>
          <w:sz w:val="20"/>
          <w:szCs w:val="20"/>
          <w:color w:val="auto"/>
        </w:rPr>
      </w:pPr>
      <w:r>
        <w:rPr>
          <w:rFonts w:ascii="Arial" w:cs="Arial" w:eastAsia="Arial" w:hAnsi="Arial"/>
          <w:sz w:val="18"/>
          <w:szCs w:val="18"/>
          <w:color w:val="auto"/>
        </w:rPr>
        <w:t>Lenders (in such capacity, “</w:t>
      </w:r>
      <w:r>
        <w:rPr>
          <w:rFonts w:ascii="Arial" w:cs="Arial" w:eastAsia="Arial" w:hAnsi="Arial"/>
          <w:sz w:val="18"/>
          <w:szCs w:val="18"/>
          <w:u w:val="single" w:color="auto"/>
          <w:color w:val="auto"/>
        </w:rPr>
        <w:t>Canadian Administrative Agent</w:t>
      </w:r>
      <w:r>
        <w:rPr>
          <w:rFonts w:ascii="Arial" w:cs="Arial" w:eastAsia="Arial" w:hAnsi="Arial"/>
          <w:sz w:val="18"/>
          <w:szCs w:val="18"/>
          <w:color w:val="auto"/>
        </w:rPr>
        <w:t>”), the undersigned 2019 Additional Term Lenders (as defined below)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undersigned Revolving Lenders (as defined the Amended Credit Agreement (as defined below)), to that certain Amended and Restated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dated as of April 7, 2017, as amended by that certain First Amendment to Amended and Restated Credit Agreement, 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28, 2017, that certain Incremental Amendment No. 1, dated as of January 29, 2018, and that certain Second Amendment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Credit Agreement, First Amendment to the U.S. Guarantee Agreement and First Amendment to U.S. Indemnity,</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Subrogation and Contribution Agreement, dated as of March 23, 2018, and that certain Incremental Amendment No. 2 and Third</w:t>
      </w:r>
    </w:p>
    <w:p>
      <w:pPr>
        <w:spacing w:after="0"/>
        <w:rPr>
          <w:sz w:val="20"/>
          <w:szCs w:val="20"/>
          <w:color w:val="auto"/>
        </w:rPr>
      </w:pPr>
      <w:r>
        <w:rPr>
          <w:rFonts w:ascii="Arial" w:cs="Arial" w:eastAsia="Arial" w:hAnsi="Arial"/>
          <w:sz w:val="16"/>
          <w:szCs w:val="16"/>
          <w:color w:val="auto"/>
        </w:rPr>
        <w:t>Amendment to Amended and Restated Credit Agreement, dated as of December 13, 2019 (as further amended, supplemented, amended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restated or otherwise modified from time to time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All capitalized terms used and</w:t>
      </w:r>
    </w:p>
    <w:p>
      <w:pPr>
        <w:spacing w:after="0" w:line="234" w:lineRule="auto"/>
        <w:rPr>
          <w:sz w:val="20"/>
          <w:szCs w:val="20"/>
          <w:color w:val="auto"/>
        </w:rPr>
      </w:pPr>
      <w:r>
        <w:rPr>
          <w:rFonts w:ascii="Arial" w:cs="Arial" w:eastAsia="Arial" w:hAnsi="Arial"/>
          <w:sz w:val="20"/>
          <w:szCs w:val="20"/>
          <w:color w:val="auto"/>
        </w:rPr>
        <w:t>not otherwise defined herein shall have the same meanings as set forth in the Amended Credit Agreement.</w:t>
      </w:r>
    </w:p>
    <w:p>
      <w:pPr>
        <w:jc w:val="center"/>
        <w:ind w:right="-19"/>
        <w:spacing w:after="0" w:line="226" w:lineRule="auto"/>
        <w:rPr>
          <w:sz w:val="20"/>
          <w:szCs w:val="20"/>
          <w:color w:val="auto"/>
        </w:rPr>
      </w:pPr>
      <w:r>
        <w:rPr>
          <w:rFonts w:ascii="Arial" w:cs="Arial" w:eastAsia="Arial" w:hAnsi="Arial"/>
          <w:sz w:val="20"/>
          <w:szCs w:val="20"/>
          <w:b w:val="1"/>
          <w:bCs w:val="1"/>
          <w:color w:val="auto"/>
        </w:rPr>
        <w:t>RECITALS:</w:t>
      </w:r>
    </w:p>
    <w:p>
      <w:pPr>
        <w:jc w:val="both"/>
        <w:ind w:right="220" w:firstLine="1296"/>
        <w:spacing w:after="0" w:line="24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certain Loans and/or other extensions of credit under the Existing Credit Agreement denominated in Sterling</w:t>
      </w:r>
      <w:r>
        <w:rPr>
          <w:rFonts w:ascii="Arial" w:cs="Arial" w:eastAsia="Arial" w:hAnsi="Arial"/>
          <w:sz w:val="19"/>
          <w:szCs w:val="19"/>
          <w:b w:val="1"/>
          <w:bCs w:val="1"/>
          <w:color w:val="auto"/>
        </w:rPr>
        <w:t xml:space="preserve"> </w:t>
      </w:r>
      <w:r>
        <w:rPr>
          <w:rFonts w:ascii="Arial" w:cs="Arial" w:eastAsia="Arial" w:hAnsi="Arial"/>
          <w:sz w:val="19"/>
          <w:szCs w:val="19"/>
          <w:color w:val="auto"/>
        </w:rPr>
        <w:t>incur or are permitted to incur interest, fees, commissions or other amounts based on the London interbank offered rate as administered by the ICE Benchmark Administration (“</w:t>
      </w:r>
      <w:r>
        <w:rPr>
          <w:rFonts w:ascii="Arial" w:cs="Arial" w:eastAsia="Arial" w:hAnsi="Arial"/>
          <w:sz w:val="19"/>
          <w:szCs w:val="19"/>
          <w:u w:val="single" w:color="auto"/>
          <w:color w:val="auto"/>
        </w:rPr>
        <w:t>LIBOR</w:t>
      </w:r>
      <w:r>
        <w:rPr>
          <w:rFonts w:ascii="Arial" w:cs="Arial" w:eastAsia="Arial" w:hAnsi="Arial"/>
          <w:sz w:val="19"/>
          <w:szCs w:val="19"/>
          <w:color w:val="auto"/>
        </w:rPr>
        <w:t>”) in accordance with the terms of the Existing Credit Agreement;</w:t>
      </w:r>
    </w:p>
    <w:p>
      <w:pPr>
        <w:spacing w:after="0" w:line="200" w:lineRule="exact"/>
        <w:rPr>
          <w:sz w:val="20"/>
          <w:szCs w:val="20"/>
          <w:color w:val="auto"/>
        </w:rPr>
      </w:pPr>
    </w:p>
    <w:p>
      <w:pPr>
        <w:ind w:right="60" w:firstLine="1296"/>
        <w:spacing w:after="0" w:line="258"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Administrative Agent has determined that the circumstances set forth in Section 3.6(a)(i)(x) of the Existing</w:t>
      </w:r>
      <w:r>
        <w:rPr>
          <w:rFonts w:ascii="Arial" w:cs="Arial" w:eastAsia="Arial" w:hAnsi="Arial"/>
          <w:sz w:val="19"/>
          <w:szCs w:val="19"/>
          <w:b w:val="1"/>
          <w:bCs w:val="1"/>
          <w:color w:val="auto"/>
        </w:rPr>
        <w:t xml:space="preserve"> </w:t>
      </w:r>
      <w:r>
        <w:rPr>
          <w:rFonts w:ascii="Arial" w:cs="Arial" w:eastAsia="Arial" w:hAnsi="Arial"/>
          <w:sz w:val="19"/>
          <w:szCs w:val="19"/>
          <w:color w:val="auto"/>
        </w:rPr>
        <w:t>Credit Agreement have not arisen but the supervisor for the administrator of LIBOR has made a public statement identifying a specific date after which LIBOR shall no longer be used for determining interest rates for loans denominated in Sterling; and</w:t>
      </w:r>
    </w:p>
    <w:p>
      <w:pPr>
        <w:spacing w:after="0" w:line="186" w:lineRule="exact"/>
        <w:rPr>
          <w:sz w:val="20"/>
          <w:szCs w:val="20"/>
          <w:color w:val="auto"/>
        </w:rPr>
      </w:pPr>
    </w:p>
    <w:p>
      <w:pPr>
        <w:ind w:right="60" w:firstLine="1296"/>
        <w:spacing w:after="0" w:line="25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Administrative Agent and Crown Holdings hereby desire to establish an alternate rate of interest to LIBOR</w:t>
      </w:r>
      <w:r>
        <w:rPr>
          <w:rFonts w:ascii="Arial" w:cs="Arial" w:eastAsia="Arial" w:hAnsi="Arial"/>
          <w:sz w:val="20"/>
          <w:szCs w:val="20"/>
          <w:b w:val="1"/>
          <w:bCs w:val="1"/>
          <w:color w:val="auto"/>
        </w:rPr>
        <w:t xml:space="preserve"> </w:t>
      </w:r>
      <w:r>
        <w:rPr>
          <w:rFonts w:ascii="Arial" w:cs="Arial" w:eastAsia="Arial" w:hAnsi="Arial"/>
          <w:sz w:val="20"/>
          <w:szCs w:val="20"/>
          <w:color w:val="auto"/>
        </w:rPr>
        <w:t>and give effect to such other related changes as set forth herein;</w:t>
      </w:r>
    </w:p>
    <w:p>
      <w:pPr>
        <w:spacing w:after="0" w:line="192" w:lineRule="exact"/>
        <w:rPr>
          <w:sz w:val="20"/>
          <w:szCs w:val="20"/>
          <w:color w:val="auto"/>
        </w:rPr>
      </w:pPr>
    </w:p>
    <w:p>
      <w:pPr>
        <w:ind w:right="180" w:firstLine="1296"/>
        <w:spacing w:after="0" w:line="239"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covenants contained herein and for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the parties hereto, intending to be legally bound hereby, agree as follows:</w:t>
      </w:r>
    </w:p>
    <w:p>
      <w:pPr>
        <w:spacing w:after="0" w:line="204"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6"/>
          <w:szCs w:val="16"/>
          <w:b w:val="1"/>
          <w:bCs w:val="1"/>
          <w:color w:val="auto"/>
        </w:rPr>
        <w:t>Amendments.</w:t>
      </w:r>
    </w:p>
    <w:p>
      <w:pPr>
        <w:spacing w:after="0" w:line="235" w:lineRule="exact"/>
        <w:rPr>
          <w:sz w:val="20"/>
          <w:szCs w:val="20"/>
          <w:color w:val="auto"/>
        </w:rPr>
      </w:pPr>
    </w:p>
    <w:p>
      <w:pPr>
        <w:ind w:left="660" w:right="420" w:hanging="328"/>
        <w:spacing w:after="0" w:line="246" w:lineRule="auto"/>
        <w:tabs>
          <w:tab w:leader="none" w:pos="649" w:val="left"/>
        </w:tabs>
        <w:numPr>
          <w:ilvl w:val="0"/>
          <w:numId w:val="40"/>
        </w:numPr>
        <w:rPr>
          <w:rFonts w:ascii="Arial" w:cs="Arial" w:eastAsia="Arial" w:hAnsi="Arial"/>
          <w:sz w:val="20"/>
          <w:szCs w:val="20"/>
          <w:color w:val="auto"/>
        </w:rPr>
      </w:pPr>
      <w:r>
        <w:rPr>
          <w:rFonts w:ascii="Arial" w:cs="Arial" w:eastAsia="Arial" w:hAnsi="Arial"/>
          <w:sz w:val="20"/>
          <w:szCs w:val="20"/>
          <w:color w:val="auto"/>
        </w:rPr>
        <w:t>Effective as of the Amendment No 4. Effective Date, and subject to the terms and conditions set forth herein, the Existing Credit Agreement is hereby amended to delete the stricken text</w:t>
      </w:r>
    </w:p>
    <w:p>
      <w:pPr>
        <w:sectPr>
          <w:pgSz w:w="11900" w:h="16838" w:orient="portrait"/>
          <w:cols w:equalWidth="0" w:num="1">
            <w:col w:w="11240"/>
          </w:cols>
          <w:pgMar w:left="320" w:top="1413" w:right="339" w:bottom="1440" w:gutter="0" w:footer="0" w:header="0"/>
        </w:sectPr>
      </w:pPr>
    </w:p>
    <w:bookmarkStart w:id="97" w:name="page98"/>
    <w:bookmarkEnd w:id="97"/>
    <w:p>
      <w:pPr>
        <w:jc w:val="both"/>
        <w:ind w:left="660" w:right="380"/>
        <w:spacing w:after="0" w:line="237" w:lineRule="auto"/>
        <w:rPr>
          <w:sz w:val="20"/>
          <w:szCs w:val="20"/>
          <w:color w:val="auto"/>
        </w:rPr>
      </w:pPr>
      <w:r>
        <w:rPr>
          <w:rFonts w:ascii="Arial" w:cs="Arial" w:eastAsia="Arial" w:hAnsi="Arial"/>
          <w:sz w:val="20"/>
          <w:szCs w:val="20"/>
          <w:color w:val="auto"/>
        </w:rPr>
        <w:t xml:space="preserve">(indicated textually in the same manner as the following example: </w:t>
      </w:r>
      <w:r>
        <w:rPr>
          <w:rFonts w:ascii="Arial" w:cs="Arial" w:eastAsia="Arial" w:hAnsi="Arial"/>
          <w:sz w:val="20"/>
          <w:szCs w:val="20"/>
          <w:color w:val="auto"/>
          <w:strike w:val="1"/>
        </w:rPr>
        <w:t>stricken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u w:val="single" w:color="auto"/>
          <w:color w:val="auto"/>
        </w:rPr>
        <w:t>double-underlined text</w:t>
      </w:r>
      <w:r>
        <w:rPr>
          <w:rFonts w:ascii="Arial" w:cs="Arial" w:eastAsia="Arial" w:hAnsi="Arial"/>
          <w:sz w:val="20"/>
          <w:szCs w:val="20"/>
          <w:color w:val="auto"/>
        </w:rPr>
        <w:t xml:space="preserve">) as set forth in the pages of the Credit Agreement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(the “</w:t>
      </w:r>
      <w:r>
        <w:rPr>
          <w:rFonts w:ascii="Arial" w:cs="Arial" w:eastAsia="Arial" w:hAnsi="Arial"/>
          <w:sz w:val="20"/>
          <w:szCs w:val="20"/>
          <w:u w:val="single" w:color="auto"/>
          <w:color w:val="auto"/>
        </w:rPr>
        <w:t>Amended Credit Agreement</w:t>
      </w:r>
      <w:r>
        <w:rPr>
          <w:rFonts w:ascii="Arial" w:cs="Arial" w:eastAsia="Arial" w:hAnsi="Arial"/>
          <w:sz w:val="20"/>
          <w:szCs w:val="20"/>
          <w:color w:val="auto"/>
        </w:rPr>
        <w:t>”).</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b w:val="1"/>
          <w:bCs w:val="1"/>
          <w:color w:val="auto"/>
        </w:rPr>
        <w:t xml:space="preserve">Section 2. Representations and Warranties. </w:t>
      </w:r>
      <w:r>
        <w:rPr>
          <w:rFonts w:ascii="Arial" w:cs="Arial" w:eastAsia="Arial" w:hAnsi="Arial"/>
          <w:sz w:val="20"/>
          <w:szCs w:val="20"/>
          <w:color w:val="auto"/>
        </w:rPr>
        <w:t>Each Credit Party represents and warrants to the Term Lenders and the Revolving Lenders</w:t>
      </w:r>
      <w:r>
        <w:rPr>
          <w:rFonts w:ascii="Arial" w:cs="Arial" w:eastAsia="Arial" w:hAnsi="Arial"/>
          <w:sz w:val="20"/>
          <w:szCs w:val="20"/>
          <w:b w:val="1"/>
          <w:bCs w:val="1"/>
          <w:color w:val="auto"/>
        </w:rPr>
        <w:t xml:space="preserve"> </w:t>
      </w:r>
      <w:r>
        <w:rPr>
          <w:rFonts w:ascii="Arial" w:cs="Arial" w:eastAsia="Arial" w:hAnsi="Arial"/>
          <w:sz w:val="20"/>
          <w:szCs w:val="20"/>
          <w:color w:val="auto"/>
        </w:rPr>
        <w:t>as of the date hereof that:</w:t>
      </w:r>
    </w:p>
    <w:p>
      <w:pPr>
        <w:spacing w:after="0" w:line="198" w:lineRule="exact"/>
        <w:rPr>
          <w:sz w:val="20"/>
          <w:szCs w:val="20"/>
          <w:color w:val="auto"/>
        </w:rPr>
      </w:pPr>
    </w:p>
    <w:p>
      <w:pPr>
        <w:ind w:left="660" w:hanging="328"/>
        <w:spacing w:after="0" w:line="255" w:lineRule="auto"/>
        <w:tabs>
          <w:tab w:leader="none" w:pos="6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Each Credit Party has the right and power and is duly authorized to execute this Fourth Amendment and to perform and observe the provisions of this Fourth Amendment, (ii) this Fourth Amendment has been duly executed and delivered by each Credit Party and is the legal, valid and binding obligation of such Credit Party, enforceable against such Credit Party in accordance with its terms, subject to applicable bankruptcy, insolvency and similar laws affecting the enforceability of creditors’ rights generally and to general principles of equity, and (iii) the execution, delivery and performance by each Credit Party of this Fourth Amendment, does not and will not (A) contravene the terms of any of such Credit Party’s Organic Documents; (B) conflict with or result in any breach or contravention of, or constitute a default under, or result in the creation or imposition of (or the obligation to create or impose) any Lien (other than Liens permitted under Section 8.2 of the Credit Agreement) pursuant to, (1) any Contractual Obligation to which such Credit Party is a party or affecting such Credit Party or the properties of such Credit Party or any of its Subsidiaries or (2) any order, injunction, writ or decree of any Governmental Authority or any arbitral award to which the such Credit Party or its property is subject; or (C) violate any Requirement of Law, except in each case referred to in clause (B)(1), (B)(2) or (C), to the extent that such contravention or violation could not reasonably be expected to have a Material Adverse Effect.</w:t>
      </w:r>
    </w:p>
    <w:p>
      <w:pPr>
        <w:spacing w:after="0" w:line="195"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Except to the extent the failure to obtain or make the same would not reasonably be expected to have a Material Adverse Effect, no order, consent, approval, license, authorization or validation of, or filing, recording or registration with (except for (x) those that have otherwise been obtained or made on or prior to the Fourth Amendment Effective Date and which remain in full force and effect on the Fourth Amendment Effective Date and (y) filings which are necessary to perfect the security interests created under the Security Documents), or exemption by, any governmental or public body or authority, or any subdivision thereof, is required to be obtained or made by, or on behalf of, any Credit Party to authorize, or is required to be obtained or made by, or on behalf of, any Credit Party in connection with, the execution, delivery and performance of this Fourth Amendment.</w:t>
      </w:r>
    </w:p>
    <w:p>
      <w:pPr>
        <w:spacing w:after="0" w:line="191"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6"/>
          <w:szCs w:val="16"/>
          <w:b w:val="1"/>
          <w:bCs w:val="1"/>
          <w:color w:val="auto"/>
        </w:rPr>
        <w:t>Conditions to Effectiveness to Fourth Amendment</w:t>
      </w:r>
      <w:r>
        <w:rPr>
          <w:rFonts w:ascii="Arial" w:cs="Arial" w:eastAsia="Arial" w:hAnsi="Arial"/>
          <w:sz w:val="16"/>
          <w:szCs w:val="16"/>
          <w:color w:val="auto"/>
        </w:rPr>
        <w:t>.</w:t>
      </w:r>
    </w:p>
    <w:p>
      <w:pPr>
        <w:spacing w:after="0" w:line="235"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The effectiveness of this Fourth Amendment is subject to the receipt by the Administrative Agent of a counterpart of this Fourth Amendment executed by Crown Holdings (the date upon which this Fourth Amendment becomes effective, the “</w:t>
      </w:r>
      <w:r>
        <w:rPr>
          <w:rFonts w:ascii="Arial" w:cs="Arial" w:eastAsia="Arial" w:hAnsi="Arial"/>
          <w:sz w:val="20"/>
          <w:szCs w:val="20"/>
          <w:u w:val="single" w:color="auto"/>
          <w:color w:val="auto"/>
        </w:rPr>
        <w:t>Fourth Amendment Effective Date</w:t>
      </w:r>
      <w:r>
        <w:rPr>
          <w:rFonts w:ascii="Arial" w:cs="Arial" w:eastAsia="Arial" w:hAnsi="Arial"/>
          <w:sz w:val="20"/>
          <w:szCs w:val="20"/>
          <w:color w:val="auto"/>
        </w:rPr>
        <w:t>”). The Administrative Agent’s execution of this Amendment is in accordance with Section 3.6(b)(ii) of the Existing Credit Agreement after having provided the Lenders with at least five (5) Business Days’ prior written notice hereof and not having received, within five (5) Business Days of the date of such notice to the Lenders, a written notice from the Required Lenders of each class stating that such Required Lenders object to this Fourth Amendment.</w:t>
      </w:r>
    </w:p>
    <w:p>
      <w:pPr>
        <w:spacing w:after="0" w:line="205" w:lineRule="exact"/>
        <w:rPr>
          <w:sz w:val="20"/>
          <w:szCs w:val="20"/>
          <w:color w:val="auto"/>
        </w:rPr>
      </w:pPr>
    </w:p>
    <w:p>
      <w:pPr>
        <w:ind w:right="180"/>
        <w:spacing w:after="0" w:line="239" w:lineRule="auto"/>
        <w:rPr>
          <w:sz w:val="20"/>
          <w:szCs w:val="20"/>
          <w:color w:val="auto"/>
        </w:rPr>
      </w:pPr>
      <w:r>
        <w:rPr>
          <w:rFonts w:ascii="Arial" w:cs="Arial" w:eastAsia="Arial" w:hAnsi="Arial"/>
          <w:sz w:val="20"/>
          <w:szCs w:val="20"/>
          <w:b w:val="1"/>
          <w:bCs w:val="1"/>
          <w:color w:val="auto"/>
        </w:rPr>
        <w:t>Section 4. Expenses</w:t>
      </w:r>
      <w:r>
        <w:rPr>
          <w:rFonts w:ascii="Arial" w:cs="Arial" w:eastAsia="Arial" w:hAnsi="Arial"/>
          <w:sz w:val="20"/>
          <w:szCs w:val="20"/>
          <w:color w:val="auto"/>
        </w:rPr>
        <w:t>. The Borrowers agree to reimburse each Agent for its and the Lead Arrangers’ reasonable out-of-pocket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incurred by them in connection with this Fourth Amendment, including the reasonable fees, charges and disbursements of Cahill Gordon &amp; Reindel llp, New York counsel for the Agents.</w:t>
      </w:r>
    </w:p>
    <w:p>
      <w:pPr>
        <w:sectPr>
          <w:pgSz w:w="11900" w:h="16838" w:orient="portrait"/>
          <w:cols w:equalWidth="0" w:num="1">
            <w:col w:w="11220"/>
          </w:cols>
          <w:pgMar w:left="320" w:top="1419" w:right="359" w:bottom="1440" w:gutter="0" w:footer="0" w:header="0"/>
        </w:sectPr>
      </w:pPr>
    </w:p>
    <w:bookmarkStart w:id="98" w:name="page99"/>
    <w:bookmarkEnd w:id="98"/>
    <w:p>
      <w:pPr>
        <w:spacing w:after="0"/>
        <w:rPr>
          <w:sz w:val="20"/>
          <w:szCs w:val="20"/>
          <w:color w:val="auto"/>
        </w:rPr>
      </w:pPr>
      <w:r>
        <w:rPr>
          <w:rFonts w:ascii="Arial" w:cs="Arial" w:eastAsia="Arial" w:hAnsi="Arial"/>
          <w:sz w:val="19"/>
          <w:szCs w:val="19"/>
          <w:b w:val="1"/>
          <w:bCs w:val="1"/>
          <w:color w:val="auto"/>
        </w:rPr>
        <w:t>Section 5. Counterparts</w:t>
      </w:r>
      <w:r>
        <w:rPr>
          <w:rFonts w:ascii="Arial" w:cs="Arial" w:eastAsia="Arial" w:hAnsi="Arial"/>
          <w:sz w:val="19"/>
          <w:szCs w:val="19"/>
          <w:color w:val="auto"/>
        </w:rPr>
        <w:t>. This Fourth Amendment may be executed in any number of counterparts (and by different parties hereto in</w:t>
      </w:r>
      <w:r>
        <w:rPr>
          <w:rFonts w:ascii="Arial" w:cs="Arial" w:eastAsia="Arial" w:hAnsi="Arial"/>
          <w:sz w:val="19"/>
          <w:szCs w:val="19"/>
          <w:b w:val="1"/>
          <w:bCs w:val="1"/>
          <w:color w:val="auto"/>
        </w:rPr>
        <w:t xml:space="preserve"> </w:t>
      </w:r>
      <w:r>
        <w:rPr>
          <w:rFonts w:ascii="Arial" w:cs="Arial" w:eastAsia="Arial" w:hAnsi="Arial"/>
          <w:sz w:val="19"/>
          <w:szCs w:val="19"/>
          <w:color w:val="auto"/>
        </w:rPr>
        <w:t>different counterparts), each of which shall constitute an original but all of which when taken together shall constitute a single contract. Delivery of an executed counterpart of a signature page of this Fourth Amendment by facsimile or other electronic imaging means (e.g. “pdf” or “tif”) shall be effective as delivery of a manually executed counterpart of this Fourth Amendment. The words “execution,” “execute,” “signed,” “signature,” and words of like import in or related to any document to be signed in connection with this Fourth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211" w:lineRule="exact"/>
        <w:rPr>
          <w:sz w:val="20"/>
          <w:szCs w:val="20"/>
          <w:color w:val="auto"/>
        </w:rPr>
      </w:pPr>
    </w:p>
    <w:p>
      <w:pPr>
        <w:ind w:right="100"/>
        <w:spacing w:after="0" w:line="235" w:lineRule="auto"/>
        <w:rPr>
          <w:sz w:val="20"/>
          <w:szCs w:val="20"/>
          <w:color w:val="auto"/>
        </w:rPr>
      </w:pPr>
      <w:r>
        <w:rPr>
          <w:rFonts w:ascii="Arial" w:cs="Arial" w:eastAsia="Arial" w:hAnsi="Arial"/>
          <w:sz w:val="20"/>
          <w:szCs w:val="20"/>
          <w:b w:val="1"/>
          <w:bCs w:val="1"/>
          <w:color w:val="auto"/>
        </w:rPr>
        <w:t>Section 6. Applicable Law</w:t>
      </w:r>
      <w:r>
        <w:rPr>
          <w:rFonts w:ascii="Arial" w:cs="Arial" w:eastAsia="Arial" w:hAnsi="Arial"/>
          <w:sz w:val="20"/>
          <w:szCs w:val="20"/>
          <w:color w:val="auto"/>
        </w:rPr>
        <w:t>. The validity, interpretation and enforcement of this Fourth Amendment and any dispute arising out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relationship between the parties hereto, whether in contract, tort, equity or otherwise, shall be governed by the internal laws of the State of New York but excluding any principles of conflicts of law or other rule of law that would cause the application of the law of any jurisdiction other than the laws of the State of New York.</w:t>
      </w:r>
    </w:p>
    <w:p>
      <w:pPr>
        <w:spacing w:after="0" w:line="206"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b w:val="1"/>
          <w:bCs w:val="1"/>
          <w:color w:val="auto"/>
        </w:rPr>
        <w:t>Section 7. Headings</w:t>
      </w:r>
      <w:r>
        <w:rPr>
          <w:rFonts w:ascii="Arial" w:cs="Arial" w:eastAsia="Arial" w:hAnsi="Arial"/>
          <w:sz w:val="20"/>
          <w:szCs w:val="20"/>
          <w:color w:val="auto"/>
        </w:rPr>
        <w:t>. The headings of this Fourth Amendment are for purposes of reference only and shall not limit or otherwise affect the</w:t>
      </w:r>
      <w:r>
        <w:rPr>
          <w:rFonts w:ascii="Arial" w:cs="Arial" w:eastAsia="Arial" w:hAnsi="Arial"/>
          <w:sz w:val="20"/>
          <w:szCs w:val="20"/>
          <w:b w:val="1"/>
          <w:bCs w:val="1"/>
          <w:color w:val="auto"/>
        </w:rPr>
        <w:t xml:space="preserve"> </w:t>
      </w:r>
      <w:r>
        <w:rPr>
          <w:rFonts w:ascii="Arial" w:cs="Arial" w:eastAsia="Arial" w:hAnsi="Arial"/>
          <w:sz w:val="20"/>
          <w:szCs w:val="20"/>
          <w:color w:val="auto"/>
        </w:rPr>
        <w:t>meaning hereof.</w:t>
      </w:r>
    </w:p>
    <w:p>
      <w:pPr>
        <w:spacing w:after="0" w:line="192"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b w:val="1"/>
          <w:bCs w:val="1"/>
          <w:color w:val="auto"/>
        </w:rPr>
        <w:t>Section 8. Effect of Fourth Amendment</w:t>
      </w:r>
      <w:r>
        <w:rPr>
          <w:rFonts w:ascii="Arial" w:cs="Arial" w:eastAsia="Arial" w:hAnsi="Arial"/>
          <w:sz w:val="19"/>
          <w:szCs w:val="19"/>
          <w:color w:val="auto"/>
        </w:rPr>
        <w:t>. Except as expressly set forth herein, this Fourth Amendment shall not alter, modify, amend or in</w:t>
      </w:r>
      <w:r>
        <w:rPr>
          <w:rFonts w:ascii="Arial" w:cs="Arial" w:eastAsia="Arial" w:hAnsi="Arial"/>
          <w:sz w:val="19"/>
          <w:szCs w:val="19"/>
          <w:b w:val="1"/>
          <w:bCs w:val="1"/>
          <w:color w:val="auto"/>
        </w:rPr>
        <w:t xml:space="preserve"> </w:t>
      </w:r>
      <w:r>
        <w:rPr>
          <w:rFonts w:ascii="Arial" w:cs="Arial" w:eastAsia="Arial" w:hAnsi="Arial"/>
          <w:sz w:val="19"/>
          <w:szCs w:val="19"/>
          <w:color w:val="auto"/>
        </w:rPr>
        <w:t>any way affect any of the terms, conditions, obligations, covenants or agreements contained in the Existing Credit Agreement or any other provision of the Existing Credit Agreement or any other Loan Document, all of which are ratified and affirmed in all respects and shall continue in full force and effect. As of the Fourth Amendment Effective Date, each reference in the Amended Credit Agreement to “</w:t>
      </w:r>
      <w:r>
        <w:rPr>
          <w:rFonts w:ascii="Arial" w:cs="Arial" w:eastAsia="Arial" w:hAnsi="Arial"/>
          <w:sz w:val="19"/>
          <w:szCs w:val="19"/>
          <w:i w:val="1"/>
          <w:iCs w:val="1"/>
          <w:color w:val="auto"/>
        </w:rPr>
        <w:t>this</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w:t>
      </w:r>
      <w:r>
        <w:rPr>
          <w:rFonts w:ascii="Arial" w:cs="Arial" w:eastAsia="Arial" w:hAnsi="Arial"/>
          <w:sz w:val="19"/>
          <w:szCs w:val="19"/>
          <w:color w:val="auto"/>
        </w:rPr>
        <w:t>,” “</w:t>
      </w:r>
      <w:r>
        <w:rPr>
          <w:rFonts w:ascii="Arial" w:cs="Arial" w:eastAsia="Arial" w:hAnsi="Arial"/>
          <w:sz w:val="19"/>
          <w:szCs w:val="19"/>
          <w:i w:val="1"/>
          <w:iCs w:val="1"/>
          <w:color w:val="auto"/>
        </w:rPr>
        <w:t>hereunder</w:t>
      </w:r>
      <w:r>
        <w:rPr>
          <w:rFonts w:ascii="Arial" w:cs="Arial" w:eastAsia="Arial" w:hAnsi="Arial"/>
          <w:sz w:val="19"/>
          <w:szCs w:val="19"/>
          <w:color w:val="auto"/>
        </w:rPr>
        <w:t>,” “</w:t>
      </w:r>
      <w:r>
        <w:rPr>
          <w:rFonts w:ascii="Arial" w:cs="Arial" w:eastAsia="Arial" w:hAnsi="Arial"/>
          <w:sz w:val="19"/>
          <w:szCs w:val="19"/>
          <w:i w:val="1"/>
          <w:iCs w:val="1"/>
          <w:color w:val="auto"/>
        </w:rPr>
        <w:t>hereof</w:t>
      </w:r>
      <w:r>
        <w:rPr>
          <w:rFonts w:ascii="Arial" w:cs="Arial" w:eastAsia="Arial" w:hAnsi="Arial"/>
          <w:sz w:val="19"/>
          <w:szCs w:val="19"/>
          <w:color w:val="auto"/>
        </w:rPr>
        <w:t>,” “</w:t>
      </w:r>
      <w:r>
        <w:rPr>
          <w:rFonts w:ascii="Arial" w:cs="Arial" w:eastAsia="Arial" w:hAnsi="Arial"/>
          <w:sz w:val="19"/>
          <w:szCs w:val="19"/>
          <w:i w:val="1"/>
          <w:iCs w:val="1"/>
          <w:color w:val="auto"/>
        </w:rPr>
        <w:t>herein</w:t>
      </w:r>
      <w:r>
        <w:rPr>
          <w:rFonts w:ascii="Arial" w:cs="Arial" w:eastAsia="Arial" w:hAnsi="Arial"/>
          <w:sz w:val="19"/>
          <w:szCs w:val="19"/>
          <w:color w:val="auto"/>
        </w:rPr>
        <w:t>,” or words of like import, and each reference in the other Loan Documents to the “</w:t>
      </w:r>
      <w:r>
        <w:rPr>
          <w:rFonts w:ascii="Arial" w:cs="Arial" w:eastAsia="Arial" w:hAnsi="Arial"/>
          <w:sz w:val="19"/>
          <w:szCs w:val="19"/>
          <w:i w:val="1"/>
          <w:iCs w:val="1"/>
          <w:color w:val="auto"/>
        </w:rPr>
        <w:t>Credit Agreement</w:t>
      </w:r>
      <w:r>
        <w:rPr>
          <w:rFonts w:ascii="Arial" w:cs="Arial" w:eastAsia="Arial" w:hAnsi="Arial"/>
          <w:sz w:val="19"/>
          <w:szCs w:val="19"/>
          <w:color w:val="auto"/>
        </w:rPr>
        <w:t>” (including, without limitation, by means of words like “</w:t>
      </w:r>
      <w:r>
        <w:rPr>
          <w:rFonts w:ascii="Arial" w:cs="Arial" w:eastAsia="Arial" w:hAnsi="Arial"/>
          <w:sz w:val="19"/>
          <w:szCs w:val="19"/>
          <w:i w:val="1"/>
          <w:iCs w:val="1"/>
          <w:color w:val="auto"/>
        </w:rPr>
        <w:t>thereunder</w:t>
      </w:r>
      <w:r>
        <w:rPr>
          <w:rFonts w:ascii="Arial" w:cs="Arial" w:eastAsia="Arial" w:hAnsi="Arial"/>
          <w:sz w:val="19"/>
          <w:szCs w:val="19"/>
          <w:color w:val="auto"/>
        </w:rPr>
        <w:t>,” “</w:t>
      </w:r>
      <w:r>
        <w:rPr>
          <w:rFonts w:ascii="Arial" w:cs="Arial" w:eastAsia="Arial" w:hAnsi="Arial"/>
          <w:sz w:val="19"/>
          <w:szCs w:val="19"/>
          <w:i w:val="1"/>
          <w:iCs w:val="1"/>
          <w:color w:val="auto"/>
        </w:rPr>
        <w:t>thereof</w:t>
      </w:r>
      <w:r>
        <w:rPr>
          <w:rFonts w:ascii="Arial" w:cs="Arial" w:eastAsia="Arial" w:hAnsi="Arial"/>
          <w:sz w:val="19"/>
          <w:szCs w:val="19"/>
          <w:color w:val="auto"/>
        </w:rPr>
        <w:t>” and words of like import), shall mean and be a</w:t>
      </w:r>
      <w:r>
        <w:rPr>
          <w:rFonts w:ascii="Arial" w:cs="Arial" w:eastAsia="Arial" w:hAnsi="Arial"/>
          <w:sz w:val="19"/>
          <w:szCs w:val="19"/>
          <w:i w:val="1"/>
          <w:iCs w:val="1"/>
          <w:color w:val="auto"/>
        </w:rPr>
        <w:t xml:space="preserve"> </w:t>
      </w:r>
      <w:r>
        <w:rPr>
          <w:rFonts w:ascii="Arial" w:cs="Arial" w:eastAsia="Arial" w:hAnsi="Arial"/>
          <w:sz w:val="19"/>
          <w:szCs w:val="19"/>
          <w:color w:val="auto"/>
        </w:rPr>
        <w:t>reference to the Amended Credit Agreement, and this Fourth Amendment and the Amended Credit Agreement shall be read together and construed as a single instrument. This Fourth Amendment shall constitute a Loan Document. This Fourth Amendment shall not constitute a novation of the Existing Credit Agreement or any other Loan Document.</w:t>
      </w:r>
    </w:p>
    <w:p>
      <w:pPr>
        <w:spacing w:after="0" w:line="204" w:lineRule="exact"/>
        <w:rPr>
          <w:sz w:val="20"/>
          <w:szCs w:val="20"/>
          <w:color w:val="auto"/>
        </w:rPr>
      </w:pPr>
    </w:p>
    <w:p>
      <w:pPr>
        <w:ind w:right="140"/>
        <w:spacing w:after="0" w:line="233" w:lineRule="auto"/>
        <w:rPr>
          <w:sz w:val="20"/>
          <w:szCs w:val="20"/>
          <w:color w:val="auto"/>
        </w:rPr>
      </w:pPr>
      <w:r>
        <w:rPr>
          <w:rFonts w:ascii="Arial" w:cs="Arial" w:eastAsia="Arial" w:hAnsi="Arial"/>
          <w:sz w:val="20"/>
          <w:szCs w:val="20"/>
          <w:b w:val="1"/>
          <w:bCs w:val="1"/>
          <w:color w:val="auto"/>
        </w:rPr>
        <w:t>Section 9. Acknowledgement and Affirmation</w:t>
      </w:r>
      <w:r>
        <w:rPr>
          <w:rFonts w:ascii="Arial" w:cs="Arial" w:eastAsia="Arial" w:hAnsi="Arial"/>
          <w:sz w:val="20"/>
          <w:szCs w:val="20"/>
          <w:color w:val="auto"/>
        </w:rPr>
        <w:t>. Each of the Borrowers and each Guarantor hereby (i) expressly acknowledges the terms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Amended Credit Agreement, (ii) ratifies and affirms after giving effect to this Fourth Amendment its obligations under the Loan Documents (including guarantees and security agreements) executed by such Borrower and/or such Guarantor and (iii) after giving effect to this Fourth Amendment, acknowledges, renews and extends its continued liability under all such Loan Documents and agrees such Loan Documents remain in full force and effect.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1220"/>
          </w:cols>
          <w:pgMar w:left="320" w:top="1413" w:right="35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Fourth Amendment to be duly executed as of the date first</w:t>
      </w:r>
    </w:p>
    <w:p>
      <w:pPr>
        <w:spacing w:after="0" w:line="233" w:lineRule="auto"/>
        <w:rPr>
          <w:sz w:val="20"/>
          <w:szCs w:val="20"/>
          <w:color w:val="auto"/>
        </w:rPr>
      </w:pPr>
      <w:r>
        <w:rPr>
          <w:rFonts w:ascii="Arial" w:cs="Arial" w:eastAsia="Arial" w:hAnsi="Arial"/>
          <w:sz w:val="20"/>
          <w:szCs w:val="20"/>
          <w:color w:val="auto"/>
        </w:rPr>
        <w:t>above written.</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CROWN HOLDINGS, INC.</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C. Clothier</w:t>
      </w:r>
    </w:p>
    <w:p>
      <w:pPr>
        <w:ind w:left="3900"/>
        <w:spacing w:after="0" w:line="227" w:lineRule="auto"/>
        <w:rPr>
          <w:sz w:val="20"/>
          <w:szCs w:val="20"/>
          <w:color w:val="auto"/>
        </w:rPr>
      </w:pPr>
      <w:r>
        <w:rPr>
          <w:rFonts w:ascii="Arial" w:cs="Arial" w:eastAsia="Arial" w:hAnsi="Arial"/>
          <w:sz w:val="20"/>
          <w:szCs w:val="20"/>
          <w:color w:val="auto"/>
        </w:rPr>
        <w:t>Name: Kevin C. Clothier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Vice President and Treasurer</w:t>
      </w:r>
    </w:p>
    <w:p>
      <w:pPr>
        <w:sectPr>
          <w:pgSz w:w="11900" w:h="16838" w:orient="portrait"/>
          <w:cols w:equalWidth="0" w:num="1">
            <w:col w:w="11040"/>
          </w:cols>
          <w:pgMar w:left="320" w:top="1413" w:right="539" w:bottom="1440" w:gutter="0" w:footer="0" w:header="0"/>
        </w:sectPr>
      </w:pPr>
    </w:p>
    <w:bookmarkStart w:id="100" w:name="page101"/>
    <w:bookmarkEnd w:id="100"/>
    <w:p>
      <w:pPr>
        <w:ind w:left="2780"/>
        <w:spacing w:after="0"/>
        <w:rPr>
          <w:sz w:val="20"/>
          <w:szCs w:val="20"/>
          <w:color w:val="auto"/>
        </w:rPr>
      </w:pPr>
      <w:r>
        <w:rPr>
          <w:rFonts w:ascii="Arial" w:cs="Arial" w:eastAsia="Arial" w:hAnsi="Arial"/>
          <w:sz w:val="19"/>
          <w:szCs w:val="19"/>
          <w:color w:val="auto"/>
        </w:rPr>
        <w:t>DEUTSCHE BANK AG NEW YORK BRANCH, as Administrative Agent</w:t>
      </w:r>
    </w:p>
    <w:p>
      <w:pPr>
        <w:spacing w:after="0" w:line="24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Philip Tancorra</w:t>
      </w:r>
    </w:p>
    <w:p>
      <w:pPr>
        <w:ind w:left="2780"/>
        <w:spacing w:after="0" w:line="227" w:lineRule="auto"/>
        <w:rPr>
          <w:sz w:val="20"/>
          <w:szCs w:val="20"/>
          <w:color w:val="auto"/>
        </w:rPr>
      </w:pPr>
      <w:r>
        <w:rPr>
          <w:rFonts w:ascii="Arial" w:cs="Arial" w:eastAsia="Arial" w:hAnsi="Arial"/>
          <w:sz w:val="20"/>
          <w:szCs w:val="20"/>
          <w:color w:val="auto"/>
        </w:rPr>
        <w:t>Name: Philip Tancorra</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Suzan Onal</w:t>
      </w:r>
    </w:p>
    <w:p>
      <w:pPr>
        <w:ind w:left="2780"/>
        <w:spacing w:after="0" w:line="227" w:lineRule="auto"/>
        <w:rPr>
          <w:sz w:val="20"/>
          <w:szCs w:val="20"/>
          <w:color w:val="auto"/>
        </w:rPr>
      </w:pPr>
      <w:r>
        <w:rPr>
          <w:rFonts w:ascii="Arial" w:cs="Arial" w:eastAsia="Arial" w:hAnsi="Arial"/>
          <w:sz w:val="20"/>
          <w:szCs w:val="20"/>
          <w:color w:val="auto"/>
        </w:rPr>
        <w:t>Name: Suzan Onal</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419" w:right="1440" w:bottom="1440" w:gutter="0" w:footer="0" w:header="0"/>
        </w:sectPr>
      </w:pPr>
    </w:p>
    <w:bookmarkStart w:id="101" w:name="page102"/>
    <w:bookmarkEnd w:id="101"/>
    <w:p>
      <w:pPr>
        <w:ind w:left="2780"/>
        <w:spacing w:after="0"/>
        <w:tabs>
          <w:tab w:leader="none" w:pos="7480" w:val="left"/>
        </w:tabs>
        <w:rPr>
          <w:sz w:val="20"/>
          <w:szCs w:val="20"/>
          <w:color w:val="auto"/>
        </w:rPr>
      </w:pPr>
      <w:r>
        <w:rPr>
          <w:rFonts w:ascii="Arial" w:cs="Arial" w:eastAsia="Arial" w:hAnsi="Arial"/>
          <w:sz w:val="20"/>
          <w:szCs w:val="20"/>
          <w:color w:val="auto"/>
        </w:rPr>
        <w:t>DEUTSCHE BANK AG, LONDON BRANCH, as U.K.</w:t>
      </w:r>
      <w:r>
        <w:rPr>
          <w:sz w:val="20"/>
          <w:szCs w:val="20"/>
          <w:color w:val="auto"/>
        </w:rPr>
        <w:tab/>
      </w:r>
      <w:r>
        <w:rPr>
          <w:rFonts w:ascii="Arial" w:cs="Arial" w:eastAsia="Arial" w:hAnsi="Arial"/>
          <w:sz w:val="18"/>
          <w:szCs w:val="18"/>
          <w:color w:val="auto"/>
        </w:rPr>
        <w:t>Administrative Agent</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Vikki Adams</w:t>
      </w:r>
    </w:p>
    <w:p>
      <w:pPr>
        <w:ind w:left="2780"/>
        <w:spacing w:after="0" w:line="227" w:lineRule="auto"/>
        <w:rPr>
          <w:sz w:val="20"/>
          <w:szCs w:val="20"/>
          <w:color w:val="auto"/>
        </w:rPr>
      </w:pPr>
      <w:r>
        <w:rPr>
          <w:rFonts w:ascii="Arial" w:cs="Arial" w:eastAsia="Arial" w:hAnsi="Arial"/>
          <w:sz w:val="20"/>
          <w:szCs w:val="20"/>
          <w:color w:val="auto"/>
        </w:rPr>
        <w:t>Name: Vikki Adams</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Craig Hoepfl</w:t>
      </w:r>
    </w:p>
    <w:p>
      <w:pPr>
        <w:ind w:left="2780"/>
        <w:spacing w:after="0" w:line="227" w:lineRule="auto"/>
        <w:rPr>
          <w:sz w:val="20"/>
          <w:szCs w:val="20"/>
          <w:color w:val="auto"/>
        </w:rPr>
      </w:pPr>
      <w:r>
        <w:rPr>
          <w:rFonts w:ascii="Arial" w:cs="Arial" w:eastAsia="Arial" w:hAnsi="Arial"/>
          <w:sz w:val="20"/>
          <w:szCs w:val="20"/>
          <w:color w:val="auto"/>
        </w:rPr>
        <w:t>Name: Craig Hoepfl</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220"/>
          </w:cols>
          <w:pgMar w:left="1440" w:top="1419" w:right="1239" w:bottom="1440" w:gutter="0" w:footer="0" w:header="0"/>
        </w:sectPr>
      </w:pPr>
    </w:p>
    <w:bookmarkStart w:id="102" w:name="page103"/>
    <w:bookmarkEnd w:id="102"/>
    <w:p>
      <w:pPr>
        <w:ind w:left="2780"/>
        <w:spacing w:after="0"/>
        <w:rPr>
          <w:sz w:val="20"/>
          <w:szCs w:val="20"/>
          <w:color w:val="auto"/>
        </w:rPr>
      </w:pPr>
      <w:r>
        <w:rPr>
          <w:rFonts w:ascii="Arial" w:cs="Arial" w:eastAsia="Arial" w:hAnsi="Arial"/>
          <w:sz w:val="18"/>
          <w:szCs w:val="18"/>
          <w:color w:val="auto"/>
        </w:rPr>
        <w:t>DEUTSCHE BANK AG, CANADA BRANCH, as Canadian Administrative Agent</w:t>
      </w:r>
    </w:p>
    <w:p>
      <w:pPr>
        <w:spacing w:after="0" w:line="25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David Gynn</w:t>
      </w:r>
    </w:p>
    <w:p>
      <w:pPr>
        <w:ind w:left="2780"/>
        <w:spacing w:after="0" w:line="227" w:lineRule="auto"/>
        <w:rPr>
          <w:sz w:val="20"/>
          <w:szCs w:val="20"/>
          <w:color w:val="auto"/>
        </w:rPr>
      </w:pPr>
      <w:r>
        <w:rPr>
          <w:rFonts w:ascii="Arial" w:cs="Arial" w:eastAsia="Arial" w:hAnsi="Arial"/>
          <w:sz w:val="20"/>
          <w:szCs w:val="20"/>
          <w:color w:val="auto"/>
        </w:rPr>
        <w:t>Name: David Gynn</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Edward Salibian</w:t>
      </w:r>
    </w:p>
    <w:p>
      <w:pPr>
        <w:ind w:left="2780"/>
        <w:spacing w:after="0" w:line="227" w:lineRule="auto"/>
        <w:rPr>
          <w:sz w:val="20"/>
          <w:szCs w:val="20"/>
          <w:color w:val="auto"/>
        </w:rPr>
      </w:pPr>
      <w:r>
        <w:rPr>
          <w:rFonts w:ascii="Arial" w:cs="Arial" w:eastAsia="Arial" w:hAnsi="Arial"/>
          <w:sz w:val="20"/>
          <w:szCs w:val="20"/>
          <w:color w:val="auto"/>
        </w:rPr>
        <w:t>Name: Edward Salibian</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Assistant Vice President</w:t>
      </w:r>
    </w:p>
    <w:p>
      <w:pPr>
        <w:sectPr>
          <w:pgSz w:w="11900" w:h="16838" w:orient="portrait"/>
          <w:cols w:equalWidth="0" w:num="1">
            <w:col w:w="9400"/>
          </w:cols>
          <w:pgMar w:left="1440" w:top="1419" w:right="105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Amended Credit Agreement</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Attached]</w:t>
      </w:r>
    </w:p>
    <w:p>
      <w:pPr>
        <w:sectPr>
          <w:pgSz w:w="11900" w:h="16838" w:orient="portrait"/>
          <w:cols w:equalWidth="0" w:num="1">
            <w:col w:w="9019"/>
          </w:cols>
          <w:pgMar w:left="1440" w:top="1413" w:right="1440"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A</w:t>
      </w:r>
    </w:p>
    <w:p>
      <w:pPr>
        <w:ind w:left="3640"/>
        <w:spacing w:after="0" w:line="233" w:lineRule="auto"/>
        <w:rPr>
          <w:sz w:val="20"/>
          <w:szCs w:val="20"/>
          <w:color w:val="auto"/>
        </w:rPr>
      </w:pPr>
      <w:r>
        <w:rPr>
          <w:rFonts w:ascii="Arial" w:cs="Arial" w:eastAsia="Arial" w:hAnsi="Arial"/>
          <w:sz w:val="20"/>
          <w:szCs w:val="20"/>
          <w:color w:val="auto"/>
        </w:rPr>
        <w:t>_______________________</w:t>
      </w:r>
    </w:p>
    <w:p>
      <w:pPr>
        <w:jc w:val="center"/>
        <w:ind w:right="840"/>
        <w:spacing w:after="0" w:line="226" w:lineRule="auto"/>
        <w:rPr>
          <w:sz w:val="20"/>
          <w:szCs w:val="20"/>
          <w:color w:val="auto"/>
        </w:rPr>
      </w:pPr>
      <w:r>
        <w:rPr>
          <w:rFonts w:ascii="Arial" w:cs="Arial" w:eastAsia="Arial" w:hAnsi="Arial"/>
          <w:sz w:val="20"/>
          <w:szCs w:val="20"/>
          <w:b w:val="1"/>
          <w:bCs w:val="1"/>
          <w:color w:val="auto"/>
        </w:rPr>
        <w:t>$600,000,000 Dollar Revolving Facility</w:t>
      </w:r>
    </w:p>
    <w:p>
      <w:pPr>
        <w:jc w:val="center"/>
        <w:ind w:right="840"/>
        <w:spacing w:after="0" w:line="225" w:lineRule="auto"/>
        <w:rPr>
          <w:sz w:val="20"/>
          <w:szCs w:val="20"/>
          <w:color w:val="auto"/>
        </w:rPr>
      </w:pPr>
      <w:r>
        <w:rPr>
          <w:rFonts w:ascii="Arial" w:cs="Arial" w:eastAsia="Arial" w:hAnsi="Arial"/>
          <w:sz w:val="20"/>
          <w:szCs w:val="20"/>
          <w:b w:val="1"/>
          <w:bCs w:val="1"/>
          <w:color w:val="auto"/>
        </w:rPr>
        <w:t>$1,000,000,000 Multicurrency Revolving Facility</w:t>
      </w:r>
    </w:p>
    <w:p>
      <w:pPr>
        <w:jc w:val="center"/>
        <w:ind w:right="840"/>
        <w:spacing w:after="0" w:line="226" w:lineRule="auto"/>
        <w:rPr>
          <w:sz w:val="20"/>
          <w:szCs w:val="20"/>
          <w:color w:val="auto"/>
        </w:rPr>
      </w:pPr>
      <w:r>
        <w:rPr>
          <w:rFonts w:ascii="Arial" w:cs="Arial" w:eastAsia="Arial" w:hAnsi="Arial"/>
          <w:sz w:val="20"/>
          <w:szCs w:val="20"/>
          <w:b w:val="1"/>
          <w:bCs w:val="1"/>
          <w:color w:val="auto"/>
        </w:rPr>
        <w:t>$50,000,000 Canadian Revolving Facility</w:t>
      </w:r>
    </w:p>
    <w:p>
      <w:pPr>
        <w:jc w:val="center"/>
        <w:ind w:right="840"/>
        <w:spacing w:after="0" w:line="225" w:lineRule="auto"/>
        <w:rPr>
          <w:sz w:val="20"/>
          <w:szCs w:val="20"/>
          <w:color w:val="auto"/>
        </w:rPr>
      </w:pPr>
      <w:r>
        <w:rPr>
          <w:rFonts w:ascii="Arial" w:cs="Arial" w:eastAsia="Arial" w:hAnsi="Arial"/>
          <w:sz w:val="20"/>
          <w:szCs w:val="20"/>
          <w:b w:val="1"/>
          <w:bCs w:val="1"/>
          <w:color w:val="auto"/>
        </w:rPr>
        <w:t>$1,100,000,000 Term Loan A Facility</w:t>
      </w:r>
    </w:p>
    <w:p>
      <w:pPr>
        <w:jc w:val="center"/>
        <w:ind w:right="840"/>
        <w:spacing w:after="0" w:line="225" w:lineRule="auto"/>
        <w:rPr>
          <w:sz w:val="20"/>
          <w:szCs w:val="20"/>
          <w:color w:val="auto"/>
        </w:rPr>
      </w:pPr>
      <w:r>
        <w:rPr>
          <w:rFonts w:ascii="Arial" w:cs="Arial" w:eastAsia="Arial" w:hAnsi="Arial"/>
          <w:sz w:val="20"/>
          <w:szCs w:val="20"/>
          <w:b w:val="1"/>
          <w:bCs w:val="1"/>
          <w:color w:val="auto"/>
        </w:rPr>
        <w:t>€450,000,000 Term Euro Facility</w:t>
      </w:r>
    </w:p>
    <w:p>
      <w:pPr>
        <w:spacing w:after="0" w:line="1"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_________________________</w:t>
      </w:r>
    </w:p>
    <w:p>
      <w:pPr>
        <w:spacing w:after="0" w:line="207"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AMENDED AND RESTATED CREDIT AGREEMENT</w:t>
      </w:r>
      <w:r>
        <w:rPr>
          <w:rFonts w:ascii="Arial" w:cs="Arial" w:eastAsia="Arial" w:hAnsi="Arial"/>
          <w:sz w:val="20"/>
          <w:szCs w:val="20"/>
          <w:color w:val="auto"/>
        </w:rPr>
        <w:t>,</w:t>
      </w:r>
    </w:p>
    <w:p>
      <w:pPr>
        <w:jc w:val="center"/>
        <w:ind w:right="840"/>
        <w:spacing w:after="0" w:line="233" w:lineRule="auto"/>
        <w:rPr>
          <w:sz w:val="20"/>
          <w:szCs w:val="20"/>
          <w:color w:val="auto"/>
        </w:rPr>
      </w:pPr>
      <w:r>
        <w:rPr>
          <w:rFonts w:ascii="Arial" w:cs="Arial" w:eastAsia="Arial" w:hAnsi="Arial"/>
          <w:sz w:val="20"/>
          <w:szCs w:val="20"/>
          <w:b w:val="1"/>
          <w:bCs w:val="1"/>
          <w:color w:val="auto"/>
        </w:rPr>
        <w:t>Dated April 7, 2017,</w:t>
      </w:r>
    </w:p>
    <w:p>
      <w:pPr>
        <w:jc w:val="center"/>
        <w:ind w:right="840"/>
        <w:spacing w:after="0" w:line="226" w:lineRule="auto"/>
        <w:rPr>
          <w:sz w:val="20"/>
          <w:szCs w:val="20"/>
          <w:color w:val="auto"/>
        </w:rPr>
      </w:pPr>
      <w:r>
        <w:rPr>
          <w:rFonts w:ascii="Arial" w:cs="Arial" w:eastAsia="Arial" w:hAnsi="Arial"/>
          <w:sz w:val="20"/>
          <w:szCs w:val="20"/>
          <w:b w:val="1"/>
          <w:bCs w:val="1"/>
          <w:color w:val="auto"/>
        </w:rPr>
        <w:t>as amended by the First Amendment, dated as of December 28, 2017,</w:t>
      </w:r>
    </w:p>
    <w:p>
      <w:pPr>
        <w:jc w:val="center"/>
        <w:ind w:right="840"/>
        <w:spacing w:after="0" w:line="225" w:lineRule="auto"/>
        <w:rPr>
          <w:sz w:val="20"/>
          <w:szCs w:val="20"/>
          <w:color w:val="auto"/>
        </w:rPr>
      </w:pPr>
      <w:r>
        <w:rPr>
          <w:rFonts w:ascii="Arial" w:cs="Arial" w:eastAsia="Arial" w:hAnsi="Arial"/>
          <w:sz w:val="20"/>
          <w:szCs w:val="20"/>
          <w:b w:val="1"/>
          <w:bCs w:val="1"/>
          <w:color w:val="auto"/>
        </w:rPr>
        <w:t>as further amended by Incremental Amendment No. 1, dated as of January 29, 2018,</w:t>
      </w:r>
    </w:p>
    <w:p>
      <w:pPr>
        <w:jc w:val="center"/>
        <w:ind w:right="840"/>
        <w:spacing w:after="0" w:line="226" w:lineRule="auto"/>
        <w:rPr>
          <w:sz w:val="20"/>
          <w:szCs w:val="20"/>
          <w:color w:val="auto"/>
        </w:rPr>
      </w:pPr>
      <w:r>
        <w:rPr>
          <w:rFonts w:ascii="Arial" w:cs="Arial" w:eastAsia="Arial" w:hAnsi="Arial"/>
          <w:sz w:val="20"/>
          <w:szCs w:val="20"/>
          <w:b w:val="1"/>
          <w:bCs w:val="1"/>
          <w:color w:val="auto"/>
        </w:rPr>
        <w:t>as further amended by the Second Amendment, dated as of March 23, 2018,</w:t>
      </w:r>
    </w:p>
    <w:p>
      <w:pPr>
        <w:jc w:val="center"/>
        <w:ind w:right="840"/>
        <w:spacing w:after="0"/>
        <w:rPr>
          <w:sz w:val="20"/>
          <w:szCs w:val="20"/>
          <w:color w:val="auto"/>
        </w:rPr>
      </w:pPr>
      <w:r>
        <w:rPr>
          <w:rFonts w:ascii="Arial" w:cs="Arial" w:eastAsia="Arial" w:hAnsi="Arial"/>
          <w:sz w:val="16"/>
          <w:szCs w:val="16"/>
          <w:b w:val="1"/>
          <w:bCs w:val="1"/>
          <w:color w:val="auto"/>
        </w:rPr>
        <w:t>as further amended by the Incremental Amendment No. 2 and Third Amendment, dated as of December 13, 2019</w:t>
      </w:r>
    </w:p>
    <w:p>
      <w:pPr>
        <w:spacing w:after="0" w:line="18"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and</w:t>
      </w:r>
    </w:p>
    <w:p>
      <w:pPr>
        <w:jc w:val="center"/>
        <w:ind w:right="840"/>
        <w:spacing w:after="0" w:line="225" w:lineRule="auto"/>
        <w:rPr>
          <w:sz w:val="20"/>
          <w:szCs w:val="20"/>
          <w:color w:val="auto"/>
        </w:rPr>
      </w:pPr>
      <w:r>
        <w:rPr>
          <w:rFonts w:ascii="Arial" w:cs="Arial" w:eastAsia="Arial" w:hAnsi="Arial"/>
          <w:sz w:val="20"/>
          <w:szCs w:val="20"/>
          <w:b w:val="1"/>
          <w:bCs w:val="1"/>
          <w:color w:val="auto"/>
        </w:rPr>
        <w:t>as further amended by the Fourth Amendment, dated as of October 4, 2021,</w:t>
      </w:r>
    </w:p>
    <w:p>
      <w:pPr>
        <w:jc w:val="center"/>
        <w:ind w:right="840"/>
        <w:spacing w:after="0"/>
        <w:rPr>
          <w:sz w:val="20"/>
          <w:szCs w:val="20"/>
          <w:color w:val="auto"/>
        </w:rPr>
      </w:pPr>
      <w:r>
        <w:rPr>
          <w:rFonts w:ascii="Arial" w:cs="Arial" w:eastAsia="Arial" w:hAnsi="Arial"/>
          <w:sz w:val="20"/>
          <w:szCs w:val="20"/>
          <w:b w:val="1"/>
          <w:bCs w:val="1"/>
          <w:color w:val="auto"/>
        </w:rPr>
        <w:t>among</w:t>
      </w:r>
    </w:p>
    <w:p>
      <w:pPr>
        <w:spacing w:after="0" w:line="207"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CROWN AMERICAS LLC,</w:t>
      </w:r>
    </w:p>
    <w:p>
      <w:pPr>
        <w:spacing w:after="0" w:line="8"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as a U.S. Borrower,</w:t>
      </w:r>
    </w:p>
    <w:p>
      <w:pPr>
        <w:spacing w:after="0" w:line="207"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CROWN EUROPEAN HOLDINGS S.A.,</w:t>
      </w:r>
    </w:p>
    <w:p>
      <w:pPr>
        <w:spacing w:after="0" w:line="8"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as European Borrower,</w:t>
      </w:r>
    </w:p>
    <w:p>
      <w:pPr>
        <w:spacing w:after="0" w:line="207"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CROWN METAL PACKAGING CANADA LP,</w:t>
      </w:r>
    </w:p>
    <w:p>
      <w:pPr>
        <w:spacing w:after="0" w:line="8"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as Canadian Borrower,</w:t>
      </w:r>
    </w:p>
    <w:p>
      <w:pPr>
        <w:spacing w:after="0" w:line="207"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THE SUBSIDIARY BORROWERS NAMED HEREIN,</w:t>
      </w:r>
    </w:p>
    <w:p>
      <w:pPr>
        <w:jc w:val="center"/>
        <w:ind w:right="840"/>
        <w:spacing w:after="0" w:line="233" w:lineRule="auto"/>
        <w:rPr>
          <w:sz w:val="20"/>
          <w:szCs w:val="20"/>
          <w:color w:val="auto"/>
        </w:rPr>
      </w:pPr>
      <w:r>
        <w:rPr>
          <w:rFonts w:ascii="Arial" w:cs="Arial" w:eastAsia="Arial" w:hAnsi="Arial"/>
          <w:sz w:val="20"/>
          <w:szCs w:val="20"/>
          <w:b w:val="1"/>
          <w:bCs w:val="1"/>
          <w:color w:val="auto"/>
        </w:rPr>
        <w:t>CROWN HOLDINGS, INC.,</w:t>
      </w:r>
    </w:p>
    <w:p>
      <w:pPr>
        <w:jc w:val="center"/>
        <w:ind w:right="840"/>
        <w:spacing w:after="0" w:line="226" w:lineRule="auto"/>
        <w:rPr>
          <w:sz w:val="20"/>
          <w:szCs w:val="20"/>
          <w:color w:val="auto"/>
        </w:rPr>
      </w:pPr>
      <w:r>
        <w:rPr>
          <w:rFonts w:ascii="Arial" w:cs="Arial" w:eastAsia="Arial" w:hAnsi="Arial"/>
          <w:sz w:val="20"/>
          <w:szCs w:val="20"/>
          <w:b w:val="1"/>
          <w:bCs w:val="1"/>
          <w:color w:val="auto"/>
        </w:rPr>
        <w:t>CROWN INTERNATIONAL HOLDINGS, INC. and</w:t>
      </w:r>
    </w:p>
    <w:p>
      <w:pPr>
        <w:jc w:val="center"/>
        <w:ind w:right="840"/>
        <w:spacing w:after="0" w:line="225" w:lineRule="auto"/>
        <w:rPr>
          <w:sz w:val="20"/>
          <w:szCs w:val="20"/>
          <w:color w:val="auto"/>
        </w:rPr>
      </w:pPr>
      <w:r>
        <w:rPr>
          <w:rFonts w:ascii="Arial" w:cs="Arial" w:eastAsia="Arial" w:hAnsi="Arial"/>
          <w:sz w:val="20"/>
          <w:szCs w:val="20"/>
          <w:b w:val="1"/>
          <w:bCs w:val="1"/>
          <w:color w:val="auto"/>
        </w:rPr>
        <w:t>CROWN CORK &amp; SEAL COMPANY, INC.,</w:t>
      </w:r>
    </w:p>
    <w:p>
      <w:pPr>
        <w:spacing w:after="0" w:line="1"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as Parent Guarantors,</w:t>
      </w:r>
    </w:p>
    <w:p>
      <w:pPr>
        <w:spacing w:after="0" w:line="207"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DEUTSCHE BANK AG NEW YORK BRANCH,</w:t>
      </w:r>
    </w:p>
    <w:p>
      <w:pPr>
        <w:jc w:val="center"/>
        <w:ind w:right="840"/>
        <w:spacing w:after="0" w:line="233" w:lineRule="auto"/>
        <w:rPr>
          <w:sz w:val="20"/>
          <w:szCs w:val="20"/>
          <w:color w:val="auto"/>
        </w:rPr>
      </w:pPr>
      <w:r>
        <w:rPr>
          <w:rFonts w:ascii="Arial" w:cs="Arial" w:eastAsia="Arial" w:hAnsi="Arial"/>
          <w:sz w:val="20"/>
          <w:szCs w:val="20"/>
          <w:b w:val="1"/>
          <w:bCs w:val="1"/>
          <w:color w:val="auto"/>
        </w:rPr>
        <w:t>as Administrative Agent</w:t>
      </w:r>
    </w:p>
    <w:p>
      <w:pPr>
        <w:jc w:val="center"/>
        <w:ind w:right="840"/>
        <w:spacing w:after="0" w:line="226" w:lineRule="auto"/>
        <w:rPr>
          <w:sz w:val="20"/>
          <w:szCs w:val="20"/>
          <w:color w:val="auto"/>
        </w:rPr>
      </w:pPr>
      <w:r>
        <w:rPr>
          <w:rFonts w:ascii="Arial" w:cs="Arial" w:eastAsia="Arial" w:hAnsi="Arial"/>
          <w:sz w:val="20"/>
          <w:szCs w:val="20"/>
          <w:b w:val="1"/>
          <w:bCs w:val="1"/>
          <w:color w:val="auto"/>
        </w:rPr>
        <w:t>and</w:t>
      </w:r>
    </w:p>
    <w:p>
      <w:pPr>
        <w:jc w:val="center"/>
        <w:ind w:right="840"/>
        <w:spacing w:after="0" w:line="225" w:lineRule="auto"/>
        <w:rPr>
          <w:sz w:val="20"/>
          <w:szCs w:val="20"/>
          <w:color w:val="auto"/>
        </w:rPr>
      </w:pPr>
      <w:r>
        <w:rPr>
          <w:rFonts w:ascii="Arial" w:cs="Arial" w:eastAsia="Arial" w:hAnsi="Arial"/>
          <w:sz w:val="20"/>
          <w:szCs w:val="20"/>
          <w:b w:val="1"/>
          <w:bCs w:val="1"/>
          <w:color w:val="auto"/>
        </w:rPr>
        <w:t>DEUTSCHE BANK AG, LONDON BRANCH,</w:t>
      </w:r>
    </w:p>
    <w:p>
      <w:pPr>
        <w:jc w:val="center"/>
        <w:ind w:right="840"/>
        <w:spacing w:after="0" w:line="226" w:lineRule="auto"/>
        <w:rPr>
          <w:sz w:val="20"/>
          <w:szCs w:val="20"/>
          <w:color w:val="auto"/>
        </w:rPr>
      </w:pPr>
      <w:r>
        <w:rPr>
          <w:rFonts w:ascii="Arial" w:cs="Arial" w:eastAsia="Arial" w:hAnsi="Arial"/>
          <w:sz w:val="20"/>
          <w:szCs w:val="20"/>
          <w:b w:val="1"/>
          <w:bCs w:val="1"/>
          <w:color w:val="auto"/>
        </w:rPr>
        <w:t>as U.K. Administrative Agent</w:t>
      </w:r>
    </w:p>
    <w:p>
      <w:pPr>
        <w:jc w:val="center"/>
        <w:ind w:right="840"/>
        <w:spacing w:after="0" w:line="225" w:lineRule="auto"/>
        <w:rPr>
          <w:sz w:val="20"/>
          <w:szCs w:val="20"/>
          <w:color w:val="auto"/>
        </w:rPr>
      </w:pPr>
      <w:r>
        <w:rPr>
          <w:rFonts w:ascii="Arial" w:cs="Arial" w:eastAsia="Arial" w:hAnsi="Arial"/>
          <w:sz w:val="20"/>
          <w:szCs w:val="20"/>
          <w:b w:val="1"/>
          <w:bCs w:val="1"/>
          <w:color w:val="auto"/>
        </w:rPr>
        <w:t>and</w:t>
      </w:r>
    </w:p>
    <w:p>
      <w:pPr>
        <w:jc w:val="center"/>
        <w:ind w:right="840"/>
        <w:spacing w:after="0" w:line="225" w:lineRule="auto"/>
        <w:rPr>
          <w:sz w:val="20"/>
          <w:szCs w:val="20"/>
          <w:color w:val="auto"/>
        </w:rPr>
      </w:pPr>
      <w:r>
        <w:rPr>
          <w:rFonts w:ascii="Arial" w:cs="Arial" w:eastAsia="Arial" w:hAnsi="Arial"/>
          <w:sz w:val="20"/>
          <w:szCs w:val="20"/>
          <w:b w:val="1"/>
          <w:bCs w:val="1"/>
          <w:color w:val="auto"/>
        </w:rPr>
        <w:t>DEUTSCHE BANK AG, CANADA BRANCH,</w:t>
      </w:r>
    </w:p>
    <w:p>
      <w:pPr>
        <w:jc w:val="center"/>
        <w:ind w:right="840"/>
        <w:spacing w:after="0" w:line="226" w:lineRule="auto"/>
        <w:rPr>
          <w:sz w:val="20"/>
          <w:szCs w:val="20"/>
          <w:color w:val="auto"/>
        </w:rPr>
      </w:pPr>
      <w:r>
        <w:rPr>
          <w:rFonts w:ascii="Arial" w:cs="Arial" w:eastAsia="Arial" w:hAnsi="Arial"/>
          <w:sz w:val="20"/>
          <w:szCs w:val="20"/>
          <w:b w:val="1"/>
          <w:bCs w:val="1"/>
          <w:color w:val="auto"/>
        </w:rPr>
        <w:t>as Canadian Administrative Agent</w:t>
      </w:r>
    </w:p>
    <w:p>
      <w:pPr>
        <w:jc w:val="center"/>
        <w:ind w:right="840"/>
        <w:spacing w:after="0" w:line="225" w:lineRule="auto"/>
        <w:rPr>
          <w:sz w:val="20"/>
          <w:szCs w:val="20"/>
          <w:color w:val="auto"/>
        </w:rPr>
      </w:pPr>
      <w:r>
        <w:rPr>
          <w:rFonts w:ascii="Arial" w:cs="Arial" w:eastAsia="Arial" w:hAnsi="Arial"/>
          <w:sz w:val="20"/>
          <w:szCs w:val="20"/>
          <w:b w:val="1"/>
          <w:bCs w:val="1"/>
          <w:color w:val="auto"/>
        </w:rPr>
        <w:t>and</w:t>
      </w:r>
    </w:p>
    <w:p>
      <w:pPr>
        <w:jc w:val="center"/>
        <w:ind w:right="840"/>
        <w:spacing w:after="0" w:line="226" w:lineRule="auto"/>
        <w:rPr>
          <w:sz w:val="20"/>
          <w:szCs w:val="20"/>
          <w:color w:val="auto"/>
        </w:rPr>
      </w:pPr>
      <w:r>
        <w:rPr>
          <w:rFonts w:ascii="Arial" w:cs="Arial" w:eastAsia="Arial" w:hAnsi="Arial"/>
          <w:sz w:val="20"/>
          <w:szCs w:val="20"/>
          <w:b w:val="1"/>
          <w:bCs w:val="1"/>
          <w:color w:val="auto"/>
        </w:rPr>
        <w:t>DEUTSCHE BANK SECURITIES INC.,</w:t>
      </w:r>
    </w:p>
    <w:p>
      <w:pPr>
        <w:jc w:val="center"/>
        <w:ind w:right="840"/>
        <w:spacing w:after="0" w:line="225" w:lineRule="auto"/>
        <w:rPr>
          <w:sz w:val="20"/>
          <w:szCs w:val="20"/>
          <w:color w:val="auto"/>
        </w:rPr>
      </w:pPr>
      <w:r>
        <w:rPr>
          <w:rFonts w:ascii="Arial" w:cs="Arial" w:eastAsia="Arial" w:hAnsi="Arial"/>
          <w:sz w:val="20"/>
          <w:szCs w:val="20"/>
          <w:b w:val="1"/>
          <w:bCs w:val="1"/>
          <w:color w:val="auto"/>
        </w:rPr>
        <w:t>BNP PARIBAS,</w:t>
      </w:r>
    </w:p>
    <w:p>
      <w:pPr>
        <w:jc w:val="center"/>
        <w:ind w:right="840"/>
        <w:spacing w:after="0" w:line="225" w:lineRule="auto"/>
        <w:rPr>
          <w:sz w:val="20"/>
          <w:szCs w:val="20"/>
          <w:color w:val="auto"/>
        </w:rPr>
      </w:pPr>
      <w:r>
        <w:rPr>
          <w:rFonts w:ascii="Arial" w:cs="Arial" w:eastAsia="Arial" w:hAnsi="Arial"/>
          <w:sz w:val="20"/>
          <w:szCs w:val="20"/>
          <w:b w:val="1"/>
          <w:bCs w:val="1"/>
          <w:color w:val="auto"/>
        </w:rPr>
        <w:t>COÖPERATIEVE RABOBANK U.A., NEW YORK BRANCH,</w:t>
      </w:r>
    </w:p>
    <w:p>
      <w:pPr>
        <w:spacing w:after="0" w:line="1"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CREDIT AGRICOLE CORPORATE AND INVESTMENT BANK,</w:t>
      </w:r>
    </w:p>
    <w:p>
      <w:pPr>
        <w:sectPr>
          <w:pgSz w:w="11900" w:h="16838" w:orient="portrait"/>
          <w:cols w:equalWidth="0" w:num="1">
            <w:col w:w="10400"/>
          </w:cols>
          <w:pgMar w:left="1160" w:top="1440" w:right="339" w:bottom="1440" w:gutter="0" w:footer="0" w:header="0"/>
        </w:sectPr>
      </w:pPr>
    </w:p>
    <w:bookmarkStart w:id="105" w:name="page106"/>
    <w:bookmarkEnd w:id="105"/>
    <w:p>
      <w:pPr>
        <w:jc w:val="center"/>
        <w:ind w:right="-1100"/>
        <w:spacing w:after="0"/>
        <w:rPr>
          <w:sz w:val="20"/>
          <w:szCs w:val="20"/>
          <w:color w:val="auto"/>
        </w:rPr>
      </w:pPr>
      <w:r>
        <w:rPr>
          <w:rFonts w:ascii="Arial" w:cs="Arial" w:eastAsia="Arial" w:hAnsi="Arial"/>
          <w:sz w:val="20"/>
          <w:szCs w:val="20"/>
          <w:b w:val="1"/>
          <w:bCs w:val="1"/>
          <w:color w:val="auto"/>
        </w:rPr>
        <w:t>UNICREDIT BANK AG,</w:t>
      </w:r>
    </w:p>
    <w:p>
      <w:pPr>
        <w:jc w:val="center"/>
        <w:ind w:right="-1100"/>
        <w:spacing w:after="0" w:line="233" w:lineRule="auto"/>
        <w:rPr>
          <w:sz w:val="20"/>
          <w:szCs w:val="20"/>
          <w:color w:val="auto"/>
        </w:rPr>
      </w:pPr>
      <w:r>
        <w:rPr>
          <w:rFonts w:ascii="Arial" w:cs="Arial" w:eastAsia="Arial" w:hAnsi="Arial"/>
          <w:sz w:val="20"/>
          <w:szCs w:val="20"/>
          <w:b w:val="1"/>
          <w:bCs w:val="1"/>
          <w:color w:val="auto"/>
        </w:rPr>
        <w:t>as Joint Sustainability Coordinators,</w:t>
      </w:r>
    </w:p>
    <w:p>
      <w:pPr>
        <w:jc w:val="center"/>
        <w:ind w:right="-1100"/>
        <w:spacing w:after="0" w:line="226" w:lineRule="auto"/>
        <w:rPr>
          <w:sz w:val="20"/>
          <w:szCs w:val="20"/>
          <w:color w:val="auto"/>
        </w:rPr>
      </w:pPr>
      <w:r>
        <w:rPr>
          <w:rFonts w:ascii="Arial" w:cs="Arial" w:eastAsia="Arial" w:hAnsi="Arial"/>
          <w:sz w:val="20"/>
          <w:szCs w:val="20"/>
          <w:b w:val="1"/>
          <w:bCs w:val="1"/>
          <w:color w:val="auto"/>
        </w:rPr>
        <w:t>and</w:t>
      </w:r>
    </w:p>
    <w:p>
      <w:pPr>
        <w:jc w:val="center"/>
        <w:ind w:right="-1100"/>
        <w:spacing w:after="0"/>
        <w:rPr>
          <w:sz w:val="20"/>
          <w:szCs w:val="20"/>
          <w:color w:val="auto"/>
        </w:rPr>
      </w:pPr>
      <w:r>
        <w:rPr>
          <w:rFonts w:ascii="Arial" w:cs="Arial" w:eastAsia="Arial" w:hAnsi="Arial"/>
          <w:sz w:val="20"/>
          <w:szCs w:val="20"/>
          <w:b w:val="1"/>
          <w:bCs w:val="1"/>
          <w:color w:val="auto"/>
        </w:rPr>
        <w:t>VARIOUS LENDING INSTITUTIONS</w:t>
      </w:r>
    </w:p>
    <w:p>
      <w:pPr>
        <w:spacing w:after="0" w:line="200" w:lineRule="exact"/>
        <w:rPr>
          <w:sz w:val="20"/>
          <w:szCs w:val="20"/>
          <w:color w:val="auto"/>
        </w:rPr>
      </w:pPr>
    </w:p>
    <w:p>
      <w:pPr>
        <w:spacing w:after="0" w:line="250"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______________________</w:t>
      </w:r>
    </w:p>
    <w:p>
      <w:pPr>
        <w:spacing w:after="0" w:line="233" w:lineRule="auto"/>
        <w:rPr>
          <w:sz w:val="20"/>
          <w:szCs w:val="20"/>
          <w:color w:val="auto"/>
        </w:rPr>
      </w:pPr>
      <w:r>
        <w:rPr>
          <w:rFonts w:ascii="Arial" w:cs="Arial" w:eastAsia="Arial" w:hAnsi="Arial"/>
          <w:sz w:val="20"/>
          <w:szCs w:val="20"/>
          <w:b w:val="1"/>
          <w:bCs w:val="1"/>
          <w:color w:val="auto"/>
        </w:rPr>
        <w:t>Arranged by</w:t>
      </w:r>
    </w:p>
    <w:p>
      <w:pPr>
        <w:jc w:val="center"/>
        <w:ind w:right="-1100"/>
        <w:spacing w:after="0" w:line="226" w:lineRule="auto"/>
        <w:rPr>
          <w:sz w:val="20"/>
          <w:szCs w:val="20"/>
          <w:color w:val="auto"/>
        </w:rPr>
      </w:pPr>
      <w:r>
        <w:rPr>
          <w:rFonts w:ascii="Arial" w:cs="Arial" w:eastAsia="Arial" w:hAnsi="Arial"/>
          <w:sz w:val="20"/>
          <w:szCs w:val="20"/>
          <w:b w:val="1"/>
          <w:bCs w:val="1"/>
          <w:color w:val="auto"/>
        </w:rPr>
        <w:t>DEUTSCHE BANK SECURITIES INC.,</w:t>
      </w:r>
    </w:p>
    <w:p>
      <w:pPr>
        <w:jc w:val="center"/>
        <w:ind w:right="-1100"/>
        <w:spacing w:after="0" w:line="225" w:lineRule="auto"/>
        <w:rPr>
          <w:sz w:val="20"/>
          <w:szCs w:val="20"/>
          <w:color w:val="auto"/>
        </w:rPr>
      </w:pPr>
      <w:r>
        <w:rPr>
          <w:rFonts w:ascii="Arial" w:cs="Arial" w:eastAsia="Arial" w:hAnsi="Arial"/>
          <w:sz w:val="20"/>
          <w:szCs w:val="20"/>
          <w:b w:val="1"/>
          <w:bCs w:val="1"/>
          <w:color w:val="auto"/>
        </w:rPr>
        <w:t>CITIBANK, N.A.,</w:t>
      </w:r>
    </w:p>
    <w:p>
      <w:pPr>
        <w:jc w:val="center"/>
        <w:ind w:right="-1100"/>
        <w:spacing w:after="0" w:line="226" w:lineRule="auto"/>
        <w:rPr>
          <w:sz w:val="20"/>
          <w:szCs w:val="20"/>
          <w:color w:val="auto"/>
        </w:rPr>
      </w:pPr>
      <w:r>
        <w:rPr>
          <w:rFonts w:ascii="Arial" w:cs="Arial" w:eastAsia="Arial" w:hAnsi="Arial"/>
          <w:sz w:val="20"/>
          <w:szCs w:val="20"/>
          <w:b w:val="1"/>
          <w:bCs w:val="1"/>
          <w:color w:val="auto"/>
        </w:rPr>
        <w:t>BANCO SANTANDER, S.A.,</w:t>
      </w:r>
    </w:p>
    <w:p>
      <w:pPr>
        <w:jc w:val="center"/>
        <w:ind w:right="-1100"/>
        <w:spacing w:after="0" w:line="225" w:lineRule="auto"/>
        <w:rPr>
          <w:sz w:val="20"/>
          <w:szCs w:val="20"/>
          <w:color w:val="auto"/>
        </w:rPr>
      </w:pPr>
      <w:r>
        <w:rPr>
          <w:rFonts w:ascii="Arial" w:cs="Arial" w:eastAsia="Arial" w:hAnsi="Arial"/>
          <w:sz w:val="20"/>
          <w:szCs w:val="20"/>
          <w:b w:val="1"/>
          <w:bCs w:val="1"/>
          <w:color w:val="auto"/>
        </w:rPr>
        <w:t>BNP PARIBAS,</w:t>
      </w:r>
    </w:p>
    <w:p>
      <w:pPr>
        <w:jc w:val="center"/>
        <w:ind w:right="-1100"/>
        <w:spacing w:after="0" w:line="225" w:lineRule="auto"/>
        <w:rPr>
          <w:sz w:val="20"/>
          <w:szCs w:val="20"/>
          <w:color w:val="auto"/>
        </w:rPr>
      </w:pPr>
      <w:r>
        <w:rPr>
          <w:rFonts w:ascii="Arial" w:cs="Arial" w:eastAsia="Arial" w:hAnsi="Arial"/>
          <w:sz w:val="20"/>
          <w:szCs w:val="20"/>
          <w:b w:val="1"/>
          <w:bCs w:val="1"/>
          <w:color w:val="auto"/>
        </w:rPr>
        <w:t>BOFA SECURITIES, INC.,</w:t>
      </w:r>
    </w:p>
    <w:p>
      <w:pPr>
        <w:jc w:val="center"/>
        <w:ind w:right="-1100"/>
        <w:spacing w:after="0" w:line="226" w:lineRule="auto"/>
        <w:rPr>
          <w:sz w:val="20"/>
          <w:szCs w:val="20"/>
          <w:color w:val="auto"/>
        </w:rPr>
      </w:pPr>
      <w:r>
        <w:rPr>
          <w:rFonts w:ascii="Arial" w:cs="Arial" w:eastAsia="Arial" w:hAnsi="Arial"/>
          <w:sz w:val="20"/>
          <w:szCs w:val="20"/>
          <w:b w:val="1"/>
          <w:bCs w:val="1"/>
          <w:color w:val="auto"/>
        </w:rPr>
        <w:t>MIZUHO BANK, LTD.</w:t>
      </w:r>
    </w:p>
    <w:p>
      <w:pPr>
        <w:jc w:val="center"/>
        <w:ind w:right="-1100"/>
        <w:spacing w:after="0" w:line="225" w:lineRule="auto"/>
        <w:rPr>
          <w:sz w:val="20"/>
          <w:szCs w:val="20"/>
          <w:color w:val="auto"/>
        </w:rPr>
      </w:pPr>
      <w:r>
        <w:rPr>
          <w:rFonts w:ascii="Arial" w:cs="Arial" w:eastAsia="Arial" w:hAnsi="Arial"/>
          <w:sz w:val="20"/>
          <w:szCs w:val="20"/>
          <w:b w:val="1"/>
          <w:bCs w:val="1"/>
          <w:color w:val="auto"/>
        </w:rPr>
        <w:t>TD SECURITIES (USA) LLC,</w:t>
      </w:r>
    </w:p>
    <w:p>
      <w:pPr>
        <w:jc w:val="center"/>
        <w:ind w:right="-1100"/>
        <w:spacing w:after="0" w:line="226" w:lineRule="auto"/>
        <w:rPr>
          <w:sz w:val="20"/>
          <w:szCs w:val="20"/>
          <w:color w:val="auto"/>
        </w:rPr>
      </w:pPr>
      <w:r>
        <w:rPr>
          <w:rFonts w:ascii="Arial" w:cs="Arial" w:eastAsia="Arial" w:hAnsi="Arial"/>
          <w:sz w:val="20"/>
          <w:szCs w:val="20"/>
          <w:b w:val="1"/>
          <w:bCs w:val="1"/>
          <w:color w:val="auto"/>
        </w:rPr>
        <w:t>THE BANK OF NOVA SCOTIA,</w:t>
      </w:r>
    </w:p>
    <w:p>
      <w:pPr>
        <w:jc w:val="center"/>
        <w:ind w:right="-1100"/>
        <w:spacing w:after="0" w:line="225" w:lineRule="auto"/>
        <w:rPr>
          <w:sz w:val="20"/>
          <w:szCs w:val="20"/>
          <w:color w:val="auto"/>
        </w:rPr>
      </w:pPr>
      <w:r>
        <w:rPr>
          <w:rFonts w:ascii="Arial" w:cs="Arial" w:eastAsia="Arial" w:hAnsi="Arial"/>
          <w:sz w:val="20"/>
          <w:szCs w:val="20"/>
          <w:b w:val="1"/>
          <w:bCs w:val="1"/>
          <w:color w:val="auto"/>
        </w:rPr>
        <w:t>WELLS FARGO SECURITIES, LLC,</w:t>
      </w:r>
    </w:p>
    <w:p>
      <w:pPr>
        <w:jc w:val="center"/>
        <w:ind w:right="-1100"/>
        <w:spacing w:after="0"/>
        <w:rPr>
          <w:sz w:val="20"/>
          <w:szCs w:val="20"/>
          <w:color w:val="auto"/>
        </w:rPr>
      </w:pPr>
      <w:r>
        <w:rPr>
          <w:rFonts w:ascii="Arial" w:cs="Arial" w:eastAsia="Arial" w:hAnsi="Arial"/>
          <w:sz w:val="20"/>
          <w:szCs w:val="20"/>
          <w:b w:val="1"/>
          <w:bCs w:val="1"/>
          <w:color w:val="auto"/>
        </w:rPr>
        <w:t>as Incremental Amendment No. 2 and Third Amendment Arrangers,</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BBVA COMPASS,</w:t>
      </w:r>
    </w:p>
    <w:p>
      <w:pPr>
        <w:jc w:val="center"/>
        <w:ind w:right="-1100"/>
        <w:spacing w:after="0" w:line="233" w:lineRule="auto"/>
        <w:rPr>
          <w:sz w:val="20"/>
          <w:szCs w:val="20"/>
          <w:color w:val="auto"/>
        </w:rPr>
      </w:pPr>
      <w:r>
        <w:rPr>
          <w:rFonts w:ascii="Arial" w:cs="Arial" w:eastAsia="Arial" w:hAnsi="Arial"/>
          <w:sz w:val="20"/>
          <w:szCs w:val="20"/>
          <w:b w:val="1"/>
          <w:bCs w:val="1"/>
          <w:color w:val="auto"/>
        </w:rPr>
        <w:t>COBANK, ACB,</w:t>
      </w:r>
    </w:p>
    <w:p>
      <w:pPr>
        <w:jc w:val="center"/>
        <w:ind w:right="-1100"/>
        <w:spacing w:after="0" w:line="226" w:lineRule="auto"/>
        <w:rPr>
          <w:sz w:val="20"/>
          <w:szCs w:val="20"/>
          <w:color w:val="auto"/>
        </w:rPr>
      </w:pPr>
      <w:r>
        <w:rPr>
          <w:rFonts w:ascii="Arial" w:cs="Arial" w:eastAsia="Arial" w:hAnsi="Arial"/>
          <w:sz w:val="20"/>
          <w:szCs w:val="20"/>
          <w:b w:val="1"/>
          <w:bCs w:val="1"/>
          <w:color w:val="auto"/>
        </w:rPr>
        <w:t>COMMERZBANK AG, NEW YORK BRANCH,</w:t>
      </w:r>
    </w:p>
    <w:p>
      <w:pPr>
        <w:jc w:val="center"/>
        <w:ind w:left="2380" w:right="700"/>
        <w:spacing w:after="0"/>
        <w:rPr>
          <w:sz w:val="20"/>
          <w:szCs w:val="20"/>
          <w:color w:val="auto"/>
        </w:rPr>
      </w:pPr>
      <w:r>
        <w:rPr>
          <w:rFonts w:ascii="Arial" w:cs="Arial" w:eastAsia="Arial" w:hAnsi="Arial"/>
          <w:sz w:val="20"/>
          <w:szCs w:val="20"/>
          <w:b w:val="1"/>
          <w:bCs w:val="1"/>
          <w:color w:val="auto"/>
        </w:rPr>
        <w:t>COÖPERATIEVE RABOBANK U.A., NEW YORK BRANCH, CREDIT AGRICOLE CORPORATE AND INVESTMENT BANK, GOLDMAN SACHS BANK USA, ING IRELAND (DAC),</w:t>
      </w:r>
    </w:p>
    <w:p>
      <w:pPr>
        <w:spacing w:after="0" w:line="160"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MUFG BANK, LTD.,</w:t>
      </w:r>
    </w:p>
    <w:p>
      <w:pPr>
        <w:jc w:val="center"/>
        <w:ind w:right="-1100"/>
        <w:spacing w:after="0" w:line="225" w:lineRule="auto"/>
        <w:rPr>
          <w:sz w:val="20"/>
          <w:szCs w:val="20"/>
          <w:color w:val="auto"/>
        </w:rPr>
      </w:pPr>
      <w:r>
        <w:rPr>
          <w:rFonts w:ascii="Arial" w:cs="Arial" w:eastAsia="Arial" w:hAnsi="Arial"/>
          <w:sz w:val="20"/>
          <w:szCs w:val="20"/>
          <w:b w:val="1"/>
          <w:bCs w:val="1"/>
          <w:color w:val="auto"/>
        </w:rPr>
        <w:t>PNC CAPITAL MARKETS LLC,</w:t>
      </w:r>
    </w:p>
    <w:p>
      <w:pPr>
        <w:jc w:val="center"/>
        <w:ind w:right="-1100"/>
        <w:spacing w:after="0" w:line="225" w:lineRule="auto"/>
        <w:rPr>
          <w:sz w:val="20"/>
          <w:szCs w:val="20"/>
          <w:color w:val="auto"/>
        </w:rPr>
      </w:pPr>
      <w:r>
        <w:rPr>
          <w:rFonts w:ascii="Arial" w:cs="Arial" w:eastAsia="Arial" w:hAnsi="Arial"/>
          <w:sz w:val="20"/>
          <w:szCs w:val="20"/>
          <w:b w:val="1"/>
          <w:bCs w:val="1"/>
          <w:color w:val="auto"/>
        </w:rPr>
        <w:t>SUMITOMO MITSUI BANKIING CORPORATION,</w:t>
      </w:r>
    </w:p>
    <w:p>
      <w:pPr>
        <w:jc w:val="center"/>
        <w:ind w:right="-1100"/>
        <w:spacing w:after="0" w:line="226" w:lineRule="auto"/>
        <w:rPr>
          <w:sz w:val="20"/>
          <w:szCs w:val="20"/>
          <w:color w:val="auto"/>
        </w:rPr>
      </w:pPr>
      <w:r>
        <w:rPr>
          <w:rFonts w:ascii="Arial" w:cs="Arial" w:eastAsia="Arial" w:hAnsi="Arial"/>
          <w:sz w:val="20"/>
          <w:szCs w:val="20"/>
          <w:b w:val="1"/>
          <w:bCs w:val="1"/>
          <w:color w:val="auto"/>
        </w:rPr>
        <w:t>UNICREDIT BANK AG,</w:t>
      </w:r>
    </w:p>
    <w:p>
      <w:pPr>
        <w:jc w:val="center"/>
        <w:ind w:right="-1100"/>
        <w:spacing w:after="0"/>
        <w:rPr>
          <w:sz w:val="20"/>
          <w:szCs w:val="20"/>
          <w:color w:val="auto"/>
        </w:rPr>
      </w:pPr>
      <w:r>
        <w:rPr>
          <w:rFonts w:ascii="Arial" w:cs="Arial" w:eastAsia="Arial" w:hAnsi="Arial"/>
          <w:sz w:val="16"/>
          <w:szCs w:val="16"/>
          <w:b w:val="1"/>
          <w:bCs w:val="1"/>
          <w:color w:val="auto"/>
        </w:rPr>
        <w:t>as Incremental Amendment No. 2 and Third Amendment Co-Documentation Agents</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_______________________</w:t>
      </w:r>
    </w:p>
    <w:p>
      <w:pPr>
        <w:sectPr>
          <w:pgSz w:w="11900" w:h="16838" w:orient="portrait"/>
          <w:cols w:equalWidth="0" w:num="1">
            <w:col w:w="10139"/>
          </w:cols>
          <w:pgMar w:left="320" w:top="1413"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20"/>
          <w:szCs w:val="20"/>
          <w:b w:val="1"/>
          <w:bCs w:val="1"/>
          <w:u w:val="single" w:color="auto"/>
          <w:color w:val="auto"/>
        </w:rPr>
        <w:t>TABLE OF CONTENTS</w:t>
      </w:r>
    </w:p>
    <w:p>
      <w:pPr>
        <w:jc w:val="right"/>
        <w:spacing w:after="0" w:line="233" w:lineRule="auto"/>
        <w:rPr>
          <w:sz w:val="20"/>
          <w:szCs w:val="20"/>
          <w:color w:val="auto"/>
        </w:rPr>
      </w:pPr>
      <w:r>
        <w:rPr>
          <w:rFonts w:ascii="Arial" w:cs="Arial" w:eastAsia="Arial" w:hAnsi="Arial"/>
          <w:sz w:val="20"/>
          <w:szCs w:val="20"/>
          <w:b w:val="1"/>
          <w:bCs w:val="1"/>
          <w:u w:val="single" w:color="auto"/>
          <w:color w:val="auto"/>
        </w:rPr>
        <w:t>Page</w:t>
      </w:r>
    </w:p>
    <w:p>
      <w:pPr>
        <w:jc w:val="center"/>
        <w:spacing w:after="0" w:line="226" w:lineRule="auto"/>
        <w:rPr>
          <w:sz w:val="20"/>
          <w:szCs w:val="20"/>
          <w:color w:val="auto"/>
        </w:rPr>
      </w:pPr>
      <w:r>
        <w:rPr>
          <w:rFonts w:ascii="Arial" w:cs="Arial" w:eastAsia="Arial" w:hAnsi="Arial"/>
          <w:sz w:val="20"/>
          <w:szCs w:val="20"/>
          <w:color w:val="auto"/>
        </w:rPr>
        <w:t>ARTICLE I</w:t>
      </w:r>
    </w:p>
    <w:p>
      <w:pPr>
        <w:jc w:val="center"/>
        <w:spacing w:after="0"/>
        <w:rPr>
          <w:sz w:val="20"/>
          <w:szCs w:val="20"/>
          <w:color w:val="auto"/>
        </w:rPr>
      </w:pPr>
      <w:r>
        <w:rPr>
          <w:rFonts w:ascii="Arial" w:cs="Arial" w:eastAsia="Arial" w:hAnsi="Arial"/>
          <w:sz w:val="20"/>
          <w:szCs w:val="20"/>
          <w:color w:val="auto"/>
        </w:rPr>
        <w:t>DEFINITIONS AND ACCOUNTING TERMS</w:t>
      </w:r>
    </w:p>
    <w:p>
      <w:pPr>
        <w:spacing w:after="0" w:line="213" w:lineRule="exact"/>
        <w:rPr>
          <w:sz w:val="20"/>
          <w:szCs w:val="20"/>
          <w:color w:val="auto"/>
        </w:rPr>
      </w:pPr>
    </w:p>
    <w:p>
      <w:pPr>
        <w:spacing w:after="0"/>
        <w:tabs>
          <w:tab w:leader="dot" w:pos="7660" w:val="left"/>
        </w:tabs>
        <w:rPr>
          <w:sz w:val="20"/>
          <w:szCs w:val="20"/>
          <w:color w:val="auto"/>
        </w:rPr>
      </w:pPr>
      <w:r>
        <w:rPr>
          <w:rFonts w:ascii="Arial" w:cs="Arial" w:eastAsia="Arial" w:hAnsi="Arial"/>
          <w:sz w:val="20"/>
          <w:szCs w:val="20"/>
          <w:color w:val="auto"/>
        </w:rPr>
        <w:t>1.1 Definitions</w:t>
      </w:r>
      <w:r>
        <w:rPr>
          <w:sz w:val="20"/>
          <w:szCs w:val="20"/>
          <w:color w:val="auto"/>
        </w:rPr>
        <w:tab/>
      </w:r>
      <w:r>
        <w:rPr>
          <w:rFonts w:ascii="Arial" w:cs="Arial" w:eastAsia="Arial" w:hAnsi="Arial"/>
          <w:sz w:val="16"/>
          <w:szCs w:val="16"/>
          <w:color w:val="auto"/>
        </w:rPr>
        <w:t>1</w:t>
      </w:r>
    </w:p>
    <w:p>
      <w:pPr>
        <w:spacing w:after="0"/>
        <w:tabs>
          <w:tab w:leader="dot" w:pos="7560" w:val="left"/>
        </w:tabs>
        <w:rPr>
          <w:sz w:val="20"/>
          <w:szCs w:val="20"/>
          <w:color w:val="auto"/>
        </w:rPr>
      </w:pPr>
      <w:r>
        <w:rPr>
          <w:rFonts w:ascii="Arial" w:cs="Arial" w:eastAsia="Arial" w:hAnsi="Arial"/>
          <w:sz w:val="20"/>
          <w:szCs w:val="20"/>
          <w:color w:val="auto"/>
        </w:rPr>
        <w:t>1.2 Terms Generally; Financial Statements</w:t>
      </w:r>
      <w:r>
        <w:rPr>
          <w:sz w:val="20"/>
          <w:szCs w:val="20"/>
          <w:color w:val="auto"/>
        </w:rPr>
        <w:tab/>
      </w:r>
      <w:r>
        <w:rPr>
          <w:rFonts w:ascii="Arial" w:cs="Arial" w:eastAsia="Arial" w:hAnsi="Arial"/>
          <w:sz w:val="16"/>
          <w:szCs w:val="16"/>
          <w:color w:val="auto"/>
        </w:rPr>
        <w:t>71</w:t>
      </w:r>
    </w:p>
    <w:p>
      <w:pPr>
        <w:spacing w:after="0"/>
        <w:tabs>
          <w:tab w:leader="dot" w:pos="7580" w:val="left"/>
        </w:tabs>
        <w:rPr>
          <w:sz w:val="20"/>
          <w:szCs w:val="20"/>
          <w:color w:val="auto"/>
        </w:rPr>
      </w:pPr>
      <w:r>
        <w:rPr>
          <w:rFonts w:ascii="Arial" w:cs="Arial" w:eastAsia="Arial" w:hAnsi="Arial"/>
          <w:sz w:val="20"/>
          <w:szCs w:val="20"/>
          <w:color w:val="auto"/>
        </w:rPr>
        <w:t>1.3 Luxembourg terms</w:t>
      </w:r>
      <w:r>
        <w:rPr>
          <w:sz w:val="20"/>
          <w:szCs w:val="20"/>
          <w:color w:val="auto"/>
        </w:rPr>
        <w:tab/>
      </w:r>
      <w:r>
        <w:rPr>
          <w:rFonts w:ascii="Arial" w:cs="Arial" w:eastAsia="Arial" w:hAnsi="Arial"/>
          <w:sz w:val="16"/>
          <w:szCs w:val="16"/>
          <w:color w:val="auto"/>
        </w:rPr>
        <w:t>72</w:t>
      </w:r>
    </w:p>
    <w:p>
      <w:pPr>
        <w:spacing w:after="0"/>
        <w:tabs>
          <w:tab w:leader="dot" w:pos="7600" w:val="left"/>
        </w:tabs>
        <w:rPr>
          <w:sz w:val="20"/>
          <w:szCs w:val="20"/>
          <w:color w:val="auto"/>
        </w:rPr>
      </w:pPr>
      <w:r>
        <w:rPr>
          <w:rFonts w:ascii="Arial" w:cs="Arial" w:eastAsia="Arial" w:hAnsi="Arial"/>
          <w:sz w:val="20"/>
          <w:szCs w:val="20"/>
          <w:color w:val="auto"/>
        </w:rPr>
        <w:t>1.4 French terms</w:t>
      </w:r>
      <w:r>
        <w:rPr>
          <w:sz w:val="20"/>
          <w:szCs w:val="20"/>
          <w:color w:val="auto"/>
        </w:rPr>
        <w:tab/>
      </w:r>
      <w:r>
        <w:rPr>
          <w:rFonts w:ascii="Arial" w:cs="Arial" w:eastAsia="Arial" w:hAnsi="Arial"/>
          <w:sz w:val="16"/>
          <w:szCs w:val="16"/>
          <w:color w:val="auto"/>
        </w:rPr>
        <w:t>72</w:t>
      </w:r>
    </w:p>
    <w:p>
      <w:pPr>
        <w:spacing w:after="0"/>
        <w:tabs>
          <w:tab w:leader="dot" w:pos="7600" w:val="left"/>
        </w:tabs>
        <w:rPr>
          <w:sz w:val="20"/>
          <w:szCs w:val="20"/>
          <w:color w:val="auto"/>
        </w:rPr>
      </w:pPr>
      <w:r>
        <w:rPr>
          <w:rFonts w:ascii="Arial" w:cs="Arial" w:eastAsia="Arial" w:hAnsi="Arial"/>
          <w:sz w:val="20"/>
          <w:szCs w:val="20"/>
          <w:color w:val="auto"/>
        </w:rPr>
        <w:t>1.5 Calculation of Exchange Rate</w:t>
      </w:r>
      <w:r>
        <w:rPr>
          <w:sz w:val="20"/>
          <w:szCs w:val="20"/>
          <w:color w:val="auto"/>
        </w:rPr>
        <w:tab/>
      </w:r>
      <w:r>
        <w:rPr>
          <w:rFonts w:ascii="Arial" w:cs="Arial" w:eastAsia="Arial" w:hAnsi="Arial"/>
          <w:sz w:val="16"/>
          <w:szCs w:val="16"/>
          <w:color w:val="auto"/>
        </w:rPr>
        <w:t>73</w:t>
      </w:r>
    </w:p>
    <w:p>
      <w:pPr>
        <w:spacing w:after="0"/>
        <w:tabs>
          <w:tab w:leader="dot" w:pos="7600" w:val="left"/>
        </w:tabs>
        <w:rPr>
          <w:sz w:val="20"/>
          <w:szCs w:val="20"/>
          <w:color w:val="auto"/>
        </w:rPr>
      </w:pPr>
      <w:r>
        <w:rPr>
          <w:rFonts w:ascii="Arial" w:cs="Arial" w:eastAsia="Arial" w:hAnsi="Arial"/>
          <w:sz w:val="20"/>
          <w:szCs w:val="20"/>
          <w:color w:val="auto"/>
        </w:rPr>
        <w:t>1.6 Limited Condition Transactions</w:t>
      </w:r>
      <w:r>
        <w:rPr>
          <w:sz w:val="20"/>
          <w:szCs w:val="20"/>
          <w:color w:val="auto"/>
        </w:rPr>
        <w:tab/>
      </w:r>
      <w:r>
        <w:rPr>
          <w:rFonts w:ascii="Arial" w:cs="Arial" w:eastAsia="Arial" w:hAnsi="Arial"/>
          <w:sz w:val="16"/>
          <w:szCs w:val="16"/>
          <w:color w:val="auto"/>
        </w:rPr>
        <w:t>73</w:t>
      </w:r>
    </w:p>
    <w:p>
      <w:pPr>
        <w:spacing w:after="0"/>
        <w:tabs>
          <w:tab w:leader="dot" w:pos="7600" w:val="left"/>
        </w:tabs>
        <w:rPr>
          <w:sz w:val="20"/>
          <w:szCs w:val="20"/>
          <w:color w:val="auto"/>
        </w:rPr>
      </w:pPr>
      <w:r>
        <w:rPr>
          <w:rFonts w:ascii="Arial" w:cs="Arial" w:eastAsia="Arial" w:hAnsi="Arial"/>
          <w:sz w:val="20"/>
          <w:szCs w:val="20"/>
          <w:color w:val="auto"/>
        </w:rPr>
        <w:t>1.7 Sanctions Limitations</w:t>
      </w:r>
      <w:r>
        <w:rPr>
          <w:sz w:val="20"/>
          <w:szCs w:val="20"/>
          <w:color w:val="auto"/>
        </w:rPr>
        <w:tab/>
      </w:r>
      <w:r>
        <w:rPr>
          <w:rFonts w:ascii="Arial" w:cs="Arial" w:eastAsia="Arial" w:hAnsi="Arial"/>
          <w:sz w:val="16"/>
          <w:szCs w:val="16"/>
          <w:color w:val="auto"/>
        </w:rPr>
        <w:t>75</w:t>
      </w:r>
    </w:p>
    <w:p>
      <w:pPr>
        <w:spacing w:after="0"/>
        <w:tabs>
          <w:tab w:leader="dot" w:pos="7580" w:val="left"/>
        </w:tabs>
        <w:rPr>
          <w:sz w:val="20"/>
          <w:szCs w:val="20"/>
          <w:color w:val="auto"/>
        </w:rPr>
      </w:pPr>
      <w:r>
        <w:rPr>
          <w:rFonts w:ascii="Arial" w:cs="Arial" w:eastAsia="Arial" w:hAnsi="Arial"/>
          <w:sz w:val="20"/>
          <w:szCs w:val="20"/>
          <w:color w:val="auto"/>
        </w:rPr>
        <w:t>1.8 Effect of Amendment and Restatement of the Existing Credit Agreement</w:t>
      </w:r>
      <w:r>
        <w:rPr>
          <w:sz w:val="20"/>
          <w:szCs w:val="20"/>
          <w:color w:val="auto"/>
        </w:rPr>
        <w:tab/>
      </w:r>
      <w:r>
        <w:rPr>
          <w:rFonts w:ascii="Arial" w:cs="Arial" w:eastAsia="Arial" w:hAnsi="Arial"/>
          <w:sz w:val="16"/>
          <w:szCs w:val="16"/>
          <w:color w:val="auto"/>
        </w:rPr>
        <w:t>75</w:t>
      </w:r>
    </w:p>
    <w:p>
      <w:pPr>
        <w:spacing w:after="0"/>
        <w:tabs>
          <w:tab w:leader="dot" w:pos="7580" w:val="left"/>
        </w:tabs>
        <w:rPr>
          <w:sz w:val="20"/>
          <w:szCs w:val="20"/>
          <w:color w:val="auto"/>
        </w:rPr>
      </w:pPr>
      <w:r>
        <w:rPr>
          <w:rFonts w:ascii="Arial" w:cs="Arial" w:eastAsia="Arial" w:hAnsi="Arial"/>
          <w:sz w:val="20"/>
          <w:szCs w:val="20"/>
          <w:color w:val="auto"/>
        </w:rPr>
        <w:t>1.9 Divisions</w:t>
      </w:r>
      <w:r>
        <w:rPr>
          <w:sz w:val="20"/>
          <w:szCs w:val="20"/>
          <w:color w:val="auto"/>
        </w:rPr>
        <w:tab/>
      </w:r>
      <w:r>
        <w:rPr>
          <w:rFonts w:ascii="Arial" w:cs="Arial" w:eastAsia="Arial" w:hAnsi="Arial"/>
          <w:sz w:val="16"/>
          <w:szCs w:val="16"/>
          <w:color w:val="auto"/>
        </w:rPr>
        <w:t>75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AMOUNT AND TERMS OF U.S. DOLLAR, STERLING AND EURO CREDITS</w:t>
      </w:r>
    </w:p>
    <w:p>
      <w:pPr>
        <w:spacing w:after="0" w:line="213" w:lineRule="exact"/>
        <w:rPr>
          <w:sz w:val="20"/>
          <w:szCs w:val="20"/>
          <w:color w:val="auto"/>
        </w:rPr>
      </w:pPr>
    </w:p>
    <w:p>
      <w:pPr>
        <w:spacing w:after="0"/>
        <w:tabs>
          <w:tab w:leader="dot" w:pos="7600" w:val="left"/>
        </w:tabs>
        <w:rPr>
          <w:sz w:val="20"/>
          <w:szCs w:val="20"/>
          <w:color w:val="auto"/>
        </w:rPr>
      </w:pPr>
      <w:r>
        <w:rPr>
          <w:rFonts w:ascii="Arial" w:cs="Arial" w:eastAsia="Arial" w:hAnsi="Arial"/>
          <w:sz w:val="20"/>
          <w:szCs w:val="20"/>
          <w:color w:val="auto"/>
        </w:rPr>
        <w:t>2.1 The Commitments</w:t>
      </w:r>
      <w:r>
        <w:rPr>
          <w:sz w:val="20"/>
          <w:szCs w:val="20"/>
          <w:color w:val="auto"/>
        </w:rPr>
        <w:tab/>
      </w:r>
      <w:r>
        <w:rPr>
          <w:rFonts w:ascii="Arial" w:cs="Arial" w:eastAsia="Arial" w:hAnsi="Arial"/>
          <w:sz w:val="16"/>
          <w:szCs w:val="16"/>
          <w:color w:val="auto"/>
        </w:rPr>
        <w:t>76</w:t>
      </w:r>
    </w:p>
    <w:p>
      <w:pPr>
        <w:spacing w:after="0"/>
        <w:tabs>
          <w:tab w:leader="dot" w:pos="7580" w:val="left"/>
        </w:tabs>
        <w:rPr>
          <w:sz w:val="20"/>
          <w:szCs w:val="20"/>
          <w:color w:val="auto"/>
        </w:rPr>
      </w:pPr>
      <w:r>
        <w:rPr>
          <w:rFonts w:ascii="Arial" w:cs="Arial" w:eastAsia="Arial" w:hAnsi="Arial"/>
          <w:sz w:val="20"/>
          <w:szCs w:val="20"/>
          <w:color w:val="auto"/>
        </w:rPr>
        <w:t>2.2 Evidence of Indebtedness; Repayment of Loans</w:t>
      </w:r>
      <w:r>
        <w:rPr>
          <w:sz w:val="20"/>
          <w:szCs w:val="20"/>
          <w:color w:val="auto"/>
        </w:rPr>
        <w:tab/>
      </w:r>
      <w:r>
        <w:rPr>
          <w:rFonts w:ascii="Arial" w:cs="Arial" w:eastAsia="Arial" w:hAnsi="Arial"/>
          <w:sz w:val="16"/>
          <w:szCs w:val="16"/>
          <w:color w:val="auto"/>
        </w:rPr>
        <w:t>79</w:t>
      </w:r>
    </w:p>
    <w:p>
      <w:pPr>
        <w:spacing w:after="0"/>
        <w:tabs>
          <w:tab w:leader="dot" w:pos="7600" w:val="left"/>
        </w:tabs>
        <w:rPr>
          <w:sz w:val="20"/>
          <w:szCs w:val="20"/>
          <w:color w:val="auto"/>
        </w:rPr>
      </w:pPr>
      <w:r>
        <w:rPr>
          <w:rFonts w:ascii="Arial" w:cs="Arial" w:eastAsia="Arial" w:hAnsi="Arial"/>
          <w:sz w:val="20"/>
          <w:szCs w:val="20"/>
          <w:color w:val="auto"/>
        </w:rPr>
        <w:t>2.3 Minimum Amount of Each Borrowing; Maximum Number of Borrowings</w:t>
      </w:r>
      <w:r>
        <w:rPr>
          <w:sz w:val="20"/>
          <w:szCs w:val="20"/>
          <w:color w:val="auto"/>
        </w:rPr>
        <w:tab/>
      </w:r>
      <w:r>
        <w:rPr>
          <w:rFonts w:ascii="Arial" w:cs="Arial" w:eastAsia="Arial" w:hAnsi="Arial"/>
          <w:sz w:val="16"/>
          <w:szCs w:val="16"/>
          <w:color w:val="auto"/>
        </w:rPr>
        <w:t>79</w:t>
      </w:r>
    </w:p>
    <w:p>
      <w:pPr>
        <w:spacing w:after="0"/>
        <w:tabs>
          <w:tab w:leader="dot" w:pos="7600" w:val="left"/>
        </w:tabs>
        <w:rPr>
          <w:sz w:val="20"/>
          <w:szCs w:val="20"/>
          <w:color w:val="auto"/>
        </w:rPr>
      </w:pPr>
      <w:r>
        <w:rPr>
          <w:rFonts w:ascii="Arial" w:cs="Arial" w:eastAsia="Arial" w:hAnsi="Arial"/>
          <w:sz w:val="20"/>
          <w:szCs w:val="20"/>
          <w:color w:val="auto"/>
        </w:rPr>
        <w:t>2.4 Borrowing Options</w:t>
      </w:r>
      <w:r>
        <w:rPr>
          <w:sz w:val="20"/>
          <w:szCs w:val="20"/>
          <w:color w:val="auto"/>
        </w:rPr>
        <w:tab/>
      </w:r>
      <w:r>
        <w:rPr>
          <w:rFonts w:ascii="Arial" w:cs="Arial" w:eastAsia="Arial" w:hAnsi="Arial"/>
          <w:sz w:val="16"/>
          <w:szCs w:val="16"/>
          <w:color w:val="auto"/>
        </w:rPr>
        <w:t>80</w:t>
      </w:r>
    </w:p>
    <w:p>
      <w:pPr>
        <w:spacing w:after="0"/>
        <w:tabs>
          <w:tab w:leader="dot" w:pos="7580" w:val="left"/>
        </w:tabs>
        <w:rPr>
          <w:sz w:val="20"/>
          <w:szCs w:val="20"/>
          <w:color w:val="auto"/>
        </w:rPr>
      </w:pPr>
      <w:r>
        <w:rPr>
          <w:rFonts w:ascii="Arial" w:cs="Arial" w:eastAsia="Arial" w:hAnsi="Arial"/>
          <w:sz w:val="20"/>
          <w:szCs w:val="20"/>
          <w:color w:val="auto"/>
        </w:rPr>
        <w:t>2.5 Notice of Borrowing</w:t>
      </w:r>
      <w:r>
        <w:rPr>
          <w:sz w:val="20"/>
          <w:szCs w:val="20"/>
          <w:color w:val="auto"/>
        </w:rPr>
        <w:tab/>
      </w:r>
      <w:r>
        <w:rPr>
          <w:rFonts w:ascii="Arial" w:cs="Arial" w:eastAsia="Arial" w:hAnsi="Arial"/>
          <w:sz w:val="16"/>
          <w:szCs w:val="16"/>
          <w:color w:val="auto"/>
        </w:rPr>
        <w:t>80</w:t>
      </w:r>
    </w:p>
    <w:p>
      <w:pPr>
        <w:spacing w:after="0"/>
        <w:tabs>
          <w:tab w:leader="dot" w:pos="7580" w:val="left"/>
        </w:tabs>
        <w:rPr>
          <w:sz w:val="20"/>
          <w:szCs w:val="20"/>
          <w:color w:val="auto"/>
        </w:rPr>
      </w:pPr>
      <w:r>
        <w:rPr>
          <w:rFonts w:ascii="Arial" w:cs="Arial" w:eastAsia="Arial" w:hAnsi="Arial"/>
          <w:sz w:val="20"/>
          <w:szCs w:val="20"/>
          <w:color w:val="auto"/>
        </w:rPr>
        <w:t>2.6 Conversion or Continuation</w:t>
      </w:r>
      <w:r>
        <w:rPr>
          <w:sz w:val="20"/>
          <w:szCs w:val="20"/>
          <w:color w:val="auto"/>
        </w:rPr>
        <w:tab/>
      </w:r>
      <w:r>
        <w:rPr>
          <w:rFonts w:ascii="Arial" w:cs="Arial" w:eastAsia="Arial" w:hAnsi="Arial"/>
          <w:sz w:val="16"/>
          <w:szCs w:val="16"/>
          <w:color w:val="auto"/>
        </w:rPr>
        <w:t>81</w:t>
      </w:r>
    </w:p>
    <w:p>
      <w:pPr>
        <w:spacing w:after="0"/>
        <w:tabs>
          <w:tab w:leader="dot" w:pos="7580" w:val="left"/>
        </w:tabs>
        <w:rPr>
          <w:sz w:val="20"/>
          <w:szCs w:val="20"/>
          <w:color w:val="auto"/>
        </w:rPr>
      </w:pPr>
      <w:r>
        <w:rPr>
          <w:rFonts w:ascii="Arial" w:cs="Arial" w:eastAsia="Arial" w:hAnsi="Arial"/>
          <w:sz w:val="20"/>
          <w:szCs w:val="20"/>
          <w:color w:val="auto"/>
        </w:rPr>
        <w:t>2.7 Disbursement of Funds</w:t>
      </w:r>
      <w:r>
        <w:rPr>
          <w:sz w:val="20"/>
          <w:szCs w:val="20"/>
          <w:color w:val="auto"/>
        </w:rPr>
        <w:tab/>
      </w:r>
      <w:r>
        <w:rPr>
          <w:rFonts w:ascii="Arial" w:cs="Arial" w:eastAsia="Arial" w:hAnsi="Arial"/>
          <w:sz w:val="16"/>
          <w:szCs w:val="16"/>
          <w:color w:val="auto"/>
        </w:rPr>
        <w:t>81</w:t>
      </w:r>
    </w:p>
    <w:p>
      <w:pPr>
        <w:spacing w:after="0"/>
        <w:tabs>
          <w:tab w:leader="dot" w:pos="7560" w:val="left"/>
        </w:tabs>
        <w:rPr>
          <w:sz w:val="20"/>
          <w:szCs w:val="20"/>
          <w:color w:val="auto"/>
        </w:rPr>
      </w:pPr>
      <w:r>
        <w:rPr>
          <w:rFonts w:ascii="Arial" w:cs="Arial" w:eastAsia="Arial" w:hAnsi="Arial"/>
          <w:sz w:val="20"/>
          <w:szCs w:val="20"/>
          <w:color w:val="auto"/>
        </w:rPr>
        <w:t>2.8 Utilization of Revolving Commitments in an Alternative Currency</w:t>
      </w:r>
      <w:r>
        <w:rPr>
          <w:sz w:val="20"/>
          <w:szCs w:val="20"/>
          <w:color w:val="auto"/>
        </w:rPr>
        <w:tab/>
      </w:r>
      <w:r>
        <w:rPr>
          <w:rFonts w:ascii="Arial" w:cs="Arial" w:eastAsia="Arial" w:hAnsi="Arial"/>
          <w:sz w:val="16"/>
          <w:szCs w:val="16"/>
          <w:color w:val="auto"/>
        </w:rPr>
        <w:t>82</w:t>
      </w:r>
    </w:p>
    <w:p>
      <w:pPr>
        <w:spacing w:after="0"/>
        <w:tabs>
          <w:tab w:leader="dot" w:pos="7560" w:val="left"/>
        </w:tabs>
        <w:rPr>
          <w:sz w:val="20"/>
          <w:szCs w:val="20"/>
          <w:color w:val="auto"/>
        </w:rPr>
      </w:pPr>
      <w:r>
        <w:rPr>
          <w:rFonts w:ascii="Arial" w:cs="Arial" w:eastAsia="Arial" w:hAnsi="Arial"/>
          <w:sz w:val="20"/>
          <w:szCs w:val="20"/>
          <w:color w:val="auto"/>
        </w:rPr>
        <w:t>2.9 Additional Facility</w:t>
      </w:r>
      <w:r>
        <w:rPr>
          <w:sz w:val="20"/>
          <w:szCs w:val="20"/>
          <w:color w:val="auto"/>
        </w:rPr>
        <w:tab/>
      </w:r>
      <w:r>
        <w:rPr>
          <w:rFonts w:ascii="Arial" w:cs="Arial" w:eastAsia="Arial" w:hAnsi="Arial"/>
          <w:sz w:val="16"/>
          <w:szCs w:val="16"/>
          <w:color w:val="auto"/>
        </w:rPr>
        <w:t>84</w:t>
      </w:r>
    </w:p>
    <w:p>
      <w:pPr>
        <w:spacing w:after="0"/>
        <w:tabs>
          <w:tab w:leader="dot" w:pos="7680" w:val="left"/>
        </w:tabs>
        <w:rPr>
          <w:sz w:val="20"/>
          <w:szCs w:val="20"/>
          <w:color w:val="auto"/>
        </w:rPr>
      </w:pPr>
      <w:r>
        <w:rPr>
          <w:rFonts w:ascii="Arial" w:cs="Arial" w:eastAsia="Arial" w:hAnsi="Arial"/>
          <w:sz w:val="20"/>
          <w:szCs w:val="20"/>
          <w:color w:val="auto"/>
        </w:rPr>
        <w:t>2.10 Letters of Credit</w:t>
      </w:r>
      <w:r>
        <w:rPr>
          <w:sz w:val="20"/>
          <w:szCs w:val="20"/>
          <w:color w:val="auto"/>
        </w:rPr>
        <w:tab/>
      </w:r>
      <w:r>
        <w:rPr>
          <w:rFonts w:ascii="Arial" w:cs="Arial" w:eastAsia="Arial" w:hAnsi="Arial"/>
          <w:sz w:val="16"/>
          <w:szCs w:val="16"/>
          <w:color w:val="auto"/>
        </w:rPr>
        <w:t>88</w:t>
      </w:r>
    </w:p>
    <w:p>
      <w:pPr>
        <w:spacing w:after="0"/>
        <w:tabs>
          <w:tab w:leader="dot" w:pos="7680" w:val="left"/>
        </w:tabs>
        <w:rPr>
          <w:sz w:val="20"/>
          <w:szCs w:val="20"/>
          <w:color w:val="auto"/>
        </w:rPr>
      </w:pPr>
      <w:r>
        <w:rPr>
          <w:rFonts w:ascii="Arial" w:cs="Arial" w:eastAsia="Arial" w:hAnsi="Arial"/>
          <w:sz w:val="20"/>
          <w:szCs w:val="20"/>
          <w:color w:val="auto"/>
        </w:rPr>
        <w:t>2.11 Pro Rata Borrowings</w:t>
      </w:r>
      <w:r>
        <w:rPr>
          <w:sz w:val="20"/>
          <w:szCs w:val="20"/>
          <w:color w:val="auto"/>
        </w:rPr>
        <w:tab/>
      </w:r>
      <w:r>
        <w:rPr>
          <w:rFonts w:ascii="Arial" w:cs="Arial" w:eastAsia="Arial" w:hAnsi="Arial"/>
          <w:sz w:val="16"/>
          <w:szCs w:val="16"/>
          <w:color w:val="auto"/>
        </w:rPr>
        <w:t>97</w:t>
      </w:r>
    </w:p>
    <w:p>
      <w:pPr>
        <w:spacing w:after="0"/>
        <w:tabs>
          <w:tab w:leader="dot" w:pos="7700" w:val="left"/>
        </w:tabs>
        <w:rPr>
          <w:sz w:val="20"/>
          <w:szCs w:val="20"/>
          <w:color w:val="auto"/>
        </w:rPr>
      </w:pPr>
      <w:r>
        <w:rPr>
          <w:rFonts w:ascii="Arial" w:cs="Arial" w:eastAsia="Arial" w:hAnsi="Arial"/>
          <w:sz w:val="20"/>
          <w:szCs w:val="20"/>
          <w:color w:val="auto"/>
        </w:rPr>
        <w:t>2.12 Defaulting Lenders</w:t>
      </w:r>
      <w:r>
        <w:rPr>
          <w:sz w:val="20"/>
          <w:szCs w:val="20"/>
          <w:color w:val="auto"/>
        </w:rPr>
        <w:tab/>
      </w:r>
      <w:r>
        <w:rPr>
          <w:rFonts w:ascii="Arial" w:cs="Arial" w:eastAsia="Arial" w:hAnsi="Arial"/>
          <w:sz w:val="16"/>
          <w:szCs w:val="16"/>
          <w:color w:val="auto"/>
        </w:rPr>
        <w:t>97</w:t>
      </w:r>
    </w:p>
    <w:p>
      <w:pPr>
        <w:spacing w:after="0"/>
        <w:tabs>
          <w:tab w:leader="dot" w:pos="7680" w:val="left"/>
        </w:tabs>
        <w:rPr>
          <w:sz w:val="20"/>
          <w:szCs w:val="20"/>
          <w:color w:val="auto"/>
        </w:rPr>
      </w:pPr>
      <w:r>
        <w:rPr>
          <w:rFonts w:ascii="Arial" w:cs="Arial" w:eastAsia="Arial" w:hAnsi="Arial"/>
          <w:sz w:val="20"/>
          <w:szCs w:val="20"/>
          <w:color w:val="auto"/>
        </w:rPr>
        <w:t>2.13 Replacement Revolving Credit Facility</w:t>
      </w:r>
      <w:r>
        <w:rPr>
          <w:sz w:val="20"/>
          <w:szCs w:val="20"/>
          <w:color w:val="auto"/>
        </w:rPr>
        <w:tab/>
      </w:r>
      <w:r>
        <w:rPr>
          <w:rFonts w:ascii="Arial" w:cs="Arial" w:eastAsia="Arial" w:hAnsi="Arial"/>
          <w:sz w:val="16"/>
          <w:szCs w:val="16"/>
          <w:color w:val="auto"/>
        </w:rPr>
        <w:t>99</w:t>
      </w:r>
    </w:p>
    <w:p>
      <w:pPr>
        <w:spacing w:after="0"/>
        <w:tabs>
          <w:tab w:leader="dot" w:pos="7560" w:val="left"/>
        </w:tabs>
        <w:rPr>
          <w:sz w:val="20"/>
          <w:szCs w:val="20"/>
          <w:color w:val="auto"/>
        </w:rPr>
      </w:pPr>
      <w:r>
        <w:rPr>
          <w:rFonts w:ascii="Arial" w:cs="Arial" w:eastAsia="Arial" w:hAnsi="Arial"/>
          <w:sz w:val="20"/>
          <w:szCs w:val="20"/>
          <w:color w:val="auto"/>
        </w:rPr>
        <w:t>2.14 Replacement Term Loans</w:t>
      </w:r>
      <w:r>
        <w:rPr>
          <w:sz w:val="20"/>
          <w:szCs w:val="20"/>
          <w:color w:val="auto"/>
        </w:rPr>
        <w:tab/>
      </w:r>
      <w:r>
        <w:rPr>
          <w:rFonts w:ascii="Arial" w:cs="Arial" w:eastAsia="Arial" w:hAnsi="Arial"/>
          <w:sz w:val="16"/>
          <w:szCs w:val="16"/>
          <w:color w:val="auto"/>
        </w:rPr>
        <w:t>101</w:t>
      </w:r>
    </w:p>
    <w:p>
      <w:pPr>
        <w:spacing w:after="0"/>
        <w:tabs>
          <w:tab w:leader="dot" w:pos="7600" w:val="left"/>
        </w:tabs>
        <w:rPr>
          <w:sz w:val="20"/>
          <w:szCs w:val="20"/>
          <w:color w:val="auto"/>
        </w:rPr>
      </w:pPr>
      <w:r>
        <w:rPr>
          <w:rFonts w:ascii="Arial" w:cs="Arial" w:eastAsia="Arial" w:hAnsi="Arial"/>
          <w:sz w:val="20"/>
          <w:szCs w:val="20"/>
          <w:color w:val="auto"/>
        </w:rPr>
        <w:t>2.15 Extension of Maturity Date</w:t>
      </w:r>
      <w:r>
        <w:rPr>
          <w:sz w:val="20"/>
          <w:szCs w:val="20"/>
          <w:color w:val="auto"/>
        </w:rPr>
        <w:tab/>
      </w:r>
      <w:r>
        <w:rPr>
          <w:rFonts w:ascii="Arial" w:cs="Arial" w:eastAsia="Arial" w:hAnsi="Arial"/>
          <w:sz w:val="16"/>
          <w:szCs w:val="16"/>
          <w:color w:val="auto"/>
        </w:rPr>
        <w:t>102</w:t>
      </w:r>
    </w:p>
    <w:p>
      <w:pPr>
        <w:spacing w:after="0"/>
        <w:tabs>
          <w:tab w:leader="dot" w:pos="7560" w:val="left"/>
        </w:tabs>
        <w:rPr>
          <w:sz w:val="20"/>
          <w:szCs w:val="20"/>
          <w:color w:val="auto"/>
        </w:rPr>
      </w:pPr>
      <w:r>
        <w:rPr>
          <w:rFonts w:ascii="Arial" w:cs="Arial" w:eastAsia="Arial" w:hAnsi="Arial"/>
          <w:sz w:val="20"/>
          <w:szCs w:val="20"/>
          <w:color w:val="auto"/>
        </w:rPr>
        <w:t>2.16 U.S. Borrower Representative</w:t>
      </w:r>
      <w:r>
        <w:rPr>
          <w:sz w:val="20"/>
          <w:szCs w:val="20"/>
          <w:color w:val="auto"/>
        </w:rPr>
        <w:tab/>
      </w:r>
      <w:r>
        <w:rPr>
          <w:rFonts w:ascii="Arial" w:cs="Arial" w:eastAsia="Arial" w:hAnsi="Arial"/>
          <w:sz w:val="16"/>
          <w:szCs w:val="16"/>
          <w:color w:val="auto"/>
        </w:rPr>
        <w:t>104</w:t>
      </w:r>
    </w:p>
    <w:p>
      <w:pPr>
        <w:spacing w:after="0"/>
        <w:tabs>
          <w:tab w:leader="dot" w:pos="7640" w:val="left"/>
        </w:tabs>
        <w:rPr>
          <w:sz w:val="20"/>
          <w:szCs w:val="20"/>
          <w:color w:val="auto"/>
        </w:rPr>
      </w:pPr>
      <w:r>
        <w:rPr>
          <w:rFonts w:ascii="Arial" w:cs="Arial" w:eastAsia="Arial" w:hAnsi="Arial"/>
          <w:sz w:val="20"/>
          <w:szCs w:val="20"/>
          <w:color w:val="auto"/>
        </w:rPr>
        <w:t>2A.1 The Canadian Revolving Commitments</w:t>
      </w:r>
      <w:r>
        <w:rPr>
          <w:sz w:val="20"/>
          <w:szCs w:val="20"/>
          <w:color w:val="auto"/>
        </w:rPr>
        <w:tab/>
      </w:r>
      <w:r>
        <w:rPr>
          <w:rFonts w:ascii="Arial" w:cs="Arial" w:eastAsia="Arial" w:hAnsi="Arial"/>
          <w:sz w:val="16"/>
          <w:szCs w:val="16"/>
          <w:color w:val="auto"/>
        </w:rPr>
        <w:t>104</w:t>
      </w:r>
    </w:p>
    <w:p>
      <w:pPr>
        <w:spacing w:after="0"/>
        <w:tabs>
          <w:tab w:leader="dot" w:pos="7620" w:val="left"/>
        </w:tabs>
        <w:rPr>
          <w:sz w:val="20"/>
          <w:szCs w:val="20"/>
          <w:color w:val="auto"/>
        </w:rPr>
      </w:pPr>
      <w:r>
        <w:rPr>
          <w:rFonts w:ascii="Arial" w:cs="Arial" w:eastAsia="Arial" w:hAnsi="Arial"/>
          <w:sz w:val="20"/>
          <w:szCs w:val="20"/>
          <w:color w:val="auto"/>
        </w:rPr>
        <w:t>2A.2 Notes</w:t>
      </w:r>
      <w:r>
        <w:rPr>
          <w:sz w:val="20"/>
          <w:szCs w:val="20"/>
          <w:color w:val="auto"/>
        </w:rPr>
        <w:tab/>
      </w:r>
      <w:r>
        <w:rPr>
          <w:rFonts w:ascii="Arial" w:cs="Arial" w:eastAsia="Arial" w:hAnsi="Arial"/>
          <w:sz w:val="16"/>
          <w:szCs w:val="16"/>
          <w:color w:val="auto"/>
        </w:rPr>
        <w:t>104</w:t>
      </w:r>
    </w:p>
    <w:p>
      <w:pPr>
        <w:spacing w:after="0"/>
        <w:tabs>
          <w:tab w:leader="dot" w:pos="7640" w:val="left"/>
        </w:tabs>
        <w:rPr>
          <w:sz w:val="20"/>
          <w:szCs w:val="20"/>
          <w:color w:val="auto"/>
        </w:rPr>
      </w:pPr>
      <w:r>
        <w:rPr>
          <w:rFonts w:ascii="Arial" w:cs="Arial" w:eastAsia="Arial" w:hAnsi="Arial"/>
          <w:sz w:val="20"/>
          <w:szCs w:val="20"/>
          <w:color w:val="auto"/>
        </w:rPr>
        <w:t>2A.3 Minimum Amount of Each Borrowing; Maximum Number of Borrowings</w:t>
      </w:r>
      <w:r>
        <w:rPr>
          <w:sz w:val="20"/>
          <w:szCs w:val="20"/>
          <w:color w:val="auto"/>
        </w:rPr>
        <w:tab/>
      </w:r>
      <w:r>
        <w:rPr>
          <w:rFonts w:ascii="Arial" w:cs="Arial" w:eastAsia="Arial" w:hAnsi="Arial"/>
          <w:sz w:val="16"/>
          <w:szCs w:val="16"/>
          <w:color w:val="auto"/>
        </w:rPr>
        <w:t>105</w:t>
      </w:r>
    </w:p>
    <w:p>
      <w:pPr>
        <w:spacing w:after="0"/>
        <w:tabs>
          <w:tab w:leader="dot" w:pos="7640" w:val="left"/>
        </w:tabs>
        <w:rPr>
          <w:sz w:val="20"/>
          <w:szCs w:val="20"/>
          <w:color w:val="auto"/>
        </w:rPr>
      </w:pPr>
      <w:r>
        <w:rPr>
          <w:rFonts w:ascii="Arial" w:cs="Arial" w:eastAsia="Arial" w:hAnsi="Arial"/>
          <w:sz w:val="20"/>
          <w:szCs w:val="20"/>
          <w:color w:val="auto"/>
        </w:rPr>
        <w:t>2A.4 Borrowing Options</w:t>
      </w:r>
      <w:r>
        <w:rPr>
          <w:sz w:val="20"/>
          <w:szCs w:val="20"/>
          <w:color w:val="auto"/>
        </w:rPr>
        <w:tab/>
      </w:r>
      <w:r>
        <w:rPr>
          <w:rFonts w:ascii="Arial" w:cs="Arial" w:eastAsia="Arial" w:hAnsi="Arial"/>
          <w:sz w:val="16"/>
          <w:szCs w:val="16"/>
          <w:color w:val="auto"/>
        </w:rPr>
        <w:t>105</w:t>
      </w:r>
    </w:p>
    <w:p>
      <w:pPr>
        <w:spacing w:after="0"/>
        <w:tabs>
          <w:tab w:leader="dot" w:pos="7620" w:val="left"/>
        </w:tabs>
        <w:rPr>
          <w:sz w:val="20"/>
          <w:szCs w:val="20"/>
          <w:color w:val="auto"/>
        </w:rPr>
      </w:pPr>
      <w:r>
        <w:rPr>
          <w:rFonts w:ascii="Arial" w:cs="Arial" w:eastAsia="Arial" w:hAnsi="Arial"/>
          <w:sz w:val="20"/>
          <w:szCs w:val="20"/>
          <w:color w:val="auto"/>
        </w:rPr>
        <w:t>2A.5 Notice of Canadian Borrowing</w:t>
      </w:r>
      <w:r>
        <w:rPr>
          <w:sz w:val="20"/>
          <w:szCs w:val="20"/>
          <w:color w:val="auto"/>
        </w:rPr>
        <w:tab/>
      </w:r>
      <w:r>
        <w:rPr>
          <w:rFonts w:ascii="Arial" w:cs="Arial" w:eastAsia="Arial" w:hAnsi="Arial"/>
          <w:sz w:val="16"/>
          <w:szCs w:val="16"/>
          <w:color w:val="auto"/>
        </w:rPr>
        <w:t>105</w:t>
      </w:r>
    </w:p>
    <w:p>
      <w:pPr>
        <w:spacing w:after="0"/>
        <w:tabs>
          <w:tab w:leader="dot" w:pos="7640" w:val="left"/>
        </w:tabs>
        <w:rPr>
          <w:sz w:val="20"/>
          <w:szCs w:val="20"/>
          <w:color w:val="auto"/>
        </w:rPr>
      </w:pPr>
      <w:r>
        <w:rPr>
          <w:rFonts w:ascii="Arial" w:cs="Arial" w:eastAsia="Arial" w:hAnsi="Arial"/>
          <w:sz w:val="20"/>
          <w:szCs w:val="20"/>
          <w:color w:val="auto"/>
        </w:rPr>
        <w:t>2A.6 Conversion or Continuation</w:t>
      </w:r>
      <w:r>
        <w:rPr>
          <w:sz w:val="20"/>
          <w:szCs w:val="20"/>
          <w:color w:val="auto"/>
        </w:rPr>
        <w:tab/>
      </w:r>
      <w:r>
        <w:rPr>
          <w:rFonts w:ascii="Arial" w:cs="Arial" w:eastAsia="Arial" w:hAnsi="Arial"/>
          <w:sz w:val="16"/>
          <w:szCs w:val="16"/>
          <w:color w:val="auto"/>
        </w:rPr>
        <w:t>105</w:t>
      </w:r>
    </w:p>
    <w:p>
      <w:pPr>
        <w:spacing w:after="0"/>
        <w:tabs>
          <w:tab w:leader="dot" w:pos="7640" w:val="left"/>
        </w:tabs>
        <w:rPr>
          <w:sz w:val="20"/>
          <w:szCs w:val="20"/>
          <w:color w:val="auto"/>
        </w:rPr>
      </w:pPr>
      <w:r>
        <w:rPr>
          <w:rFonts w:ascii="Arial" w:cs="Arial" w:eastAsia="Arial" w:hAnsi="Arial"/>
          <w:sz w:val="20"/>
          <w:szCs w:val="20"/>
          <w:color w:val="auto"/>
        </w:rPr>
        <w:t>2A.7 Disbursement of Funds and Presumptions by Canadian Administrative Agent</w:t>
      </w:r>
      <w:r>
        <w:rPr>
          <w:sz w:val="20"/>
          <w:szCs w:val="20"/>
          <w:color w:val="auto"/>
        </w:rPr>
        <w:tab/>
      </w:r>
      <w:r>
        <w:rPr>
          <w:rFonts w:ascii="Arial" w:cs="Arial" w:eastAsia="Arial" w:hAnsi="Arial"/>
          <w:sz w:val="16"/>
          <w:szCs w:val="16"/>
          <w:color w:val="auto"/>
        </w:rPr>
        <w:t>106</w:t>
      </w:r>
    </w:p>
    <w:p>
      <w:pPr>
        <w:spacing w:after="0"/>
        <w:tabs>
          <w:tab w:leader="dot" w:pos="7640" w:val="left"/>
        </w:tabs>
        <w:rPr>
          <w:sz w:val="20"/>
          <w:szCs w:val="20"/>
          <w:color w:val="auto"/>
        </w:rPr>
      </w:pPr>
      <w:r>
        <w:rPr>
          <w:rFonts w:ascii="Arial" w:cs="Arial" w:eastAsia="Arial" w:hAnsi="Arial"/>
          <w:sz w:val="20"/>
          <w:szCs w:val="20"/>
          <w:color w:val="auto"/>
        </w:rPr>
        <w:t>2A.8 Pro Rata Borrowings</w:t>
      </w:r>
      <w:r>
        <w:rPr>
          <w:sz w:val="20"/>
          <w:szCs w:val="20"/>
          <w:color w:val="auto"/>
        </w:rPr>
        <w:tab/>
      </w:r>
      <w:r>
        <w:rPr>
          <w:rFonts w:ascii="Arial" w:cs="Arial" w:eastAsia="Arial" w:hAnsi="Arial"/>
          <w:sz w:val="16"/>
          <w:szCs w:val="16"/>
          <w:color w:val="auto"/>
        </w:rPr>
        <w:t>107</w:t>
      </w:r>
    </w:p>
    <w:p>
      <w:pPr>
        <w:spacing w:after="0"/>
        <w:tabs>
          <w:tab w:leader="dot" w:pos="7640" w:val="left"/>
        </w:tabs>
        <w:rPr>
          <w:sz w:val="20"/>
          <w:szCs w:val="20"/>
          <w:color w:val="auto"/>
        </w:rPr>
      </w:pPr>
      <w:r>
        <w:rPr>
          <w:rFonts w:ascii="Arial" w:cs="Arial" w:eastAsia="Arial" w:hAnsi="Arial"/>
          <w:sz w:val="20"/>
          <w:szCs w:val="20"/>
          <w:color w:val="auto"/>
        </w:rPr>
        <w:t>2A.9 Bankers’ Acceptances</w:t>
      </w:r>
      <w:r>
        <w:rPr>
          <w:sz w:val="20"/>
          <w:szCs w:val="20"/>
          <w:color w:val="auto"/>
        </w:rPr>
        <w:tab/>
      </w:r>
      <w:r>
        <w:rPr>
          <w:rFonts w:ascii="Arial" w:cs="Arial" w:eastAsia="Arial" w:hAnsi="Arial"/>
          <w:sz w:val="16"/>
          <w:szCs w:val="16"/>
          <w:color w:val="auto"/>
        </w:rPr>
        <w:t>107</w:t>
      </w:r>
    </w:p>
    <w:p>
      <w:pPr>
        <w:spacing w:after="0"/>
        <w:tabs>
          <w:tab w:leader="dot" w:pos="7760" w:val="left"/>
        </w:tabs>
        <w:rPr>
          <w:sz w:val="20"/>
          <w:szCs w:val="20"/>
          <w:color w:val="auto"/>
        </w:rPr>
      </w:pPr>
      <w:r>
        <w:rPr>
          <w:rFonts w:ascii="Arial" w:cs="Arial" w:eastAsia="Arial" w:hAnsi="Arial"/>
          <w:sz w:val="20"/>
          <w:szCs w:val="20"/>
          <w:color w:val="auto"/>
        </w:rPr>
        <w:t>2A.10 Miscellaneous</w:t>
      </w:r>
      <w:r>
        <w:rPr>
          <w:sz w:val="20"/>
          <w:szCs w:val="20"/>
          <w:color w:val="auto"/>
        </w:rPr>
        <w:tab/>
      </w:r>
      <w:r>
        <w:rPr>
          <w:rFonts w:ascii="Arial" w:cs="Arial" w:eastAsia="Arial" w:hAnsi="Arial"/>
          <w:sz w:val="16"/>
          <w:szCs w:val="16"/>
          <w:color w:val="auto"/>
        </w:rPr>
        <w:t>110</w:t>
      </w:r>
    </w:p>
    <w:p>
      <w:pPr>
        <w:spacing w:after="0" w:line="213"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ARTICLE III</w:t>
      </w:r>
    </w:p>
    <w:p>
      <w:pPr>
        <w:spacing w:after="0" w:line="2"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INTEREST AND FEES</w:t>
      </w:r>
    </w:p>
    <w:p>
      <w:pPr>
        <w:spacing w:after="0" w:line="213" w:lineRule="exact"/>
        <w:rPr>
          <w:sz w:val="20"/>
          <w:szCs w:val="20"/>
          <w:color w:val="auto"/>
        </w:rPr>
      </w:pPr>
    </w:p>
    <w:p>
      <w:pPr>
        <w:spacing w:after="0"/>
        <w:tabs>
          <w:tab w:leader="dot" w:pos="7500" w:val="left"/>
        </w:tabs>
        <w:rPr>
          <w:sz w:val="20"/>
          <w:szCs w:val="20"/>
          <w:color w:val="auto"/>
        </w:rPr>
      </w:pPr>
      <w:r>
        <w:rPr>
          <w:rFonts w:ascii="Arial" w:cs="Arial" w:eastAsia="Arial" w:hAnsi="Arial"/>
          <w:sz w:val="20"/>
          <w:szCs w:val="20"/>
          <w:color w:val="auto"/>
        </w:rPr>
        <w:t>3.1 Interest</w:t>
      </w:r>
      <w:r>
        <w:rPr>
          <w:sz w:val="20"/>
          <w:szCs w:val="20"/>
          <w:color w:val="auto"/>
        </w:rPr>
        <w:tab/>
      </w:r>
      <w:r>
        <w:rPr>
          <w:rFonts w:ascii="Arial" w:cs="Arial" w:eastAsia="Arial" w:hAnsi="Arial"/>
          <w:sz w:val="16"/>
          <w:szCs w:val="16"/>
          <w:color w:val="auto"/>
        </w:rPr>
        <w:t>110</w:t>
      </w:r>
    </w:p>
    <w:p>
      <w:pPr>
        <w:spacing w:after="0"/>
        <w:tabs>
          <w:tab w:leader="dot" w:pos="7480" w:val="left"/>
        </w:tabs>
        <w:rPr>
          <w:sz w:val="20"/>
          <w:szCs w:val="20"/>
          <w:color w:val="auto"/>
        </w:rPr>
      </w:pPr>
      <w:r>
        <w:rPr>
          <w:rFonts w:ascii="Arial" w:cs="Arial" w:eastAsia="Arial" w:hAnsi="Arial"/>
          <w:sz w:val="20"/>
          <w:szCs w:val="20"/>
          <w:color w:val="auto"/>
        </w:rPr>
        <w:t>3.2 Fees</w:t>
      </w:r>
      <w:r>
        <w:rPr>
          <w:sz w:val="20"/>
          <w:szCs w:val="20"/>
          <w:color w:val="auto"/>
        </w:rPr>
        <w:tab/>
      </w:r>
      <w:r>
        <w:rPr>
          <w:rFonts w:ascii="Arial" w:cs="Arial" w:eastAsia="Arial" w:hAnsi="Arial"/>
          <w:sz w:val="16"/>
          <w:szCs w:val="16"/>
          <w:color w:val="auto"/>
        </w:rPr>
        <w:t>112</w:t>
      </w:r>
    </w:p>
    <w:p>
      <w:pPr>
        <w:spacing w:after="0"/>
        <w:tabs>
          <w:tab w:leader="dot" w:pos="7480" w:val="left"/>
        </w:tabs>
        <w:rPr>
          <w:sz w:val="20"/>
          <w:szCs w:val="20"/>
          <w:color w:val="auto"/>
        </w:rPr>
      </w:pPr>
      <w:r>
        <w:rPr>
          <w:rFonts w:ascii="Arial" w:cs="Arial" w:eastAsia="Arial" w:hAnsi="Arial"/>
          <w:sz w:val="20"/>
          <w:szCs w:val="20"/>
          <w:color w:val="auto"/>
        </w:rPr>
        <w:t>3.3 Computation of Interest and Fees</w:t>
      </w:r>
      <w:r>
        <w:rPr>
          <w:sz w:val="20"/>
          <w:szCs w:val="20"/>
          <w:color w:val="auto"/>
        </w:rPr>
        <w:tab/>
      </w:r>
      <w:r>
        <w:rPr>
          <w:rFonts w:ascii="Arial" w:cs="Arial" w:eastAsia="Arial" w:hAnsi="Arial"/>
          <w:sz w:val="16"/>
          <w:szCs w:val="16"/>
          <w:color w:val="auto"/>
        </w:rPr>
        <w:t>113</w:t>
      </w:r>
    </w:p>
    <w:p>
      <w:pPr>
        <w:spacing w:after="0" w:line="1" w:lineRule="exact"/>
        <w:rPr>
          <w:sz w:val="20"/>
          <w:szCs w:val="20"/>
          <w:color w:val="auto"/>
        </w:rPr>
      </w:pPr>
    </w:p>
    <w:p>
      <w:pPr>
        <w:spacing w:after="0"/>
        <w:tabs>
          <w:tab w:leader="dot" w:pos="7500" w:val="left"/>
        </w:tabs>
        <w:rPr>
          <w:sz w:val="20"/>
          <w:szCs w:val="20"/>
          <w:color w:val="auto"/>
        </w:rPr>
      </w:pPr>
      <w:r>
        <w:rPr>
          <w:rFonts w:ascii="Arial" w:cs="Arial" w:eastAsia="Arial" w:hAnsi="Arial"/>
          <w:sz w:val="20"/>
          <w:szCs w:val="20"/>
          <w:color w:val="auto"/>
        </w:rPr>
        <w:t>3.4 Interest Periods</w:t>
      </w:r>
      <w:r>
        <w:rPr>
          <w:sz w:val="20"/>
          <w:szCs w:val="20"/>
          <w:color w:val="auto"/>
        </w:rPr>
        <w:tab/>
      </w:r>
      <w:r>
        <w:rPr>
          <w:rFonts w:ascii="Arial" w:cs="Arial" w:eastAsia="Arial" w:hAnsi="Arial"/>
          <w:sz w:val="16"/>
          <w:szCs w:val="16"/>
          <w:color w:val="auto"/>
        </w:rPr>
        <w:t>113</w:t>
      </w:r>
    </w:p>
    <w:p>
      <w:pPr>
        <w:sectPr>
          <w:pgSz w:w="11900" w:h="16838" w:orient="portrait"/>
          <w:cols w:equalWidth="0" w:num="1">
            <w:col w:w="11240"/>
          </w:cols>
          <w:pgMar w:left="320" w:top="1413" w:right="339" w:bottom="1440" w:gutter="0" w:footer="0" w:header="0"/>
        </w:sectPr>
      </w:pPr>
    </w:p>
    <w:bookmarkStart w:id="107" w:name="page108"/>
    <w:bookmarkEnd w:id="107"/>
    <w:p>
      <w:pPr>
        <w:spacing w:after="0"/>
        <w:tabs>
          <w:tab w:leader="dot" w:pos="7500" w:val="left"/>
        </w:tabs>
        <w:rPr>
          <w:sz w:val="20"/>
          <w:szCs w:val="20"/>
          <w:color w:val="auto"/>
        </w:rPr>
      </w:pPr>
      <w:r>
        <w:rPr>
          <w:rFonts w:ascii="Arial" w:cs="Arial" w:eastAsia="Arial" w:hAnsi="Arial"/>
          <w:sz w:val="20"/>
          <w:szCs w:val="20"/>
          <w:color w:val="auto"/>
        </w:rPr>
        <w:t>3.5 Compensation for Funding Losses</w:t>
      </w:r>
      <w:r>
        <w:rPr>
          <w:sz w:val="20"/>
          <w:szCs w:val="20"/>
          <w:color w:val="auto"/>
        </w:rPr>
        <w:tab/>
      </w:r>
      <w:r>
        <w:rPr>
          <w:rFonts w:ascii="Arial" w:cs="Arial" w:eastAsia="Arial" w:hAnsi="Arial"/>
          <w:sz w:val="16"/>
          <w:szCs w:val="16"/>
          <w:color w:val="auto"/>
        </w:rPr>
        <w:t>114</w:t>
      </w:r>
    </w:p>
    <w:p>
      <w:pPr>
        <w:spacing w:after="0"/>
        <w:tabs>
          <w:tab w:leader="dot" w:pos="7500" w:val="left"/>
        </w:tabs>
        <w:rPr>
          <w:sz w:val="20"/>
          <w:szCs w:val="20"/>
          <w:color w:val="auto"/>
        </w:rPr>
      </w:pPr>
      <w:r>
        <w:rPr>
          <w:rFonts w:ascii="Arial" w:cs="Arial" w:eastAsia="Arial" w:hAnsi="Arial"/>
          <w:sz w:val="20"/>
          <w:szCs w:val="20"/>
          <w:color w:val="auto"/>
        </w:rPr>
        <w:t>3.6 Increased Costs, Illegality, Etc</w:t>
      </w:r>
      <w:r>
        <w:rPr>
          <w:sz w:val="20"/>
          <w:szCs w:val="20"/>
          <w:color w:val="auto"/>
        </w:rPr>
        <w:tab/>
      </w:r>
      <w:r>
        <w:rPr>
          <w:rFonts w:ascii="Arial" w:cs="Arial" w:eastAsia="Arial" w:hAnsi="Arial"/>
          <w:sz w:val="16"/>
          <w:szCs w:val="16"/>
          <w:color w:val="auto"/>
        </w:rPr>
        <w:t>115</w:t>
      </w:r>
    </w:p>
    <w:p>
      <w:pPr>
        <w:spacing w:after="0" w:line="1" w:lineRule="exact"/>
        <w:rPr>
          <w:sz w:val="20"/>
          <w:szCs w:val="20"/>
          <w:color w:val="auto"/>
        </w:rPr>
      </w:pPr>
    </w:p>
    <w:p>
      <w:pPr>
        <w:spacing w:after="0"/>
        <w:tabs>
          <w:tab w:leader="dot" w:pos="7500" w:val="left"/>
        </w:tabs>
        <w:rPr>
          <w:sz w:val="20"/>
          <w:szCs w:val="20"/>
          <w:color w:val="auto"/>
        </w:rPr>
      </w:pPr>
      <w:r>
        <w:rPr>
          <w:rFonts w:ascii="Arial" w:cs="Arial" w:eastAsia="Arial" w:hAnsi="Arial"/>
          <w:sz w:val="20"/>
          <w:szCs w:val="20"/>
          <w:color w:val="auto"/>
        </w:rPr>
        <w:t>3.7 Mitigation Obligations; Replacement of Affected Lenders</w:t>
      </w:r>
      <w:r>
        <w:rPr>
          <w:sz w:val="20"/>
          <w:szCs w:val="20"/>
          <w:color w:val="auto"/>
        </w:rPr>
        <w:tab/>
      </w:r>
      <w:r>
        <w:rPr>
          <w:rFonts w:ascii="Arial" w:cs="Arial" w:eastAsia="Arial" w:hAnsi="Arial"/>
          <w:sz w:val="16"/>
          <w:szCs w:val="16"/>
          <w:color w:val="auto"/>
        </w:rPr>
        <w:t>117</w:t>
      </w:r>
    </w:p>
    <w:p>
      <w:pPr>
        <w:spacing w:after="0" w:line="213"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ARTICLE IV</w:t>
      </w:r>
    </w:p>
    <w:p>
      <w:pPr>
        <w:spacing w:after="0" w:line="2"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REDUCTION OF COMMITMENTS; PAYMENTS AND PREPAYMENTS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jc w:val="right"/>
              <w:spacing w:after="0"/>
              <w:rPr>
                <w:sz w:val="20"/>
                <w:szCs w:val="20"/>
                <w:color w:val="auto"/>
              </w:rPr>
            </w:pPr>
            <w:r>
              <w:rPr>
                <w:rFonts w:ascii="Arial" w:cs="Arial" w:eastAsia="Arial" w:hAnsi="Arial"/>
                <w:sz w:val="20"/>
                <w:szCs w:val="20"/>
                <w:color w:val="auto"/>
                <w:w w:val="86"/>
              </w:rPr>
              <w:t>4.1</w:t>
            </w:r>
          </w:p>
        </w:tc>
        <w:tc>
          <w:tcPr>
            <w:tcW w:w="7200" w:type="dxa"/>
            <w:vAlign w:val="bottom"/>
          </w:tcPr>
          <w:p>
            <w:pPr>
              <w:ind w:left="20"/>
              <w:spacing w:after="0"/>
              <w:rPr>
                <w:sz w:val="20"/>
                <w:szCs w:val="20"/>
                <w:color w:val="auto"/>
              </w:rPr>
            </w:pPr>
            <w:r>
              <w:rPr>
                <w:rFonts w:ascii="Arial" w:cs="Arial" w:eastAsia="Arial" w:hAnsi="Arial"/>
                <w:sz w:val="20"/>
                <w:szCs w:val="20"/>
                <w:color w:val="auto"/>
                <w:w w:val="90"/>
              </w:rPr>
              <w:t>Voluntary Reduction of Commitments...................................................................................</w:t>
            </w:r>
          </w:p>
        </w:tc>
        <w:tc>
          <w:tcPr>
            <w:tcW w:w="340" w:type="dxa"/>
            <w:vAlign w:val="bottom"/>
          </w:tcPr>
          <w:p>
            <w:pPr>
              <w:spacing w:after="0"/>
              <w:rPr>
                <w:sz w:val="20"/>
                <w:szCs w:val="20"/>
                <w:color w:val="auto"/>
              </w:rPr>
            </w:pPr>
            <w:r>
              <w:rPr>
                <w:rFonts w:ascii="Arial" w:cs="Arial" w:eastAsia="Arial" w:hAnsi="Arial"/>
                <w:sz w:val="20"/>
                <w:szCs w:val="20"/>
                <w:color w:val="auto"/>
                <w:w w:val="95"/>
              </w:rPr>
              <w:t>119</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4.2</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Mandatory Reductions of Term Commitments.......................................................................</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95"/>
              </w:rPr>
              <w:t>119</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4.3</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Voluntary Prepayments...........................................................................................................</w:t>
            </w:r>
          </w:p>
        </w:tc>
        <w:tc>
          <w:tcPr>
            <w:tcW w:w="340" w:type="dxa"/>
            <w:vAlign w:val="bottom"/>
          </w:tcPr>
          <w:p>
            <w:pPr>
              <w:ind w:left="20"/>
              <w:spacing w:after="0" w:line="216" w:lineRule="exact"/>
              <w:rPr>
                <w:sz w:val="20"/>
                <w:szCs w:val="20"/>
                <w:color w:val="auto"/>
              </w:rPr>
            </w:pPr>
            <w:r>
              <w:rPr>
                <w:rFonts w:ascii="Arial" w:cs="Arial" w:eastAsia="Arial" w:hAnsi="Arial"/>
                <w:sz w:val="20"/>
                <w:szCs w:val="20"/>
                <w:color w:val="auto"/>
                <w:w w:val="89"/>
              </w:rPr>
              <w:t>119</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4.4</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Mandatory Prepayments.........................................................................................................</w:t>
            </w:r>
          </w:p>
        </w:tc>
        <w:tc>
          <w:tcPr>
            <w:tcW w:w="340" w:type="dxa"/>
            <w:vAlign w:val="bottom"/>
          </w:tcPr>
          <w:p>
            <w:pPr>
              <w:spacing w:after="0" w:line="216" w:lineRule="exact"/>
              <w:rPr>
                <w:sz w:val="20"/>
                <w:szCs w:val="20"/>
                <w:color w:val="auto"/>
              </w:rPr>
            </w:pPr>
            <w:r>
              <w:rPr>
                <w:rFonts w:ascii="Arial" w:cs="Arial" w:eastAsia="Arial" w:hAnsi="Arial"/>
                <w:sz w:val="20"/>
                <w:szCs w:val="20"/>
                <w:color w:val="auto"/>
                <w:w w:val="95"/>
              </w:rPr>
              <w:t>120</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4.5</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90"/>
              </w:rPr>
              <w:t>Application of Prepayments; Waiver of Certain Prepayments...............................................</w:t>
            </w:r>
          </w:p>
        </w:tc>
        <w:tc>
          <w:tcPr>
            <w:tcW w:w="340" w:type="dxa"/>
            <w:vAlign w:val="bottom"/>
          </w:tcPr>
          <w:p>
            <w:pPr>
              <w:spacing w:after="0" w:line="216" w:lineRule="exact"/>
              <w:rPr>
                <w:sz w:val="20"/>
                <w:szCs w:val="20"/>
                <w:color w:val="auto"/>
              </w:rPr>
            </w:pPr>
            <w:r>
              <w:rPr>
                <w:rFonts w:ascii="Arial" w:cs="Arial" w:eastAsia="Arial" w:hAnsi="Arial"/>
                <w:sz w:val="20"/>
                <w:szCs w:val="20"/>
                <w:color w:val="auto"/>
                <w:w w:val="95"/>
              </w:rPr>
              <w:t>122</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4.6</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Method and Place of Payment................................................................................................</w:t>
            </w:r>
          </w:p>
        </w:tc>
        <w:tc>
          <w:tcPr>
            <w:tcW w:w="340" w:type="dxa"/>
            <w:vAlign w:val="bottom"/>
          </w:tcPr>
          <w:p>
            <w:pPr>
              <w:spacing w:after="0" w:line="216" w:lineRule="exact"/>
              <w:rPr>
                <w:sz w:val="20"/>
                <w:szCs w:val="20"/>
                <w:color w:val="auto"/>
              </w:rPr>
            </w:pPr>
            <w:r>
              <w:rPr>
                <w:rFonts w:ascii="Arial" w:cs="Arial" w:eastAsia="Arial" w:hAnsi="Arial"/>
                <w:sz w:val="20"/>
                <w:szCs w:val="20"/>
                <w:color w:val="auto"/>
                <w:w w:val="95"/>
              </w:rPr>
              <w:t>123</w:t>
            </w:r>
          </w:p>
        </w:tc>
      </w:tr>
      <w:tr>
        <w:trPr>
          <w:trHeight w:val="250"/>
        </w:trPr>
        <w:tc>
          <w:tcPr>
            <w:tcW w:w="280" w:type="dxa"/>
            <w:vAlign w:val="bottom"/>
          </w:tcPr>
          <w:p>
            <w:pPr>
              <w:jc w:val="right"/>
              <w:spacing w:after="0"/>
              <w:rPr>
                <w:sz w:val="20"/>
                <w:szCs w:val="20"/>
                <w:color w:val="auto"/>
              </w:rPr>
            </w:pPr>
            <w:r>
              <w:rPr>
                <w:rFonts w:ascii="Arial" w:cs="Arial" w:eastAsia="Arial" w:hAnsi="Arial"/>
                <w:sz w:val="20"/>
                <w:szCs w:val="20"/>
                <w:color w:val="auto"/>
                <w:w w:val="86"/>
              </w:rPr>
              <w:t>4.7</w:t>
            </w:r>
          </w:p>
        </w:tc>
        <w:tc>
          <w:tcPr>
            <w:tcW w:w="7200" w:type="dxa"/>
            <w:vAlign w:val="bottom"/>
          </w:tcPr>
          <w:p>
            <w:pPr>
              <w:ind w:left="20"/>
              <w:spacing w:after="0"/>
              <w:rPr>
                <w:sz w:val="20"/>
                <w:szCs w:val="20"/>
                <w:color w:val="auto"/>
              </w:rPr>
            </w:pPr>
            <w:r>
              <w:rPr>
                <w:rFonts w:ascii="Arial" w:cs="Arial" w:eastAsia="Arial" w:hAnsi="Arial"/>
                <w:sz w:val="20"/>
                <w:szCs w:val="20"/>
                <w:color w:val="auto"/>
                <w:w w:val="89"/>
              </w:rPr>
              <w:t>Net Payments..........................................................................................................................</w:t>
            </w:r>
          </w:p>
        </w:tc>
        <w:tc>
          <w:tcPr>
            <w:tcW w:w="340" w:type="dxa"/>
            <w:vAlign w:val="bottom"/>
          </w:tcPr>
          <w:p>
            <w:pPr>
              <w:ind w:left="20"/>
              <w:spacing w:after="0"/>
              <w:rPr>
                <w:sz w:val="20"/>
                <w:szCs w:val="20"/>
                <w:color w:val="auto"/>
              </w:rPr>
            </w:pPr>
            <w:r>
              <w:rPr>
                <w:rFonts w:ascii="Arial" w:cs="Arial" w:eastAsia="Arial" w:hAnsi="Arial"/>
                <w:sz w:val="20"/>
                <w:szCs w:val="20"/>
                <w:color w:val="auto"/>
                <w:w w:val="89"/>
              </w:rPr>
              <w:t>124</w:t>
            </w:r>
          </w:p>
        </w:tc>
      </w:tr>
      <w:tr>
        <w:trPr>
          <w:trHeight w:val="425"/>
        </w:trPr>
        <w:tc>
          <w:tcPr>
            <w:tcW w:w="280" w:type="dxa"/>
            <w:vAlign w:val="bottom"/>
          </w:tcPr>
          <w:p>
            <w:pPr>
              <w:spacing w:after="0"/>
              <w:rPr>
                <w:sz w:val="24"/>
                <w:szCs w:val="24"/>
                <w:color w:val="auto"/>
              </w:rPr>
            </w:pPr>
          </w:p>
        </w:tc>
        <w:tc>
          <w:tcPr>
            <w:tcW w:w="7200" w:type="dxa"/>
            <w:vAlign w:val="bottom"/>
          </w:tcPr>
          <w:p>
            <w:pPr>
              <w:jc w:val="center"/>
              <w:ind w:left="3401"/>
              <w:spacing w:after="0"/>
              <w:rPr>
                <w:sz w:val="20"/>
                <w:szCs w:val="20"/>
                <w:color w:val="auto"/>
              </w:rPr>
            </w:pPr>
            <w:r>
              <w:rPr>
                <w:rFonts w:ascii="Arial" w:cs="Arial" w:eastAsia="Arial" w:hAnsi="Arial"/>
                <w:sz w:val="20"/>
                <w:szCs w:val="20"/>
                <w:color w:val="auto"/>
                <w:w w:val="98"/>
              </w:rPr>
              <w:t>ARTICLE V</w:t>
            </w:r>
          </w:p>
        </w:tc>
        <w:tc>
          <w:tcPr>
            <w:tcW w:w="340" w:type="dxa"/>
            <w:vAlign w:val="bottom"/>
          </w:tcPr>
          <w:p>
            <w:pPr>
              <w:spacing w:after="0"/>
              <w:rPr>
                <w:sz w:val="24"/>
                <w:szCs w:val="24"/>
                <w:color w:val="auto"/>
              </w:rPr>
            </w:pPr>
          </w:p>
        </w:tc>
      </w:tr>
      <w:tr>
        <w:trPr>
          <w:trHeight w:val="250"/>
        </w:trPr>
        <w:tc>
          <w:tcPr>
            <w:tcW w:w="280" w:type="dxa"/>
            <w:vAlign w:val="bottom"/>
          </w:tcPr>
          <w:p>
            <w:pPr>
              <w:spacing w:after="0"/>
              <w:rPr>
                <w:sz w:val="21"/>
                <w:szCs w:val="21"/>
                <w:color w:val="auto"/>
              </w:rPr>
            </w:pPr>
          </w:p>
        </w:tc>
        <w:tc>
          <w:tcPr>
            <w:tcW w:w="7200" w:type="dxa"/>
            <w:vAlign w:val="bottom"/>
          </w:tcPr>
          <w:p>
            <w:pPr>
              <w:jc w:val="center"/>
              <w:ind w:left="3381"/>
              <w:spacing w:after="0"/>
              <w:rPr>
                <w:sz w:val="20"/>
                <w:szCs w:val="20"/>
                <w:color w:val="auto"/>
              </w:rPr>
            </w:pPr>
            <w:r>
              <w:rPr>
                <w:rFonts w:ascii="Arial" w:cs="Arial" w:eastAsia="Arial" w:hAnsi="Arial"/>
                <w:sz w:val="20"/>
                <w:szCs w:val="20"/>
                <w:color w:val="auto"/>
                <w:w w:val="95"/>
              </w:rPr>
              <w:t>CONDITIONS OF CREDIT</w:t>
            </w:r>
          </w:p>
        </w:tc>
        <w:tc>
          <w:tcPr>
            <w:tcW w:w="340" w:type="dxa"/>
            <w:vAlign w:val="bottom"/>
          </w:tcPr>
          <w:p>
            <w:pPr>
              <w:spacing w:after="0"/>
              <w:rPr>
                <w:sz w:val="21"/>
                <w:szCs w:val="21"/>
                <w:color w:val="auto"/>
              </w:rPr>
            </w:pPr>
          </w:p>
        </w:tc>
      </w:tr>
      <w:tr>
        <w:trPr>
          <w:trHeight w:val="425"/>
        </w:trPr>
        <w:tc>
          <w:tcPr>
            <w:tcW w:w="280" w:type="dxa"/>
            <w:vAlign w:val="bottom"/>
          </w:tcPr>
          <w:p>
            <w:pPr>
              <w:jc w:val="right"/>
              <w:spacing w:after="0"/>
              <w:rPr>
                <w:sz w:val="20"/>
                <w:szCs w:val="20"/>
                <w:color w:val="auto"/>
              </w:rPr>
            </w:pPr>
            <w:r>
              <w:rPr>
                <w:rFonts w:ascii="Arial" w:cs="Arial" w:eastAsia="Arial" w:hAnsi="Arial"/>
                <w:sz w:val="20"/>
                <w:szCs w:val="20"/>
                <w:color w:val="auto"/>
                <w:w w:val="86"/>
              </w:rPr>
              <w:t>5.1</w:t>
            </w:r>
          </w:p>
        </w:tc>
        <w:tc>
          <w:tcPr>
            <w:tcW w:w="7200" w:type="dxa"/>
            <w:vAlign w:val="bottom"/>
          </w:tcPr>
          <w:p>
            <w:pPr>
              <w:ind w:left="20"/>
              <w:spacing w:after="0"/>
              <w:rPr>
                <w:sz w:val="20"/>
                <w:szCs w:val="20"/>
                <w:color w:val="auto"/>
              </w:rPr>
            </w:pPr>
            <w:r>
              <w:rPr>
                <w:rFonts w:ascii="Arial" w:cs="Arial" w:eastAsia="Arial" w:hAnsi="Arial"/>
                <w:sz w:val="20"/>
                <w:szCs w:val="20"/>
                <w:color w:val="auto"/>
                <w:w w:val="89"/>
              </w:rPr>
              <w:t>Conditions Precedent to the Effective Date............................................................................</w:t>
            </w:r>
          </w:p>
        </w:tc>
        <w:tc>
          <w:tcPr>
            <w:tcW w:w="340" w:type="dxa"/>
            <w:vAlign w:val="bottom"/>
          </w:tcPr>
          <w:p>
            <w:pPr>
              <w:jc w:val="right"/>
              <w:spacing w:after="0"/>
              <w:rPr>
                <w:sz w:val="20"/>
                <w:szCs w:val="20"/>
                <w:color w:val="auto"/>
              </w:rPr>
            </w:pPr>
            <w:r>
              <w:rPr>
                <w:rFonts w:ascii="Arial" w:cs="Arial" w:eastAsia="Arial" w:hAnsi="Arial"/>
                <w:sz w:val="20"/>
                <w:szCs w:val="20"/>
                <w:color w:val="auto"/>
                <w:w w:val="89"/>
              </w:rPr>
              <w:t>134</w:t>
            </w:r>
          </w:p>
        </w:tc>
      </w:tr>
      <w:tr>
        <w:trPr>
          <w:trHeight w:val="250"/>
        </w:trPr>
        <w:tc>
          <w:tcPr>
            <w:tcW w:w="280" w:type="dxa"/>
            <w:vAlign w:val="bottom"/>
          </w:tcPr>
          <w:p>
            <w:pPr>
              <w:jc w:val="right"/>
              <w:spacing w:after="0"/>
              <w:rPr>
                <w:sz w:val="20"/>
                <w:szCs w:val="20"/>
                <w:color w:val="auto"/>
              </w:rPr>
            </w:pPr>
            <w:r>
              <w:rPr>
                <w:rFonts w:ascii="Arial" w:cs="Arial" w:eastAsia="Arial" w:hAnsi="Arial"/>
                <w:sz w:val="20"/>
                <w:szCs w:val="20"/>
                <w:color w:val="auto"/>
                <w:w w:val="86"/>
              </w:rPr>
              <w:t>5.2</w:t>
            </w:r>
          </w:p>
        </w:tc>
        <w:tc>
          <w:tcPr>
            <w:tcW w:w="7200" w:type="dxa"/>
            <w:vAlign w:val="bottom"/>
          </w:tcPr>
          <w:p>
            <w:pPr>
              <w:ind w:left="20"/>
              <w:spacing w:after="0"/>
              <w:rPr>
                <w:sz w:val="20"/>
                <w:szCs w:val="20"/>
                <w:color w:val="auto"/>
              </w:rPr>
            </w:pPr>
            <w:r>
              <w:rPr>
                <w:rFonts w:ascii="Arial" w:cs="Arial" w:eastAsia="Arial" w:hAnsi="Arial"/>
                <w:sz w:val="20"/>
                <w:szCs w:val="20"/>
                <w:color w:val="auto"/>
                <w:w w:val="90"/>
              </w:rPr>
              <w:t>Conditions Precedent to All Credit Events.............................................................................</w:t>
            </w:r>
          </w:p>
        </w:tc>
        <w:tc>
          <w:tcPr>
            <w:tcW w:w="340" w:type="dxa"/>
            <w:vAlign w:val="bottom"/>
          </w:tcPr>
          <w:p>
            <w:pPr>
              <w:jc w:val="right"/>
              <w:spacing w:after="0"/>
              <w:rPr>
                <w:sz w:val="20"/>
                <w:szCs w:val="20"/>
                <w:color w:val="auto"/>
              </w:rPr>
            </w:pPr>
            <w:r>
              <w:rPr>
                <w:rFonts w:ascii="Arial" w:cs="Arial" w:eastAsia="Arial" w:hAnsi="Arial"/>
                <w:sz w:val="20"/>
                <w:szCs w:val="20"/>
                <w:color w:val="auto"/>
                <w:w w:val="89"/>
              </w:rPr>
              <w:t>137</w:t>
            </w:r>
          </w:p>
        </w:tc>
      </w:tr>
      <w:tr>
        <w:trPr>
          <w:trHeight w:val="425"/>
        </w:trPr>
        <w:tc>
          <w:tcPr>
            <w:tcW w:w="280" w:type="dxa"/>
            <w:vAlign w:val="bottom"/>
          </w:tcPr>
          <w:p>
            <w:pPr>
              <w:spacing w:after="0"/>
              <w:rPr>
                <w:sz w:val="24"/>
                <w:szCs w:val="24"/>
                <w:color w:val="auto"/>
              </w:rPr>
            </w:pPr>
          </w:p>
        </w:tc>
        <w:tc>
          <w:tcPr>
            <w:tcW w:w="7200" w:type="dxa"/>
            <w:vAlign w:val="bottom"/>
          </w:tcPr>
          <w:p>
            <w:pPr>
              <w:jc w:val="center"/>
              <w:ind w:left="3381"/>
              <w:spacing w:after="0"/>
              <w:rPr>
                <w:sz w:val="20"/>
                <w:szCs w:val="20"/>
                <w:color w:val="auto"/>
              </w:rPr>
            </w:pPr>
            <w:r>
              <w:rPr>
                <w:rFonts w:ascii="Arial" w:cs="Arial" w:eastAsia="Arial" w:hAnsi="Arial"/>
                <w:sz w:val="20"/>
                <w:szCs w:val="20"/>
                <w:color w:val="auto"/>
                <w:w w:val="99"/>
              </w:rPr>
              <w:t>ARTICLE VI</w:t>
            </w:r>
          </w:p>
        </w:tc>
        <w:tc>
          <w:tcPr>
            <w:tcW w:w="340" w:type="dxa"/>
            <w:vAlign w:val="bottom"/>
          </w:tcPr>
          <w:p>
            <w:pPr>
              <w:spacing w:after="0"/>
              <w:rPr>
                <w:sz w:val="24"/>
                <w:szCs w:val="24"/>
                <w:color w:val="auto"/>
              </w:rPr>
            </w:pPr>
          </w:p>
        </w:tc>
      </w:tr>
      <w:tr>
        <w:trPr>
          <w:trHeight w:val="250"/>
        </w:trPr>
        <w:tc>
          <w:tcPr>
            <w:tcW w:w="280" w:type="dxa"/>
            <w:vAlign w:val="bottom"/>
          </w:tcPr>
          <w:p>
            <w:pPr>
              <w:spacing w:after="0"/>
              <w:rPr>
                <w:sz w:val="21"/>
                <w:szCs w:val="21"/>
                <w:color w:val="auto"/>
              </w:rPr>
            </w:pPr>
          </w:p>
        </w:tc>
        <w:tc>
          <w:tcPr>
            <w:tcW w:w="7200" w:type="dxa"/>
            <w:vAlign w:val="bottom"/>
          </w:tcPr>
          <w:p>
            <w:pPr>
              <w:jc w:val="center"/>
              <w:ind w:left="3381"/>
              <w:spacing w:after="0"/>
              <w:rPr>
                <w:sz w:val="20"/>
                <w:szCs w:val="20"/>
                <w:color w:val="auto"/>
              </w:rPr>
            </w:pPr>
            <w:r>
              <w:rPr>
                <w:rFonts w:ascii="Arial" w:cs="Arial" w:eastAsia="Arial" w:hAnsi="Arial"/>
                <w:sz w:val="20"/>
                <w:szCs w:val="20"/>
                <w:color w:val="auto"/>
                <w:w w:val="93"/>
              </w:rPr>
              <w:t>REPRESENTATIONS AND WARRANTIES</w:t>
            </w:r>
          </w:p>
        </w:tc>
        <w:tc>
          <w:tcPr>
            <w:tcW w:w="340" w:type="dxa"/>
            <w:vAlign w:val="bottom"/>
          </w:tcPr>
          <w:p>
            <w:pPr>
              <w:spacing w:after="0"/>
              <w:rPr>
                <w:sz w:val="21"/>
                <w:szCs w:val="21"/>
                <w:color w:val="auto"/>
              </w:rPr>
            </w:pPr>
          </w:p>
        </w:tc>
      </w:tr>
      <w:tr>
        <w:trPr>
          <w:trHeight w:val="425"/>
        </w:trPr>
        <w:tc>
          <w:tcPr>
            <w:tcW w:w="280" w:type="dxa"/>
            <w:vAlign w:val="bottom"/>
          </w:tcPr>
          <w:p>
            <w:pPr>
              <w:jc w:val="right"/>
              <w:spacing w:after="0"/>
              <w:rPr>
                <w:sz w:val="20"/>
                <w:szCs w:val="20"/>
                <w:color w:val="auto"/>
              </w:rPr>
            </w:pPr>
            <w:r>
              <w:rPr>
                <w:rFonts w:ascii="Arial" w:cs="Arial" w:eastAsia="Arial" w:hAnsi="Arial"/>
                <w:sz w:val="20"/>
                <w:szCs w:val="20"/>
                <w:color w:val="auto"/>
                <w:w w:val="86"/>
              </w:rPr>
              <w:t>6.1</w:t>
            </w:r>
          </w:p>
        </w:tc>
        <w:tc>
          <w:tcPr>
            <w:tcW w:w="7200" w:type="dxa"/>
            <w:vAlign w:val="bottom"/>
          </w:tcPr>
          <w:p>
            <w:pPr>
              <w:ind w:left="20"/>
              <w:spacing w:after="0"/>
              <w:rPr>
                <w:sz w:val="20"/>
                <w:szCs w:val="20"/>
                <w:color w:val="auto"/>
              </w:rPr>
            </w:pPr>
            <w:r>
              <w:rPr>
                <w:rFonts w:ascii="Arial" w:cs="Arial" w:eastAsia="Arial" w:hAnsi="Arial"/>
                <w:sz w:val="20"/>
                <w:szCs w:val="20"/>
                <w:color w:val="auto"/>
                <w:w w:val="88"/>
              </w:rPr>
              <w:t>Corporate Status......................................................................................................................</w:t>
            </w:r>
          </w:p>
        </w:tc>
        <w:tc>
          <w:tcPr>
            <w:tcW w:w="340" w:type="dxa"/>
            <w:vAlign w:val="bottom"/>
          </w:tcPr>
          <w:p>
            <w:pPr>
              <w:jc w:val="right"/>
              <w:spacing w:after="0"/>
              <w:rPr>
                <w:sz w:val="20"/>
                <w:szCs w:val="20"/>
                <w:color w:val="auto"/>
              </w:rPr>
            </w:pPr>
            <w:r>
              <w:rPr>
                <w:rFonts w:ascii="Arial" w:cs="Arial" w:eastAsia="Arial" w:hAnsi="Arial"/>
                <w:sz w:val="20"/>
                <w:szCs w:val="20"/>
                <w:color w:val="auto"/>
                <w:w w:val="95"/>
              </w:rPr>
              <w:t>139</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6.2</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Corporate Power and Authority..............................................................................................</w:t>
            </w:r>
          </w:p>
        </w:tc>
        <w:tc>
          <w:tcPr>
            <w:tcW w:w="340" w:type="dxa"/>
            <w:vAlign w:val="bottom"/>
          </w:tcPr>
          <w:p>
            <w:pPr>
              <w:ind w:left="20"/>
              <w:spacing w:after="0" w:line="216" w:lineRule="exact"/>
              <w:rPr>
                <w:sz w:val="20"/>
                <w:szCs w:val="20"/>
                <w:color w:val="auto"/>
              </w:rPr>
            </w:pPr>
            <w:r>
              <w:rPr>
                <w:rFonts w:ascii="Arial" w:cs="Arial" w:eastAsia="Arial" w:hAnsi="Arial"/>
                <w:sz w:val="20"/>
                <w:szCs w:val="20"/>
                <w:color w:val="auto"/>
                <w:w w:val="89"/>
              </w:rPr>
              <w:t>139</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6.3</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No Violation............................................................................................................................</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95"/>
              </w:rPr>
              <w:t>139</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6.4</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Governmental and Other Approvals.......................................................................................</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9"/>
              </w:rPr>
              <w:t>139</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6.5</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90"/>
              </w:rPr>
              <w:t>Financial Statements; Financial Condition; Undisclosed Liabilities Projections; Etc............</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95"/>
              </w:rPr>
              <w:t>140</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6.6</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Litigation.................................................................................................................................</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95"/>
              </w:rPr>
              <w:t>141</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6.7</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True and Complete Disclosure................................................................................................</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95"/>
              </w:rPr>
              <w:t>141</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6.8</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Use of Proceeds; Margin Regulations.....................................................................................</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95"/>
              </w:rPr>
              <w:t>142</w:t>
            </w:r>
          </w:p>
        </w:tc>
      </w:tr>
      <w:tr>
        <w:trPr>
          <w:trHeight w:val="232"/>
        </w:trPr>
        <w:tc>
          <w:tcPr>
            <w:tcW w:w="280" w:type="dxa"/>
            <w:vAlign w:val="bottom"/>
          </w:tcPr>
          <w:p>
            <w:pPr>
              <w:jc w:val="right"/>
              <w:spacing w:after="0"/>
              <w:rPr>
                <w:sz w:val="20"/>
                <w:szCs w:val="20"/>
                <w:color w:val="auto"/>
              </w:rPr>
            </w:pPr>
            <w:r>
              <w:rPr>
                <w:rFonts w:ascii="Arial" w:cs="Arial" w:eastAsia="Arial" w:hAnsi="Arial"/>
                <w:sz w:val="20"/>
                <w:szCs w:val="20"/>
                <w:color w:val="auto"/>
                <w:w w:val="86"/>
              </w:rPr>
              <w:t>6.9</w:t>
            </w:r>
          </w:p>
        </w:tc>
        <w:tc>
          <w:tcPr>
            <w:tcW w:w="7200" w:type="dxa"/>
            <w:vAlign w:val="bottom"/>
          </w:tcPr>
          <w:p>
            <w:pPr>
              <w:ind w:left="20"/>
              <w:spacing w:after="0"/>
              <w:rPr>
                <w:sz w:val="20"/>
                <w:szCs w:val="20"/>
                <w:color w:val="auto"/>
              </w:rPr>
            </w:pPr>
            <w:r>
              <w:rPr>
                <w:rFonts w:ascii="Arial" w:cs="Arial" w:eastAsia="Arial" w:hAnsi="Arial"/>
                <w:sz w:val="20"/>
                <w:szCs w:val="20"/>
                <w:color w:val="auto"/>
                <w:w w:val="88"/>
              </w:rPr>
              <w:t>Taxes.......................................................................................................................................</w:t>
            </w:r>
          </w:p>
        </w:tc>
        <w:tc>
          <w:tcPr>
            <w:tcW w:w="340" w:type="dxa"/>
            <w:vAlign w:val="bottom"/>
          </w:tcPr>
          <w:p>
            <w:pPr>
              <w:ind w:left="20"/>
              <w:spacing w:after="0"/>
              <w:rPr>
                <w:sz w:val="20"/>
                <w:szCs w:val="20"/>
                <w:color w:val="auto"/>
              </w:rPr>
            </w:pPr>
            <w:r>
              <w:rPr>
                <w:rFonts w:ascii="Arial" w:cs="Arial" w:eastAsia="Arial" w:hAnsi="Arial"/>
                <w:sz w:val="20"/>
                <w:szCs w:val="20"/>
                <w:color w:val="auto"/>
                <w:w w:val="89"/>
              </w:rPr>
              <w:t>142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0" w:type="dxa"/>
            <w:vAlign w:val="bottom"/>
          </w:tcPr>
          <w:p>
            <w:pPr>
              <w:spacing w:after="0" w:line="200" w:lineRule="exact"/>
              <w:rPr>
                <w:sz w:val="20"/>
                <w:szCs w:val="20"/>
                <w:color w:val="auto"/>
              </w:rPr>
            </w:pPr>
            <w:r>
              <w:rPr>
                <w:rFonts w:ascii="Arial" w:cs="Arial" w:eastAsia="Arial" w:hAnsi="Arial"/>
                <w:sz w:val="20"/>
                <w:szCs w:val="20"/>
                <w:color w:val="auto"/>
                <w:w w:val="92"/>
              </w:rPr>
              <w:t>6.10</w:t>
            </w:r>
          </w:p>
        </w:tc>
        <w:tc>
          <w:tcPr>
            <w:tcW w:w="7200" w:type="dxa"/>
            <w:vAlign w:val="bottom"/>
          </w:tcPr>
          <w:p>
            <w:pPr>
              <w:ind w:left="20"/>
              <w:spacing w:after="0" w:line="200" w:lineRule="exact"/>
              <w:rPr>
                <w:sz w:val="20"/>
                <w:szCs w:val="20"/>
                <w:color w:val="auto"/>
              </w:rPr>
            </w:pPr>
            <w:r>
              <w:rPr>
                <w:rFonts w:ascii="Arial" w:cs="Arial" w:eastAsia="Arial" w:hAnsi="Arial"/>
                <w:sz w:val="20"/>
                <w:szCs w:val="20"/>
                <w:color w:val="auto"/>
                <w:w w:val="89"/>
              </w:rPr>
              <w:t>Compliance With ERISA; Foreign Pension Plans..................................................................</w:t>
            </w:r>
          </w:p>
        </w:tc>
        <w:tc>
          <w:tcPr>
            <w:tcW w:w="340" w:type="dxa"/>
            <w:vAlign w:val="bottom"/>
          </w:tcPr>
          <w:p>
            <w:pPr>
              <w:jc w:val="right"/>
              <w:spacing w:after="0" w:line="200" w:lineRule="exact"/>
              <w:rPr>
                <w:sz w:val="20"/>
                <w:szCs w:val="20"/>
                <w:color w:val="auto"/>
              </w:rPr>
            </w:pPr>
            <w:r>
              <w:rPr>
                <w:rFonts w:ascii="Arial" w:cs="Arial" w:eastAsia="Arial" w:hAnsi="Arial"/>
                <w:sz w:val="20"/>
                <w:szCs w:val="20"/>
                <w:color w:val="auto"/>
                <w:w w:val="89"/>
              </w:rPr>
              <w:t>142</w:t>
            </w:r>
          </w:p>
        </w:tc>
      </w:tr>
      <w:tr>
        <w:trPr>
          <w:trHeight w:val="216"/>
        </w:trPr>
        <w:tc>
          <w:tcPr>
            <w:tcW w:w="7580" w:type="dxa"/>
            <w:vAlign w:val="bottom"/>
            <w:gridSpan w:val="2"/>
          </w:tcPr>
          <w:p>
            <w:pPr>
              <w:spacing w:after="0" w:line="216" w:lineRule="exact"/>
              <w:rPr>
                <w:sz w:val="20"/>
                <w:szCs w:val="20"/>
                <w:color w:val="auto"/>
              </w:rPr>
            </w:pPr>
            <w:r>
              <w:rPr>
                <w:rFonts w:ascii="Arial" w:cs="Arial" w:eastAsia="Arial" w:hAnsi="Arial"/>
                <w:sz w:val="20"/>
                <w:szCs w:val="20"/>
                <w:color w:val="auto"/>
                <w:w w:val="89"/>
              </w:rPr>
              <w:t>6.11 Security Documents................................................................................................................</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9"/>
              </w:rPr>
              <w:t>143</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6.12</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Ownership of Property............................................................................................................</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9"/>
              </w:rPr>
              <w:t>145</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6.13</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Capitalization of Credit Parties...............................................................................................</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9"/>
              </w:rPr>
              <w:t>145</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6.14</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Subsidiaries.............................................................................................................................</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9"/>
              </w:rPr>
              <w:t>145</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6.15</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90"/>
              </w:rPr>
              <w:t>Compliance With Laws, Etc...................................................................................................</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3"/>
              </w:rPr>
              <w:t>145</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6.16</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Investment Company Act........................................................................................................</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95"/>
              </w:rPr>
              <w:t>145</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6.17</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[Reserved]...............................................................................................................................</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9"/>
              </w:rPr>
              <w:t>145</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6.18</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Environmental Matters............................................................................................................</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95"/>
              </w:rPr>
              <w:t>146</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6.19</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[Reserved]...............................................................................................................................</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9"/>
              </w:rPr>
              <w:t>146</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6.20</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Intellectual Property, Licenses, Franchises and Formulas......................................................</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9"/>
              </w:rPr>
              <w:t>147</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6.21</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Anti-Terrorism Laws...............................................................................................................</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95"/>
              </w:rPr>
              <w:t>147</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6.22</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90"/>
              </w:rPr>
              <w:t>Patriot Act; Foreign Corrupt Practices Act.............................................................................</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9"/>
              </w:rPr>
              <w:t>148</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6.23</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Insolvency Proceedings..........................................................................................................</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3"/>
              </w:rPr>
              <w:t>148</w:t>
            </w:r>
          </w:p>
        </w:tc>
      </w:tr>
      <w:tr>
        <w:trPr>
          <w:trHeight w:val="250"/>
        </w:trPr>
        <w:tc>
          <w:tcPr>
            <w:tcW w:w="380" w:type="dxa"/>
            <w:vAlign w:val="bottom"/>
          </w:tcPr>
          <w:p>
            <w:pPr>
              <w:spacing w:after="0"/>
              <w:rPr>
                <w:sz w:val="20"/>
                <w:szCs w:val="20"/>
                <w:color w:val="auto"/>
              </w:rPr>
            </w:pPr>
            <w:r>
              <w:rPr>
                <w:rFonts w:ascii="Arial" w:cs="Arial" w:eastAsia="Arial" w:hAnsi="Arial"/>
                <w:sz w:val="20"/>
                <w:szCs w:val="20"/>
                <w:color w:val="auto"/>
                <w:w w:val="92"/>
              </w:rPr>
              <w:t>6.24</w:t>
            </w:r>
          </w:p>
        </w:tc>
        <w:tc>
          <w:tcPr>
            <w:tcW w:w="7200" w:type="dxa"/>
            <w:vAlign w:val="bottom"/>
          </w:tcPr>
          <w:p>
            <w:pPr>
              <w:ind w:left="20"/>
              <w:spacing w:after="0"/>
              <w:rPr>
                <w:sz w:val="20"/>
                <w:szCs w:val="20"/>
                <w:color w:val="auto"/>
              </w:rPr>
            </w:pPr>
            <w:r>
              <w:rPr>
                <w:rFonts w:ascii="Arial" w:cs="Arial" w:eastAsia="Arial" w:hAnsi="Arial"/>
                <w:sz w:val="20"/>
                <w:szCs w:val="20"/>
                <w:color w:val="auto"/>
                <w:w w:val="90"/>
              </w:rPr>
              <w:t>Beneficial Ownership Certification........................................................................................</w:t>
            </w:r>
          </w:p>
        </w:tc>
        <w:tc>
          <w:tcPr>
            <w:tcW w:w="340" w:type="dxa"/>
            <w:vAlign w:val="bottom"/>
          </w:tcPr>
          <w:p>
            <w:pPr>
              <w:jc w:val="right"/>
              <w:spacing w:after="0"/>
              <w:rPr>
                <w:sz w:val="20"/>
                <w:szCs w:val="20"/>
                <w:color w:val="auto"/>
              </w:rPr>
            </w:pPr>
            <w:r>
              <w:rPr>
                <w:rFonts w:ascii="Arial" w:cs="Arial" w:eastAsia="Arial" w:hAnsi="Arial"/>
                <w:sz w:val="20"/>
                <w:szCs w:val="20"/>
                <w:color w:val="auto"/>
                <w:w w:val="83"/>
              </w:rPr>
              <w:t>148</w:t>
            </w:r>
          </w:p>
        </w:tc>
      </w:tr>
    </w:tbl>
    <w:p>
      <w:pPr>
        <w:sectPr>
          <w:pgSz w:w="11900" w:h="16838" w:orient="portrait"/>
          <w:cols w:equalWidth="0" w:num="1">
            <w:col w:w="10139"/>
          </w:cols>
          <w:pgMar w:left="320" w:top="1419" w:right="1440"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7200" w:type="dxa"/>
            <w:vAlign w:val="bottom"/>
          </w:tcPr>
          <w:p>
            <w:pPr>
              <w:ind w:left="4780"/>
              <w:spacing w:after="0"/>
              <w:rPr>
                <w:sz w:val="20"/>
                <w:szCs w:val="20"/>
                <w:color w:val="auto"/>
              </w:rPr>
            </w:pPr>
            <w:r>
              <w:rPr>
                <w:rFonts w:ascii="Arial" w:cs="Arial" w:eastAsia="Arial" w:hAnsi="Arial"/>
                <w:sz w:val="20"/>
                <w:szCs w:val="20"/>
                <w:color w:val="auto"/>
              </w:rPr>
              <w:t>ARTICLE VII</w:t>
            </w:r>
          </w:p>
        </w:tc>
        <w:tc>
          <w:tcPr>
            <w:tcW w:w="340" w:type="dxa"/>
            <w:vAlign w:val="bottom"/>
          </w:tcPr>
          <w:p>
            <w:pPr>
              <w:spacing w:after="0"/>
              <w:rPr>
                <w:sz w:val="19"/>
                <w:szCs w:val="19"/>
                <w:color w:val="auto"/>
              </w:rPr>
            </w:pPr>
          </w:p>
        </w:tc>
      </w:tr>
      <w:tr>
        <w:trPr>
          <w:trHeight w:val="250"/>
        </w:trPr>
        <w:tc>
          <w:tcPr>
            <w:tcW w:w="280" w:type="dxa"/>
            <w:vAlign w:val="bottom"/>
          </w:tcPr>
          <w:p>
            <w:pPr>
              <w:spacing w:after="0"/>
              <w:rPr>
                <w:sz w:val="21"/>
                <w:szCs w:val="21"/>
                <w:color w:val="auto"/>
              </w:rPr>
            </w:pPr>
          </w:p>
        </w:tc>
        <w:tc>
          <w:tcPr>
            <w:tcW w:w="7200" w:type="dxa"/>
            <w:vAlign w:val="bottom"/>
          </w:tcPr>
          <w:p>
            <w:pPr>
              <w:ind w:left="4060"/>
              <w:spacing w:after="0"/>
              <w:rPr>
                <w:sz w:val="20"/>
                <w:szCs w:val="20"/>
                <w:color w:val="auto"/>
              </w:rPr>
            </w:pPr>
            <w:r>
              <w:rPr>
                <w:rFonts w:ascii="Arial" w:cs="Arial" w:eastAsia="Arial" w:hAnsi="Arial"/>
                <w:sz w:val="20"/>
                <w:szCs w:val="20"/>
                <w:color w:val="auto"/>
              </w:rPr>
              <w:t>AFFIRMATIVE COVENANTS</w:t>
            </w:r>
          </w:p>
        </w:tc>
        <w:tc>
          <w:tcPr>
            <w:tcW w:w="340" w:type="dxa"/>
            <w:vAlign w:val="bottom"/>
          </w:tcPr>
          <w:p>
            <w:pPr>
              <w:spacing w:after="0"/>
              <w:rPr>
                <w:sz w:val="21"/>
                <w:szCs w:val="21"/>
                <w:color w:val="auto"/>
              </w:rPr>
            </w:pPr>
          </w:p>
        </w:tc>
      </w:tr>
      <w:tr>
        <w:trPr>
          <w:trHeight w:val="425"/>
        </w:trPr>
        <w:tc>
          <w:tcPr>
            <w:tcW w:w="280" w:type="dxa"/>
            <w:vAlign w:val="bottom"/>
          </w:tcPr>
          <w:p>
            <w:pPr>
              <w:jc w:val="right"/>
              <w:spacing w:after="0"/>
              <w:rPr>
                <w:sz w:val="20"/>
                <w:szCs w:val="20"/>
                <w:color w:val="auto"/>
              </w:rPr>
            </w:pPr>
            <w:r>
              <w:rPr>
                <w:rFonts w:ascii="Arial" w:cs="Arial" w:eastAsia="Arial" w:hAnsi="Arial"/>
                <w:sz w:val="20"/>
                <w:szCs w:val="20"/>
                <w:color w:val="auto"/>
                <w:w w:val="86"/>
              </w:rPr>
              <w:t>7.1</w:t>
            </w:r>
          </w:p>
        </w:tc>
        <w:tc>
          <w:tcPr>
            <w:tcW w:w="7200" w:type="dxa"/>
            <w:vAlign w:val="bottom"/>
          </w:tcPr>
          <w:p>
            <w:pPr>
              <w:ind w:left="20"/>
              <w:spacing w:after="0"/>
              <w:rPr>
                <w:sz w:val="20"/>
                <w:szCs w:val="20"/>
                <w:color w:val="auto"/>
              </w:rPr>
            </w:pPr>
            <w:r>
              <w:rPr>
                <w:rFonts w:ascii="Arial" w:cs="Arial" w:eastAsia="Arial" w:hAnsi="Arial"/>
                <w:sz w:val="20"/>
                <w:szCs w:val="20"/>
                <w:color w:val="auto"/>
                <w:w w:val="89"/>
              </w:rPr>
              <w:t>Financial Statements...............................................................................................................</w:t>
            </w:r>
          </w:p>
        </w:tc>
        <w:tc>
          <w:tcPr>
            <w:tcW w:w="340" w:type="dxa"/>
            <w:vAlign w:val="bottom"/>
          </w:tcPr>
          <w:p>
            <w:pPr>
              <w:jc w:val="right"/>
              <w:spacing w:after="0"/>
              <w:rPr>
                <w:sz w:val="20"/>
                <w:szCs w:val="20"/>
                <w:color w:val="auto"/>
              </w:rPr>
            </w:pPr>
            <w:r>
              <w:rPr>
                <w:rFonts w:ascii="Arial" w:cs="Arial" w:eastAsia="Arial" w:hAnsi="Arial"/>
                <w:sz w:val="20"/>
                <w:szCs w:val="20"/>
                <w:color w:val="auto"/>
                <w:w w:val="89"/>
              </w:rPr>
              <w:t>148</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7.2</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90"/>
              </w:rPr>
              <w:t>Certificates; Other Information...............................................................................................</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95"/>
              </w:rPr>
              <w:t>150</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7.3</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Notices....................................................................................................................................</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3"/>
              </w:rPr>
              <w:t>151</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7.4</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Conduct of Business and Maintenance of Existence..............................................................</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9"/>
              </w:rPr>
              <w:t>151</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7.5</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Compliance with Laws, etc.....................................................................................................</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95"/>
              </w:rPr>
              <w:t>151</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7.6</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Maintenance of Properties......................................................................................................</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3"/>
              </w:rPr>
              <w:t>151</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7.7</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[Reserved]...............................................................................................................................</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9"/>
              </w:rPr>
              <w:t>152</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7.8</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8"/>
              </w:rPr>
              <w:t>Payment of Taxes....................................................................................................................</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9"/>
              </w:rPr>
              <w:t>152</w:t>
            </w:r>
          </w:p>
        </w:tc>
      </w:tr>
      <w:tr>
        <w:trPr>
          <w:trHeight w:val="232"/>
        </w:trPr>
        <w:tc>
          <w:tcPr>
            <w:tcW w:w="280" w:type="dxa"/>
            <w:vAlign w:val="bottom"/>
          </w:tcPr>
          <w:p>
            <w:pPr>
              <w:jc w:val="right"/>
              <w:spacing w:after="0"/>
              <w:rPr>
                <w:sz w:val="20"/>
                <w:szCs w:val="20"/>
                <w:color w:val="auto"/>
              </w:rPr>
            </w:pPr>
            <w:r>
              <w:rPr>
                <w:rFonts w:ascii="Arial" w:cs="Arial" w:eastAsia="Arial" w:hAnsi="Arial"/>
                <w:sz w:val="20"/>
                <w:szCs w:val="20"/>
                <w:color w:val="auto"/>
                <w:w w:val="86"/>
              </w:rPr>
              <w:t>7.9</w:t>
            </w:r>
          </w:p>
        </w:tc>
        <w:tc>
          <w:tcPr>
            <w:tcW w:w="7200" w:type="dxa"/>
            <w:vAlign w:val="bottom"/>
          </w:tcPr>
          <w:p>
            <w:pPr>
              <w:ind w:left="20"/>
              <w:spacing w:after="0"/>
              <w:rPr>
                <w:sz w:val="20"/>
                <w:szCs w:val="20"/>
                <w:color w:val="auto"/>
              </w:rPr>
            </w:pPr>
            <w:r>
              <w:rPr>
                <w:rFonts w:ascii="Arial" w:cs="Arial" w:eastAsia="Arial" w:hAnsi="Arial"/>
                <w:sz w:val="20"/>
                <w:szCs w:val="20"/>
                <w:color w:val="auto"/>
                <w:w w:val="89"/>
              </w:rPr>
              <w:t>Inspection of Property, Books and Records............................................................................</w:t>
            </w:r>
          </w:p>
        </w:tc>
        <w:tc>
          <w:tcPr>
            <w:tcW w:w="340" w:type="dxa"/>
            <w:vAlign w:val="bottom"/>
          </w:tcPr>
          <w:p>
            <w:pPr>
              <w:jc w:val="right"/>
              <w:spacing w:after="0"/>
              <w:rPr>
                <w:sz w:val="20"/>
                <w:szCs w:val="20"/>
                <w:color w:val="auto"/>
              </w:rPr>
            </w:pPr>
            <w:r>
              <w:rPr>
                <w:rFonts w:ascii="Arial" w:cs="Arial" w:eastAsia="Arial" w:hAnsi="Arial"/>
                <w:sz w:val="20"/>
                <w:szCs w:val="20"/>
                <w:color w:val="auto"/>
                <w:w w:val="89"/>
              </w:rPr>
              <w:t>152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0" w:type="dxa"/>
            <w:vAlign w:val="bottom"/>
          </w:tcPr>
          <w:p>
            <w:pPr>
              <w:spacing w:after="0" w:line="200" w:lineRule="exact"/>
              <w:rPr>
                <w:sz w:val="20"/>
                <w:szCs w:val="20"/>
                <w:color w:val="auto"/>
              </w:rPr>
            </w:pPr>
            <w:r>
              <w:rPr>
                <w:rFonts w:ascii="Arial" w:cs="Arial" w:eastAsia="Arial" w:hAnsi="Arial"/>
                <w:sz w:val="20"/>
                <w:szCs w:val="20"/>
                <w:color w:val="auto"/>
                <w:w w:val="92"/>
              </w:rPr>
              <w:t>7.10</w:t>
            </w:r>
          </w:p>
        </w:tc>
        <w:tc>
          <w:tcPr>
            <w:tcW w:w="7200" w:type="dxa"/>
            <w:vAlign w:val="bottom"/>
          </w:tcPr>
          <w:p>
            <w:pPr>
              <w:ind w:left="20"/>
              <w:spacing w:after="0" w:line="200" w:lineRule="exact"/>
              <w:rPr>
                <w:sz w:val="20"/>
                <w:szCs w:val="20"/>
                <w:color w:val="auto"/>
              </w:rPr>
            </w:pPr>
            <w:r>
              <w:rPr>
                <w:rFonts w:ascii="Arial" w:cs="Arial" w:eastAsia="Arial" w:hAnsi="Arial"/>
                <w:sz w:val="20"/>
                <w:szCs w:val="20"/>
                <w:color w:val="auto"/>
                <w:w w:val="89"/>
              </w:rPr>
              <w:t>ERISA; Foreign Pension Plan.................................................................................................</w:t>
            </w:r>
          </w:p>
        </w:tc>
        <w:tc>
          <w:tcPr>
            <w:tcW w:w="360" w:type="dxa"/>
            <w:vAlign w:val="bottom"/>
          </w:tcPr>
          <w:p>
            <w:pPr>
              <w:jc w:val="right"/>
              <w:spacing w:after="0" w:line="200" w:lineRule="exact"/>
              <w:rPr>
                <w:sz w:val="20"/>
                <w:szCs w:val="20"/>
                <w:color w:val="auto"/>
              </w:rPr>
            </w:pPr>
            <w:r>
              <w:rPr>
                <w:rFonts w:ascii="Arial" w:cs="Arial" w:eastAsia="Arial" w:hAnsi="Arial"/>
                <w:sz w:val="20"/>
                <w:szCs w:val="20"/>
                <w:color w:val="auto"/>
                <w:w w:val="95"/>
              </w:rPr>
              <w:t>152</w:t>
            </w:r>
          </w:p>
        </w:tc>
      </w:tr>
      <w:tr>
        <w:trPr>
          <w:trHeight w:val="216"/>
        </w:trPr>
        <w:tc>
          <w:tcPr>
            <w:tcW w:w="7580" w:type="dxa"/>
            <w:vAlign w:val="bottom"/>
            <w:gridSpan w:val="2"/>
          </w:tcPr>
          <w:p>
            <w:pPr>
              <w:spacing w:after="0" w:line="216" w:lineRule="exact"/>
              <w:rPr>
                <w:sz w:val="20"/>
                <w:szCs w:val="20"/>
                <w:color w:val="auto"/>
              </w:rPr>
            </w:pPr>
            <w:r>
              <w:rPr>
                <w:rFonts w:ascii="Arial" w:cs="Arial" w:eastAsia="Arial" w:hAnsi="Arial"/>
                <w:sz w:val="20"/>
                <w:szCs w:val="20"/>
                <w:color w:val="auto"/>
                <w:w w:val="88"/>
              </w:rPr>
              <w:t>7.11 Insurance.................................................................................................................................</w:t>
            </w:r>
          </w:p>
        </w:tc>
        <w:tc>
          <w:tcPr>
            <w:tcW w:w="360" w:type="dxa"/>
            <w:vAlign w:val="bottom"/>
          </w:tcPr>
          <w:p>
            <w:pPr>
              <w:jc w:val="right"/>
              <w:spacing w:after="0" w:line="216" w:lineRule="exact"/>
              <w:rPr>
                <w:sz w:val="20"/>
                <w:szCs w:val="20"/>
                <w:color w:val="auto"/>
              </w:rPr>
            </w:pPr>
            <w:r>
              <w:rPr>
                <w:rFonts w:ascii="Arial" w:cs="Arial" w:eastAsia="Arial" w:hAnsi="Arial"/>
                <w:sz w:val="20"/>
                <w:szCs w:val="20"/>
                <w:color w:val="auto"/>
                <w:w w:val="89"/>
              </w:rPr>
              <w:t>153</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7.12</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Environmental Laws...............................................................................................................</w:t>
            </w:r>
          </w:p>
        </w:tc>
        <w:tc>
          <w:tcPr>
            <w:tcW w:w="360" w:type="dxa"/>
            <w:vAlign w:val="bottom"/>
          </w:tcPr>
          <w:p>
            <w:pPr>
              <w:jc w:val="right"/>
              <w:spacing w:after="0" w:line="216" w:lineRule="exact"/>
              <w:rPr>
                <w:sz w:val="20"/>
                <w:szCs w:val="20"/>
                <w:color w:val="auto"/>
              </w:rPr>
            </w:pPr>
            <w:r>
              <w:rPr>
                <w:rFonts w:ascii="Arial" w:cs="Arial" w:eastAsia="Arial" w:hAnsi="Arial"/>
                <w:sz w:val="20"/>
                <w:szCs w:val="20"/>
                <w:color w:val="auto"/>
                <w:w w:val="89"/>
              </w:rPr>
              <w:t>154</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7.13</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8"/>
              </w:rPr>
              <w:t>Use of Proceeds.......................................................................................................................</w:t>
            </w:r>
          </w:p>
        </w:tc>
        <w:tc>
          <w:tcPr>
            <w:tcW w:w="360" w:type="dxa"/>
            <w:vAlign w:val="bottom"/>
          </w:tcPr>
          <w:p>
            <w:pPr>
              <w:jc w:val="right"/>
              <w:spacing w:after="0" w:line="216" w:lineRule="exact"/>
              <w:rPr>
                <w:sz w:val="20"/>
                <w:szCs w:val="20"/>
                <w:color w:val="auto"/>
              </w:rPr>
            </w:pPr>
            <w:r>
              <w:rPr>
                <w:rFonts w:ascii="Arial" w:cs="Arial" w:eastAsia="Arial" w:hAnsi="Arial"/>
                <w:sz w:val="20"/>
                <w:szCs w:val="20"/>
                <w:color w:val="auto"/>
                <w:w w:val="95"/>
              </w:rPr>
              <w:t>154</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7.14</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Guarantees; Pledge of Additional Collateral...........................................................................</w:t>
            </w:r>
          </w:p>
        </w:tc>
        <w:tc>
          <w:tcPr>
            <w:tcW w:w="360" w:type="dxa"/>
            <w:vAlign w:val="bottom"/>
          </w:tcPr>
          <w:p>
            <w:pPr>
              <w:jc w:val="right"/>
              <w:spacing w:after="0" w:line="216" w:lineRule="exact"/>
              <w:rPr>
                <w:sz w:val="20"/>
                <w:szCs w:val="20"/>
                <w:color w:val="auto"/>
              </w:rPr>
            </w:pPr>
            <w:r>
              <w:rPr>
                <w:rFonts w:ascii="Arial" w:cs="Arial" w:eastAsia="Arial" w:hAnsi="Arial"/>
                <w:sz w:val="20"/>
                <w:szCs w:val="20"/>
                <w:color w:val="auto"/>
              </w:rPr>
              <w:t>154</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7.15</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End of Fiscal Years; Fiscal Quarters.......................................................................................</w:t>
            </w:r>
          </w:p>
        </w:tc>
        <w:tc>
          <w:tcPr>
            <w:tcW w:w="360" w:type="dxa"/>
            <w:vAlign w:val="bottom"/>
          </w:tcPr>
          <w:p>
            <w:pPr>
              <w:jc w:val="right"/>
              <w:spacing w:after="0" w:line="216" w:lineRule="exact"/>
              <w:rPr>
                <w:sz w:val="20"/>
                <w:szCs w:val="20"/>
                <w:color w:val="auto"/>
              </w:rPr>
            </w:pPr>
            <w:r>
              <w:rPr>
                <w:rFonts w:ascii="Arial" w:cs="Arial" w:eastAsia="Arial" w:hAnsi="Arial"/>
                <w:sz w:val="20"/>
                <w:szCs w:val="20"/>
                <w:color w:val="auto"/>
                <w:w w:val="89"/>
              </w:rPr>
              <w:t>157</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7.16</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90"/>
              </w:rPr>
              <w:t>Information Regarding Collateral...........................................................................................</w:t>
            </w:r>
          </w:p>
        </w:tc>
        <w:tc>
          <w:tcPr>
            <w:tcW w:w="360" w:type="dxa"/>
            <w:vAlign w:val="bottom"/>
          </w:tcPr>
          <w:p>
            <w:pPr>
              <w:jc w:val="right"/>
              <w:spacing w:after="0" w:line="216" w:lineRule="exact"/>
              <w:rPr>
                <w:sz w:val="20"/>
                <w:szCs w:val="20"/>
                <w:color w:val="auto"/>
              </w:rPr>
            </w:pPr>
            <w:r>
              <w:rPr>
                <w:rFonts w:ascii="Arial" w:cs="Arial" w:eastAsia="Arial" w:hAnsi="Arial"/>
                <w:sz w:val="20"/>
                <w:szCs w:val="20"/>
                <w:color w:val="auto"/>
                <w:w w:val="89"/>
              </w:rPr>
              <w:t>157</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7.17</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8"/>
              </w:rPr>
              <w:t>Excluded Companies...............................................................................................................</w:t>
            </w:r>
          </w:p>
        </w:tc>
        <w:tc>
          <w:tcPr>
            <w:tcW w:w="360" w:type="dxa"/>
            <w:vAlign w:val="bottom"/>
          </w:tcPr>
          <w:p>
            <w:pPr>
              <w:jc w:val="right"/>
              <w:spacing w:after="0" w:line="216" w:lineRule="exact"/>
              <w:rPr>
                <w:sz w:val="20"/>
                <w:szCs w:val="20"/>
                <w:color w:val="auto"/>
              </w:rPr>
            </w:pPr>
            <w:r>
              <w:rPr>
                <w:rFonts w:ascii="Arial" w:cs="Arial" w:eastAsia="Arial" w:hAnsi="Arial"/>
                <w:sz w:val="20"/>
                <w:szCs w:val="20"/>
                <w:color w:val="auto"/>
                <w:w w:val="95"/>
              </w:rPr>
              <w:t>157</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7.18</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Facilities Rating......................................................................................................................</w:t>
            </w:r>
          </w:p>
        </w:tc>
        <w:tc>
          <w:tcPr>
            <w:tcW w:w="360" w:type="dxa"/>
            <w:vAlign w:val="bottom"/>
          </w:tcPr>
          <w:p>
            <w:pPr>
              <w:jc w:val="right"/>
              <w:spacing w:after="0" w:line="216" w:lineRule="exact"/>
              <w:rPr>
                <w:sz w:val="20"/>
                <w:szCs w:val="20"/>
                <w:color w:val="auto"/>
              </w:rPr>
            </w:pPr>
            <w:r>
              <w:rPr>
                <w:rFonts w:ascii="Arial" w:cs="Arial" w:eastAsia="Arial" w:hAnsi="Arial"/>
                <w:sz w:val="20"/>
                <w:szCs w:val="20"/>
                <w:color w:val="auto"/>
                <w:w w:val="83"/>
              </w:rPr>
              <w:t>157</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7.19</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Post Closing............................................................................................................................</w:t>
            </w:r>
          </w:p>
        </w:tc>
        <w:tc>
          <w:tcPr>
            <w:tcW w:w="360" w:type="dxa"/>
            <w:vAlign w:val="bottom"/>
          </w:tcPr>
          <w:p>
            <w:pPr>
              <w:jc w:val="right"/>
              <w:spacing w:after="0" w:line="216" w:lineRule="exact"/>
              <w:rPr>
                <w:sz w:val="20"/>
                <w:szCs w:val="20"/>
                <w:color w:val="auto"/>
              </w:rPr>
            </w:pPr>
            <w:r>
              <w:rPr>
                <w:rFonts w:ascii="Arial" w:cs="Arial" w:eastAsia="Arial" w:hAnsi="Arial"/>
                <w:sz w:val="20"/>
                <w:szCs w:val="20"/>
                <w:color w:val="auto"/>
                <w:w w:val="83"/>
              </w:rPr>
              <w:t>157</w:t>
            </w:r>
          </w:p>
        </w:tc>
      </w:tr>
      <w:tr>
        <w:trPr>
          <w:trHeight w:val="250"/>
        </w:trPr>
        <w:tc>
          <w:tcPr>
            <w:tcW w:w="380" w:type="dxa"/>
            <w:vAlign w:val="bottom"/>
          </w:tcPr>
          <w:p>
            <w:pPr>
              <w:spacing w:after="0"/>
              <w:rPr>
                <w:sz w:val="20"/>
                <w:szCs w:val="20"/>
                <w:color w:val="auto"/>
              </w:rPr>
            </w:pPr>
            <w:r>
              <w:rPr>
                <w:rFonts w:ascii="Arial" w:cs="Arial" w:eastAsia="Arial" w:hAnsi="Arial"/>
                <w:sz w:val="20"/>
                <w:szCs w:val="20"/>
                <w:color w:val="auto"/>
                <w:w w:val="92"/>
              </w:rPr>
              <w:t>7.20</w:t>
            </w:r>
          </w:p>
        </w:tc>
        <w:tc>
          <w:tcPr>
            <w:tcW w:w="7200" w:type="dxa"/>
            <w:vAlign w:val="bottom"/>
          </w:tcPr>
          <w:p>
            <w:pPr>
              <w:ind w:left="20"/>
              <w:spacing w:after="0"/>
              <w:rPr>
                <w:sz w:val="20"/>
                <w:szCs w:val="20"/>
                <w:color w:val="auto"/>
              </w:rPr>
            </w:pPr>
            <w:r>
              <w:rPr>
                <w:rFonts w:ascii="Arial" w:cs="Arial" w:eastAsia="Arial" w:hAnsi="Arial"/>
                <w:sz w:val="20"/>
                <w:szCs w:val="20"/>
                <w:color w:val="auto"/>
                <w:w w:val="88"/>
              </w:rPr>
              <w:t>Release and Reinstatement of Collateral.................................................................................</w:t>
            </w:r>
          </w:p>
        </w:tc>
        <w:tc>
          <w:tcPr>
            <w:tcW w:w="360" w:type="dxa"/>
            <w:vAlign w:val="bottom"/>
          </w:tcPr>
          <w:p>
            <w:pPr>
              <w:jc w:val="right"/>
              <w:spacing w:after="0"/>
              <w:rPr>
                <w:sz w:val="20"/>
                <w:szCs w:val="20"/>
                <w:color w:val="auto"/>
              </w:rPr>
            </w:pPr>
            <w:r>
              <w:rPr>
                <w:rFonts w:ascii="Arial" w:cs="Arial" w:eastAsia="Arial" w:hAnsi="Arial"/>
                <w:sz w:val="20"/>
                <w:szCs w:val="20"/>
                <w:color w:val="auto"/>
              </w:rPr>
              <w:t>160</w:t>
            </w:r>
          </w:p>
        </w:tc>
      </w:tr>
    </w:tbl>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7220" w:type="dxa"/>
            <w:vAlign w:val="bottom"/>
          </w:tcPr>
          <w:p>
            <w:pPr>
              <w:ind w:left="4740"/>
              <w:spacing w:after="0"/>
              <w:rPr>
                <w:sz w:val="20"/>
                <w:szCs w:val="20"/>
                <w:color w:val="auto"/>
              </w:rPr>
            </w:pPr>
            <w:r>
              <w:rPr>
                <w:rFonts w:ascii="Arial" w:cs="Arial" w:eastAsia="Arial" w:hAnsi="Arial"/>
                <w:sz w:val="20"/>
                <w:szCs w:val="20"/>
                <w:color w:val="auto"/>
              </w:rPr>
              <w:t>ARTICLE VIII</w:t>
            </w:r>
          </w:p>
        </w:tc>
        <w:tc>
          <w:tcPr>
            <w:tcW w:w="340" w:type="dxa"/>
            <w:vAlign w:val="bottom"/>
          </w:tcPr>
          <w:p>
            <w:pPr>
              <w:spacing w:after="0"/>
              <w:rPr>
                <w:sz w:val="19"/>
                <w:szCs w:val="19"/>
                <w:color w:val="auto"/>
              </w:rPr>
            </w:pPr>
          </w:p>
        </w:tc>
      </w:tr>
      <w:tr>
        <w:trPr>
          <w:trHeight w:val="250"/>
        </w:trPr>
        <w:tc>
          <w:tcPr>
            <w:tcW w:w="280" w:type="dxa"/>
            <w:vAlign w:val="bottom"/>
          </w:tcPr>
          <w:p>
            <w:pPr>
              <w:spacing w:after="0"/>
              <w:rPr>
                <w:sz w:val="21"/>
                <w:szCs w:val="21"/>
                <w:color w:val="auto"/>
              </w:rPr>
            </w:pPr>
          </w:p>
        </w:tc>
        <w:tc>
          <w:tcPr>
            <w:tcW w:w="7220" w:type="dxa"/>
            <w:vAlign w:val="bottom"/>
          </w:tcPr>
          <w:p>
            <w:pPr>
              <w:ind w:left="4240"/>
              <w:spacing w:after="0"/>
              <w:rPr>
                <w:sz w:val="20"/>
                <w:szCs w:val="20"/>
                <w:color w:val="auto"/>
              </w:rPr>
            </w:pPr>
            <w:r>
              <w:rPr>
                <w:rFonts w:ascii="Arial" w:cs="Arial" w:eastAsia="Arial" w:hAnsi="Arial"/>
                <w:sz w:val="20"/>
                <w:szCs w:val="20"/>
                <w:color w:val="auto"/>
              </w:rPr>
              <w:t>NEGATIVE COVENANTS</w:t>
            </w:r>
          </w:p>
        </w:tc>
        <w:tc>
          <w:tcPr>
            <w:tcW w:w="340" w:type="dxa"/>
            <w:vAlign w:val="bottom"/>
          </w:tcPr>
          <w:p>
            <w:pPr>
              <w:spacing w:after="0"/>
              <w:rPr>
                <w:sz w:val="21"/>
                <w:szCs w:val="21"/>
                <w:color w:val="auto"/>
              </w:rPr>
            </w:pPr>
          </w:p>
        </w:tc>
      </w:tr>
      <w:tr>
        <w:trPr>
          <w:trHeight w:val="425"/>
        </w:trPr>
        <w:tc>
          <w:tcPr>
            <w:tcW w:w="280" w:type="dxa"/>
            <w:vAlign w:val="bottom"/>
          </w:tcPr>
          <w:p>
            <w:pPr>
              <w:jc w:val="right"/>
              <w:spacing w:after="0"/>
              <w:rPr>
                <w:sz w:val="20"/>
                <w:szCs w:val="20"/>
                <w:color w:val="auto"/>
              </w:rPr>
            </w:pPr>
            <w:r>
              <w:rPr>
                <w:rFonts w:ascii="Arial" w:cs="Arial" w:eastAsia="Arial" w:hAnsi="Arial"/>
                <w:sz w:val="20"/>
                <w:szCs w:val="20"/>
                <w:color w:val="auto"/>
                <w:w w:val="86"/>
              </w:rPr>
              <w:t>8.1</w:t>
            </w:r>
          </w:p>
        </w:tc>
        <w:tc>
          <w:tcPr>
            <w:tcW w:w="7220" w:type="dxa"/>
            <w:vAlign w:val="bottom"/>
          </w:tcPr>
          <w:p>
            <w:pPr>
              <w:ind w:left="20"/>
              <w:spacing w:after="0"/>
              <w:rPr>
                <w:sz w:val="20"/>
                <w:szCs w:val="20"/>
                <w:color w:val="auto"/>
              </w:rPr>
            </w:pPr>
            <w:r>
              <w:rPr>
                <w:rFonts w:ascii="Arial" w:cs="Arial" w:eastAsia="Arial" w:hAnsi="Arial"/>
                <w:sz w:val="20"/>
                <w:szCs w:val="20"/>
                <w:color w:val="auto"/>
                <w:w w:val="89"/>
              </w:rPr>
              <w:t>Indebtedness; Certain Equity Securities..................................................................................</w:t>
            </w:r>
          </w:p>
        </w:tc>
        <w:tc>
          <w:tcPr>
            <w:tcW w:w="340" w:type="dxa"/>
            <w:vAlign w:val="bottom"/>
          </w:tcPr>
          <w:p>
            <w:pPr>
              <w:ind w:left="40"/>
              <w:spacing w:after="0"/>
              <w:rPr>
                <w:sz w:val="20"/>
                <w:szCs w:val="20"/>
                <w:color w:val="auto"/>
              </w:rPr>
            </w:pPr>
            <w:r>
              <w:rPr>
                <w:rFonts w:ascii="Arial" w:cs="Arial" w:eastAsia="Arial" w:hAnsi="Arial"/>
                <w:sz w:val="20"/>
                <w:szCs w:val="20"/>
                <w:color w:val="auto"/>
                <w:w w:val="83"/>
              </w:rPr>
              <w:t>160</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8.2</w:t>
            </w:r>
          </w:p>
        </w:tc>
        <w:tc>
          <w:tcPr>
            <w:tcW w:w="7220" w:type="dxa"/>
            <w:vAlign w:val="bottom"/>
          </w:tcPr>
          <w:p>
            <w:pPr>
              <w:ind w:left="20"/>
              <w:spacing w:after="0" w:line="216" w:lineRule="exact"/>
              <w:rPr>
                <w:sz w:val="20"/>
                <w:szCs w:val="20"/>
                <w:color w:val="auto"/>
              </w:rPr>
            </w:pPr>
            <w:r>
              <w:rPr>
                <w:rFonts w:ascii="Arial" w:cs="Arial" w:eastAsia="Arial" w:hAnsi="Arial"/>
                <w:sz w:val="20"/>
                <w:szCs w:val="20"/>
                <w:color w:val="auto"/>
                <w:w w:val="89"/>
              </w:rPr>
              <w:t>Liens........................................................................................................................................</w:t>
            </w:r>
          </w:p>
        </w:tc>
        <w:tc>
          <w:tcPr>
            <w:tcW w:w="340" w:type="dxa"/>
            <w:vAlign w:val="bottom"/>
          </w:tcPr>
          <w:p>
            <w:pPr>
              <w:ind w:left="20"/>
              <w:spacing w:after="0" w:line="216" w:lineRule="exact"/>
              <w:rPr>
                <w:sz w:val="20"/>
                <w:szCs w:val="20"/>
                <w:color w:val="auto"/>
              </w:rPr>
            </w:pPr>
            <w:r>
              <w:rPr>
                <w:rFonts w:ascii="Arial" w:cs="Arial" w:eastAsia="Arial" w:hAnsi="Arial"/>
                <w:sz w:val="20"/>
                <w:szCs w:val="20"/>
                <w:color w:val="auto"/>
                <w:w w:val="89"/>
              </w:rPr>
              <w:t>166</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8.3</w:t>
            </w:r>
          </w:p>
        </w:tc>
        <w:tc>
          <w:tcPr>
            <w:tcW w:w="7220" w:type="dxa"/>
            <w:vAlign w:val="bottom"/>
          </w:tcPr>
          <w:p>
            <w:pPr>
              <w:ind w:left="20"/>
              <w:spacing w:after="0" w:line="216" w:lineRule="exact"/>
              <w:rPr>
                <w:sz w:val="20"/>
                <w:szCs w:val="20"/>
                <w:color w:val="auto"/>
              </w:rPr>
            </w:pPr>
            <w:r>
              <w:rPr>
                <w:rFonts w:ascii="Arial" w:cs="Arial" w:eastAsia="Arial" w:hAnsi="Arial"/>
                <w:sz w:val="20"/>
                <w:szCs w:val="20"/>
                <w:color w:val="auto"/>
                <w:w w:val="88"/>
              </w:rPr>
              <w:t>Fundamental Changes.............................................................................................................</w:t>
            </w:r>
          </w:p>
        </w:tc>
        <w:tc>
          <w:tcPr>
            <w:tcW w:w="340" w:type="dxa"/>
            <w:vAlign w:val="bottom"/>
          </w:tcPr>
          <w:p>
            <w:pPr>
              <w:spacing w:after="0" w:line="216" w:lineRule="exact"/>
              <w:rPr>
                <w:sz w:val="20"/>
                <w:szCs w:val="20"/>
                <w:color w:val="auto"/>
              </w:rPr>
            </w:pPr>
            <w:r>
              <w:rPr>
                <w:rFonts w:ascii="Arial" w:cs="Arial" w:eastAsia="Arial" w:hAnsi="Arial"/>
                <w:sz w:val="20"/>
                <w:szCs w:val="20"/>
                <w:color w:val="auto"/>
                <w:w w:val="95"/>
              </w:rPr>
              <w:t>171</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8.4</w:t>
            </w:r>
          </w:p>
        </w:tc>
        <w:tc>
          <w:tcPr>
            <w:tcW w:w="7220" w:type="dxa"/>
            <w:vAlign w:val="bottom"/>
          </w:tcPr>
          <w:p>
            <w:pPr>
              <w:ind w:left="20"/>
              <w:spacing w:after="0" w:line="216" w:lineRule="exact"/>
              <w:rPr>
                <w:sz w:val="20"/>
                <w:szCs w:val="20"/>
                <w:color w:val="auto"/>
              </w:rPr>
            </w:pPr>
            <w:r>
              <w:rPr>
                <w:rFonts w:ascii="Arial" w:cs="Arial" w:eastAsia="Arial" w:hAnsi="Arial"/>
                <w:sz w:val="20"/>
                <w:szCs w:val="20"/>
                <w:color w:val="auto"/>
                <w:w w:val="89"/>
              </w:rPr>
              <w:t>Investments, Loans, Advances, Guarantee Obligations and Acquisitions..............................</w:t>
            </w:r>
          </w:p>
        </w:tc>
        <w:tc>
          <w:tcPr>
            <w:tcW w:w="340" w:type="dxa"/>
            <w:vAlign w:val="bottom"/>
          </w:tcPr>
          <w:p>
            <w:pPr>
              <w:ind w:left="20"/>
              <w:spacing w:after="0" w:line="216" w:lineRule="exact"/>
              <w:rPr>
                <w:sz w:val="20"/>
                <w:szCs w:val="20"/>
                <w:color w:val="auto"/>
              </w:rPr>
            </w:pPr>
            <w:r>
              <w:rPr>
                <w:rFonts w:ascii="Arial" w:cs="Arial" w:eastAsia="Arial" w:hAnsi="Arial"/>
                <w:sz w:val="20"/>
                <w:szCs w:val="20"/>
                <w:color w:val="auto"/>
                <w:w w:val="89"/>
              </w:rPr>
              <w:t>172</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8.5</w:t>
            </w:r>
          </w:p>
        </w:tc>
        <w:tc>
          <w:tcPr>
            <w:tcW w:w="7220" w:type="dxa"/>
            <w:vAlign w:val="bottom"/>
          </w:tcPr>
          <w:p>
            <w:pPr>
              <w:ind w:left="20"/>
              <w:spacing w:after="0" w:line="216" w:lineRule="exact"/>
              <w:rPr>
                <w:sz w:val="20"/>
                <w:szCs w:val="20"/>
                <w:color w:val="auto"/>
              </w:rPr>
            </w:pPr>
            <w:r>
              <w:rPr>
                <w:rFonts w:ascii="Arial" w:cs="Arial" w:eastAsia="Arial" w:hAnsi="Arial"/>
                <w:sz w:val="20"/>
                <w:szCs w:val="20"/>
                <w:color w:val="auto"/>
                <w:w w:val="89"/>
              </w:rPr>
              <w:t>Asset Sales..............................................................................................................................</w:t>
            </w:r>
          </w:p>
        </w:tc>
        <w:tc>
          <w:tcPr>
            <w:tcW w:w="340" w:type="dxa"/>
            <w:vAlign w:val="bottom"/>
          </w:tcPr>
          <w:p>
            <w:pPr>
              <w:spacing w:after="0" w:line="216" w:lineRule="exact"/>
              <w:rPr>
                <w:sz w:val="20"/>
                <w:szCs w:val="20"/>
                <w:color w:val="auto"/>
              </w:rPr>
            </w:pPr>
            <w:r>
              <w:rPr>
                <w:rFonts w:ascii="Arial" w:cs="Arial" w:eastAsia="Arial" w:hAnsi="Arial"/>
                <w:sz w:val="20"/>
                <w:szCs w:val="20"/>
                <w:color w:val="auto"/>
                <w:w w:val="95"/>
              </w:rPr>
              <w:t>175</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8.6</w:t>
            </w:r>
          </w:p>
        </w:tc>
        <w:tc>
          <w:tcPr>
            <w:tcW w:w="7220" w:type="dxa"/>
            <w:vAlign w:val="bottom"/>
          </w:tcPr>
          <w:p>
            <w:pPr>
              <w:ind w:left="20"/>
              <w:spacing w:after="0" w:line="216" w:lineRule="exact"/>
              <w:rPr>
                <w:sz w:val="20"/>
                <w:szCs w:val="20"/>
                <w:color w:val="auto"/>
              </w:rPr>
            </w:pPr>
            <w:r>
              <w:rPr>
                <w:rFonts w:ascii="Arial" w:cs="Arial" w:eastAsia="Arial" w:hAnsi="Arial"/>
                <w:sz w:val="20"/>
                <w:szCs w:val="20"/>
                <w:color w:val="auto"/>
                <w:w w:val="88"/>
              </w:rPr>
              <w:t>Sale and Leaseback Transactions............................................................................................</w:t>
            </w:r>
          </w:p>
        </w:tc>
        <w:tc>
          <w:tcPr>
            <w:tcW w:w="340" w:type="dxa"/>
            <w:vAlign w:val="bottom"/>
          </w:tcPr>
          <w:p>
            <w:pPr>
              <w:ind w:left="20"/>
              <w:spacing w:after="0" w:line="216" w:lineRule="exact"/>
              <w:rPr>
                <w:sz w:val="20"/>
                <w:szCs w:val="20"/>
                <w:color w:val="auto"/>
              </w:rPr>
            </w:pPr>
            <w:r>
              <w:rPr>
                <w:rFonts w:ascii="Arial" w:cs="Arial" w:eastAsia="Arial" w:hAnsi="Arial"/>
                <w:sz w:val="20"/>
                <w:szCs w:val="20"/>
                <w:color w:val="auto"/>
                <w:w w:val="89"/>
              </w:rPr>
              <w:t>178</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8.7</w:t>
            </w:r>
          </w:p>
        </w:tc>
        <w:tc>
          <w:tcPr>
            <w:tcW w:w="7220" w:type="dxa"/>
            <w:vAlign w:val="bottom"/>
          </w:tcPr>
          <w:p>
            <w:pPr>
              <w:ind w:left="20"/>
              <w:spacing w:after="0" w:line="216" w:lineRule="exact"/>
              <w:rPr>
                <w:sz w:val="20"/>
                <w:szCs w:val="20"/>
                <w:color w:val="auto"/>
              </w:rPr>
            </w:pPr>
            <w:r>
              <w:rPr>
                <w:rFonts w:ascii="Arial" w:cs="Arial" w:eastAsia="Arial" w:hAnsi="Arial"/>
                <w:sz w:val="20"/>
                <w:szCs w:val="20"/>
                <w:color w:val="auto"/>
                <w:w w:val="89"/>
              </w:rPr>
              <w:t>Sale or Discount of Receivables.............................................................................................</w:t>
            </w:r>
          </w:p>
        </w:tc>
        <w:tc>
          <w:tcPr>
            <w:tcW w:w="340" w:type="dxa"/>
            <w:vAlign w:val="bottom"/>
          </w:tcPr>
          <w:p>
            <w:pPr>
              <w:spacing w:after="0" w:line="216" w:lineRule="exact"/>
              <w:rPr>
                <w:sz w:val="20"/>
                <w:szCs w:val="20"/>
                <w:color w:val="auto"/>
              </w:rPr>
            </w:pPr>
            <w:r>
              <w:rPr>
                <w:rFonts w:ascii="Arial" w:cs="Arial" w:eastAsia="Arial" w:hAnsi="Arial"/>
                <w:sz w:val="20"/>
                <w:szCs w:val="20"/>
                <w:color w:val="auto"/>
                <w:w w:val="95"/>
              </w:rPr>
              <w:t>178</w:t>
            </w:r>
          </w:p>
        </w:tc>
      </w:tr>
      <w:tr>
        <w:trPr>
          <w:trHeight w:val="216"/>
        </w:trPr>
        <w:tc>
          <w:tcPr>
            <w:tcW w:w="280" w:type="dxa"/>
            <w:vAlign w:val="bottom"/>
          </w:tcPr>
          <w:p>
            <w:pPr>
              <w:jc w:val="right"/>
              <w:spacing w:after="0" w:line="216" w:lineRule="exact"/>
              <w:rPr>
                <w:sz w:val="20"/>
                <w:szCs w:val="20"/>
                <w:color w:val="auto"/>
              </w:rPr>
            </w:pPr>
            <w:r>
              <w:rPr>
                <w:rFonts w:ascii="Arial" w:cs="Arial" w:eastAsia="Arial" w:hAnsi="Arial"/>
                <w:sz w:val="20"/>
                <w:szCs w:val="20"/>
                <w:color w:val="auto"/>
                <w:w w:val="86"/>
              </w:rPr>
              <w:t>8.8</w:t>
            </w:r>
          </w:p>
        </w:tc>
        <w:tc>
          <w:tcPr>
            <w:tcW w:w="7220" w:type="dxa"/>
            <w:vAlign w:val="bottom"/>
          </w:tcPr>
          <w:p>
            <w:pPr>
              <w:ind w:left="20"/>
              <w:spacing w:after="0" w:line="216" w:lineRule="exact"/>
              <w:rPr>
                <w:sz w:val="20"/>
                <w:szCs w:val="20"/>
                <w:color w:val="auto"/>
              </w:rPr>
            </w:pPr>
            <w:r>
              <w:rPr>
                <w:rFonts w:ascii="Arial" w:cs="Arial" w:eastAsia="Arial" w:hAnsi="Arial"/>
                <w:sz w:val="20"/>
                <w:szCs w:val="20"/>
                <w:color w:val="auto"/>
                <w:w w:val="88"/>
              </w:rPr>
              <w:t>Restricted Payments................................................................................................................</w:t>
            </w:r>
          </w:p>
        </w:tc>
        <w:tc>
          <w:tcPr>
            <w:tcW w:w="340" w:type="dxa"/>
            <w:vAlign w:val="bottom"/>
          </w:tcPr>
          <w:p>
            <w:pPr>
              <w:ind w:left="20"/>
              <w:spacing w:after="0" w:line="216" w:lineRule="exact"/>
              <w:rPr>
                <w:sz w:val="20"/>
                <w:szCs w:val="20"/>
                <w:color w:val="auto"/>
              </w:rPr>
            </w:pPr>
            <w:r>
              <w:rPr>
                <w:rFonts w:ascii="Arial" w:cs="Arial" w:eastAsia="Arial" w:hAnsi="Arial"/>
                <w:sz w:val="20"/>
                <w:szCs w:val="20"/>
                <w:color w:val="auto"/>
                <w:w w:val="89"/>
              </w:rPr>
              <w:t>179</w:t>
            </w:r>
          </w:p>
        </w:tc>
      </w:tr>
      <w:tr>
        <w:trPr>
          <w:trHeight w:val="232"/>
        </w:trPr>
        <w:tc>
          <w:tcPr>
            <w:tcW w:w="280" w:type="dxa"/>
            <w:vAlign w:val="bottom"/>
          </w:tcPr>
          <w:p>
            <w:pPr>
              <w:jc w:val="right"/>
              <w:spacing w:after="0"/>
              <w:rPr>
                <w:sz w:val="20"/>
                <w:szCs w:val="20"/>
                <w:color w:val="auto"/>
              </w:rPr>
            </w:pPr>
            <w:r>
              <w:rPr>
                <w:rFonts w:ascii="Arial" w:cs="Arial" w:eastAsia="Arial" w:hAnsi="Arial"/>
                <w:sz w:val="20"/>
                <w:szCs w:val="20"/>
                <w:color w:val="auto"/>
                <w:w w:val="86"/>
              </w:rPr>
              <w:t>8.9</w:t>
            </w:r>
          </w:p>
        </w:tc>
        <w:tc>
          <w:tcPr>
            <w:tcW w:w="7220" w:type="dxa"/>
            <w:vAlign w:val="bottom"/>
          </w:tcPr>
          <w:p>
            <w:pPr>
              <w:ind w:left="20"/>
              <w:spacing w:after="0"/>
              <w:rPr>
                <w:sz w:val="20"/>
                <w:szCs w:val="20"/>
                <w:color w:val="auto"/>
              </w:rPr>
            </w:pPr>
            <w:r>
              <w:rPr>
                <w:rFonts w:ascii="Arial" w:cs="Arial" w:eastAsia="Arial" w:hAnsi="Arial"/>
                <w:sz w:val="20"/>
                <w:szCs w:val="20"/>
                <w:color w:val="auto"/>
                <w:w w:val="89"/>
              </w:rPr>
              <w:t>Transactions with Affiliates.....................................................................................................</w:t>
            </w:r>
          </w:p>
        </w:tc>
        <w:tc>
          <w:tcPr>
            <w:tcW w:w="340" w:type="dxa"/>
            <w:vAlign w:val="bottom"/>
          </w:tcPr>
          <w:p>
            <w:pPr>
              <w:spacing w:after="0"/>
              <w:rPr>
                <w:sz w:val="20"/>
                <w:szCs w:val="20"/>
                <w:color w:val="auto"/>
              </w:rPr>
            </w:pPr>
            <w:r>
              <w:rPr>
                <w:rFonts w:ascii="Arial" w:cs="Arial" w:eastAsia="Arial" w:hAnsi="Arial"/>
                <w:sz w:val="20"/>
                <w:szCs w:val="20"/>
                <w:color w:val="auto"/>
                <w:w w:val="95"/>
              </w:rPr>
              <w:t>180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0" w:type="dxa"/>
            <w:vAlign w:val="bottom"/>
          </w:tcPr>
          <w:p>
            <w:pPr>
              <w:spacing w:after="0" w:line="200" w:lineRule="exact"/>
              <w:rPr>
                <w:sz w:val="20"/>
                <w:szCs w:val="20"/>
                <w:color w:val="auto"/>
              </w:rPr>
            </w:pPr>
            <w:r>
              <w:rPr>
                <w:rFonts w:ascii="Arial" w:cs="Arial" w:eastAsia="Arial" w:hAnsi="Arial"/>
                <w:sz w:val="20"/>
                <w:szCs w:val="20"/>
                <w:color w:val="auto"/>
                <w:w w:val="92"/>
              </w:rPr>
              <w:t>8.10</w:t>
            </w:r>
          </w:p>
        </w:tc>
        <w:tc>
          <w:tcPr>
            <w:tcW w:w="6820" w:type="dxa"/>
            <w:vAlign w:val="bottom"/>
          </w:tcPr>
          <w:p>
            <w:pPr>
              <w:ind w:left="20"/>
              <w:spacing w:after="0" w:line="200" w:lineRule="exact"/>
              <w:rPr>
                <w:sz w:val="20"/>
                <w:szCs w:val="20"/>
                <w:color w:val="auto"/>
              </w:rPr>
            </w:pPr>
            <w:r>
              <w:rPr>
                <w:rFonts w:ascii="Arial" w:cs="Arial" w:eastAsia="Arial" w:hAnsi="Arial"/>
                <w:sz w:val="20"/>
                <w:szCs w:val="20"/>
                <w:color w:val="auto"/>
                <w:w w:val="84"/>
              </w:rPr>
              <w:t>Restrictive Agreements...........................................................................................................</w:t>
            </w:r>
          </w:p>
        </w:tc>
        <w:tc>
          <w:tcPr>
            <w:tcW w:w="700" w:type="dxa"/>
            <w:vAlign w:val="bottom"/>
          </w:tcPr>
          <w:p>
            <w:pPr>
              <w:jc w:val="right"/>
              <w:spacing w:after="0" w:line="200" w:lineRule="exact"/>
              <w:rPr>
                <w:sz w:val="20"/>
                <w:szCs w:val="20"/>
                <w:color w:val="auto"/>
              </w:rPr>
            </w:pPr>
            <w:r>
              <w:rPr>
                <w:rFonts w:ascii="Arial" w:cs="Arial" w:eastAsia="Arial" w:hAnsi="Arial"/>
                <w:sz w:val="20"/>
                <w:szCs w:val="20"/>
                <w:color w:val="auto"/>
              </w:rPr>
              <w:t>182</w:t>
            </w:r>
          </w:p>
        </w:tc>
      </w:tr>
      <w:tr>
        <w:trPr>
          <w:trHeight w:val="216"/>
        </w:trPr>
        <w:tc>
          <w:tcPr>
            <w:tcW w:w="7200" w:type="dxa"/>
            <w:vAlign w:val="bottom"/>
            <w:gridSpan w:val="2"/>
          </w:tcPr>
          <w:p>
            <w:pPr>
              <w:spacing w:after="0" w:line="216" w:lineRule="exact"/>
              <w:rPr>
                <w:sz w:val="20"/>
                <w:szCs w:val="20"/>
                <w:color w:val="auto"/>
              </w:rPr>
            </w:pPr>
            <w:r>
              <w:rPr>
                <w:rFonts w:ascii="Arial" w:cs="Arial" w:eastAsia="Arial" w:hAnsi="Arial"/>
                <w:sz w:val="20"/>
                <w:szCs w:val="20"/>
                <w:color w:val="auto"/>
                <w:w w:val="84"/>
              </w:rPr>
              <w:t>8.11 Amendments or Waivers of Certain Documents; Prepayments of Indebtedness...................</w:t>
            </w:r>
          </w:p>
        </w:tc>
        <w:tc>
          <w:tcPr>
            <w:tcW w:w="700" w:type="dxa"/>
            <w:vAlign w:val="bottom"/>
          </w:tcPr>
          <w:p>
            <w:pPr>
              <w:jc w:val="right"/>
              <w:spacing w:after="0" w:line="216" w:lineRule="exact"/>
              <w:rPr>
                <w:sz w:val="20"/>
                <w:szCs w:val="20"/>
                <w:color w:val="auto"/>
              </w:rPr>
            </w:pPr>
            <w:r>
              <w:rPr>
                <w:rFonts w:ascii="Arial" w:cs="Arial" w:eastAsia="Arial" w:hAnsi="Arial"/>
                <w:sz w:val="20"/>
                <w:szCs w:val="20"/>
                <w:color w:val="auto"/>
              </w:rPr>
              <w:t>183</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8.12</w:t>
            </w:r>
          </w:p>
        </w:tc>
        <w:tc>
          <w:tcPr>
            <w:tcW w:w="6820" w:type="dxa"/>
            <w:vAlign w:val="bottom"/>
          </w:tcPr>
          <w:p>
            <w:pPr>
              <w:ind w:left="20"/>
              <w:spacing w:after="0" w:line="216" w:lineRule="exact"/>
              <w:rPr>
                <w:sz w:val="20"/>
                <w:szCs w:val="20"/>
                <w:color w:val="auto"/>
              </w:rPr>
            </w:pPr>
            <w:r>
              <w:rPr>
                <w:rFonts w:ascii="Arial" w:cs="Arial" w:eastAsia="Arial" w:hAnsi="Arial"/>
                <w:sz w:val="20"/>
                <w:szCs w:val="20"/>
                <w:color w:val="auto"/>
                <w:w w:val="95"/>
              </w:rPr>
              <w:t>Limitation on Activities of Crown Holdings, Crown Finance, Crown Finance II and</w:t>
            </w:r>
          </w:p>
        </w:tc>
        <w:tc>
          <w:tcPr>
            <w:tcW w:w="700" w:type="dxa"/>
            <w:vAlign w:val="bottom"/>
          </w:tcPr>
          <w:p>
            <w:pPr>
              <w:spacing w:after="0"/>
              <w:rPr>
                <w:sz w:val="18"/>
                <w:szCs w:val="18"/>
                <w:color w:val="auto"/>
              </w:rPr>
            </w:pPr>
          </w:p>
        </w:tc>
      </w:tr>
      <w:tr>
        <w:trPr>
          <w:trHeight w:val="216"/>
        </w:trPr>
        <w:tc>
          <w:tcPr>
            <w:tcW w:w="7200" w:type="dxa"/>
            <w:vAlign w:val="bottom"/>
            <w:gridSpan w:val="2"/>
          </w:tcPr>
          <w:p>
            <w:pPr>
              <w:spacing w:after="0" w:line="216" w:lineRule="exact"/>
              <w:rPr>
                <w:sz w:val="20"/>
                <w:szCs w:val="20"/>
                <w:color w:val="auto"/>
              </w:rPr>
            </w:pPr>
            <w:r>
              <w:rPr>
                <w:rFonts w:ascii="Arial" w:cs="Arial" w:eastAsia="Arial" w:hAnsi="Arial"/>
                <w:sz w:val="20"/>
                <w:szCs w:val="20"/>
                <w:color w:val="auto"/>
                <w:w w:val="89"/>
              </w:rPr>
              <w:t>CCSC......................................................................................................................................</w:t>
            </w:r>
          </w:p>
        </w:tc>
        <w:tc>
          <w:tcPr>
            <w:tcW w:w="700" w:type="dxa"/>
            <w:vAlign w:val="bottom"/>
          </w:tcPr>
          <w:p>
            <w:pPr>
              <w:jc w:val="right"/>
              <w:ind w:right="321"/>
              <w:spacing w:after="0" w:line="216" w:lineRule="exact"/>
              <w:rPr>
                <w:sz w:val="20"/>
                <w:szCs w:val="20"/>
                <w:color w:val="auto"/>
              </w:rPr>
            </w:pPr>
            <w:r>
              <w:rPr>
                <w:rFonts w:ascii="Arial" w:cs="Arial" w:eastAsia="Arial" w:hAnsi="Arial"/>
                <w:sz w:val="20"/>
                <w:szCs w:val="20"/>
                <w:color w:val="auto"/>
                <w:w w:val="77"/>
              </w:rPr>
              <w:t>184</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8.13</w:t>
            </w:r>
          </w:p>
        </w:tc>
        <w:tc>
          <w:tcPr>
            <w:tcW w:w="6820" w:type="dxa"/>
            <w:vAlign w:val="bottom"/>
          </w:tcPr>
          <w:p>
            <w:pPr>
              <w:ind w:left="20"/>
              <w:spacing w:after="0" w:line="216" w:lineRule="exact"/>
              <w:rPr>
                <w:sz w:val="20"/>
                <w:szCs w:val="20"/>
                <w:color w:val="auto"/>
              </w:rPr>
            </w:pPr>
            <w:r>
              <w:rPr>
                <w:rFonts w:ascii="Arial" w:cs="Arial" w:eastAsia="Arial" w:hAnsi="Arial"/>
                <w:sz w:val="20"/>
                <w:szCs w:val="20"/>
                <w:color w:val="auto"/>
              </w:rPr>
              <w:t>Anti-Money Laundering. 185</w:t>
            </w:r>
          </w:p>
        </w:tc>
        <w:tc>
          <w:tcPr>
            <w:tcW w:w="700" w:type="dxa"/>
            <w:vAlign w:val="bottom"/>
          </w:tcPr>
          <w:p>
            <w:pPr>
              <w:spacing w:after="0"/>
              <w:rPr>
                <w:sz w:val="18"/>
                <w:szCs w:val="18"/>
                <w:color w:val="auto"/>
              </w:rPr>
            </w:pP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8.14</w:t>
            </w:r>
          </w:p>
        </w:tc>
        <w:tc>
          <w:tcPr>
            <w:tcW w:w="6820" w:type="dxa"/>
            <w:vAlign w:val="bottom"/>
          </w:tcPr>
          <w:p>
            <w:pPr>
              <w:ind w:left="20"/>
              <w:spacing w:after="0" w:line="216" w:lineRule="exact"/>
              <w:rPr>
                <w:sz w:val="20"/>
                <w:szCs w:val="20"/>
                <w:color w:val="auto"/>
              </w:rPr>
            </w:pPr>
            <w:r>
              <w:rPr>
                <w:rFonts w:ascii="Arial" w:cs="Arial" w:eastAsia="Arial" w:hAnsi="Arial"/>
                <w:sz w:val="20"/>
                <w:szCs w:val="20"/>
                <w:color w:val="auto"/>
                <w:w w:val="84"/>
              </w:rPr>
              <w:t>Accounting Changes...............................................................................................................</w:t>
            </w:r>
          </w:p>
        </w:tc>
        <w:tc>
          <w:tcPr>
            <w:tcW w:w="700" w:type="dxa"/>
            <w:vAlign w:val="bottom"/>
          </w:tcPr>
          <w:p>
            <w:pPr>
              <w:jc w:val="right"/>
              <w:spacing w:after="0" w:line="216" w:lineRule="exact"/>
              <w:rPr>
                <w:sz w:val="20"/>
                <w:szCs w:val="20"/>
                <w:color w:val="auto"/>
              </w:rPr>
            </w:pPr>
            <w:r>
              <w:rPr>
                <w:rFonts w:ascii="Arial" w:cs="Arial" w:eastAsia="Arial" w:hAnsi="Arial"/>
                <w:sz w:val="20"/>
                <w:szCs w:val="20"/>
                <w:color w:val="auto"/>
              </w:rPr>
              <w:t>185</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8.15</w:t>
            </w:r>
          </w:p>
        </w:tc>
        <w:tc>
          <w:tcPr>
            <w:tcW w:w="6820" w:type="dxa"/>
            <w:vAlign w:val="bottom"/>
          </w:tcPr>
          <w:p>
            <w:pPr>
              <w:ind w:left="20"/>
              <w:spacing w:after="0" w:line="216" w:lineRule="exact"/>
              <w:rPr>
                <w:sz w:val="20"/>
                <w:szCs w:val="20"/>
                <w:color w:val="auto"/>
              </w:rPr>
            </w:pPr>
            <w:r>
              <w:rPr>
                <w:rFonts w:ascii="Arial" w:cs="Arial" w:eastAsia="Arial" w:hAnsi="Arial"/>
                <w:sz w:val="20"/>
                <w:szCs w:val="20"/>
                <w:color w:val="auto"/>
                <w:w w:val="84"/>
              </w:rPr>
              <w:t>Canadian Defined Benefit Plans.............................................................................................</w:t>
            </w:r>
          </w:p>
        </w:tc>
        <w:tc>
          <w:tcPr>
            <w:tcW w:w="700" w:type="dxa"/>
            <w:vAlign w:val="bottom"/>
          </w:tcPr>
          <w:p>
            <w:pPr>
              <w:jc w:val="right"/>
              <w:spacing w:after="0" w:line="216" w:lineRule="exact"/>
              <w:rPr>
                <w:sz w:val="20"/>
                <w:szCs w:val="20"/>
                <w:color w:val="auto"/>
              </w:rPr>
            </w:pPr>
            <w:r>
              <w:rPr>
                <w:rFonts w:ascii="Arial" w:cs="Arial" w:eastAsia="Arial" w:hAnsi="Arial"/>
                <w:sz w:val="20"/>
                <w:szCs w:val="20"/>
                <w:color w:val="auto"/>
              </w:rPr>
              <w:t>185</w:t>
            </w:r>
          </w:p>
        </w:tc>
      </w:tr>
      <w:tr>
        <w:trPr>
          <w:trHeight w:val="250"/>
        </w:trPr>
        <w:tc>
          <w:tcPr>
            <w:tcW w:w="380" w:type="dxa"/>
            <w:vAlign w:val="bottom"/>
          </w:tcPr>
          <w:p>
            <w:pPr>
              <w:spacing w:after="0"/>
              <w:rPr>
                <w:sz w:val="20"/>
                <w:szCs w:val="20"/>
                <w:color w:val="auto"/>
              </w:rPr>
            </w:pPr>
            <w:r>
              <w:rPr>
                <w:rFonts w:ascii="Arial" w:cs="Arial" w:eastAsia="Arial" w:hAnsi="Arial"/>
                <w:sz w:val="20"/>
                <w:szCs w:val="20"/>
                <w:color w:val="auto"/>
                <w:w w:val="92"/>
              </w:rPr>
              <w:t>8.16</w:t>
            </w:r>
          </w:p>
        </w:tc>
        <w:tc>
          <w:tcPr>
            <w:tcW w:w="6820" w:type="dxa"/>
            <w:vAlign w:val="bottom"/>
          </w:tcPr>
          <w:p>
            <w:pPr>
              <w:ind w:left="20"/>
              <w:spacing w:after="0"/>
              <w:rPr>
                <w:sz w:val="20"/>
                <w:szCs w:val="20"/>
                <w:color w:val="auto"/>
              </w:rPr>
            </w:pPr>
            <w:r>
              <w:rPr>
                <w:rFonts w:ascii="Arial" w:cs="Arial" w:eastAsia="Arial" w:hAnsi="Arial"/>
                <w:sz w:val="20"/>
                <w:szCs w:val="20"/>
                <w:color w:val="auto"/>
                <w:w w:val="84"/>
              </w:rPr>
              <w:t>Sanctions.................................................................................................................................</w:t>
            </w:r>
          </w:p>
        </w:tc>
        <w:tc>
          <w:tcPr>
            <w:tcW w:w="700" w:type="dxa"/>
            <w:vAlign w:val="bottom"/>
          </w:tcPr>
          <w:p>
            <w:pPr>
              <w:jc w:val="right"/>
              <w:spacing w:after="0"/>
              <w:rPr>
                <w:sz w:val="20"/>
                <w:szCs w:val="20"/>
                <w:color w:val="auto"/>
              </w:rPr>
            </w:pPr>
            <w:r>
              <w:rPr>
                <w:rFonts w:ascii="Arial" w:cs="Arial" w:eastAsia="Arial" w:hAnsi="Arial"/>
                <w:sz w:val="20"/>
                <w:szCs w:val="20"/>
                <w:color w:val="auto"/>
              </w:rPr>
              <w:t>185</w:t>
            </w:r>
          </w:p>
        </w:tc>
      </w:tr>
    </w:tbl>
    <w:p>
      <w:pPr>
        <w:spacing w:after="0" w:line="209"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ARTICLE IX</w:t>
      </w:r>
    </w:p>
    <w:p>
      <w:pPr>
        <w:spacing w:after="0" w:line="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FINANCIAL COVENANT</w:t>
      </w:r>
    </w:p>
    <w:p>
      <w:pPr>
        <w:spacing w:after="0" w:line="213"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ARTICLE X</w:t>
      </w:r>
    </w:p>
    <w:p>
      <w:pPr>
        <w:spacing w:after="0" w:line="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EVENTS OF DEFAULT</w:t>
      </w:r>
    </w:p>
    <w:p>
      <w:pPr>
        <w:sectPr>
          <w:pgSz w:w="11900" w:h="16838" w:orient="portrait"/>
          <w:cols w:equalWidth="0" w:num="1">
            <w:col w:w="10139"/>
          </w:cols>
          <w:pgMar w:left="320" w:top="1405"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0"/>
        </w:trPr>
        <w:tc>
          <w:tcPr>
            <w:tcW w:w="380" w:type="dxa"/>
            <w:vAlign w:val="bottom"/>
          </w:tcPr>
          <w:p>
            <w:pPr>
              <w:jc w:val="right"/>
              <w:spacing w:after="0"/>
              <w:rPr>
                <w:sz w:val="20"/>
                <w:szCs w:val="20"/>
                <w:color w:val="auto"/>
              </w:rPr>
            </w:pPr>
            <w:r>
              <w:rPr>
                <w:rFonts w:ascii="Arial" w:cs="Arial" w:eastAsia="Arial" w:hAnsi="Arial"/>
                <w:sz w:val="20"/>
                <w:szCs w:val="20"/>
                <w:color w:val="auto"/>
                <w:w w:val="87"/>
              </w:rPr>
              <w:t>10.1</w:t>
            </w:r>
          </w:p>
        </w:tc>
        <w:tc>
          <w:tcPr>
            <w:tcW w:w="7200" w:type="dxa"/>
            <w:vAlign w:val="bottom"/>
          </w:tcPr>
          <w:p>
            <w:pPr>
              <w:ind w:left="20"/>
              <w:spacing w:after="0"/>
              <w:rPr>
                <w:sz w:val="20"/>
                <w:szCs w:val="20"/>
                <w:color w:val="auto"/>
              </w:rPr>
            </w:pPr>
            <w:r>
              <w:rPr>
                <w:rFonts w:ascii="Arial" w:cs="Arial" w:eastAsia="Arial" w:hAnsi="Arial"/>
                <w:sz w:val="20"/>
                <w:szCs w:val="20"/>
                <w:color w:val="auto"/>
                <w:w w:val="90"/>
              </w:rPr>
              <w:t>Listing of Events of Default....................................................................................................</w:t>
            </w:r>
          </w:p>
        </w:tc>
        <w:tc>
          <w:tcPr>
            <w:tcW w:w="340" w:type="dxa"/>
            <w:vAlign w:val="bottom"/>
          </w:tcPr>
          <w:p>
            <w:pPr>
              <w:jc w:val="right"/>
              <w:spacing w:after="0"/>
              <w:rPr>
                <w:sz w:val="20"/>
                <w:szCs w:val="20"/>
                <w:color w:val="auto"/>
              </w:rPr>
            </w:pPr>
            <w:r>
              <w:rPr>
                <w:rFonts w:ascii="Arial" w:cs="Arial" w:eastAsia="Arial" w:hAnsi="Arial"/>
                <w:sz w:val="20"/>
                <w:szCs w:val="20"/>
                <w:color w:val="auto"/>
                <w:w w:val="95"/>
              </w:rPr>
              <w:t>186</w:t>
            </w:r>
          </w:p>
        </w:tc>
      </w:tr>
      <w:tr>
        <w:trPr>
          <w:trHeight w:val="216"/>
        </w:trPr>
        <w:tc>
          <w:tcPr>
            <w:tcW w:w="380" w:type="dxa"/>
            <w:vAlign w:val="bottom"/>
          </w:tcPr>
          <w:p>
            <w:pPr>
              <w:jc w:val="right"/>
              <w:spacing w:after="0" w:line="216" w:lineRule="exact"/>
              <w:rPr>
                <w:sz w:val="20"/>
                <w:szCs w:val="20"/>
                <w:color w:val="auto"/>
              </w:rPr>
            </w:pPr>
            <w:r>
              <w:rPr>
                <w:rFonts w:ascii="Arial" w:cs="Arial" w:eastAsia="Arial" w:hAnsi="Arial"/>
                <w:sz w:val="20"/>
                <w:szCs w:val="20"/>
                <w:color w:val="auto"/>
                <w:w w:val="87"/>
              </w:rPr>
              <w:t>10.2</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90"/>
              </w:rPr>
              <w:t>Action if Bankruptcy...............................................................................................................</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9"/>
              </w:rPr>
              <w:t>188</w:t>
            </w:r>
          </w:p>
        </w:tc>
      </w:tr>
      <w:tr>
        <w:trPr>
          <w:trHeight w:val="216"/>
        </w:trPr>
        <w:tc>
          <w:tcPr>
            <w:tcW w:w="380" w:type="dxa"/>
            <w:vAlign w:val="bottom"/>
          </w:tcPr>
          <w:p>
            <w:pPr>
              <w:jc w:val="right"/>
              <w:spacing w:after="0" w:line="216" w:lineRule="exact"/>
              <w:rPr>
                <w:sz w:val="20"/>
                <w:szCs w:val="20"/>
                <w:color w:val="auto"/>
              </w:rPr>
            </w:pPr>
            <w:r>
              <w:rPr>
                <w:rFonts w:ascii="Arial" w:cs="Arial" w:eastAsia="Arial" w:hAnsi="Arial"/>
                <w:sz w:val="20"/>
                <w:szCs w:val="20"/>
                <w:color w:val="auto"/>
                <w:w w:val="87"/>
              </w:rPr>
              <w:t>10.3</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90"/>
              </w:rPr>
              <w:t>Action if Other Event of Default.............................................................................................</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95"/>
              </w:rPr>
              <w:t>189</w:t>
            </w:r>
          </w:p>
        </w:tc>
      </w:tr>
      <w:tr>
        <w:trPr>
          <w:trHeight w:val="216"/>
        </w:trPr>
        <w:tc>
          <w:tcPr>
            <w:tcW w:w="380" w:type="dxa"/>
            <w:vAlign w:val="bottom"/>
          </w:tcPr>
          <w:p>
            <w:pPr>
              <w:jc w:val="right"/>
              <w:spacing w:after="0" w:line="216" w:lineRule="exact"/>
              <w:rPr>
                <w:sz w:val="20"/>
                <w:szCs w:val="20"/>
                <w:color w:val="auto"/>
              </w:rPr>
            </w:pPr>
            <w:r>
              <w:rPr>
                <w:rFonts w:ascii="Arial" w:cs="Arial" w:eastAsia="Arial" w:hAnsi="Arial"/>
                <w:sz w:val="20"/>
                <w:szCs w:val="20"/>
                <w:color w:val="auto"/>
                <w:w w:val="87"/>
              </w:rPr>
              <w:t>10.4</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[Reserved]...............................................................................................................................</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9"/>
              </w:rPr>
              <w:t>189</w:t>
            </w:r>
          </w:p>
        </w:tc>
      </w:tr>
      <w:tr>
        <w:trPr>
          <w:trHeight w:val="250"/>
        </w:trPr>
        <w:tc>
          <w:tcPr>
            <w:tcW w:w="380" w:type="dxa"/>
            <w:vAlign w:val="bottom"/>
          </w:tcPr>
          <w:p>
            <w:pPr>
              <w:jc w:val="right"/>
              <w:spacing w:after="0"/>
              <w:rPr>
                <w:sz w:val="20"/>
                <w:szCs w:val="20"/>
                <w:color w:val="auto"/>
              </w:rPr>
            </w:pPr>
            <w:r>
              <w:rPr>
                <w:rFonts w:ascii="Arial" w:cs="Arial" w:eastAsia="Arial" w:hAnsi="Arial"/>
                <w:sz w:val="20"/>
                <w:szCs w:val="20"/>
                <w:color w:val="auto"/>
                <w:w w:val="87"/>
              </w:rPr>
              <w:t>10.5</w:t>
            </w:r>
          </w:p>
        </w:tc>
        <w:tc>
          <w:tcPr>
            <w:tcW w:w="7200" w:type="dxa"/>
            <w:vAlign w:val="bottom"/>
          </w:tcPr>
          <w:p>
            <w:pPr>
              <w:ind w:left="20"/>
              <w:spacing w:after="0"/>
              <w:rPr>
                <w:sz w:val="20"/>
                <w:szCs w:val="20"/>
                <w:color w:val="auto"/>
              </w:rPr>
            </w:pPr>
            <w:r>
              <w:rPr>
                <w:rFonts w:ascii="Arial" w:cs="Arial" w:eastAsia="Arial" w:hAnsi="Arial"/>
                <w:sz w:val="20"/>
                <w:szCs w:val="20"/>
                <w:color w:val="auto"/>
                <w:w w:val="90"/>
              </w:rPr>
              <w:t>Rights Not Exclusive..............................................................................................................</w:t>
            </w:r>
          </w:p>
        </w:tc>
        <w:tc>
          <w:tcPr>
            <w:tcW w:w="340" w:type="dxa"/>
            <w:vAlign w:val="bottom"/>
          </w:tcPr>
          <w:p>
            <w:pPr>
              <w:jc w:val="right"/>
              <w:spacing w:after="0"/>
              <w:rPr>
                <w:sz w:val="20"/>
                <w:szCs w:val="20"/>
                <w:color w:val="auto"/>
              </w:rPr>
            </w:pPr>
            <w:r>
              <w:rPr>
                <w:rFonts w:ascii="Arial" w:cs="Arial" w:eastAsia="Arial" w:hAnsi="Arial"/>
                <w:sz w:val="20"/>
                <w:szCs w:val="20"/>
                <w:color w:val="auto"/>
                <w:w w:val="83"/>
              </w:rPr>
              <w:t>189</w:t>
            </w:r>
          </w:p>
        </w:tc>
      </w:tr>
    </w:tbl>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900" w:type="dxa"/>
            <w:vAlign w:val="bottom"/>
          </w:tcPr>
          <w:p>
            <w:pPr>
              <w:jc w:val="right"/>
              <w:ind w:right="1661"/>
              <w:spacing w:after="0"/>
              <w:rPr>
                <w:sz w:val="20"/>
                <w:szCs w:val="20"/>
                <w:color w:val="auto"/>
              </w:rPr>
            </w:pPr>
            <w:r>
              <w:rPr>
                <w:rFonts w:ascii="Arial" w:cs="Arial" w:eastAsia="Arial" w:hAnsi="Arial"/>
                <w:sz w:val="20"/>
                <w:szCs w:val="20"/>
                <w:color w:val="auto"/>
              </w:rPr>
              <w:t>ARTICLE XI</w:t>
            </w:r>
          </w:p>
        </w:tc>
      </w:tr>
      <w:tr>
        <w:trPr>
          <w:trHeight w:val="250"/>
        </w:trPr>
        <w:tc>
          <w:tcPr>
            <w:tcW w:w="38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900" w:type="dxa"/>
            <w:vAlign w:val="bottom"/>
          </w:tcPr>
          <w:p>
            <w:pPr>
              <w:jc w:val="right"/>
              <w:ind w:right="1581"/>
              <w:spacing w:after="0"/>
              <w:rPr>
                <w:sz w:val="20"/>
                <w:szCs w:val="20"/>
                <w:color w:val="auto"/>
              </w:rPr>
            </w:pPr>
            <w:r>
              <w:rPr>
                <w:rFonts w:ascii="Arial" w:cs="Arial" w:eastAsia="Arial" w:hAnsi="Arial"/>
                <w:sz w:val="20"/>
                <w:szCs w:val="20"/>
                <w:color w:val="auto"/>
                <w:w w:val="93"/>
              </w:rPr>
              <w:t>THE AGENTS</w:t>
            </w:r>
          </w:p>
        </w:tc>
      </w:tr>
      <w:tr>
        <w:trPr>
          <w:trHeight w:val="425"/>
        </w:trPr>
        <w:tc>
          <w:tcPr>
            <w:tcW w:w="380" w:type="dxa"/>
            <w:vAlign w:val="bottom"/>
          </w:tcPr>
          <w:p>
            <w:pPr>
              <w:jc w:val="right"/>
              <w:spacing w:after="0"/>
              <w:rPr>
                <w:sz w:val="20"/>
                <w:szCs w:val="20"/>
                <w:color w:val="auto"/>
              </w:rPr>
            </w:pPr>
            <w:r>
              <w:rPr>
                <w:rFonts w:ascii="Arial" w:cs="Arial" w:eastAsia="Arial" w:hAnsi="Arial"/>
                <w:sz w:val="20"/>
                <w:szCs w:val="20"/>
                <w:color w:val="auto"/>
                <w:w w:val="82"/>
              </w:rPr>
              <w:t>11.1</w:t>
            </w:r>
          </w:p>
        </w:tc>
        <w:tc>
          <w:tcPr>
            <w:tcW w:w="4640" w:type="dxa"/>
            <w:vAlign w:val="bottom"/>
          </w:tcPr>
          <w:p>
            <w:pPr>
              <w:ind w:left="20"/>
              <w:spacing w:after="0"/>
              <w:rPr>
                <w:sz w:val="20"/>
                <w:szCs w:val="20"/>
                <w:color w:val="auto"/>
              </w:rPr>
            </w:pPr>
            <w:r>
              <w:rPr>
                <w:rFonts w:ascii="Arial" w:cs="Arial" w:eastAsia="Arial" w:hAnsi="Arial"/>
                <w:sz w:val="16"/>
                <w:szCs w:val="16"/>
                <w:color w:val="auto"/>
                <w:w w:val="71"/>
              </w:rPr>
              <w:t>Appointment............................................................................................................................</w:t>
            </w:r>
          </w:p>
        </w:tc>
        <w:tc>
          <w:tcPr>
            <w:tcW w:w="2900" w:type="dxa"/>
            <w:vAlign w:val="bottom"/>
          </w:tcPr>
          <w:p>
            <w:pPr>
              <w:jc w:val="right"/>
              <w:spacing w:after="0"/>
              <w:rPr>
                <w:sz w:val="20"/>
                <w:szCs w:val="20"/>
                <w:color w:val="auto"/>
              </w:rPr>
            </w:pPr>
            <w:r>
              <w:rPr>
                <w:rFonts w:ascii="Arial" w:cs="Arial" w:eastAsia="Arial" w:hAnsi="Arial"/>
                <w:sz w:val="20"/>
                <w:szCs w:val="20"/>
                <w:color w:val="auto"/>
              </w:rPr>
              <w:t>190</w:t>
            </w:r>
          </w:p>
        </w:tc>
      </w:tr>
      <w:tr>
        <w:trPr>
          <w:trHeight w:val="216"/>
        </w:trPr>
        <w:tc>
          <w:tcPr>
            <w:tcW w:w="380" w:type="dxa"/>
            <w:vAlign w:val="bottom"/>
          </w:tcPr>
          <w:p>
            <w:pPr>
              <w:jc w:val="right"/>
              <w:spacing w:after="0" w:line="216" w:lineRule="exact"/>
              <w:rPr>
                <w:sz w:val="20"/>
                <w:szCs w:val="20"/>
                <w:color w:val="auto"/>
              </w:rPr>
            </w:pPr>
            <w:r>
              <w:rPr>
                <w:rFonts w:ascii="Arial" w:cs="Arial" w:eastAsia="Arial" w:hAnsi="Arial"/>
                <w:sz w:val="20"/>
                <w:szCs w:val="20"/>
                <w:color w:val="auto"/>
                <w:w w:val="82"/>
              </w:rPr>
              <w:t>11.2</w:t>
            </w:r>
          </w:p>
        </w:tc>
        <w:tc>
          <w:tcPr>
            <w:tcW w:w="4640" w:type="dxa"/>
            <w:vAlign w:val="bottom"/>
          </w:tcPr>
          <w:p>
            <w:pPr>
              <w:ind w:left="20"/>
              <w:spacing w:after="0"/>
              <w:rPr>
                <w:sz w:val="20"/>
                <w:szCs w:val="20"/>
                <w:color w:val="auto"/>
              </w:rPr>
            </w:pPr>
            <w:r>
              <w:rPr>
                <w:rFonts w:ascii="Arial" w:cs="Arial" w:eastAsia="Arial" w:hAnsi="Arial"/>
                <w:sz w:val="16"/>
                <w:szCs w:val="16"/>
                <w:color w:val="auto"/>
                <w:w w:val="73"/>
              </w:rPr>
              <w:t>The Administrative Agent in Its Individual Capacity.............................................................</w:t>
            </w:r>
          </w:p>
        </w:tc>
        <w:tc>
          <w:tcPr>
            <w:tcW w:w="2900" w:type="dxa"/>
            <w:vAlign w:val="bottom"/>
          </w:tcPr>
          <w:p>
            <w:pPr>
              <w:jc w:val="right"/>
              <w:spacing w:after="0" w:line="216" w:lineRule="exact"/>
              <w:rPr>
                <w:sz w:val="20"/>
                <w:szCs w:val="20"/>
                <w:color w:val="auto"/>
              </w:rPr>
            </w:pPr>
            <w:r>
              <w:rPr>
                <w:rFonts w:ascii="Arial" w:cs="Arial" w:eastAsia="Arial" w:hAnsi="Arial"/>
                <w:sz w:val="20"/>
                <w:szCs w:val="20"/>
                <w:color w:val="auto"/>
              </w:rPr>
              <w:t>191</w:t>
            </w:r>
          </w:p>
        </w:tc>
      </w:tr>
      <w:tr>
        <w:trPr>
          <w:trHeight w:val="216"/>
        </w:trPr>
        <w:tc>
          <w:tcPr>
            <w:tcW w:w="380" w:type="dxa"/>
            <w:vAlign w:val="bottom"/>
          </w:tcPr>
          <w:p>
            <w:pPr>
              <w:jc w:val="right"/>
              <w:spacing w:after="0" w:line="216" w:lineRule="exact"/>
              <w:rPr>
                <w:sz w:val="20"/>
                <w:szCs w:val="20"/>
                <w:color w:val="auto"/>
              </w:rPr>
            </w:pPr>
            <w:r>
              <w:rPr>
                <w:rFonts w:ascii="Arial" w:cs="Arial" w:eastAsia="Arial" w:hAnsi="Arial"/>
                <w:sz w:val="20"/>
                <w:szCs w:val="20"/>
                <w:color w:val="auto"/>
                <w:w w:val="82"/>
              </w:rPr>
              <w:t>11.3</w:t>
            </w:r>
          </w:p>
        </w:tc>
        <w:tc>
          <w:tcPr>
            <w:tcW w:w="4640" w:type="dxa"/>
            <w:vAlign w:val="bottom"/>
          </w:tcPr>
          <w:p>
            <w:pPr>
              <w:ind w:left="20"/>
              <w:spacing w:after="0"/>
              <w:rPr>
                <w:sz w:val="20"/>
                <w:szCs w:val="20"/>
                <w:color w:val="auto"/>
              </w:rPr>
            </w:pPr>
            <w:r>
              <w:rPr>
                <w:rFonts w:ascii="Arial" w:cs="Arial" w:eastAsia="Arial" w:hAnsi="Arial"/>
                <w:sz w:val="16"/>
                <w:szCs w:val="16"/>
                <w:color w:val="auto"/>
                <w:w w:val="71"/>
              </w:rPr>
              <w:t>Nature of Duties......................................................................................................................</w:t>
            </w:r>
          </w:p>
        </w:tc>
        <w:tc>
          <w:tcPr>
            <w:tcW w:w="2900" w:type="dxa"/>
            <w:vAlign w:val="bottom"/>
          </w:tcPr>
          <w:p>
            <w:pPr>
              <w:jc w:val="right"/>
              <w:spacing w:after="0" w:line="216" w:lineRule="exact"/>
              <w:rPr>
                <w:sz w:val="20"/>
                <w:szCs w:val="20"/>
                <w:color w:val="auto"/>
              </w:rPr>
            </w:pPr>
            <w:r>
              <w:rPr>
                <w:rFonts w:ascii="Arial" w:cs="Arial" w:eastAsia="Arial" w:hAnsi="Arial"/>
                <w:sz w:val="20"/>
                <w:szCs w:val="20"/>
                <w:color w:val="auto"/>
              </w:rPr>
              <w:t>192</w:t>
            </w:r>
          </w:p>
        </w:tc>
      </w:tr>
      <w:tr>
        <w:trPr>
          <w:trHeight w:val="216"/>
        </w:trPr>
        <w:tc>
          <w:tcPr>
            <w:tcW w:w="380" w:type="dxa"/>
            <w:vAlign w:val="bottom"/>
          </w:tcPr>
          <w:p>
            <w:pPr>
              <w:jc w:val="right"/>
              <w:spacing w:after="0" w:line="216" w:lineRule="exact"/>
              <w:rPr>
                <w:sz w:val="20"/>
                <w:szCs w:val="20"/>
                <w:color w:val="auto"/>
              </w:rPr>
            </w:pPr>
            <w:r>
              <w:rPr>
                <w:rFonts w:ascii="Arial" w:cs="Arial" w:eastAsia="Arial" w:hAnsi="Arial"/>
                <w:sz w:val="20"/>
                <w:szCs w:val="20"/>
                <w:color w:val="auto"/>
                <w:w w:val="82"/>
              </w:rPr>
              <w:t>11.4</w:t>
            </w:r>
          </w:p>
        </w:tc>
        <w:tc>
          <w:tcPr>
            <w:tcW w:w="4640" w:type="dxa"/>
            <w:vAlign w:val="bottom"/>
          </w:tcPr>
          <w:p>
            <w:pPr>
              <w:ind w:left="20"/>
              <w:spacing w:after="0"/>
              <w:rPr>
                <w:sz w:val="20"/>
                <w:szCs w:val="20"/>
                <w:color w:val="auto"/>
              </w:rPr>
            </w:pPr>
            <w:r>
              <w:rPr>
                <w:rFonts w:ascii="Arial" w:cs="Arial" w:eastAsia="Arial" w:hAnsi="Arial"/>
                <w:sz w:val="16"/>
                <w:szCs w:val="16"/>
                <w:color w:val="auto"/>
                <w:w w:val="71"/>
              </w:rPr>
              <w:t>Reliance...................................................................................................................................</w:t>
            </w:r>
          </w:p>
        </w:tc>
        <w:tc>
          <w:tcPr>
            <w:tcW w:w="2900" w:type="dxa"/>
            <w:vAlign w:val="bottom"/>
          </w:tcPr>
          <w:p>
            <w:pPr>
              <w:jc w:val="right"/>
              <w:spacing w:after="0" w:line="216" w:lineRule="exact"/>
              <w:rPr>
                <w:sz w:val="20"/>
                <w:szCs w:val="20"/>
                <w:color w:val="auto"/>
              </w:rPr>
            </w:pPr>
            <w:r>
              <w:rPr>
                <w:rFonts w:ascii="Arial" w:cs="Arial" w:eastAsia="Arial" w:hAnsi="Arial"/>
                <w:sz w:val="20"/>
                <w:szCs w:val="20"/>
                <w:color w:val="auto"/>
              </w:rPr>
              <w:t>192</w:t>
            </w:r>
          </w:p>
        </w:tc>
      </w:tr>
      <w:tr>
        <w:trPr>
          <w:trHeight w:val="216"/>
        </w:trPr>
        <w:tc>
          <w:tcPr>
            <w:tcW w:w="380" w:type="dxa"/>
            <w:vAlign w:val="bottom"/>
          </w:tcPr>
          <w:p>
            <w:pPr>
              <w:jc w:val="right"/>
              <w:spacing w:after="0" w:line="216" w:lineRule="exact"/>
              <w:rPr>
                <w:sz w:val="20"/>
                <w:szCs w:val="20"/>
                <w:color w:val="auto"/>
              </w:rPr>
            </w:pPr>
            <w:r>
              <w:rPr>
                <w:rFonts w:ascii="Arial" w:cs="Arial" w:eastAsia="Arial" w:hAnsi="Arial"/>
                <w:sz w:val="20"/>
                <w:szCs w:val="20"/>
                <w:color w:val="auto"/>
                <w:w w:val="82"/>
              </w:rPr>
              <w:t>11.5</w:t>
            </w:r>
          </w:p>
        </w:tc>
        <w:tc>
          <w:tcPr>
            <w:tcW w:w="4640" w:type="dxa"/>
            <w:vAlign w:val="bottom"/>
          </w:tcPr>
          <w:p>
            <w:pPr>
              <w:ind w:left="20"/>
              <w:spacing w:after="0"/>
              <w:rPr>
                <w:sz w:val="20"/>
                <w:szCs w:val="20"/>
                <w:color w:val="auto"/>
              </w:rPr>
            </w:pPr>
            <w:r>
              <w:rPr>
                <w:rFonts w:ascii="Arial" w:cs="Arial" w:eastAsia="Arial" w:hAnsi="Arial"/>
                <w:sz w:val="16"/>
                <w:szCs w:val="16"/>
                <w:color w:val="auto"/>
                <w:w w:val="72"/>
              </w:rPr>
              <w:t>Delegation of Duties...............................................................................................................</w:t>
            </w:r>
          </w:p>
        </w:tc>
        <w:tc>
          <w:tcPr>
            <w:tcW w:w="2900" w:type="dxa"/>
            <w:vAlign w:val="bottom"/>
          </w:tcPr>
          <w:p>
            <w:pPr>
              <w:jc w:val="right"/>
              <w:spacing w:after="0" w:line="216" w:lineRule="exact"/>
              <w:rPr>
                <w:sz w:val="20"/>
                <w:szCs w:val="20"/>
                <w:color w:val="auto"/>
              </w:rPr>
            </w:pPr>
            <w:r>
              <w:rPr>
                <w:rFonts w:ascii="Arial" w:cs="Arial" w:eastAsia="Arial" w:hAnsi="Arial"/>
                <w:sz w:val="20"/>
                <w:szCs w:val="20"/>
                <w:color w:val="auto"/>
              </w:rPr>
              <w:t>192</w:t>
            </w:r>
          </w:p>
        </w:tc>
      </w:tr>
      <w:tr>
        <w:trPr>
          <w:trHeight w:val="216"/>
        </w:trPr>
        <w:tc>
          <w:tcPr>
            <w:tcW w:w="380" w:type="dxa"/>
            <w:vAlign w:val="bottom"/>
          </w:tcPr>
          <w:p>
            <w:pPr>
              <w:jc w:val="right"/>
              <w:spacing w:after="0" w:line="216" w:lineRule="exact"/>
              <w:rPr>
                <w:sz w:val="20"/>
                <w:szCs w:val="20"/>
                <w:color w:val="auto"/>
              </w:rPr>
            </w:pPr>
            <w:r>
              <w:rPr>
                <w:rFonts w:ascii="Arial" w:cs="Arial" w:eastAsia="Arial" w:hAnsi="Arial"/>
                <w:sz w:val="20"/>
                <w:szCs w:val="20"/>
                <w:color w:val="auto"/>
                <w:w w:val="82"/>
              </w:rPr>
              <w:t>11.6</w:t>
            </w:r>
          </w:p>
        </w:tc>
        <w:tc>
          <w:tcPr>
            <w:tcW w:w="4640" w:type="dxa"/>
            <w:vAlign w:val="bottom"/>
          </w:tcPr>
          <w:p>
            <w:pPr>
              <w:ind w:left="20"/>
              <w:spacing w:after="0"/>
              <w:rPr>
                <w:sz w:val="20"/>
                <w:szCs w:val="20"/>
                <w:color w:val="auto"/>
              </w:rPr>
            </w:pPr>
            <w:r>
              <w:rPr>
                <w:rFonts w:ascii="Arial" w:cs="Arial" w:eastAsia="Arial" w:hAnsi="Arial"/>
                <w:sz w:val="16"/>
                <w:szCs w:val="16"/>
                <w:color w:val="auto"/>
                <w:w w:val="72"/>
              </w:rPr>
              <w:t>Resignation by the Administrative Agent...............................................................................</w:t>
            </w:r>
          </w:p>
        </w:tc>
        <w:tc>
          <w:tcPr>
            <w:tcW w:w="2900" w:type="dxa"/>
            <w:vAlign w:val="bottom"/>
          </w:tcPr>
          <w:p>
            <w:pPr>
              <w:jc w:val="right"/>
              <w:spacing w:after="0" w:line="216" w:lineRule="exact"/>
              <w:rPr>
                <w:sz w:val="20"/>
                <w:szCs w:val="20"/>
                <w:color w:val="auto"/>
              </w:rPr>
            </w:pPr>
            <w:r>
              <w:rPr>
                <w:rFonts w:ascii="Arial" w:cs="Arial" w:eastAsia="Arial" w:hAnsi="Arial"/>
                <w:sz w:val="20"/>
                <w:szCs w:val="20"/>
                <w:color w:val="auto"/>
              </w:rPr>
              <w:t>193</w:t>
            </w:r>
          </w:p>
        </w:tc>
      </w:tr>
      <w:tr>
        <w:trPr>
          <w:trHeight w:val="216"/>
        </w:trPr>
        <w:tc>
          <w:tcPr>
            <w:tcW w:w="380" w:type="dxa"/>
            <w:vAlign w:val="bottom"/>
          </w:tcPr>
          <w:p>
            <w:pPr>
              <w:jc w:val="right"/>
              <w:spacing w:after="0" w:line="216" w:lineRule="exact"/>
              <w:rPr>
                <w:sz w:val="20"/>
                <w:szCs w:val="20"/>
                <w:color w:val="auto"/>
              </w:rPr>
            </w:pPr>
            <w:r>
              <w:rPr>
                <w:rFonts w:ascii="Arial" w:cs="Arial" w:eastAsia="Arial" w:hAnsi="Arial"/>
                <w:sz w:val="20"/>
                <w:szCs w:val="20"/>
                <w:color w:val="auto"/>
                <w:w w:val="82"/>
              </w:rPr>
              <w:t>11.7</w:t>
            </w:r>
          </w:p>
        </w:tc>
        <w:tc>
          <w:tcPr>
            <w:tcW w:w="4640" w:type="dxa"/>
            <w:vAlign w:val="bottom"/>
          </w:tcPr>
          <w:p>
            <w:pPr>
              <w:ind w:left="20"/>
              <w:spacing w:after="0"/>
              <w:rPr>
                <w:sz w:val="20"/>
                <w:szCs w:val="20"/>
                <w:color w:val="auto"/>
              </w:rPr>
            </w:pPr>
            <w:r>
              <w:rPr>
                <w:rFonts w:ascii="Arial" w:cs="Arial" w:eastAsia="Arial" w:hAnsi="Arial"/>
                <w:sz w:val="16"/>
                <w:szCs w:val="16"/>
                <w:color w:val="auto"/>
                <w:w w:val="72"/>
              </w:rPr>
              <w:t>Lack of Reliance on the Administrative Agent.......................................................................</w:t>
            </w:r>
          </w:p>
        </w:tc>
        <w:tc>
          <w:tcPr>
            <w:tcW w:w="2900" w:type="dxa"/>
            <w:vAlign w:val="bottom"/>
          </w:tcPr>
          <w:p>
            <w:pPr>
              <w:jc w:val="right"/>
              <w:spacing w:after="0" w:line="216" w:lineRule="exact"/>
              <w:rPr>
                <w:sz w:val="20"/>
                <w:szCs w:val="20"/>
                <w:color w:val="auto"/>
              </w:rPr>
            </w:pPr>
            <w:r>
              <w:rPr>
                <w:rFonts w:ascii="Arial" w:cs="Arial" w:eastAsia="Arial" w:hAnsi="Arial"/>
                <w:sz w:val="20"/>
                <w:szCs w:val="20"/>
                <w:color w:val="auto"/>
              </w:rPr>
              <w:t>194</w:t>
            </w:r>
          </w:p>
        </w:tc>
      </w:tr>
      <w:tr>
        <w:trPr>
          <w:trHeight w:val="216"/>
        </w:trPr>
        <w:tc>
          <w:tcPr>
            <w:tcW w:w="380" w:type="dxa"/>
            <w:vAlign w:val="bottom"/>
          </w:tcPr>
          <w:p>
            <w:pPr>
              <w:jc w:val="right"/>
              <w:spacing w:after="0" w:line="216" w:lineRule="exact"/>
              <w:rPr>
                <w:sz w:val="20"/>
                <w:szCs w:val="20"/>
                <w:color w:val="auto"/>
              </w:rPr>
            </w:pPr>
            <w:r>
              <w:rPr>
                <w:rFonts w:ascii="Arial" w:cs="Arial" w:eastAsia="Arial" w:hAnsi="Arial"/>
                <w:sz w:val="20"/>
                <w:szCs w:val="20"/>
                <w:color w:val="auto"/>
                <w:w w:val="82"/>
              </w:rPr>
              <w:t>11.8</w:t>
            </w:r>
          </w:p>
        </w:tc>
        <w:tc>
          <w:tcPr>
            <w:tcW w:w="7540" w:type="dxa"/>
            <w:vAlign w:val="bottom"/>
            <w:gridSpan w:val="2"/>
          </w:tcPr>
          <w:p>
            <w:pPr>
              <w:ind w:left="20"/>
              <w:spacing w:after="0" w:line="216" w:lineRule="exact"/>
              <w:rPr>
                <w:sz w:val="20"/>
                <w:szCs w:val="20"/>
                <w:color w:val="auto"/>
              </w:rPr>
            </w:pPr>
            <w:r>
              <w:rPr>
                <w:rFonts w:ascii="Arial" w:cs="Arial" w:eastAsia="Arial" w:hAnsi="Arial"/>
                <w:sz w:val="20"/>
                <w:szCs w:val="20"/>
                <w:color w:val="auto"/>
                <w:w w:val="89"/>
              </w:rPr>
              <w:t>No Other Duties, Etc.........................................................................................................….. 194</w:t>
            </w:r>
          </w:p>
        </w:tc>
      </w:tr>
      <w:tr>
        <w:trPr>
          <w:trHeight w:val="232"/>
        </w:trPr>
        <w:tc>
          <w:tcPr>
            <w:tcW w:w="380" w:type="dxa"/>
            <w:vAlign w:val="bottom"/>
          </w:tcPr>
          <w:p>
            <w:pPr>
              <w:jc w:val="right"/>
              <w:spacing w:after="0"/>
              <w:rPr>
                <w:sz w:val="20"/>
                <w:szCs w:val="20"/>
                <w:color w:val="auto"/>
              </w:rPr>
            </w:pPr>
            <w:r>
              <w:rPr>
                <w:rFonts w:ascii="Arial" w:cs="Arial" w:eastAsia="Arial" w:hAnsi="Arial"/>
                <w:sz w:val="20"/>
                <w:szCs w:val="20"/>
                <w:color w:val="auto"/>
                <w:w w:val="82"/>
              </w:rPr>
              <w:t>11.9</w:t>
            </w:r>
          </w:p>
        </w:tc>
        <w:tc>
          <w:tcPr>
            <w:tcW w:w="4640" w:type="dxa"/>
            <w:vAlign w:val="bottom"/>
          </w:tcPr>
          <w:p>
            <w:pPr>
              <w:ind w:left="20"/>
              <w:spacing w:after="0"/>
              <w:rPr>
                <w:sz w:val="20"/>
                <w:szCs w:val="20"/>
                <w:color w:val="auto"/>
              </w:rPr>
            </w:pPr>
            <w:r>
              <w:rPr>
                <w:rFonts w:ascii="Arial" w:cs="Arial" w:eastAsia="Arial" w:hAnsi="Arial"/>
                <w:sz w:val="16"/>
                <w:szCs w:val="16"/>
                <w:color w:val="auto"/>
                <w:w w:val="73"/>
              </w:rPr>
              <w:t>Administrative Agent May File Proofs of Claim....................................................................</w:t>
            </w:r>
          </w:p>
        </w:tc>
        <w:tc>
          <w:tcPr>
            <w:tcW w:w="2900" w:type="dxa"/>
            <w:vAlign w:val="bottom"/>
          </w:tcPr>
          <w:p>
            <w:pPr>
              <w:jc w:val="right"/>
              <w:spacing w:after="0"/>
              <w:rPr>
                <w:sz w:val="20"/>
                <w:szCs w:val="20"/>
                <w:color w:val="auto"/>
              </w:rPr>
            </w:pPr>
            <w:r>
              <w:rPr>
                <w:rFonts w:ascii="Arial" w:cs="Arial" w:eastAsia="Arial" w:hAnsi="Arial"/>
                <w:sz w:val="20"/>
                <w:szCs w:val="20"/>
                <w:color w:val="auto"/>
              </w:rPr>
              <w:t>195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0" w:type="dxa"/>
            <w:vAlign w:val="bottom"/>
            <w:gridSpan w:val="2"/>
          </w:tcPr>
          <w:p>
            <w:pPr>
              <w:spacing w:after="0" w:line="200" w:lineRule="exact"/>
              <w:rPr>
                <w:sz w:val="20"/>
                <w:szCs w:val="20"/>
                <w:color w:val="auto"/>
              </w:rPr>
            </w:pPr>
            <w:r>
              <w:rPr>
                <w:rFonts w:ascii="Arial" w:cs="Arial" w:eastAsia="Arial" w:hAnsi="Arial"/>
                <w:sz w:val="20"/>
                <w:szCs w:val="20"/>
                <w:color w:val="auto"/>
                <w:w w:val="91"/>
              </w:rPr>
              <w:t>11.10</w:t>
            </w:r>
          </w:p>
        </w:tc>
        <w:tc>
          <w:tcPr>
            <w:tcW w:w="7120" w:type="dxa"/>
            <w:vAlign w:val="bottom"/>
          </w:tcPr>
          <w:p>
            <w:pPr>
              <w:jc w:val="right"/>
              <w:spacing w:after="0" w:line="200" w:lineRule="exact"/>
              <w:rPr>
                <w:sz w:val="20"/>
                <w:szCs w:val="20"/>
                <w:color w:val="auto"/>
              </w:rPr>
            </w:pPr>
            <w:r>
              <w:rPr>
                <w:rFonts w:ascii="Arial" w:cs="Arial" w:eastAsia="Arial" w:hAnsi="Arial"/>
                <w:sz w:val="20"/>
                <w:szCs w:val="20"/>
                <w:color w:val="auto"/>
                <w:w w:val="88"/>
              </w:rPr>
              <w:t>Collateral and Guaranty Matters.............................................................................................</w:t>
            </w:r>
          </w:p>
        </w:tc>
        <w:tc>
          <w:tcPr>
            <w:tcW w:w="400" w:type="dxa"/>
            <w:vAlign w:val="bottom"/>
          </w:tcPr>
          <w:p>
            <w:pPr>
              <w:ind w:left="100"/>
              <w:spacing w:after="0" w:line="200" w:lineRule="exact"/>
              <w:rPr>
                <w:sz w:val="20"/>
                <w:szCs w:val="20"/>
                <w:color w:val="auto"/>
              </w:rPr>
            </w:pPr>
            <w:r>
              <w:rPr>
                <w:rFonts w:ascii="Arial" w:cs="Arial" w:eastAsia="Arial" w:hAnsi="Arial"/>
                <w:sz w:val="20"/>
                <w:szCs w:val="20"/>
                <w:color w:val="auto"/>
                <w:w w:val="83"/>
              </w:rPr>
              <w:t>195</w:t>
            </w:r>
          </w:p>
        </w:tc>
      </w:tr>
      <w:tr>
        <w:trPr>
          <w:trHeight w:val="216"/>
        </w:trPr>
        <w:tc>
          <w:tcPr>
            <w:tcW w:w="7600" w:type="dxa"/>
            <w:vAlign w:val="bottom"/>
            <w:gridSpan w:val="3"/>
          </w:tcPr>
          <w:p>
            <w:pPr>
              <w:jc w:val="right"/>
              <w:spacing w:after="0" w:line="216" w:lineRule="exact"/>
              <w:rPr>
                <w:sz w:val="20"/>
                <w:szCs w:val="20"/>
                <w:color w:val="auto"/>
              </w:rPr>
            </w:pPr>
            <w:r>
              <w:rPr>
                <w:rFonts w:ascii="Arial" w:cs="Arial" w:eastAsia="Arial" w:hAnsi="Arial"/>
                <w:sz w:val="20"/>
                <w:szCs w:val="20"/>
                <w:color w:val="auto"/>
                <w:w w:val="88"/>
              </w:rPr>
              <w:t>11.11 Bank Related Debt..................................................................................................................</w:t>
            </w:r>
          </w:p>
        </w:tc>
        <w:tc>
          <w:tcPr>
            <w:tcW w:w="400" w:type="dxa"/>
            <w:vAlign w:val="bottom"/>
          </w:tcPr>
          <w:p>
            <w:pPr>
              <w:ind w:left="80"/>
              <w:spacing w:after="0" w:line="216" w:lineRule="exact"/>
              <w:rPr>
                <w:sz w:val="20"/>
                <w:szCs w:val="20"/>
                <w:color w:val="auto"/>
              </w:rPr>
            </w:pPr>
            <w:r>
              <w:rPr>
                <w:rFonts w:ascii="Arial" w:cs="Arial" w:eastAsia="Arial" w:hAnsi="Arial"/>
                <w:sz w:val="20"/>
                <w:szCs w:val="20"/>
                <w:color w:val="auto"/>
                <w:w w:val="89"/>
              </w:rPr>
              <w:t>197</w:t>
            </w:r>
          </w:p>
        </w:tc>
      </w:tr>
      <w:tr>
        <w:trPr>
          <w:trHeight w:val="216"/>
        </w:trPr>
        <w:tc>
          <w:tcPr>
            <w:tcW w:w="480" w:type="dxa"/>
            <w:vAlign w:val="bottom"/>
            <w:gridSpan w:val="2"/>
          </w:tcPr>
          <w:p>
            <w:pPr>
              <w:spacing w:after="0" w:line="216" w:lineRule="exact"/>
              <w:rPr>
                <w:sz w:val="20"/>
                <w:szCs w:val="20"/>
                <w:color w:val="auto"/>
              </w:rPr>
            </w:pPr>
            <w:r>
              <w:rPr>
                <w:rFonts w:ascii="Arial" w:cs="Arial" w:eastAsia="Arial" w:hAnsi="Arial"/>
                <w:sz w:val="20"/>
                <w:szCs w:val="20"/>
                <w:color w:val="auto"/>
                <w:w w:val="91"/>
              </w:rPr>
              <w:t>11.12</w:t>
            </w:r>
          </w:p>
        </w:tc>
        <w:tc>
          <w:tcPr>
            <w:tcW w:w="7120" w:type="dxa"/>
            <w:vAlign w:val="bottom"/>
          </w:tcPr>
          <w:p>
            <w:pPr>
              <w:jc w:val="right"/>
              <w:spacing w:after="0" w:line="216" w:lineRule="exact"/>
              <w:rPr>
                <w:sz w:val="20"/>
                <w:szCs w:val="20"/>
                <w:color w:val="auto"/>
              </w:rPr>
            </w:pPr>
            <w:r>
              <w:rPr>
                <w:rFonts w:ascii="Arial" w:cs="Arial" w:eastAsia="Arial" w:hAnsi="Arial"/>
                <w:sz w:val="20"/>
                <w:szCs w:val="20"/>
                <w:color w:val="auto"/>
                <w:w w:val="89"/>
              </w:rPr>
              <w:t>Withholding Tax Indemnity....................................................................................................</w:t>
            </w:r>
          </w:p>
        </w:tc>
        <w:tc>
          <w:tcPr>
            <w:tcW w:w="400" w:type="dxa"/>
            <w:vAlign w:val="bottom"/>
          </w:tcPr>
          <w:p>
            <w:pPr>
              <w:ind w:left="80"/>
              <w:spacing w:after="0" w:line="216" w:lineRule="exact"/>
              <w:rPr>
                <w:sz w:val="20"/>
                <w:szCs w:val="20"/>
                <w:color w:val="auto"/>
              </w:rPr>
            </w:pPr>
            <w:r>
              <w:rPr>
                <w:rFonts w:ascii="Arial" w:cs="Arial" w:eastAsia="Arial" w:hAnsi="Arial"/>
                <w:sz w:val="20"/>
                <w:szCs w:val="20"/>
                <w:color w:val="auto"/>
                <w:w w:val="89"/>
              </w:rPr>
              <w:t>197</w:t>
            </w:r>
          </w:p>
        </w:tc>
      </w:tr>
      <w:tr>
        <w:trPr>
          <w:trHeight w:val="250"/>
        </w:trPr>
        <w:tc>
          <w:tcPr>
            <w:tcW w:w="480" w:type="dxa"/>
            <w:vAlign w:val="bottom"/>
            <w:gridSpan w:val="2"/>
          </w:tcPr>
          <w:p>
            <w:pPr>
              <w:spacing w:after="0"/>
              <w:rPr>
                <w:sz w:val="20"/>
                <w:szCs w:val="20"/>
                <w:color w:val="auto"/>
              </w:rPr>
            </w:pPr>
            <w:r>
              <w:rPr>
                <w:rFonts w:ascii="Arial" w:cs="Arial" w:eastAsia="Arial" w:hAnsi="Arial"/>
                <w:sz w:val="20"/>
                <w:szCs w:val="20"/>
                <w:color w:val="auto"/>
                <w:w w:val="91"/>
              </w:rPr>
              <w:t>11.13</w:t>
            </w:r>
          </w:p>
        </w:tc>
        <w:tc>
          <w:tcPr>
            <w:tcW w:w="7120" w:type="dxa"/>
            <w:vAlign w:val="bottom"/>
          </w:tcPr>
          <w:p>
            <w:pPr>
              <w:jc w:val="right"/>
              <w:spacing w:after="0"/>
              <w:rPr>
                <w:sz w:val="20"/>
                <w:szCs w:val="20"/>
                <w:color w:val="auto"/>
              </w:rPr>
            </w:pPr>
            <w:r>
              <w:rPr>
                <w:rFonts w:ascii="Arial" w:cs="Arial" w:eastAsia="Arial" w:hAnsi="Arial"/>
                <w:sz w:val="20"/>
                <w:szCs w:val="20"/>
                <w:color w:val="auto"/>
                <w:w w:val="88"/>
              </w:rPr>
              <w:t>Holders....................................................................................................................................</w:t>
            </w:r>
          </w:p>
        </w:tc>
        <w:tc>
          <w:tcPr>
            <w:tcW w:w="400" w:type="dxa"/>
            <w:vAlign w:val="bottom"/>
          </w:tcPr>
          <w:p>
            <w:pPr>
              <w:ind w:left="100"/>
              <w:spacing w:after="0"/>
              <w:rPr>
                <w:sz w:val="20"/>
                <w:szCs w:val="20"/>
                <w:color w:val="auto"/>
              </w:rPr>
            </w:pPr>
            <w:r>
              <w:rPr>
                <w:rFonts w:ascii="Arial" w:cs="Arial" w:eastAsia="Arial" w:hAnsi="Arial"/>
                <w:sz w:val="20"/>
                <w:szCs w:val="20"/>
                <w:color w:val="auto"/>
                <w:w w:val="83"/>
              </w:rPr>
              <w:t>197</w:t>
            </w:r>
          </w:p>
        </w:tc>
      </w:tr>
      <w:tr>
        <w:trPr>
          <w:trHeight w:val="425"/>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20" w:type="dxa"/>
            <w:vAlign w:val="bottom"/>
          </w:tcPr>
          <w:p>
            <w:pPr>
              <w:jc w:val="right"/>
              <w:ind w:right="1301"/>
              <w:spacing w:after="0"/>
              <w:rPr>
                <w:sz w:val="20"/>
                <w:szCs w:val="20"/>
                <w:color w:val="auto"/>
              </w:rPr>
            </w:pPr>
            <w:r>
              <w:rPr>
                <w:rFonts w:ascii="Arial" w:cs="Arial" w:eastAsia="Arial" w:hAnsi="Arial"/>
                <w:sz w:val="20"/>
                <w:szCs w:val="20"/>
                <w:color w:val="auto"/>
              </w:rPr>
              <w:t>ARTICLE XII</w:t>
            </w:r>
          </w:p>
        </w:tc>
        <w:tc>
          <w:tcPr>
            <w:tcW w:w="400" w:type="dxa"/>
            <w:vAlign w:val="bottom"/>
          </w:tcPr>
          <w:p>
            <w:pPr>
              <w:spacing w:after="0"/>
              <w:rPr>
                <w:sz w:val="24"/>
                <w:szCs w:val="24"/>
                <w:color w:val="auto"/>
              </w:rPr>
            </w:pPr>
          </w:p>
        </w:tc>
      </w:tr>
      <w:tr>
        <w:trPr>
          <w:trHeight w:val="250"/>
        </w:trPr>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120" w:type="dxa"/>
            <w:vAlign w:val="bottom"/>
          </w:tcPr>
          <w:p>
            <w:pPr>
              <w:jc w:val="right"/>
              <w:ind w:right="1061"/>
              <w:spacing w:after="0"/>
              <w:rPr>
                <w:sz w:val="20"/>
                <w:szCs w:val="20"/>
                <w:color w:val="auto"/>
              </w:rPr>
            </w:pPr>
            <w:r>
              <w:rPr>
                <w:rFonts w:ascii="Arial" w:cs="Arial" w:eastAsia="Arial" w:hAnsi="Arial"/>
                <w:sz w:val="20"/>
                <w:szCs w:val="20"/>
                <w:color w:val="auto"/>
              </w:rPr>
              <w:t>MISCELLANEOUS</w:t>
            </w:r>
          </w:p>
        </w:tc>
        <w:tc>
          <w:tcPr>
            <w:tcW w:w="400" w:type="dxa"/>
            <w:vAlign w:val="bottom"/>
          </w:tcPr>
          <w:p>
            <w:pPr>
              <w:spacing w:after="0"/>
              <w:rPr>
                <w:sz w:val="21"/>
                <w:szCs w:val="21"/>
                <w:color w:val="auto"/>
              </w:rPr>
            </w:pPr>
          </w:p>
        </w:tc>
      </w:tr>
      <w:tr>
        <w:trPr>
          <w:trHeight w:val="425"/>
        </w:trPr>
        <w:tc>
          <w:tcPr>
            <w:tcW w:w="380" w:type="dxa"/>
            <w:vAlign w:val="bottom"/>
          </w:tcPr>
          <w:p>
            <w:pPr>
              <w:spacing w:after="0"/>
              <w:rPr>
                <w:sz w:val="20"/>
                <w:szCs w:val="20"/>
                <w:color w:val="auto"/>
              </w:rPr>
            </w:pPr>
            <w:r>
              <w:rPr>
                <w:rFonts w:ascii="Arial" w:cs="Arial" w:eastAsia="Arial" w:hAnsi="Arial"/>
                <w:sz w:val="20"/>
                <w:szCs w:val="20"/>
                <w:color w:val="auto"/>
                <w:w w:val="92"/>
              </w:rPr>
              <w:t>12.1</w:t>
            </w:r>
          </w:p>
        </w:tc>
        <w:tc>
          <w:tcPr>
            <w:tcW w:w="7220" w:type="dxa"/>
            <w:vAlign w:val="bottom"/>
            <w:gridSpan w:val="2"/>
          </w:tcPr>
          <w:p>
            <w:pPr>
              <w:ind w:left="20"/>
              <w:spacing w:after="0"/>
              <w:rPr>
                <w:sz w:val="20"/>
                <w:szCs w:val="20"/>
                <w:color w:val="auto"/>
              </w:rPr>
            </w:pPr>
            <w:r>
              <w:rPr>
                <w:rFonts w:ascii="Arial" w:cs="Arial" w:eastAsia="Arial" w:hAnsi="Arial"/>
                <w:sz w:val="20"/>
                <w:szCs w:val="20"/>
                <w:color w:val="auto"/>
                <w:w w:val="91"/>
              </w:rPr>
              <w:t>No Waiver; Modifications in Writing.....................................................................................</w:t>
            </w:r>
          </w:p>
        </w:tc>
        <w:tc>
          <w:tcPr>
            <w:tcW w:w="400" w:type="dxa"/>
            <w:vAlign w:val="bottom"/>
          </w:tcPr>
          <w:p>
            <w:pPr>
              <w:spacing w:after="0"/>
              <w:rPr>
                <w:sz w:val="20"/>
                <w:szCs w:val="20"/>
                <w:color w:val="auto"/>
              </w:rPr>
            </w:pPr>
            <w:r>
              <w:rPr>
                <w:rFonts w:ascii="Arial" w:cs="Arial" w:eastAsia="Arial" w:hAnsi="Arial"/>
                <w:sz w:val="20"/>
                <w:szCs w:val="20"/>
                <w:color w:val="auto"/>
              </w:rPr>
              <w:t>197</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12.2</w:t>
            </w:r>
          </w:p>
        </w:tc>
        <w:tc>
          <w:tcPr>
            <w:tcW w:w="7220" w:type="dxa"/>
            <w:vAlign w:val="bottom"/>
            <w:gridSpan w:val="2"/>
          </w:tcPr>
          <w:p>
            <w:pPr>
              <w:ind w:left="20"/>
              <w:spacing w:after="0" w:line="216" w:lineRule="exact"/>
              <w:rPr>
                <w:sz w:val="20"/>
                <w:szCs w:val="20"/>
                <w:color w:val="auto"/>
              </w:rPr>
            </w:pPr>
            <w:r>
              <w:rPr>
                <w:rFonts w:ascii="Arial" w:cs="Arial" w:eastAsia="Arial" w:hAnsi="Arial"/>
                <w:sz w:val="20"/>
                <w:szCs w:val="20"/>
                <w:color w:val="auto"/>
                <w:w w:val="88"/>
              </w:rPr>
              <w:t>Further Assurances..................................................................................................................</w:t>
            </w:r>
          </w:p>
        </w:tc>
        <w:tc>
          <w:tcPr>
            <w:tcW w:w="400" w:type="dxa"/>
            <w:vAlign w:val="bottom"/>
          </w:tcPr>
          <w:p>
            <w:pPr>
              <w:ind w:left="20"/>
              <w:spacing w:after="0" w:line="216" w:lineRule="exact"/>
              <w:rPr>
                <w:sz w:val="20"/>
                <w:szCs w:val="20"/>
                <w:color w:val="auto"/>
              </w:rPr>
            </w:pPr>
            <w:r>
              <w:rPr>
                <w:rFonts w:ascii="Arial" w:cs="Arial" w:eastAsia="Arial" w:hAnsi="Arial"/>
                <w:sz w:val="20"/>
                <w:szCs w:val="20"/>
                <w:color w:val="auto"/>
              </w:rPr>
              <w:t>201</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12.3</w:t>
            </w:r>
          </w:p>
        </w:tc>
        <w:tc>
          <w:tcPr>
            <w:tcW w:w="7220" w:type="dxa"/>
            <w:vAlign w:val="bottom"/>
            <w:gridSpan w:val="2"/>
          </w:tcPr>
          <w:p>
            <w:pPr>
              <w:ind w:left="20"/>
              <w:spacing w:after="0" w:line="216" w:lineRule="exact"/>
              <w:rPr>
                <w:sz w:val="20"/>
                <w:szCs w:val="20"/>
                <w:color w:val="auto"/>
              </w:rPr>
            </w:pPr>
            <w:r>
              <w:rPr>
                <w:rFonts w:ascii="Arial" w:cs="Arial" w:eastAsia="Arial" w:hAnsi="Arial"/>
                <w:sz w:val="20"/>
                <w:szCs w:val="20"/>
                <w:color w:val="auto"/>
                <w:w w:val="89"/>
              </w:rPr>
              <w:t>Notices, Etc.............................................................................................................................</w:t>
            </w:r>
          </w:p>
        </w:tc>
        <w:tc>
          <w:tcPr>
            <w:tcW w:w="400" w:type="dxa"/>
            <w:vAlign w:val="bottom"/>
          </w:tcPr>
          <w:p>
            <w:pPr>
              <w:spacing w:after="0" w:line="216" w:lineRule="exact"/>
              <w:rPr>
                <w:sz w:val="20"/>
                <w:szCs w:val="20"/>
                <w:color w:val="auto"/>
              </w:rPr>
            </w:pPr>
            <w:r>
              <w:rPr>
                <w:rFonts w:ascii="Arial" w:cs="Arial" w:eastAsia="Arial" w:hAnsi="Arial"/>
                <w:sz w:val="20"/>
                <w:szCs w:val="20"/>
                <w:color w:val="auto"/>
              </w:rPr>
              <w:t>201</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12.4</w:t>
            </w:r>
          </w:p>
        </w:tc>
        <w:tc>
          <w:tcPr>
            <w:tcW w:w="7220" w:type="dxa"/>
            <w:vAlign w:val="bottom"/>
            <w:gridSpan w:val="2"/>
          </w:tcPr>
          <w:p>
            <w:pPr>
              <w:ind w:left="20"/>
              <w:spacing w:after="0" w:line="216" w:lineRule="exact"/>
              <w:rPr>
                <w:sz w:val="20"/>
                <w:szCs w:val="20"/>
                <w:color w:val="auto"/>
              </w:rPr>
            </w:pPr>
            <w:r>
              <w:rPr>
                <w:rFonts w:ascii="Arial" w:cs="Arial" w:eastAsia="Arial" w:hAnsi="Arial"/>
                <w:sz w:val="20"/>
                <w:szCs w:val="20"/>
                <w:color w:val="auto"/>
                <w:w w:val="89"/>
              </w:rPr>
              <w:t>Costs and Expenses; Indemnification.....................................................................................</w:t>
            </w:r>
          </w:p>
        </w:tc>
        <w:tc>
          <w:tcPr>
            <w:tcW w:w="400" w:type="dxa"/>
            <w:vAlign w:val="bottom"/>
          </w:tcPr>
          <w:p>
            <w:pPr>
              <w:spacing w:after="0" w:line="216" w:lineRule="exact"/>
              <w:rPr>
                <w:sz w:val="20"/>
                <w:szCs w:val="20"/>
                <w:color w:val="auto"/>
              </w:rPr>
            </w:pPr>
            <w:r>
              <w:rPr>
                <w:rFonts w:ascii="Arial" w:cs="Arial" w:eastAsia="Arial" w:hAnsi="Arial"/>
                <w:sz w:val="20"/>
                <w:szCs w:val="20"/>
                <w:color w:val="auto"/>
              </w:rPr>
              <w:t>202</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12.5</w:t>
            </w:r>
          </w:p>
        </w:tc>
        <w:tc>
          <w:tcPr>
            <w:tcW w:w="7220" w:type="dxa"/>
            <w:vAlign w:val="bottom"/>
            <w:gridSpan w:val="2"/>
          </w:tcPr>
          <w:p>
            <w:pPr>
              <w:ind w:left="20"/>
              <w:spacing w:after="0" w:line="216" w:lineRule="exact"/>
              <w:rPr>
                <w:sz w:val="20"/>
                <w:szCs w:val="20"/>
                <w:color w:val="auto"/>
              </w:rPr>
            </w:pPr>
            <w:r>
              <w:rPr>
                <w:rFonts w:ascii="Arial" w:cs="Arial" w:eastAsia="Arial" w:hAnsi="Arial"/>
                <w:sz w:val="20"/>
                <w:szCs w:val="20"/>
                <w:color w:val="auto"/>
                <w:w w:val="89"/>
              </w:rPr>
              <w:t>Confirmations..........................................................................................................................</w:t>
            </w:r>
          </w:p>
        </w:tc>
        <w:tc>
          <w:tcPr>
            <w:tcW w:w="400" w:type="dxa"/>
            <w:vAlign w:val="bottom"/>
          </w:tcPr>
          <w:p>
            <w:pPr>
              <w:ind w:left="40"/>
              <w:spacing w:after="0" w:line="216" w:lineRule="exact"/>
              <w:rPr>
                <w:sz w:val="20"/>
                <w:szCs w:val="20"/>
                <w:color w:val="auto"/>
              </w:rPr>
            </w:pPr>
            <w:r>
              <w:rPr>
                <w:rFonts w:ascii="Arial" w:cs="Arial" w:eastAsia="Arial" w:hAnsi="Arial"/>
                <w:sz w:val="20"/>
                <w:szCs w:val="20"/>
                <w:color w:val="auto"/>
              </w:rPr>
              <w:t>204</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12.6</w:t>
            </w:r>
          </w:p>
        </w:tc>
        <w:tc>
          <w:tcPr>
            <w:tcW w:w="7620" w:type="dxa"/>
            <w:vAlign w:val="bottom"/>
            <w:gridSpan w:val="3"/>
          </w:tcPr>
          <w:p>
            <w:pPr>
              <w:ind w:left="20"/>
              <w:spacing w:after="0" w:line="216" w:lineRule="exact"/>
              <w:rPr>
                <w:sz w:val="20"/>
                <w:szCs w:val="20"/>
                <w:color w:val="auto"/>
              </w:rPr>
            </w:pPr>
            <w:r>
              <w:rPr>
                <w:rFonts w:ascii="Arial" w:cs="Arial" w:eastAsia="Arial" w:hAnsi="Arial"/>
                <w:sz w:val="20"/>
                <w:szCs w:val="20"/>
                <w:color w:val="auto"/>
                <w:w w:val="90"/>
              </w:rPr>
              <w:t>Adjustment; Setoff..............................................................................................................… 204</w:t>
            </w:r>
          </w:p>
        </w:tc>
      </w:tr>
      <w:tr>
        <w:trPr>
          <w:trHeight w:val="216"/>
        </w:trPr>
        <w:tc>
          <w:tcPr>
            <w:tcW w:w="380" w:type="dxa"/>
            <w:vAlign w:val="bottom"/>
          </w:tcPr>
          <w:p>
            <w:pPr>
              <w:spacing w:after="0" w:line="216" w:lineRule="exact"/>
              <w:rPr>
                <w:sz w:val="20"/>
                <w:szCs w:val="20"/>
                <w:color w:val="auto"/>
              </w:rPr>
            </w:pPr>
            <w:r>
              <w:rPr>
                <w:rFonts w:ascii="Arial" w:cs="Arial" w:eastAsia="Arial" w:hAnsi="Arial"/>
                <w:sz w:val="20"/>
                <w:szCs w:val="20"/>
                <w:color w:val="auto"/>
                <w:w w:val="92"/>
              </w:rPr>
              <w:t>12.7</w:t>
            </w:r>
          </w:p>
        </w:tc>
        <w:tc>
          <w:tcPr>
            <w:tcW w:w="7220" w:type="dxa"/>
            <w:vAlign w:val="bottom"/>
            <w:gridSpan w:val="2"/>
          </w:tcPr>
          <w:p>
            <w:pPr>
              <w:ind w:left="20"/>
              <w:spacing w:after="0" w:line="216" w:lineRule="exact"/>
              <w:rPr>
                <w:sz w:val="20"/>
                <w:szCs w:val="20"/>
                <w:color w:val="auto"/>
              </w:rPr>
            </w:pPr>
            <w:r>
              <w:rPr>
                <w:rFonts w:ascii="Arial" w:cs="Arial" w:eastAsia="Arial" w:hAnsi="Arial"/>
                <w:sz w:val="20"/>
                <w:szCs w:val="20"/>
                <w:color w:val="auto"/>
                <w:w w:val="90"/>
              </w:rPr>
              <w:t>Execution in Counterparts; Electronic Execution...................................................................</w:t>
            </w:r>
          </w:p>
        </w:tc>
        <w:tc>
          <w:tcPr>
            <w:tcW w:w="400" w:type="dxa"/>
            <w:vAlign w:val="bottom"/>
          </w:tcPr>
          <w:p>
            <w:pPr>
              <w:ind w:left="20"/>
              <w:spacing w:after="0" w:line="216" w:lineRule="exact"/>
              <w:rPr>
                <w:sz w:val="20"/>
                <w:szCs w:val="20"/>
                <w:color w:val="auto"/>
              </w:rPr>
            </w:pPr>
            <w:r>
              <w:rPr>
                <w:rFonts w:ascii="Arial" w:cs="Arial" w:eastAsia="Arial" w:hAnsi="Arial"/>
                <w:sz w:val="20"/>
                <w:szCs w:val="20"/>
                <w:color w:val="auto"/>
              </w:rPr>
              <w:t>206</w:t>
            </w:r>
          </w:p>
        </w:tc>
      </w:tr>
      <w:tr>
        <w:trPr>
          <w:trHeight w:val="232"/>
        </w:trPr>
        <w:tc>
          <w:tcPr>
            <w:tcW w:w="380" w:type="dxa"/>
            <w:vAlign w:val="bottom"/>
          </w:tcPr>
          <w:p>
            <w:pPr>
              <w:spacing w:after="0"/>
              <w:rPr>
                <w:sz w:val="20"/>
                <w:szCs w:val="20"/>
                <w:color w:val="auto"/>
              </w:rPr>
            </w:pPr>
            <w:r>
              <w:rPr>
                <w:rFonts w:ascii="Arial" w:cs="Arial" w:eastAsia="Arial" w:hAnsi="Arial"/>
                <w:sz w:val="20"/>
                <w:szCs w:val="20"/>
                <w:color w:val="auto"/>
                <w:w w:val="92"/>
              </w:rPr>
              <w:t>12.8</w:t>
            </w:r>
          </w:p>
        </w:tc>
        <w:tc>
          <w:tcPr>
            <w:tcW w:w="7220" w:type="dxa"/>
            <w:vAlign w:val="bottom"/>
            <w:gridSpan w:val="2"/>
          </w:tcPr>
          <w:p>
            <w:pPr>
              <w:ind w:left="20"/>
              <w:spacing w:after="0"/>
              <w:rPr>
                <w:sz w:val="20"/>
                <w:szCs w:val="20"/>
                <w:color w:val="auto"/>
              </w:rPr>
            </w:pPr>
            <w:r>
              <w:rPr>
                <w:rFonts w:ascii="Arial" w:cs="Arial" w:eastAsia="Arial" w:hAnsi="Arial"/>
                <w:sz w:val="20"/>
                <w:szCs w:val="20"/>
                <w:color w:val="auto"/>
                <w:w w:val="91"/>
              </w:rPr>
              <w:t>Binding Effect; Assignment; Addition and Substitution of Lenders......................................</w:t>
            </w:r>
          </w:p>
        </w:tc>
        <w:tc>
          <w:tcPr>
            <w:tcW w:w="400" w:type="dxa"/>
            <w:vAlign w:val="bottom"/>
          </w:tcPr>
          <w:p>
            <w:pPr>
              <w:spacing w:after="0"/>
              <w:rPr>
                <w:sz w:val="20"/>
                <w:szCs w:val="20"/>
                <w:color w:val="auto"/>
              </w:rPr>
            </w:pPr>
            <w:r>
              <w:rPr>
                <w:rFonts w:ascii="Arial" w:cs="Arial" w:eastAsia="Arial" w:hAnsi="Arial"/>
                <w:sz w:val="20"/>
                <w:szCs w:val="20"/>
                <w:color w:val="auto"/>
              </w:rPr>
              <w:t>206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680" w:type="dxa"/>
            <w:vAlign w:val="bottom"/>
            <w:gridSpan w:val="2"/>
          </w:tcPr>
          <w:p>
            <w:pPr>
              <w:spacing w:after="0" w:line="200" w:lineRule="exact"/>
              <w:rPr>
                <w:sz w:val="20"/>
                <w:szCs w:val="20"/>
                <w:color w:val="auto"/>
              </w:rPr>
            </w:pPr>
            <w:r>
              <w:rPr>
                <w:rFonts w:ascii="Arial" w:cs="Arial" w:eastAsia="Arial" w:hAnsi="Arial"/>
                <w:sz w:val="20"/>
                <w:szCs w:val="20"/>
                <w:color w:val="auto"/>
              </w:rPr>
              <w:t>12.9 CONSENT TO JURISDICTION; MUTUAL WAIVER OF JURY TRIAL;</w:t>
            </w:r>
          </w:p>
        </w:tc>
        <w:tc>
          <w:tcPr>
            <w:tcW w:w="480" w:type="dxa"/>
            <w:vAlign w:val="bottom"/>
          </w:tcPr>
          <w:p>
            <w:pPr>
              <w:spacing w:after="0"/>
              <w:rPr>
                <w:sz w:val="17"/>
                <w:szCs w:val="17"/>
                <w:color w:val="auto"/>
              </w:rPr>
            </w:pPr>
          </w:p>
        </w:tc>
      </w:tr>
      <w:tr>
        <w:trPr>
          <w:trHeight w:val="216"/>
        </w:trPr>
        <w:tc>
          <w:tcPr>
            <w:tcW w:w="480" w:type="dxa"/>
            <w:vAlign w:val="bottom"/>
          </w:tcPr>
          <w:p>
            <w:pPr>
              <w:spacing w:after="0"/>
              <w:rPr>
                <w:sz w:val="18"/>
                <w:szCs w:val="18"/>
                <w:color w:val="auto"/>
              </w:rPr>
            </w:pPr>
          </w:p>
        </w:tc>
        <w:tc>
          <w:tcPr>
            <w:tcW w:w="7200" w:type="dxa"/>
            <w:vAlign w:val="bottom"/>
          </w:tcPr>
          <w:p>
            <w:pPr>
              <w:ind w:left="180"/>
              <w:spacing w:after="0" w:line="216" w:lineRule="exact"/>
              <w:rPr>
                <w:sz w:val="20"/>
                <w:szCs w:val="20"/>
                <w:color w:val="auto"/>
              </w:rPr>
            </w:pPr>
            <w:r>
              <w:rPr>
                <w:rFonts w:ascii="Arial" w:cs="Arial" w:eastAsia="Arial" w:hAnsi="Arial"/>
                <w:sz w:val="20"/>
                <w:szCs w:val="20"/>
                <w:color w:val="auto"/>
                <w:w w:val="87"/>
              </w:rPr>
              <w:t>SERVICE OF PROCESS........................................................................................................</w:t>
            </w:r>
          </w:p>
        </w:tc>
        <w:tc>
          <w:tcPr>
            <w:tcW w:w="480" w:type="dxa"/>
            <w:vAlign w:val="bottom"/>
          </w:tcPr>
          <w:p>
            <w:pPr>
              <w:ind w:left="180"/>
              <w:spacing w:after="0" w:line="216" w:lineRule="exact"/>
              <w:rPr>
                <w:sz w:val="20"/>
                <w:szCs w:val="20"/>
                <w:color w:val="auto"/>
              </w:rPr>
            </w:pPr>
            <w:r>
              <w:rPr>
                <w:rFonts w:ascii="Arial" w:cs="Arial" w:eastAsia="Arial" w:hAnsi="Arial"/>
                <w:sz w:val="20"/>
                <w:szCs w:val="20"/>
                <w:color w:val="auto"/>
                <w:w w:val="83"/>
              </w:rPr>
              <w:t>210</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w w:val="91"/>
              </w:rPr>
              <w:t>12.10</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Severability of Provisions.......................................................................................................</w:t>
            </w:r>
          </w:p>
        </w:tc>
        <w:tc>
          <w:tcPr>
            <w:tcW w:w="480" w:type="dxa"/>
            <w:vAlign w:val="bottom"/>
          </w:tcPr>
          <w:p>
            <w:pPr>
              <w:ind w:left="20"/>
              <w:spacing w:after="0" w:line="216" w:lineRule="exact"/>
              <w:rPr>
                <w:sz w:val="20"/>
                <w:szCs w:val="20"/>
                <w:color w:val="auto"/>
              </w:rPr>
            </w:pPr>
            <w:r>
              <w:rPr>
                <w:rFonts w:ascii="Arial" w:cs="Arial" w:eastAsia="Arial" w:hAnsi="Arial"/>
                <w:sz w:val="20"/>
                <w:szCs w:val="20"/>
                <w:color w:val="auto"/>
              </w:rPr>
              <w:t>211</w:t>
            </w:r>
          </w:p>
        </w:tc>
      </w:tr>
      <w:tr>
        <w:trPr>
          <w:trHeight w:val="216"/>
        </w:trPr>
        <w:tc>
          <w:tcPr>
            <w:tcW w:w="7680" w:type="dxa"/>
            <w:vAlign w:val="bottom"/>
            <w:gridSpan w:val="2"/>
          </w:tcPr>
          <w:p>
            <w:pPr>
              <w:spacing w:after="0" w:line="216" w:lineRule="exact"/>
              <w:rPr>
                <w:sz w:val="20"/>
                <w:szCs w:val="20"/>
                <w:color w:val="auto"/>
              </w:rPr>
            </w:pPr>
            <w:r>
              <w:rPr>
                <w:rFonts w:ascii="Arial" w:cs="Arial" w:eastAsia="Arial" w:hAnsi="Arial"/>
                <w:sz w:val="20"/>
                <w:szCs w:val="20"/>
                <w:color w:val="auto"/>
                <w:w w:val="89"/>
              </w:rPr>
              <w:t>12.11 Transfers of Notes...................................................................................................................</w:t>
            </w:r>
          </w:p>
        </w:tc>
        <w:tc>
          <w:tcPr>
            <w:tcW w:w="480" w:type="dxa"/>
            <w:vAlign w:val="bottom"/>
          </w:tcPr>
          <w:p>
            <w:pPr>
              <w:ind w:left="20"/>
              <w:spacing w:after="0" w:line="216" w:lineRule="exact"/>
              <w:rPr>
                <w:sz w:val="20"/>
                <w:szCs w:val="20"/>
                <w:color w:val="auto"/>
              </w:rPr>
            </w:pPr>
            <w:r>
              <w:rPr>
                <w:rFonts w:ascii="Arial" w:cs="Arial" w:eastAsia="Arial" w:hAnsi="Arial"/>
                <w:sz w:val="20"/>
                <w:szCs w:val="20"/>
                <w:color w:val="auto"/>
              </w:rPr>
              <w:t>211</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w w:val="91"/>
              </w:rPr>
              <w:t>12.12</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Registry...................................................................................................................................</w:t>
            </w:r>
          </w:p>
        </w:tc>
        <w:tc>
          <w:tcPr>
            <w:tcW w:w="480" w:type="dxa"/>
            <w:vAlign w:val="bottom"/>
          </w:tcPr>
          <w:p>
            <w:pPr>
              <w:spacing w:after="0" w:line="216" w:lineRule="exact"/>
              <w:rPr>
                <w:sz w:val="20"/>
                <w:szCs w:val="20"/>
                <w:color w:val="auto"/>
              </w:rPr>
            </w:pPr>
            <w:r>
              <w:rPr>
                <w:rFonts w:ascii="Arial" w:cs="Arial" w:eastAsia="Arial" w:hAnsi="Arial"/>
                <w:sz w:val="20"/>
                <w:szCs w:val="20"/>
                <w:color w:val="auto"/>
              </w:rPr>
              <w:t>212</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w w:val="91"/>
              </w:rPr>
              <w:t>12.13</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91"/>
              </w:rPr>
              <w:t>USA PATRIOT Act and Beneficial Ownership Certificate Notice........................................</w:t>
            </w:r>
          </w:p>
        </w:tc>
        <w:tc>
          <w:tcPr>
            <w:tcW w:w="480" w:type="dxa"/>
            <w:vAlign w:val="bottom"/>
          </w:tcPr>
          <w:p>
            <w:pPr>
              <w:spacing w:after="0" w:line="216" w:lineRule="exact"/>
              <w:rPr>
                <w:sz w:val="20"/>
                <w:szCs w:val="20"/>
                <w:color w:val="auto"/>
              </w:rPr>
            </w:pPr>
            <w:r>
              <w:rPr>
                <w:rFonts w:ascii="Arial" w:cs="Arial" w:eastAsia="Arial" w:hAnsi="Arial"/>
                <w:sz w:val="20"/>
                <w:szCs w:val="20"/>
                <w:color w:val="auto"/>
              </w:rPr>
              <w:t>212</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w w:val="91"/>
              </w:rPr>
              <w:t>12.14</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8"/>
              </w:rPr>
              <w:t>Headings..................................................................................................................................</w:t>
            </w:r>
          </w:p>
        </w:tc>
        <w:tc>
          <w:tcPr>
            <w:tcW w:w="480" w:type="dxa"/>
            <w:vAlign w:val="bottom"/>
          </w:tcPr>
          <w:p>
            <w:pPr>
              <w:ind w:left="40"/>
              <w:spacing w:after="0" w:line="216" w:lineRule="exact"/>
              <w:rPr>
                <w:sz w:val="20"/>
                <w:szCs w:val="20"/>
                <w:color w:val="auto"/>
              </w:rPr>
            </w:pPr>
            <w:r>
              <w:rPr>
                <w:rFonts w:ascii="Arial" w:cs="Arial" w:eastAsia="Arial" w:hAnsi="Arial"/>
                <w:sz w:val="20"/>
                <w:szCs w:val="20"/>
                <w:color w:val="auto"/>
              </w:rPr>
              <w:t>213</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w w:val="91"/>
              </w:rPr>
              <w:t>12.15</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Termination of Agreement......................................................................................................</w:t>
            </w:r>
          </w:p>
        </w:tc>
        <w:tc>
          <w:tcPr>
            <w:tcW w:w="480" w:type="dxa"/>
            <w:vAlign w:val="bottom"/>
          </w:tcPr>
          <w:p>
            <w:pPr>
              <w:ind w:left="20"/>
              <w:spacing w:after="0" w:line="216" w:lineRule="exact"/>
              <w:rPr>
                <w:sz w:val="20"/>
                <w:szCs w:val="20"/>
                <w:color w:val="auto"/>
              </w:rPr>
            </w:pPr>
            <w:r>
              <w:rPr>
                <w:rFonts w:ascii="Arial" w:cs="Arial" w:eastAsia="Arial" w:hAnsi="Arial"/>
                <w:sz w:val="20"/>
                <w:szCs w:val="20"/>
                <w:color w:val="auto"/>
              </w:rPr>
              <w:t>213</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w w:val="91"/>
              </w:rPr>
              <w:t>12.16</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90"/>
              </w:rPr>
              <w:t>Treatment of Certain Information; Confidentiality.................................................................</w:t>
            </w:r>
          </w:p>
        </w:tc>
        <w:tc>
          <w:tcPr>
            <w:tcW w:w="480" w:type="dxa"/>
            <w:vAlign w:val="bottom"/>
          </w:tcPr>
          <w:p>
            <w:pPr>
              <w:ind w:left="20"/>
              <w:spacing w:after="0" w:line="216" w:lineRule="exact"/>
              <w:rPr>
                <w:sz w:val="20"/>
                <w:szCs w:val="20"/>
                <w:color w:val="auto"/>
              </w:rPr>
            </w:pPr>
            <w:r>
              <w:rPr>
                <w:rFonts w:ascii="Arial" w:cs="Arial" w:eastAsia="Arial" w:hAnsi="Arial"/>
                <w:sz w:val="20"/>
                <w:szCs w:val="20"/>
                <w:color w:val="auto"/>
              </w:rPr>
              <w:t>213</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w w:val="91"/>
              </w:rPr>
              <w:t>12.17</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Concerning the Collateral and the Loan Documents..............................................................</w:t>
            </w:r>
          </w:p>
        </w:tc>
        <w:tc>
          <w:tcPr>
            <w:tcW w:w="480" w:type="dxa"/>
            <w:vAlign w:val="bottom"/>
          </w:tcPr>
          <w:p>
            <w:pPr>
              <w:ind w:left="20"/>
              <w:spacing w:after="0" w:line="216" w:lineRule="exact"/>
              <w:rPr>
                <w:sz w:val="20"/>
                <w:szCs w:val="20"/>
                <w:color w:val="auto"/>
              </w:rPr>
            </w:pPr>
            <w:r>
              <w:rPr>
                <w:rFonts w:ascii="Arial" w:cs="Arial" w:eastAsia="Arial" w:hAnsi="Arial"/>
                <w:sz w:val="20"/>
                <w:szCs w:val="20"/>
                <w:color w:val="auto"/>
              </w:rPr>
              <w:t>214</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w w:val="91"/>
              </w:rPr>
              <w:t>12.18</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91"/>
              </w:rPr>
              <w:t>U.K. Administrative Agent and Euro Collateral Agent as Joint Creditors.............................</w:t>
            </w:r>
          </w:p>
        </w:tc>
        <w:tc>
          <w:tcPr>
            <w:tcW w:w="480" w:type="dxa"/>
            <w:vAlign w:val="bottom"/>
          </w:tcPr>
          <w:p>
            <w:pPr>
              <w:ind w:left="20"/>
              <w:spacing w:after="0" w:line="216" w:lineRule="exact"/>
              <w:rPr>
                <w:sz w:val="20"/>
                <w:szCs w:val="20"/>
                <w:color w:val="auto"/>
              </w:rPr>
            </w:pPr>
            <w:r>
              <w:rPr>
                <w:rFonts w:ascii="Arial" w:cs="Arial" w:eastAsia="Arial" w:hAnsi="Arial"/>
                <w:sz w:val="20"/>
                <w:szCs w:val="20"/>
                <w:color w:val="auto"/>
              </w:rPr>
              <w:t>215</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w w:val="91"/>
              </w:rPr>
              <w:t>12.19</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Dutch Parallel Debt.................................................................................................................</w:t>
            </w:r>
          </w:p>
        </w:tc>
        <w:tc>
          <w:tcPr>
            <w:tcW w:w="480" w:type="dxa"/>
            <w:vAlign w:val="bottom"/>
          </w:tcPr>
          <w:p>
            <w:pPr>
              <w:ind w:left="40"/>
              <w:spacing w:after="0" w:line="216" w:lineRule="exact"/>
              <w:rPr>
                <w:sz w:val="20"/>
                <w:szCs w:val="20"/>
                <w:color w:val="auto"/>
              </w:rPr>
            </w:pPr>
            <w:r>
              <w:rPr>
                <w:rFonts w:ascii="Arial" w:cs="Arial" w:eastAsia="Arial" w:hAnsi="Arial"/>
                <w:sz w:val="20"/>
                <w:szCs w:val="20"/>
                <w:color w:val="auto"/>
              </w:rPr>
              <w:t>215</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w w:val="91"/>
              </w:rPr>
              <w:t>12.20</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91"/>
              </w:rPr>
              <w:t>Acknowledgement and Consent to Bail-In of EEA Financial Institutions.............................</w:t>
            </w:r>
          </w:p>
        </w:tc>
        <w:tc>
          <w:tcPr>
            <w:tcW w:w="480" w:type="dxa"/>
            <w:vAlign w:val="bottom"/>
          </w:tcPr>
          <w:p>
            <w:pPr>
              <w:ind w:left="20"/>
              <w:spacing w:after="0" w:line="216" w:lineRule="exact"/>
              <w:rPr>
                <w:sz w:val="20"/>
                <w:szCs w:val="20"/>
                <w:color w:val="auto"/>
              </w:rPr>
            </w:pPr>
            <w:r>
              <w:rPr>
                <w:rFonts w:ascii="Arial" w:cs="Arial" w:eastAsia="Arial" w:hAnsi="Arial"/>
                <w:sz w:val="20"/>
                <w:szCs w:val="20"/>
                <w:color w:val="auto"/>
              </w:rPr>
              <w:t>216</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w w:val="91"/>
              </w:rPr>
              <w:t>12.21</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Redesignation of Unrestricted Entities as Subsidiaries...........................................................</w:t>
            </w:r>
          </w:p>
        </w:tc>
        <w:tc>
          <w:tcPr>
            <w:tcW w:w="480" w:type="dxa"/>
            <w:vAlign w:val="bottom"/>
          </w:tcPr>
          <w:p>
            <w:pPr>
              <w:ind w:left="40"/>
              <w:spacing w:after="0" w:line="216" w:lineRule="exact"/>
              <w:rPr>
                <w:sz w:val="20"/>
                <w:szCs w:val="20"/>
                <w:color w:val="auto"/>
              </w:rPr>
            </w:pPr>
            <w:r>
              <w:rPr>
                <w:rFonts w:ascii="Arial" w:cs="Arial" w:eastAsia="Arial" w:hAnsi="Arial"/>
                <w:sz w:val="20"/>
                <w:szCs w:val="20"/>
                <w:color w:val="auto"/>
              </w:rPr>
              <w:t>217</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w w:val="91"/>
              </w:rPr>
              <w:t>12.22</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90"/>
              </w:rPr>
              <w:t>No Fiduciary Responsibility...................................................................................................</w:t>
            </w:r>
          </w:p>
        </w:tc>
        <w:tc>
          <w:tcPr>
            <w:tcW w:w="480" w:type="dxa"/>
            <w:vAlign w:val="bottom"/>
          </w:tcPr>
          <w:p>
            <w:pPr>
              <w:spacing w:after="0" w:line="216" w:lineRule="exact"/>
              <w:rPr>
                <w:sz w:val="20"/>
                <w:szCs w:val="20"/>
                <w:color w:val="auto"/>
              </w:rPr>
            </w:pPr>
            <w:r>
              <w:rPr>
                <w:rFonts w:ascii="Arial" w:cs="Arial" w:eastAsia="Arial" w:hAnsi="Arial"/>
                <w:sz w:val="20"/>
                <w:szCs w:val="20"/>
                <w:color w:val="auto"/>
              </w:rPr>
              <w:t>217</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w w:val="91"/>
              </w:rPr>
              <w:t>12.23</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90"/>
              </w:rPr>
              <w:t>Joint and Several Liability......................................................................................................</w:t>
            </w:r>
          </w:p>
        </w:tc>
        <w:tc>
          <w:tcPr>
            <w:tcW w:w="480" w:type="dxa"/>
            <w:vAlign w:val="bottom"/>
          </w:tcPr>
          <w:p>
            <w:pPr>
              <w:spacing w:after="0" w:line="216" w:lineRule="exact"/>
              <w:rPr>
                <w:sz w:val="20"/>
                <w:szCs w:val="20"/>
                <w:color w:val="auto"/>
              </w:rPr>
            </w:pPr>
            <w:r>
              <w:rPr>
                <w:rFonts w:ascii="Arial" w:cs="Arial" w:eastAsia="Arial" w:hAnsi="Arial"/>
                <w:sz w:val="20"/>
                <w:szCs w:val="20"/>
                <w:color w:val="auto"/>
              </w:rPr>
              <w:t>217</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w w:val="91"/>
              </w:rPr>
              <w:t>12.24</w:t>
            </w:r>
          </w:p>
        </w:tc>
        <w:tc>
          <w:tcPr>
            <w:tcW w:w="7200" w:type="dxa"/>
            <w:vAlign w:val="bottom"/>
          </w:tcPr>
          <w:p>
            <w:pPr>
              <w:ind w:left="20"/>
              <w:spacing w:after="0" w:line="216" w:lineRule="exact"/>
              <w:rPr>
                <w:sz w:val="20"/>
                <w:szCs w:val="20"/>
                <w:color w:val="auto"/>
              </w:rPr>
            </w:pPr>
            <w:r>
              <w:rPr>
                <w:rFonts w:ascii="Arial" w:cs="Arial" w:eastAsia="Arial" w:hAnsi="Arial"/>
                <w:sz w:val="20"/>
                <w:szCs w:val="20"/>
                <w:color w:val="auto"/>
                <w:w w:val="89"/>
              </w:rPr>
              <w:t>Acknowledgement Regarding Any Supported QFCs.............................................................</w:t>
            </w:r>
          </w:p>
        </w:tc>
        <w:tc>
          <w:tcPr>
            <w:tcW w:w="480" w:type="dxa"/>
            <w:vAlign w:val="bottom"/>
          </w:tcPr>
          <w:p>
            <w:pPr>
              <w:ind w:left="20"/>
              <w:spacing w:after="0" w:line="216" w:lineRule="exact"/>
              <w:rPr>
                <w:sz w:val="20"/>
                <w:szCs w:val="20"/>
                <w:color w:val="auto"/>
              </w:rPr>
            </w:pPr>
            <w:r>
              <w:rPr>
                <w:rFonts w:ascii="Arial" w:cs="Arial" w:eastAsia="Arial" w:hAnsi="Arial"/>
                <w:sz w:val="20"/>
                <w:szCs w:val="20"/>
                <w:color w:val="auto"/>
              </w:rPr>
              <w:t>218</w:t>
            </w:r>
          </w:p>
        </w:tc>
      </w:tr>
      <w:tr>
        <w:trPr>
          <w:trHeight w:val="250"/>
        </w:trPr>
        <w:tc>
          <w:tcPr>
            <w:tcW w:w="480" w:type="dxa"/>
            <w:vAlign w:val="bottom"/>
          </w:tcPr>
          <w:p>
            <w:pPr>
              <w:spacing w:after="0"/>
              <w:rPr>
                <w:sz w:val="20"/>
                <w:szCs w:val="20"/>
                <w:color w:val="auto"/>
              </w:rPr>
            </w:pPr>
            <w:r>
              <w:rPr>
                <w:rFonts w:ascii="Arial" w:cs="Arial" w:eastAsia="Arial" w:hAnsi="Arial"/>
                <w:sz w:val="20"/>
                <w:szCs w:val="20"/>
                <w:color w:val="auto"/>
                <w:w w:val="91"/>
              </w:rPr>
              <w:t>12.25</w:t>
            </w:r>
          </w:p>
        </w:tc>
        <w:tc>
          <w:tcPr>
            <w:tcW w:w="7200" w:type="dxa"/>
            <w:vAlign w:val="bottom"/>
          </w:tcPr>
          <w:p>
            <w:pPr>
              <w:ind w:left="20"/>
              <w:spacing w:after="0"/>
              <w:rPr>
                <w:sz w:val="20"/>
                <w:szCs w:val="20"/>
                <w:color w:val="auto"/>
              </w:rPr>
            </w:pPr>
            <w:r>
              <w:rPr>
                <w:rFonts w:ascii="Arial" w:cs="Arial" w:eastAsia="Arial" w:hAnsi="Arial"/>
                <w:sz w:val="20"/>
                <w:szCs w:val="20"/>
                <w:color w:val="auto"/>
                <w:w w:val="89"/>
              </w:rPr>
              <w:t>Certain ERISA Matters...........................................................................................................</w:t>
            </w:r>
          </w:p>
        </w:tc>
        <w:tc>
          <w:tcPr>
            <w:tcW w:w="480" w:type="dxa"/>
            <w:vAlign w:val="bottom"/>
          </w:tcPr>
          <w:p>
            <w:pPr>
              <w:ind w:left="20"/>
              <w:spacing w:after="0"/>
              <w:rPr>
                <w:sz w:val="20"/>
                <w:szCs w:val="20"/>
                <w:color w:val="auto"/>
              </w:rPr>
            </w:pPr>
            <w:r>
              <w:rPr>
                <w:rFonts w:ascii="Arial" w:cs="Arial" w:eastAsia="Arial" w:hAnsi="Arial"/>
                <w:sz w:val="20"/>
                <w:szCs w:val="20"/>
                <w:color w:val="auto"/>
              </w:rPr>
              <w:t>219</w:t>
            </w:r>
          </w:p>
        </w:tc>
      </w:tr>
    </w:tbl>
    <w:p>
      <w:pPr>
        <w:sectPr>
          <w:pgSz w:w="11900" w:h="16838" w:orient="portrait"/>
          <w:cols w:equalWidth="0" w:num="1">
            <w:col w:w="10139"/>
          </w:cols>
          <w:pgMar w:left="320" w:top="1405" w:right="1440" w:bottom="1440" w:gutter="0" w:footer="0" w:header="0"/>
        </w:sectPr>
      </w:pPr>
    </w:p>
    <w:bookmarkStart w:id="110" w:name="page111"/>
    <w:bookmarkEnd w:id="110"/>
    <w:p>
      <w:pPr>
        <w:spacing w:after="0" w:line="200" w:lineRule="exact"/>
        <w:rPr>
          <w:sz w:val="20"/>
          <w:szCs w:val="20"/>
          <w:color w:val="auto"/>
        </w:rPr>
      </w:pPr>
    </w:p>
    <w:p>
      <w:pPr>
        <w:spacing w:after="0" w:line="265"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ARTICLE XIII</w:t>
      </w:r>
    </w:p>
    <w:p>
      <w:pPr>
        <w:spacing w:after="0" w:line="2"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COLLECTION ACTION MECHANISM</w:t>
      </w:r>
    </w:p>
    <w:p>
      <w:pPr>
        <w:spacing w:after="0" w:line="213" w:lineRule="exact"/>
        <w:rPr>
          <w:sz w:val="20"/>
          <w:szCs w:val="20"/>
          <w:color w:val="auto"/>
        </w:rPr>
      </w:pPr>
    </w:p>
    <w:p>
      <w:pPr>
        <w:spacing w:after="0"/>
        <w:tabs>
          <w:tab w:leader="dot" w:pos="7600" w:val="left"/>
        </w:tabs>
        <w:rPr>
          <w:sz w:val="20"/>
          <w:szCs w:val="20"/>
          <w:color w:val="auto"/>
        </w:rPr>
      </w:pPr>
      <w:r>
        <w:rPr>
          <w:rFonts w:ascii="Arial" w:cs="Arial" w:eastAsia="Arial" w:hAnsi="Arial"/>
          <w:sz w:val="20"/>
          <w:szCs w:val="20"/>
          <w:color w:val="auto"/>
        </w:rPr>
        <w:t>13.1 Implementation of CAM</w:t>
      </w:r>
      <w:r>
        <w:rPr>
          <w:sz w:val="20"/>
          <w:szCs w:val="20"/>
          <w:color w:val="auto"/>
        </w:rPr>
        <w:tab/>
      </w:r>
      <w:r>
        <w:rPr>
          <w:rFonts w:ascii="Arial" w:cs="Arial" w:eastAsia="Arial" w:hAnsi="Arial"/>
          <w:sz w:val="16"/>
          <w:szCs w:val="16"/>
          <w:color w:val="auto"/>
        </w:rPr>
        <w:t>220</w:t>
      </w:r>
    </w:p>
    <w:p>
      <w:pPr>
        <w:spacing w:after="0" w:line="2" w:lineRule="exact"/>
        <w:rPr>
          <w:sz w:val="20"/>
          <w:szCs w:val="20"/>
          <w:color w:val="auto"/>
        </w:rPr>
      </w:pPr>
    </w:p>
    <w:p>
      <w:pPr>
        <w:spacing w:after="0"/>
        <w:tabs>
          <w:tab w:leader="dot" w:pos="7580" w:val="left"/>
        </w:tabs>
        <w:rPr>
          <w:sz w:val="20"/>
          <w:szCs w:val="20"/>
          <w:color w:val="auto"/>
        </w:rPr>
      </w:pPr>
      <w:r>
        <w:rPr>
          <w:rFonts w:ascii="Arial" w:cs="Arial" w:eastAsia="Arial" w:hAnsi="Arial"/>
          <w:sz w:val="20"/>
          <w:szCs w:val="20"/>
          <w:color w:val="auto"/>
        </w:rPr>
        <w:t>13.2 Letters of Credit</w:t>
      </w:r>
      <w:r>
        <w:rPr>
          <w:sz w:val="20"/>
          <w:szCs w:val="20"/>
          <w:color w:val="auto"/>
        </w:rPr>
        <w:tab/>
      </w:r>
      <w:r>
        <w:rPr>
          <w:rFonts w:ascii="Arial" w:cs="Arial" w:eastAsia="Arial" w:hAnsi="Arial"/>
          <w:sz w:val="16"/>
          <w:szCs w:val="16"/>
          <w:color w:val="auto"/>
        </w:rPr>
        <w:t>221</w:t>
      </w:r>
    </w:p>
    <w:p>
      <w:pPr>
        <w:spacing w:after="0" w:line="213"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ARTICLE XIV</w:t>
      </w:r>
    </w:p>
    <w:p>
      <w:pPr>
        <w:spacing w:after="0" w:line="2"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GUARANTY</w:t>
      </w:r>
    </w:p>
    <w:p>
      <w:pPr>
        <w:spacing w:after="0" w:line="213" w:lineRule="exact"/>
        <w:rPr>
          <w:sz w:val="20"/>
          <w:szCs w:val="20"/>
          <w:color w:val="auto"/>
        </w:rPr>
      </w:pPr>
    </w:p>
    <w:p>
      <w:pPr>
        <w:spacing w:after="0"/>
        <w:tabs>
          <w:tab w:leader="dot" w:pos="7600" w:val="left"/>
        </w:tabs>
        <w:rPr>
          <w:sz w:val="20"/>
          <w:szCs w:val="20"/>
          <w:color w:val="auto"/>
        </w:rPr>
      </w:pPr>
      <w:r>
        <w:rPr>
          <w:rFonts w:ascii="Arial" w:cs="Arial" w:eastAsia="Arial" w:hAnsi="Arial"/>
          <w:sz w:val="20"/>
          <w:szCs w:val="20"/>
          <w:color w:val="auto"/>
        </w:rPr>
        <w:t>14.1 Guarantee of Each of the Parent Guarantors</w:t>
      </w:r>
      <w:r>
        <w:rPr>
          <w:sz w:val="20"/>
          <w:szCs w:val="20"/>
          <w:color w:val="auto"/>
        </w:rPr>
        <w:tab/>
      </w:r>
      <w:r>
        <w:rPr>
          <w:rFonts w:ascii="Arial" w:cs="Arial" w:eastAsia="Arial" w:hAnsi="Arial"/>
          <w:sz w:val="16"/>
          <w:szCs w:val="16"/>
          <w:color w:val="auto"/>
        </w:rPr>
        <w:t>223</w:t>
      </w:r>
    </w:p>
    <w:p>
      <w:pPr>
        <w:spacing w:after="0"/>
        <w:tabs>
          <w:tab w:leader="dot" w:pos="7560" w:val="left"/>
        </w:tabs>
        <w:rPr>
          <w:sz w:val="20"/>
          <w:szCs w:val="20"/>
          <w:color w:val="auto"/>
        </w:rPr>
      </w:pPr>
      <w:r>
        <w:rPr>
          <w:rFonts w:ascii="Arial" w:cs="Arial" w:eastAsia="Arial" w:hAnsi="Arial"/>
          <w:sz w:val="20"/>
          <w:szCs w:val="20"/>
          <w:color w:val="auto"/>
        </w:rPr>
        <w:t>14.2 Guarantee of European Borrower</w:t>
      </w:r>
      <w:r>
        <w:rPr>
          <w:sz w:val="20"/>
          <w:szCs w:val="20"/>
          <w:color w:val="auto"/>
        </w:rPr>
        <w:tab/>
      </w:r>
      <w:r>
        <w:rPr>
          <w:rFonts w:ascii="Arial" w:cs="Arial" w:eastAsia="Arial" w:hAnsi="Arial"/>
          <w:sz w:val="16"/>
          <w:szCs w:val="16"/>
          <w:color w:val="auto"/>
        </w:rPr>
        <w:t>223</w:t>
      </w:r>
    </w:p>
    <w:p>
      <w:pPr>
        <w:spacing w:after="0"/>
        <w:tabs>
          <w:tab w:leader="dot" w:pos="7580" w:val="left"/>
        </w:tabs>
        <w:rPr>
          <w:sz w:val="20"/>
          <w:szCs w:val="20"/>
          <w:color w:val="auto"/>
        </w:rPr>
      </w:pPr>
      <w:r>
        <w:rPr>
          <w:rFonts w:ascii="Arial" w:cs="Arial" w:eastAsia="Arial" w:hAnsi="Arial"/>
          <w:sz w:val="20"/>
          <w:szCs w:val="20"/>
          <w:color w:val="auto"/>
        </w:rPr>
        <w:t>14.3 Guarantee of Crown Finance</w:t>
      </w:r>
      <w:r>
        <w:rPr>
          <w:sz w:val="20"/>
          <w:szCs w:val="20"/>
          <w:color w:val="auto"/>
        </w:rPr>
        <w:tab/>
      </w:r>
      <w:r>
        <w:rPr>
          <w:rFonts w:ascii="Arial" w:cs="Arial" w:eastAsia="Arial" w:hAnsi="Arial"/>
          <w:sz w:val="16"/>
          <w:szCs w:val="16"/>
          <w:color w:val="auto"/>
        </w:rPr>
        <w:t>224</w:t>
      </w:r>
    </w:p>
    <w:p>
      <w:pPr>
        <w:spacing w:after="0"/>
        <w:tabs>
          <w:tab w:leader="dot" w:pos="7600" w:val="left"/>
        </w:tabs>
        <w:rPr>
          <w:sz w:val="20"/>
          <w:szCs w:val="20"/>
          <w:color w:val="auto"/>
        </w:rPr>
      </w:pPr>
      <w:r>
        <w:rPr>
          <w:rFonts w:ascii="Arial" w:cs="Arial" w:eastAsia="Arial" w:hAnsi="Arial"/>
          <w:sz w:val="20"/>
          <w:szCs w:val="20"/>
          <w:color w:val="auto"/>
        </w:rPr>
        <w:t>14.4 Amendments, etc. with Respect to the Applicable Obligations</w:t>
      </w:r>
      <w:r>
        <w:rPr>
          <w:sz w:val="20"/>
          <w:szCs w:val="20"/>
          <w:color w:val="auto"/>
        </w:rPr>
        <w:tab/>
      </w:r>
      <w:r>
        <w:rPr>
          <w:rFonts w:ascii="Arial" w:cs="Arial" w:eastAsia="Arial" w:hAnsi="Arial"/>
          <w:sz w:val="16"/>
          <w:szCs w:val="16"/>
          <w:color w:val="auto"/>
        </w:rPr>
        <w:t>224</w:t>
      </w:r>
    </w:p>
    <w:p>
      <w:pPr>
        <w:spacing w:after="0"/>
        <w:tabs>
          <w:tab w:leader="dot" w:pos="7580" w:val="left"/>
        </w:tabs>
        <w:rPr>
          <w:sz w:val="20"/>
          <w:szCs w:val="20"/>
          <w:color w:val="auto"/>
        </w:rPr>
      </w:pPr>
      <w:r>
        <w:rPr>
          <w:rFonts w:ascii="Arial" w:cs="Arial" w:eastAsia="Arial" w:hAnsi="Arial"/>
          <w:sz w:val="20"/>
          <w:szCs w:val="20"/>
          <w:color w:val="auto"/>
        </w:rPr>
        <w:t>14.5 Guarantee Absolute and Unconditional</w:t>
      </w:r>
      <w:r>
        <w:rPr>
          <w:sz w:val="20"/>
          <w:szCs w:val="20"/>
          <w:color w:val="auto"/>
        </w:rPr>
        <w:tab/>
      </w:r>
      <w:r>
        <w:rPr>
          <w:rFonts w:ascii="Arial" w:cs="Arial" w:eastAsia="Arial" w:hAnsi="Arial"/>
          <w:sz w:val="16"/>
          <w:szCs w:val="16"/>
          <w:color w:val="auto"/>
        </w:rPr>
        <w:t>225</w:t>
      </w:r>
    </w:p>
    <w:p>
      <w:pPr>
        <w:spacing w:after="0"/>
        <w:tabs>
          <w:tab w:leader="dot" w:pos="7600" w:val="left"/>
        </w:tabs>
        <w:rPr>
          <w:sz w:val="20"/>
          <w:szCs w:val="20"/>
          <w:color w:val="auto"/>
        </w:rPr>
      </w:pPr>
      <w:r>
        <w:rPr>
          <w:rFonts w:ascii="Arial" w:cs="Arial" w:eastAsia="Arial" w:hAnsi="Arial"/>
          <w:sz w:val="20"/>
          <w:szCs w:val="20"/>
          <w:color w:val="auto"/>
        </w:rPr>
        <w:t>14.6 Reinstatement</w:t>
      </w:r>
      <w:r>
        <w:rPr>
          <w:sz w:val="20"/>
          <w:szCs w:val="20"/>
          <w:color w:val="auto"/>
        </w:rPr>
        <w:tab/>
      </w:r>
      <w:r>
        <w:rPr>
          <w:rFonts w:ascii="Arial" w:cs="Arial" w:eastAsia="Arial" w:hAnsi="Arial"/>
          <w:sz w:val="16"/>
          <w:szCs w:val="16"/>
          <w:color w:val="auto"/>
        </w:rPr>
        <w:t>225</w:t>
      </w:r>
    </w:p>
    <w:p>
      <w:pPr>
        <w:spacing w:after="0"/>
        <w:tabs>
          <w:tab w:leader="dot" w:pos="7580" w:val="left"/>
        </w:tabs>
        <w:rPr>
          <w:sz w:val="20"/>
          <w:szCs w:val="20"/>
          <w:color w:val="auto"/>
        </w:rPr>
      </w:pPr>
      <w:r>
        <w:rPr>
          <w:rFonts w:ascii="Arial" w:cs="Arial" w:eastAsia="Arial" w:hAnsi="Arial"/>
          <w:sz w:val="20"/>
          <w:szCs w:val="20"/>
          <w:color w:val="auto"/>
        </w:rPr>
        <w:t>14.7 Payments</w:t>
      </w:r>
      <w:r>
        <w:rPr>
          <w:sz w:val="20"/>
          <w:szCs w:val="20"/>
          <w:color w:val="auto"/>
        </w:rPr>
        <w:tab/>
      </w:r>
      <w:r>
        <w:rPr>
          <w:rFonts w:ascii="Arial" w:cs="Arial" w:eastAsia="Arial" w:hAnsi="Arial"/>
          <w:sz w:val="16"/>
          <w:szCs w:val="16"/>
          <w:color w:val="auto"/>
        </w:rPr>
        <w:t>226</w:t>
      </w:r>
    </w:p>
    <w:p>
      <w:pPr>
        <w:spacing w:after="0"/>
        <w:tabs>
          <w:tab w:leader="dot" w:pos="7580" w:val="left"/>
        </w:tabs>
        <w:rPr>
          <w:sz w:val="20"/>
          <w:szCs w:val="20"/>
          <w:color w:val="auto"/>
        </w:rPr>
      </w:pPr>
      <w:r>
        <w:rPr>
          <w:rFonts w:ascii="Arial" w:cs="Arial" w:eastAsia="Arial" w:hAnsi="Arial"/>
          <w:sz w:val="20"/>
          <w:szCs w:val="20"/>
          <w:color w:val="auto"/>
        </w:rPr>
        <w:t>14.8 Independent Obligations</w:t>
      </w:r>
      <w:r>
        <w:rPr>
          <w:sz w:val="20"/>
          <w:szCs w:val="20"/>
          <w:color w:val="auto"/>
        </w:rPr>
        <w:tab/>
      </w:r>
      <w:r>
        <w:rPr>
          <w:rFonts w:ascii="Arial" w:cs="Arial" w:eastAsia="Arial" w:hAnsi="Arial"/>
          <w:sz w:val="16"/>
          <w:szCs w:val="16"/>
          <w:color w:val="auto"/>
        </w:rPr>
        <w:t>226</w:t>
      </w:r>
    </w:p>
    <w:p>
      <w:pPr>
        <w:spacing w:after="0"/>
        <w:tabs>
          <w:tab w:leader="dot" w:pos="7580" w:val="left"/>
        </w:tabs>
        <w:rPr>
          <w:sz w:val="20"/>
          <w:szCs w:val="20"/>
          <w:color w:val="auto"/>
        </w:rPr>
      </w:pPr>
      <w:r>
        <w:rPr>
          <w:rFonts w:ascii="Arial" w:cs="Arial" w:eastAsia="Arial" w:hAnsi="Arial"/>
          <w:sz w:val="20"/>
          <w:szCs w:val="20"/>
          <w:color w:val="auto"/>
        </w:rPr>
        <w:t>14.9 Guarantee Limitations for French Guarantees</w:t>
      </w:r>
      <w:r>
        <w:rPr>
          <w:sz w:val="20"/>
          <w:szCs w:val="20"/>
          <w:color w:val="auto"/>
        </w:rPr>
        <w:tab/>
      </w:r>
      <w:r>
        <w:rPr>
          <w:rFonts w:ascii="Arial" w:cs="Arial" w:eastAsia="Arial" w:hAnsi="Arial"/>
          <w:sz w:val="16"/>
          <w:szCs w:val="16"/>
          <w:color w:val="auto"/>
        </w:rPr>
        <w:t>226</w:t>
      </w:r>
    </w:p>
    <w:p>
      <w:pPr>
        <w:spacing w:after="0"/>
        <w:tabs>
          <w:tab w:leader="dot" w:pos="7720" w:val="left"/>
        </w:tabs>
        <w:rPr>
          <w:sz w:val="20"/>
          <w:szCs w:val="20"/>
          <w:color w:val="auto"/>
        </w:rPr>
      </w:pPr>
      <w:r>
        <w:rPr>
          <w:rFonts w:ascii="Arial" w:cs="Arial" w:eastAsia="Arial" w:hAnsi="Arial"/>
          <w:sz w:val="20"/>
          <w:szCs w:val="20"/>
          <w:color w:val="auto"/>
        </w:rPr>
        <w:t>14.10 Guarantee Limitations for Luxembourg Guarantees</w:t>
      </w:r>
      <w:r>
        <w:rPr>
          <w:sz w:val="20"/>
          <w:szCs w:val="20"/>
          <w:color w:val="auto"/>
        </w:rPr>
        <w:tab/>
      </w:r>
      <w:r>
        <w:rPr>
          <w:rFonts w:ascii="Arial" w:cs="Arial" w:eastAsia="Arial" w:hAnsi="Arial"/>
          <w:sz w:val="16"/>
          <w:szCs w:val="16"/>
          <w:color w:val="auto"/>
        </w:rPr>
        <w:t>226</w:t>
      </w:r>
    </w:p>
    <w:p>
      <w:pPr>
        <w:spacing w:after="0"/>
        <w:tabs>
          <w:tab w:leader="dot" w:pos="7640" w:val="left"/>
        </w:tabs>
        <w:rPr>
          <w:sz w:val="20"/>
          <w:szCs w:val="20"/>
          <w:color w:val="auto"/>
        </w:rPr>
      </w:pPr>
      <w:r>
        <w:rPr>
          <w:rFonts w:ascii="Arial" w:cs="Arial" w:eastAsia="Arial" w:hAnsi="Arial"/>
          <w:sz w:val="20"/>
          <w:szCs w:val="20"/>
          <w:color w:val="auto"/>
        </w:rPr>
        <w:t>14.11 Guarantee Limitations for Spanish Guarantees and Security</w:t>
      </w:r>
      <w:r>
        <w:rPr>
          <w:sz w:val="20"/>
          <w:szCs w:val="20"/>
          <w:color w:val="auto"/>
        </w:rPr>
        <w:tab/>
      </w:r>
      <w:r>
        <w:rPr>
          <w:rFonts w:ascii="Arial" w:cs="Arial" w:eastAsia="Arial" w:hAnsi="Arial"/>
          <w:sz w:val="16"/>
          <w:szCs w:val="16"/>
          <w:color w:val="auto"/>
        </w:rPr>
        <w:t>227</w:t>
      </w:r>
    </w:p>
    <w:p>
      <w:pPr>
        <w:spacing w:after="0"/>
        <w:tabs>
          <w:tab w:leader="dot" w:pos="7660" w:val="left"/>
        </w:tabs>
        <w:rPr>
          <w:sz w:val="20"/>
          <w:szCs w:val="20"/>
          <w:color w:val="auto"/>
        </w:rPr>
      </w:pPr>
      <w:r>
        <w:rPr>
          <w:rFonts w:ascii="Arial" w:cs="Arial" w:eastAsia="Arial" w:hAnsi="Arial"/>
          <w:sz w:val="20"/>
          <w:szCs w:val="20"/>
          <w:color w:val="auto"/>
        </w:rPr>
        <w:t>14.12 Guarantee Limitations for German Guarantees and Security</w:t>
      </w:r>
      <w:r>
        <w:rPr>
          <w:sz w:val="20"/>
          <w:szCs w:val="20"/>
          <w:color w:val="auto"/>
        </w:rPr>
        <w:tab/>
      </w:r>
      <w:r>
        <w:rPr>
          <w:rFonts w:ascii="Arial" w:cs="Arial" w:eastAsia="Arial" w:hAnsi="Arial"/>
          <w:sz w:val="16"/>
          <w:szCs w:val="16"/>
          <w:color w:val="auto"/>
        </w:rPr>
        <w:t>227</w:t>
      </w:r>
    </w:p>
    <w:p>
      <w:pPr>
        <w:spacing w:after="0"/>
        <w:tabs>
          <w:tab w:leader="dot" w:pos="7680" w:val="left"/>
        </w:tabs>
        <w:rPr>
          <w:sz w:val="20"/>
          <w:szCs w:val="20"/>
          <w:color w:val="auto"/>
        </w:rPr>
      </w:pPr>
      <w:r>
        <w:rPr>
          <w:rFonts w:ascii="Arial" w:cs="Arial" w:eastAsia="Arial" w:hAnsi="Arial"/>
          <w:sz w:val="20"/>
          <w:szCs w:val="20"/>
          <w:color w:val="auto"/>
        </w:rPr>
        <w:t>14.13 Keepwell</w:t>
      </w:r>
      <w:r>
        <w:rPr>
          <w:sz w:val="20"/>
          <w:szCs w:val="20"/>
          <w:color w:val="auto"/>
        </w:rPr>
        <w:tab/>
      </w:r>
      <w:r>
        <w:rPr>
          <w:rFonts w:ascii="Arial" w:cs="Arial" w:eastAsia="Arial" w:hAnsi="Arial"/>
          <w:sz w:val="16"/>
          <w:szCs w:val="16"/>
          <w:color w:val="auto"/>
        </w:rPr>
        <w:t>228</w:t>
      </w:r>
    </w:p>
    <w:p>
      <w:pPr>
        <w:spacing w:after="0"/>
        <w:tabs>
          <w:tab w:leader="dot" w:pos="7680" w:val="left"/>
        </w:tabs>
        <w:rPr>
          <w:sz w:val="20"/>
          <w:szCs w:val="20"/>
          <w:color w:val="auto"/>
        </w:rPr>
      </w:pPr>
      <w:r>
        <w:rPr>
          <w:rFonts w:ascii="Arial" w:cs="Arial" w:eastAsia="Arial" w:hAnsi="Arial"/>
          <w:sz w:val="20"/>
          <w:szCs w:val="20"/>
          <w:color w:val="auto"/>
        </w:rPr>
        <w:t>14.14 Executive Proceedings</w:t>
      </w:r>
      <w:r>
        <w:rPr>
          <w:sz w:val="20"/>
          <w:szCs w:val="20"/>
          <w:color w:val="auto"/>
        </w:rPr>
        <w:tab/>
      </w:r>
      <w:r>
        <w:rPr>
          <w:rFonts w:ascii="Arial" w:cs="Arial" w:eastAsia="Arial" w:hAnsi="Arial"/>
          <w:sz w:val="16"/>
          <w:szCs w:val="16"/>
          <w:color w:val="auto"/>
        </w:rPr>
        <w:t>229</w:t>
      </w:r>
    </w:p>
    <w:p>
      <w:pPr>
        <w:spacing w:after="0"/>
        <w:tabs>
          <w:tab w:leader="dot" w:pos="7680" w:val="left"/>
        </w:tabs>
        <w:rPr>
          <w:sz w:val="20"/>
          <w:szCs w:val="20"/>
          <w:color w:val="auto"/>
        </w:rPr>
      </w:pPr>
      <w:r>
        <w:rPr>
          <w:rFonts w:ascii="Arial" w:cs="Arial" w:eastAsia="Arial" w:hAnsi="Arial"/>
          <w:sz w:val="20"/>
          <w:szCs w:val="20"/>
          <w:color w:val="auto"/>
        </w:rPr>
        <w:t>14.15 Spanish Public Document</w:t>
      </w:r>
      <w:r>
        <w:rPr>
          <w:sz w:val="20"/>
          <w:szCs w:val="20"/>
          <w:color w:val="auto"/>
        </w:rPr>
        <w:tab/>
      </w:r>
      <w:r>
        <w:rPr>
          <w:rFonts w:ascii="Arial" w:cs="Arial" w:eastAsia="Arial" w:hAnsi="Arial"/>
          <w:sz w:val="16"/>
          <w:szCs w:val="16"/>
          <w:color w:val="auto"/>
        </w:rPr>
        <w:t>230</w:t>
      </w:r>
    </w:p>
    <w:p>
      <w:pPr>
        <w:spacing w:after="0" w:line="1" w:lineRule="exact"/>
        <w:rPr>
          <w:sz w:val="20"/>
          <w:szCs w:val="20"/>
          <w:color w:val="auto"/>
        </w:rPr>
      </w:pPr>
    </w:p>
    <w:p>
      <w:pPr>
        <w:spacing w:after="0"/>
        <w:tabs>
          <w:tab w:leader="dot" w:pos="7700" w:val="left"/>
        </w:tabs>
        <w:rPr>
          <w:sz w:val="20"/>
          <w:szCs w:val="20"/>
          <w:color w:val="auto"/>
        </w:rPr>
      </w:pPr>
      <w:r>
        <w:rPr>
          <w:rFonts w:ascii="Arial" w:cs="Arial" w:eastAsia="Arial" w:hAnsi="Arial"/>
          <w:sz w:val="20"/>
          <w:szCs w:val="20"/>
          <w:color w:val="auto"/>
        </w:rPr>
        <w:t>14.16 Guarantee of Each U.S. Borrower</w:t>
      </w:r>
      <w:r>
        <w:rPr>
          <w:sz w:val="20"/>
          <w:szCs w:val="20"/>
          <w:color w:val="auto"/>
        </w:rPr>
        <w:tab/>
      </w:r>
      <w:r>
        <w:rPr>
          <w:rFonts w:ascii="Arial" w:cs="Arial" w:eastAsia="Arial" w:hAnsi="Arial"/>
          <w:sz w:val="16"/>
          <w:szCs w:val="16"/>
          <w:color w:val="auto"/>
        </w:rPr>
        <w:t>230</w:t>
      </w:r>
    </w:p>
    <w:p>
      <w:pPr>
        <w:spacing w:after="0" w:line="200" w:lineRule="exact"/>
        <w:rPr>
          <w:sz w:val="20"/>
          <w:szCs w:val="20"/>
          <w:color w:val="auto"/>
        </w:rPr>
      </w:pPr>
    </w:p>
    <w:p>
      <w:pPr>
        <w:spacing w:after="0" w:line="250"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INDEX OF SCHEDULES AND EXHIBITS</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20"/>
          <w:szCs w:val="20"/>
          <w:b w:val="1"/>
          <w:bCs w:val="1"/>
          <w:u w:val="single" w:color="auto"/>
          <w:color w:val="auto"/>
        </w:rPr>
        <w:t>Exhibits</w:t>
      </w:r>
    </w:p>
    <w:p>
      <w:pPr>
        <w:spacing w:after="0" w:line="235"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color w:val="auto"/>
        </w:rPr>
        <w:t>Exhibit 2.1(c)</w:t>
      </w:r>
      <w:r>
        <w:rPr>
          <w:sz w:val="20"/>
          <w:szCs w:val="20"/>
          <w:color w:val="auto"/>
        </w:rPr>
        <w:tab/>
      </w:r>
      <w:r>
        <w:rPr>
          <w:rFonts w:ascii="Arial" w:cs="Arial" w:eastAsia="Arial" w:hAnsi="Arial"/>
          <w:sz w:val="18"/>
          <w:szCs w:val="18"/>
          <w:color w:val="auto"/>
        </w:rPr>
        <w:t>Form of Swing Line Loan Participation Certificate</w:t>
      </w:r>
    </w:p>
    <w:p>
      <w:pPr>
        <w:spacing w:after="0"/>
        <w:tabs>
          <w:tab w:leader="none" w:pos="1560" w:val="left"/>
        </w:tabs>
        <w:rPr>
          <w:sz w:val="20"/>
          <w:szCs w:val="20"/>
          <w:color w:val="auto"/>
        </w:rPr>
      </w:pPr>
      <w:r>
        <w:rPr>
          <w:rFonts w:ascii="Arial" w:cs="Arial" w:eastAsia="Arial" w:hAnsi="Arial"/>
          <w:sz w:val="20"/>
          <w:szCs w:val="20"/>
          <w:color w:val="auto"/>
        </w:rPr>
        <w:t>Exhibit 2.2(a)(1)</w:t>
      </w:r>
      <w:r>
        <w:rPr>
          <w:sz w:val="20"/>
          <w:szCs w:val="20"/>
          <w:color w:val="auto"/>
        </w:rPr>
        <w:tab/>
      </w:r>
      <w:r>
        <w:rPr>
          <w:rFonts w:ascii="Arial" w:cs="Arial" w:eastAsia="Arial" w:hAnsi="Arial"/>
          <w:sz w:val="18"/>
          <w:szCs w:val="18"/>
          <w:color w:val="auto"/>
        </w:rPr>
        <w:t>Form of Term Note</w:t>
      </w:r>
    </w:p>
    <w:p>
      <w:pPr>
        <w:spacing w:after="0"/>
        <w:tabs>
          <w:tab w:leader="none" w:pos="1560" w:val="left"/>
        </w:tabs>
        <w:rPr>
          <w:sz w:val="20"/>
          <w:szCs w:val="20"/>
          <w:color w:val="auto"/>
        </w:rPr>
      </w:pPr>
      <w:r>
        <w:rPr>
          <w:rFonts w:ascii="Arial" w:cs="Arial" w:eastAsia="Arial" w:hAnsi="Arial"/>
          <w:sz w:val="20"/>
          <w:szCs w:val="20"/>
          <w:color w:val="auto"/>
        </w:rPr>
        <w:t>Exhibit 2.2(a)(2)</w:t>
      </w:r>
      <w:r>
        <w:rPr>
          <w:sz w:val="20"/>
          <w:szCs w:val="20"/>
          <w:color w:val="auto"/>
        </w:rPr>
        <w:tab/>
      </w:r>
      <w:r>
        <w:rPr>
          <w:rFonts w:ascii="Arial" w:cs="Arial" w:eastAsia="Arial" w:hAnsi="Arial"/>
          <w:sz w:val="18"/>
          <w:szCs w:val="18"/>
          <w:color w:val="auto"/>
        </w:rPr>
        <w:t>Form of Revolving Note</w:t>
      </w:r>
    </w:p>
    <w:p>
      <w:pPr>
        <w:spacing w:after="0"/>
        <w:tabs>
          <w:tab w:leader="none" w:pos="1120" w:val="left"/>
        </w:tabs>
        <w:rPr>
          <w:sz w:val="20"/>
          <w:szCs w:val="20"/>
          <w:color w:val="auto"/>
        </w:rPr>
      </w:pPr>
      <w:r>
        <w:rPr>
          <w:rFonts w:ascii="Arial" w:cs="Arial" w:eastAsia="Arial" w:hAnsi="Arial"/>
          <w:sz w:val="20"/>
          <w:szCs w:val="20"/>
          <w:color w:val="auto"/>
        </w:rPr>
        <w:t>Exhibit 2.5</w:t>
      </w:r>
      <w:r>
        <w:rPr>
          <w:sz w:val="20"/>
          <w:szCs w:val="20"/>
          <w:color w:val="auto"/>
        </w:rPr>
        <w:tab/>
      </w:r>
      <w:r>
        <w:rPr>
          <w:rFonts w:ascii="Arial" w:cs="Arial" w:eastAsia="Arial" w:hAnsi="Arial"/>
          <w:sz w:val="18"/>
          <w:szCs w:val="18"/>
          <w:color w:val="auto"/>
        </w:rPr>
        <w:t>Form of Notice of Borrowing</w:t>
      </w:r>
    </w:p>
    <w:p>
      <w:pPr>
        <w:spacing w:after="0"/>
        <w:tabs>
          <w:tab w:leader="none" w:pos="1120" w:val="left"/>
        </w:tabs>
        <w:rPr>
          <w:sz w:val="20"/>
          <w:szCs w:val="20"/>
          <w:color w:val="auto"/>
        </w:rPr>
      </w:pPr>
      <w:r>
        <w:rPr>
          <w:rFonts w:ascii="Arial" w:cs="Arial" w:eastAsia="Arial" w:hAnsi="Arial"/>
          <w:sz w:val="20"/>
          <w:szCs w:val="20"/>
          <w:color w:val="auto"/>
        </w:rPr>
        <w:t>Exhibit 2.6</w:t>
      </w:r>
      <w:r>
        <w:rPr>
          <w:sz w:val="20"/>
          <w:szCs w:val="20"/>
          <w:color w:val="auto"/>
        </w:rPr>
        <w:tab/>
      </w:r>
      <w:r>
        <w:rPr>
          <w:rFonts w:ascii="Arial" w:cs="Arial" w:eastAsia="Arial" w:hAnsi="Arial"/>
          <w:sz w:val="18"/>
          <w:szCs w:val="18"/>
          <w:color w:val="auto"/>
        </w:rPr>
        <w:t>Form of Notice of Conversion or Continuation</w:t>
      </w:r>
    </w:p>
    <w:p>
      <w:pPr>
        <w:spacing w:after="0"/>
        <w:tabs>
          <w:tab w:leader="none" w:pos="1440" w:val="left"/>
        </w:tabs>
        <w:rPr>
          <w:sz w:val="20"/>
          <w:szCs w:val="20"/>
          <w:color w:val="auto"/>
        </w:rPr>
      </w:pPr>
      <w:r>
        <w:rPr>
          <w:rFonts w:ascii="Arial" w:cs="Arial" w:eastAsia="Arial" w:hAnsi="Arial"/>
          <w:sz w:val="20"/>
          <w:szCs w:val="20"/>
          <w:color w:val="auto"/>
        </w:rPr>
        <w:t>Exhibit 2.10(c)</w:t>
      </w:r>
      <w:r>
        <w:rPr>
          <w:sz w:val="20"/>
          <w:szCs w:val="20"/>
          <w:color w:val="auto"/>
        </w:rPr>
        <w:tab/>
      </w:r>
      <w:r>
        <w:rPr>
          <w:rFonts w:ascii="Arial" w:cs="Arial" w:eastAsia="Arial" w:hAnsi="Arial"/>
          <w:sz w:val="18"/>
          <w:szCs w:val="18"/>
          <w:color w:val="auto"/>
        </w:rPr>
        <w:t>Form of Notice of Issuance</w:t>
      </w:r>
    </w:p>
    <w:p>
      <w:pPr>
        <w:spacing w:after="0"/>
        <w:tabs>
          <w:tab w:leader="none" w:pos="1480" w:val="left"/>
        </w:tabs>
        <w:rPr>
          <w:sz w:val="20"/>
          <w:szCs w:val="20"/>
          <w:color w:val="auto"/>
        </w:rPr>
      </w:pPr>
      <w:r>
        <w:rPr>
          <w:rFonts w:ascii="Arial" w:cs="Arial" w:eastAsia="Arial" w:hAnsi="Arial"/>
          <w:sz w:val="20"/>
          <w:szCs w:val="20"/>
          <w:color w:val="auto"/>
        </w:rPr>
        <w:t>Exhibit 2A.2(a)</w:t>
      </w:r>
      <w:r>
        <w:rPr>
          <w:sz w:val="20"/>
          <w:szCs w:val="20"/>
          <w:color w:val="auto"/>
        </w:rPr>
        <w:tab/>
      </w:r>
      <w:r>
        <w:rPr>
          <w:rFonts w:ascii="Arial" w:cs="Arial" w:eastAsia="Arial" w:hAnsi="Arial"/>
          <w:sz w:val="18"/>
          <w:szCs w:val="18"/>
          <w:color w:val="auto"/>
        </w:rPr>
        <w:t>Form of Canadian Revolving Note</w:t>
      </w:r>
    </w:p>
    <w:p>
      <w:pPr>
        <w:spacing w:after="0"/>
        <w:tabs>
          <w:tab w:leader="none" w:pos="1260" w:val="left"/>
        </w:tabs>
        <w:rPr>
          <w:sz w:val="20"/>
          <w:szCs w:val="20"/>
          <w:color w:val="auto"/>
        </w:rPr>
      </w:pPr>
      <w:r>
        <w:rPr>
          <w:rFonts w:ascii="Arial" w:cs="Arial" w:eastAsia="Arial" w:hAnsi="Arial"/>
          <w:sz w:val="20"/>
          <w:szCs w:val="20"/>
          <w:color w:val="auto"/>
        </w:rPr>
        <w:t>Exhibit 2A.5</w:t>
      </w:r>
      <w:r>
        <w:rPr>
          <w:sz w:val="20"/>
          <w:szCs w:val="20"/>
          <w:color w:val="auto"/>
        </w:rPr>
        <w:tab/>
      </w:r>
      <w:r>
        <w:rPr>
          <w:rFonts w:ascii="Arial" w:cs="Arial" w:eastAsia="Arial" w:hAnsi="Arial"/>
          <w:sz w:val="18"/>
          <w:szCs w:val="18"/>
          <w:color w:val="auto"/>
        </w:rPr>
        <w:t>Form of Notice of Canadian Borrowing</w:t>
      </w:r>
    </w:p>
    <w:p>
      <w:pPr>
        <w:spacing w:after="0"/>
        <w:tabs>
          <w:tab w:leader="none" w:pos="1260" w:val="left"/>
        </w:tabs>
        <w:rPr>
          <w:sz w:val="20"/>
          <w:szCs w:val="20"/>
          <w:color w:val="auto"/>
        </w:rPr>
      </w:pPr>
      <w:r>
        <w:rPr>
          <w:rFonts w:ascii="Arial" w:cs="Arial" w:eastAsia="Arial" w:hAnsi="Arial"/>
          <w:sz w:val="20"/>
          <w:szCs w:val="20"/>
          <w:color w:val="auto"/>
        </w:rPr>
        <w:t>Exhibit 2A.6</w:t>
      </w:r>
      <w:r>
        <w:rPr>
          <w:sz w:val="20"/>
          <w:szCs w:val="20"/>
          <w:color w:val="auto"/>
        </w:rPr>
        <w:tab/>
      </w:r>
      <w:r>
        <w:rPr>
          <w:rFonts w:ascii="Arial" w:cs="Arial" w:eastAsia="Arial" w:hAnsi="Arial"/>
          <w:sz w:val="18"/>
          <w:szCs w:val="18"/>
          <w:color w:val="auto"/>
        </w:rPr>
        <w:t>Form of Notice of Canadian Conversion or Continuation</w:t>
      </w:r>
    </w:p>
    <w:p>
      <w:pPr>
        <w:spacing w:after="0"/>
        <w:tabs>
          <w:tab w:leader="none" w:pos="1340" w:val="left"/>
        </w:tabs>
        <w:rPr>
          <w:sz w:val="20"/>
          <w:szCs w:val="20"/>
          <w:color w:val="auto"/>
        </w:rPr>
      </w:pPr>
      <w:r>
        <w:rPr>
          <w:rFonts w:ascii="Arial" w:cs="Arial" w:eastAsia="Arial" w:hAnsi="Arial"/>
          <w:sz w:val="20"/>
          <w:szCs w:val="20"/>
          <w:color w:val="auto"/>
        </w:rPr>
        <w:t>Exhibit 4.7(d)</w:t>
      </w:r>
      <w:r>
        <w:rPr>
          <w:sz w:val="20"/>
          <w:szCs w:val="20"/>
          <w:color w:val="auto"/>
        </w:rPr>
        <w:tab/>
      </w:r>
      <w:r>
        <w:rPr>
          <w:rFonts w:ascii="Arial" w:cs="Arial" w:eastAsia="Arial" w:hAnsi="Arial"/>
          <w:sz w:val="18"/>
          <w:szCs w:val="18"/>
          <w:color w:val="auto"/>
        </w:rPr>
        <w:t>Form of U.S. Tax Compliance Certificate</w:t>
      </w:r>
    </w:p>
    <w:p>
      <w:pPr>
        <w:spacing w:after="0"/>
        <w:tabs>
          <w:tab w:leader="none" w:pos="1580" w:val="left"/>
        </w:tabs>
        <w:rPr>
          <w:sz w:val="20"/>
          <w:szCs w:val="20"/>
          <w:color w:val="auto"/>
        </w:rPr>
      </w:pPr>
      <w:r>
        <w:rPr>
          <w:rFonts w:ascii="Arial" w:cs="Arial" w:eastAsia="Arial" w:hAnsi="Arial"/>
          <w:sz w:val="20"/>
          <w:szCs w:val="20"/>
          <w:color w:val="auto"/>
        </w:rPr>
        <w:t>Exhibit 5.1(a)(ii)</w:t>
      </w:r>
      <w:r>
        <w:rPr>
          <w:sz w:val="20"/>
          <w:szCs w:val="20"/>
          <w:color w:val="auto"/>
        </w:rPr>
        <w:tab/>
      </w:r>
      <w:r>
        <w:rPr>
          <w:rFonts w:ascii="Arial" w:cs="Arial" w:eastAsia="Arial" w:hAnsi="Arial"/>
          <w:sz w:val="16"/>
          <w:szCs w:val="16"/>
          <w:color w:val="auto"/>
        </w:rPr>
        <w:t>Form of U.S. Guarantee Agreement</w:t>
      </w:r>
    </w:p>
    <w:p>
      <w:pPr>
        <w:spacing w:after="0"/>
        <w:tabs>
          <w:tab w:leader="none" w:pos="1900" w:val="left"/>
        </w:tabs>
        <w:rPr>
          <w:sz w:val="20"/>
          <w:szCs w:val="20"/>
          <w:color w:val="auto"/>
        </w:rPr>
      </w:pPr>
      <w:r>
        <w:rPr>
          <w:rFonts w:ascii="Arial" w:cs="Arial" w:eastAsia="Arial" w:hAnsi="Arial"/>
          <w:sz w:val="20"/>
          <w:szCs w:val="20"/>
          <w:color w:val="auto"/>
        </w:rPr>
        <w:t>Exhibit 5.1(a)(iii)(A)</w:t>
      </w:r>
      <w:r>
        <w:rPr>
          <w:sz w:val="20"/>
          <w:szCs w:val="20"/>
          <w:color w:val="auto"/>
        </w:rPr>
        <w:tab/>
      </w:r>
      <w:r>
        <w:rPr>
          <w:rFonts w:ascii="Arial" w:cs="Arial" w:eastAsia="Arial" w:hAnsi="Arial"/>
          <w:sz w:val="18"/>
          <w:szCs w:val="18"/>
          <w:color w:val="auto"/>
        </w:rPr>
        <w:t>Form of U.S. Security Agreement</w:t>
      </w:r>
    </w:p>
    <w:p>
      <w:pPr>
        <w:spacing w:after="0"/>
        <w:tabs>
          <w:tab w:leader="none" w:pos="2100" w:val="left"/>
        </w:tabs>
        <w:rPr>
          <w:sz w:val="20"/>
          <w:szCs w:val="20"/>
          <w:color w:val="auto"/>
        </w:rPr>
      </w:pPr>
      <w:r>
        <w:rPr>
          <w:rFonts w:ascii="Arial" w:cs="Arial" w:eastAsia="Arial" w:hAnsi="Arial"/>
          <w:sz w:val="20"/>
          <w:szCs w:val="20"/>
          <w:color w:val="auto"/>
        </w:rPr>
        <w:t>Exhibit 5.1(a)(iii)(B)(I)</w:t>
      </w:r>
      <w:r>
        <w:rPr>
          <w:sz w:val="20"/>
          <w:szCs w:val="20"/>
          <w:color w:val="auto"/>
        </w:rPr>
        <w:tab/>
      </w:r>
      <w:r>
        <w:rPr>
          <w:rFonts w:ascii="Arial" w:cs="Arial" w:eastAsia="Arial" w:hAnsi="Arial"/>
          <w:sz w:val="16"/>
          <w:szCs w:val="16"/>
          <w:color w:val="auto"/>
        </w:rPr>
        <w:t>Form of U.S. Pledge Agreement</w:t>
      </w:r>
    </w:p>
    <w:p>
      <w:pPr>
        <w:spacing w:after="0"/>
        <w:tabs>
          <w:tab w:leader="none" w:pos="1900" w:val="left"/>
        </w:tabs>
        <w:rPr>
          <w:sz w:val="20"/>
          <w:szCs w:val="20"/>
          <w:color w:val="auto"/>
        </w:rPr>
      </w:pPr>
      <w:r>
        <w:rPr>
          <w:rFonts w:ascii="Arial" w:cs="Arial" w:eastAsia="Arial" w:hAnsi="Arial"/>
          <w:sz w:val="20"/>
          <w:szCs w:val="20"/>
          <w:color w:val="auto"/>
        </w:rPr>
        <w:t>Exhibit 5.1(a)(iv)(A)</w:t>
      </w:r>
      <w:r>
        <w:rPr>
          <w:sz w:val="20"/>
          <w:szCs w:val="20"/>
          <w:color w:val="auto"/>
        </w:rPr>
        <w:tab/>
      </w:r>
      <w:r>
        <w:rPr>
          <w:rFonts w:ascii="Arial" w:cs="Arial" w:eastAsia="Arial" w:hAnsi="Arial"/>
          <w:sz w:val="16"/>
          <w:szCs w:val="16"/>
          <w:color w:val="auto"/>
        </w:rPr>
        <w:t>Form of Non-U.S. Guarantee Agreement</w:t>
      </w:r>
    </w:p>
    <w:p>
      <w:pPr>
        <w:spacing w:after="0"/>
        <w:tabs>
          <w:tab w:leader="none" w:pos="1560" w:val="left"/>
        </w:tabs>
        <w:rPr>
          <w:sz w:val="20"/>
          <w:szCs w:val="20"/>
          <w:color w:val="auto"/>
        </w:rPr>
      </w:pPr>
      <w:r>
        <w:rPr>
          <w:rFonts w:ascii="Arial" w:cs="Arial" w:eastAsia="Arial" w:hAnsi="Arial"/>
          <w:sz w:val="20"/>
          <w:szCs w:val="20"/>
          <w:color w:val="auto"/>
        </w:rPr>
        <w:t>Exhibit 5.1(a)(v)</w:t>
      </w:r>
      <w:r>
        <w:rPr>
          <w:sz w:val="20"/>
          <w:szCs w:val="20"/>
          <w:color w:val="auto"/>
        </w:rPr>
        <w:tab/>
      </w:r>
      <w:r>
        <w:rPr>
          <w:rFonts w:ascii="Arial" w:cs="Arial" w:eastAsia="Arial" w:hAnsi="Arial"/>
          <w:sz w:val="18"/>
          <w:szCs w:val="18"/>
          <w:color w:val="auto"/>
        </w:rPr>
        <w:t>Form of Euro Bank Pledge Agreement</w:t>
      </w:r>
    </w:p>
    <w:p>
      <w:pPr>
        <w:spacing w:after="0"/>
        <w:tabs>
          <w:tab w:leader="none" w:pos="1940" w:val="left"/>
        </w:tabs>
        <w:rPr>
          <w:sz w:val="20"/>
          <w:szCs w:val="20"/>
          <w:color w:val="auto"/>
        </w:rPr>
      </w:pPr>
      <w:r>
        <w:rPr>
          <w:rFonts w:ascii="Arial" w:cs="Arial" w:eastAsia="Arial" w:hAnsi="Arial"/>
          <w:sz w:val="20"/>
          <w:szCs w:val="20"/>
          <w:color w:val="auto"/>
        </w:rPr>
        <w:t>Exhibit 5.1(a)(vii)(A)</w:t>
      </w:r>
      <w:r>
        <w:rPr>
          <w:sz w:val="20"/>
          <w:szCs w:val="20"/>
          <w:color w:val="auto"/>
        </w:rPr>
        <w:tab/>
      </w:r>
      <w:r>
        <w:rPr>
          <w:rFonts w:ascii="Arial" w:cs="Arial" w:eastAsia="Arial" w:hAnsi="Arial"/>
          <w:sz w:val="18"/>
          <w:szCs w:val="18"/>
          <w:color w:val="auto"/>
        </w:rPr>
        <w:t>Form of U.S. Indemnity, Subrogation and Contribution Agreement</w:t>
      </w:r>
    </w:p>
    <w:p>
      <w:pPr>
        <w:spacing w:after="0"/>
        <w:tabs>
          <w:tab w:leader="none" w:pos="1720" w:val="left"/>
        </w:tabs>
        <w:rPr>
          <w:sz w:val="20"/>
          <w:szCs w:val="20"/>
          <w:color w:val="auto"/>
        </w:rPr>
      </w:pPr>
      <w:r>
        <w:rPr>
          <w:rFonts w:ascii="Arial" w:cs="Arial" w:eastAsia="Arial" w:hAnsi="Arial"/>
          <w:sz w:val="20"/>
          <w:szCs w:val="20"/>
          <w:color w:val="auto"/>
        </w:rPr>
        <w:t>Exhibit 5.1(a)(viii)</w:t>
      </w:r>
      <w:r>
        <w:rPr>
          <w:sz w:val="20"/>
          <w:szCs w:val="20"/>
          <w:color w:val="auto"/>
        </w:rPr>
        <w:tab/>
      </w:r>
      <w:r>
        <w:rPr>
          <w:rFonts w:ascii="Arial" w:cs="Arial" w:eastAsia="Arial" w:hAnsi="Arial"/>
          <w:sz w:val="18"/>
          <w:szCs w:val="18"/>
          <w:color w:val="auto"/>
        </w:rPr>
        <w:t>Form of Receivables Intercreditor Agreement</w:t>
      </w:r>
    </w:p>
    <w:p>
      <w:pPr>
        <w:spacing w:after="0"/>
        <w:tabs>
          <w:tab w:leader="none" w:pos="1520" w:val="left"/>
        </w:tabs>
        <w:rPr>
          <w:sz w:val="20"/>
          <w:szCs w:val="20"/>
          <w:color w:val="auto"/>
        </w:rPr>
      </w:pPr>
      <w:r>
        <w:rPr>
          <w:rFonts w:ascii="Arial" w:cs="Arial" w:eastAsia="Arial" w:hAnsi="Arial"/>
          <w:sz w:val="20"/>
          <w:szCs w:val="20"/>
          <w:color w:val="auto"/>
        </w:rPr>
        <w:t>Exhibit 5.1(e)(i)</w:t>
      </w:r>
      <w:r>
        <w:rPr>
          <w:sz w:val="20"/>
          <w:szCs w:val="20"/>
          <w:color w:val="auto"/>
        </w:rPr>
        <w:tab/>
      </w:r>
      <w:r>
        <w:rPr>
          <w:rFonts w:ascii="Arial" w:cs="Arial" w:eastAsia="Arial" w:hAnsi="Arial"/>
          <w:sz w:val="18"/>
          <w:szCs w:val="18"/>
          <w:color w:val="auto"/>
        </w:rPr>
        <w:t>Form of Officer’s Certificate</w:t>
      </w:r>
    </w:p>
    <w:p>
      <w:pPr>
        <w:spacing w:after="0"/>
        <w:tabs>
          <w:tab w:leader="none" w:pos="1580" w:val="left"/>
        </w:tabs>
        <w:rPr>
          <w:sz w:val="20"/>
          <w:szCs w:val="20"/>
          <w:color w:val="auto"/>
        </w:rPr>
      </w:pPr>
      <w:r>
        <w:rPr>
          <w:rFonts w:ascii="Arial" w:cs="Arial" w:eastAsia="Arial" w:hAnsi="Arial"/>
          <w:sz w:val="20"/>
          <w:szCs w:val="20"/>
          <w:color w:val="auto"/>
        </w:rPr>
        <w:t>Exhibit 5.1(e)(ii)</w:t>
      </w:r>
      <w:r>
        <w:rPr>
          <w:sz w:val="20"/>
          <w:szCs w:val="20"/>
          <w:color w:val="auto"/>
        </w:rPr>
        <w:tab/>
      </w:r>
      <w:r>
        <w:rPr>
          <w:rFonts w:ascii="Arial" w:cs="Arial" w:eastAsia="Arial" w:hAnsi="Arial"/>
          <w:sz w:val="18"/>
          <w:szCs w:val="18"/>
          <w:color w:val="auto"/>
        </w:rPr>
        <w:t>Form of Secretary’s Certificate</w:t>
      </w:r>
    </w:p>
    <w:p>
      <w:pPr>
        <w:sectPr>
          <w:pgSz w:w="11900" w:h="16838" w:orient="portrait"/>
          <w:cols w:equalWidth="0" w:num="1">
            <w:col w:w="10139"/>
          </w:cols>
          <w:pgMar w:left="320" w:top="1440" w:right="1440" w:bottom="1440" w:gutter="0" w:footer="0" w:header="0"/>
        </w:sectPr>
      </w:pPr>
    </w:p>
    <w:bookmarkStart w:id="111" w:name="page112"/>
    <w:bookmarkEnd w:id="111"/>
    <w:p>
      <w:pPr>
        <w:spacing w:after="0"/>
        <w:tabs>
          <w:tab w:leader="none" w:pos="1620" w:val="left"/>
        </w:tabs>
        <w:rPr>
          <w:sz w:val="20"/>
          <w:szCs w:val="20"/>
          <w:color w:val="auto"/>
        </w:rPr>
      </w:pPr>
      <w:r>
        <w:rPr>
          <w:rFonts w:ascii="Arial" w:cs="Arial" w:eastAsia="Arial" w:hAnsi="Arial"/>
          <w:sz w:val="20"/>
          <w:szCs w:val="20"/>
          <w:color w:val="auto"/>
        </w:rPr>
        <w:t>Exhibit 5.1(e)(iv)</w:t>
      </w:r>
      <w:r>
        <w:rPr>
          <w:sz w:val="20"/>
          <w:szCs w:val="20"/>
          <w:color w:val="auto"/>
        </w:rPr>
        <w:tab/>
      </w:r>
      <w:r>
        <w:rPr>
          <w:rFonts w:ascii="Arial" w:cs="Arial" w:eastAsia="Arial" w:hAnsi="Arial"/>
          <w:sz w:val="18"/>
          <w:szCs w:val="18"/>
          <w:color w:val="auto"/>
        </w:rPr>
        <w:t>Form of Solvency Certificate</w:t>
      </w:r>
    </w:p>
    <w:p>
      <w:pPr>
        <w:spacing w:after="0"/>
        <w:tabs>
          <w:tab w:leader="none" w:pos="1340" w:val="left"/>
        </w:tabs>
        <w:rPr>
          <w:sz w:val="20"/>
          <w:szCs w:val="20"/>
          <w:color w:val="auto"/>
        </w:rPr>
      </w:pPr>
      <w:r>
        <w:rPr>
          <w:rFonts w:ascii="Arial" w:cs="Arial" w:eastAsia="Arial" w:hAnsi="Arial"/>
          <w:sz w:val="20"/>
          <w:szCs w:val="20"/>
          <w:color w:val="auto"/>
        </w:rPr>
        <w:t>Exhibit 7.2(a)</w:t>
      </w:r>
      <w:r>
        <w:rPr>
          <w:sz w:val="20"/>
          <w:szCs w:val="20"/>
          <w:color w:val="auto"/>
        </w:rPr>
        <w:tab/>
      </w:r>
      <w:r>
        <w:rPr>
          <w:rFonts w:ascii="Arial" w:cs="Arial" w:eastAsia="Arial" w:hAnsi="Arial"/>
          <w:sz w:val="18"/>
          <w:szCs w:val="18"/>
          <w:color w:val="auto"/>
        </w:rPr>
        <w:t>Form of Compliance Certificate</w:t>
      </w:r>
    </w:p>
    <w:p>
      <w:pPr>
        <w:spacing w:after="0"/>
        <w:tabs>
          <w:tab w:leader="none" w:pos="1440" w:val="left"/>
        </w:tabs>
        <w:rPr>
          <w:sz w:val="20"/>
          <w:szCs w:val="20"/>
          <w:color w:val="auto"/>
        </w:rPr>
      </w:pPr>
      <w:r>
        <w:rPr>
          <w:rFonts w:ascii="Arial" w:cs="Arial" w:eastAsia="Arial" w:hAnsi="Arial"/>
          <w:sz w:val="20"/>
          <w:szCs w:val="20"/>
          <w:color w:val="auto"/>
        </w:rPr>
        <w:t>Exhibit 12.1(c)</w:t>
      </w:r>
      <w:r>
        <w:rPr>
          <w:sz w:val="20"/>
          <w:szCs w:val="20"/>
          <w:color w:val="auto"/>
        </w:rPr>
        <w:tab/>
      </w:r>
      <w:r>
        <w:rPr>
          <w:rFonts w:ascii="Arial" w:cs="Arial" w:eastAsia="Arial" w:hAnsi="Arial"/>
          <w:sz w:val="18"/>
          <w:szCs w:val="18"/>
          <w:color w:val="auto"/>
        </w:rPr>
        <w:t>Form of Joinder Agreement</w:t>
      </w:r>
    </w:p>
    <w:p>
      <w:pPr>
        <w:spacing w:after="0" w:line="1" w:lineRule="exact"/>
        <w:rPr>
          <w:sz w:val="20"/>
          <w:szCs w:val="20"/>
          <w:color w:val="auto"/>
        </w:rPr>
      </w:pPr>
    </w:p>
    <w:p>
      <w:pPr>
        <w:spacing w:after="0"/>
        <w:tabs>
          <w:tab w:leader="none" w:pos="1440" w:val="left"/>
        </w:tabs>
        <w:rPr>
          <w:sz w:val="20"/>
          <w:szCs w:val="20"/>
          <w:color w:val="auto"/>
        </w:rPr>
      </w:pPr>
      <w:r>
        <w:rPr>
          <w:rFonts w:ascii="Arial" w:cs="Arial" w:eastAsia="Arial" w:hAnsi="Arial"/>
          <w:sz w:val="20"/>
          <w:szCs w:val="20"/>
          <w:color w:val="auto"/>
        </w:rPr>
        <w:t>Exhibit 12.8(d)</w:t>
      </w:r>
      <w:r>
        <w:rPr>
          <w:sz w:val="20"/>
          <w:szCs w:val="20"/>
          <w:color w:val="auto"/>
        </w:rPr>
        <w:tab/>
      </w:r>
      <w:r>
        <w:rPr>
          <w:rFonts w:ascii="Arial" w:cs="Arial" w:eastAsia="Arial" w:hAnsi="Arial"/>
          <w:sz w:val="18"/>
          <w:szCs w:val="18"/>
          <w:color w:val="auto"/>
        </w:rPr>
        <w:t>Form of Assignment and Assumption Agreement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1"/>
              </w:rPr>
              <w:t>Schedules</w:t>
            </w:r>
          </w:p>
        </w:tc>
      </w:tr>
      <w:tr>
        <w:trPr>
          <w:trHeight w:val="449"/>
        </w:trPr>
        <w:tc>
          <w:tcPr>
            <w:tcW w:w="1260" w:type="dxa"/>
            <w:vAlign w:val="bottom"/>
          </w:tcPr>
          <w:p>
            <w:pPr>
              <w:spacing w:after="0"/>
              <w:rPr>
                <w:sz w:val="20"/>
                <w:szCs w:val="20"/>
                <w:color w:val="auto"/>
              </w:rPr>
            </w:pPr>
            <w:r>
              <w:rPr>
                <w:rFonts w:ascii="Arial" w:cs="Arial" w:eastAsia="Arial" w:hAnsi="Arial"/>
                <w:sz w:val="20"/>
                <w:szCs w:val="20"/>
                <w:color w:val="auto"/>
                <w:w w:val="87"/>
              </w:rPr>
              <w:t>Schedule 1.1(a)</w:t>
            </w:r>
          </w:p>
        </w:tc>
        <w:tc>
          <w:tcPr>
            <w:tcW w:w="220" w:type="dxa"/>
            <w:vAlign w:val="bottom"/>
          </w:tcPr>
          <w:p>
            <w:pPr>
              <w:spacing w:after="0"/>
              <w:rPr>
                <w:sz w:val="24"/>
                <w:szCs w:val="24"/>
                <w:color w:val="auto"/>
              </w:rPr>
            </w:pPr>
          </w:p>
        </w:tc>
        <w:tc>
          <w:tcPr>
            <w:tcW w:w="4560" w:type="dxa"/>
            <w:vAlign w:val="bottom"/>
            <w:gridSpan w:val="3"/>
          </w:tcPr>
          <w:p>
            <w:pPr>
              <w:ind w:left="20"/>
              <w:spacing w:after="0"/>
              <w:rPr>
                <w:sz w:val="20"/>
                <w:szCs w:val="20"/>
                <w:color w:val="auto"/>
              </w:rPr>
            </w:pPr>
            <w:r>
              <w:rPr>
                <w:rFonts w:ascii="Arial" w:cs="Arial" w:eastAsia="Arial" w:hAnsi="Arial"/>
                <w:sz w:val="20"/>
                <w:szCs w:val="20"/>
                <w:color w:val="auto"/>
              </w:rPr>
              <w:t>Commitments</w:t>
            </w:r>
          </w:p>
        </w:tc>
      </w:tr>
      <w:tr>
        <w:trPr>
          <w:trHeight w:val="216"/>
        </w:trPr>
        <w:tc>
          <w:tcPr>
            <w:tcW w:w="1260" w:type="dxa"/>
            <w:vAlign w:val="bottom"/>
          </w:tcPr>
          <w:p>
            <w:pPr>
              <w:spacing w:after="0" w:line="216" w:lineRule="exact"/>
              <w:rPr>
                <w:sz w:val="20"/>
                <w:szCs w:val="20"/>
                <w:color w:val="auto"/>
              </w:rPr>
            </w:pPr>
            <w:r>
              <w:rPr>
                <w:rFonts w:ascii="Arial" w:cs="Arial" w:eastAsia="Arial" w:hAnsi="Arial"/>
                <w:sz w:val="20"/>
                <w:szCs w:val="20"/>
                <w:color w:val="auto"/>
                <w:w w:val="87"/>
              </w:rPr>
              <w:t>Schedule 1.1(b)</w:t>
            </w:r>
          </w:p>
        </w:tc>
        <w:tc>
          <w:tcPr>
            <w:tcW w:w="220" w:type="dxa"/>
            <w:vAlign w:val="bottom"/>
          </w:tcPr>
          <w:p>
            <w:pPr>
              <w:spacing w:after="0"/>
              <w:rPr>
                <w:sz w:val="18"/>
                <w:szCs w:val="18"/>
                <w:color w:val="auto"/>
              </w:rPr>
            </w:pPr>
          </w:p>
        </w:tc>
        <w:tc>
          <w:tcPr>
            <w:tcW w:w="4560" w:type="dxa"/>
            <w:vAlign w:val="bottom"/>
            <w:gridSpan w:val="3"/>
          </w:tcPr>
          <w:p>
            <w:pPr>
              <w:ind w:left="20"/>
              <w:spacing w:after="0" w:line="216" w:lineRule="exact"/>
              <w:rPr>
                <w:sz w:val="20"/>
                <w:szCs w:val="20"/>
                <w:color w:val="auto"/>
              </w:rPr>
            </w:pPr>
            <w:r>
              <w:rPr>
                <w:rFonts w:ascii="Arial" w:cs="Arial" w:eastAsia="Arial" w:hAnsi="Arial"/>
                <w:sz w:val="20"/>
                <w:szCs w:val="20"/>
                <w:color w:val="auto"/>
              </w:rPr>
              <w:t>Revolver Sublimits</w:t>
            </w:r>
          </w:p>
        </w:tc>
      </w:tr>
      <w:tr>
        <w:trPr>
          <w:trHeight w:val="216"/>
        </w:trPr>
        <w:tc>
          <w:tcPr>
            <w:tcW w:w="6040" w:type="dxa"/>
            <w:vAlign w:val="bottom"/>
            <w:gridSpan w:val="5"/>
          </w:tcPr>
          <w:p>
            <w:pPr>
              <w:spacing w:after="0" w:line="216" w:lineRule="exact"/>
              <w:rPr>
                <w:sz w:val="20"/>
                <w:szCs w:val="20"/>
                <w:color w:val="auto"/>
              </w:rPr>
            </w:pPr>
            <w:r>
              <w:rPr>
                <w:rFonts w:ascii="Arial" w:cs="Arial" w:eastAsia="Arial" w:hAnsi="Arial"/>
                <w:sz w:val="20"/>
                <w:szCs w:val="20"/>
                <w:color w:val="auto"/>
              </w:rPr>
              <w:t>Schedule 1.1(d)   Subsidiary Borrowers/Subsidiary Guarantors</w:t>
            </w:r>
          </w:p>
        </w:tc>
      </w:tr>
      <w:tr>
        <w:trPr>
          <w:trHeight w:val="216"/>
        </w:trPr>
        <w:tc>
          <w:tcPr>
            <w:tcW w:w="1260" w:type="dxa"/>
            <w:vAlign w:val="bottom"/>
          </w:tcPr>
          <w:p>
            <w:pPr>
              <w:spacing w:after="0" w:line="216" w:lineRule="exact"/>
              <w:rPr>
                <w:sz w:val="20"/>
                <w:szCs w:val="20"/>
                <w:color w:val="auto"/>
              </w:rPr>
            </w:pPr>
            <w:r>
              <w:rPr>
                <w:rFonts w:ascii="Arial" w:cs="Arial" w:eastAsia="Arial" w:hAnsi="Arial"/>
                <w:sz w:val="20"/>
                <w:szCs w:val="20"/>
                <w:color w:val="auto"/>
                <w:w w:val="87"/>
              </w:rPr>
              <w:t>Schedule 1.1(e)</w:t>
            </w:r>
          </w:p>
        </w:tc>
        <w:tc>
          <w:tcPr>
            <w:tcW w:w="220" w:type="dxa"/>
            <w:vAlign w:val="bottom"/>
          </w:tcPr>
          <w:p>
            <w:pPr>
              <w:spacing w:after="0"/>
              <w:rPr>
                <w:sz w:val="18"/>
                <w:szCs w:val="18"/>
                <w:color w:val="auto"/>
              </w:rPr>
            </w:pPr>
          </w:p>
        </w:tc>
        <w:tc>
          <w:tcPr>
            <w:tcW w:w="4560" w:type="dxa"/>
            <w:vAlign w:val="bottom"/>
            <w:gridSpan w:val="3"/>
          </w:tcPr>
          <w:p>
            <w:pPr>
              <w:ind w:left="20"/>
              <w:spacing w:after="0" w:line="216" w:lineRule="exact"/>
              <w:rPr>
                <w:sz w:val="20"/>
                <w:szCs w:val="20"/>
                <w:color w:val="auto"/>
              </w:rPr>
            </w:pPr>
            <w:r>
              <w:rPr>
                <w:rFonts w:ascii="Arial" w:cs="Arial" w:eastAsia="Arial" w:hAnsi="Arial"/>
                <w:sz w:val="20"/>
                <w:szCs w:val="20"/>
                <w:color w:val="auto"/>
              </w:rPr>
              <w:t>Unrestricted Entities</w:t>
            </w:r>
          </w:p>
        </w:tc>
      </w:tr>
      <w:tr>
        <w:trPr>
          <w:trHeight w:val="216"/>
        </w:trPr>
        <w:tc>
          <w:tcPr>
            <w:tcW w:w="6040" w:type="dxa"/>
            <w:vAlign w:val="bottom"/>
            <w:gridSpan w:val="5"/>
          </w:tcPr>
          <w:p>
            <w:pPr>
              <w:spacing w:after="0" w:line="216" w:lineRule="exact"/>
              <w:rPr>
                <w:sz w:val="20"/>
                <w:szCs w:val="20"/>
                <w:color w:val="auto"/>
              </w:rPr>
            </w:pPr>
            <w:r>
              <w:rPr>
                <w:rFonts w:ascii="Arial" w:cs="Arial" w:eastAsia="Arial" w:hAnsi="Arial"/>
                <w:sz w:val="20"/>
                <w:szCs w:val="20"/>
                <w:color w:val="auto"/>
              </w:rPr>
              <w:t>Schedule 1.1(g)   Applicable LC Sublimit</w:t>
            </w:r>
          </w:p>
        </w:tc>
      </w:tr>
      <w:tr>
        <w:trPr>
          <w:trHeight w:val="216"/>
        </w:trPr>
        <w:tc>
          <w:tcPr>
            <w:tcW w:w="6040" w:type="dxa"/>
            <w:vAlign w:val="bottom"/>
            <w:gridSpan w:val="5"/>
          </w:tcPr>
          <w:p>
            <w:pPr>
              <w:spacing w:after="0" w:line="216" w:lineRule="exact"/>
              <w:rPr>
                <w:sz w:val="20"/>
                <w:szCs w:val="20"/>
                <w:color w:val="auto"/>
              </w:rPr>
            </w:pPr>
            <w:r>
              <w:rPr>
                <w:rFonts w:ascii="Arial" w:cs="Arial" w:eastAsia="Arial" w:hAnsi="Arial"/>
                <w:sz w:val="20"/>
                <w:szCs w:val="20"/>
                <w:color w:val="auto"/>
              </w:rPr>
              <w:t>Schedule 2.10(j)   Letters of Credit Outstanding</w:t>
            </w:r>
          </w:p>
        </w:tc>
      </w:tr>
      <w:tr>
        <w:trPr>
          <w:trHeight w:val="216"/>
        </w:trPr>
        <w:tc>
          <w:tcPr>
            <w:tcW w:w="6040" w:type="dxa"/>
            <w:vAlign w:val="bottom"/>
            <w:gridSpan w:val="5"/>
          </w:tcPr>
          <w:p>
            <w:pPr>
              <w:spacing w:after="0" w:line="216" w:lineRule="exact"/>
              <w:rPr>
                <w:sz w:val="20"/>
                <w:szCs w:val="20"/>
                <w:color w:val="auto"/>
              </w:rPr>
            </w:pPr>
            <w:r>
              <w:rPr>
                <w:rFonts w:ascii="Arial" w:cs="Arial" w:eastAsia="Arial" w:hAnsi="Arial"/>
                <w:sz w:val="20"/>
                <w:szCs w:val="20"/>
                <w:color w:val="auto"/>
              </w:rPr>
              <w:t>Schedule 5.1(d)   Opinions of Counsel</w:t>
            </w:r>
          </w:p>
        </w:tc>
      </w:tr>
      <w:tr>
        <w:trPr>
          <w:trHeight w:val="216"/>
        </w:trPr>
        <w:tc>
          <w:tcPr>
            <w:tcW w:w="1480" w:type="dxa"/>
            <w:vAlign w:val="bottom"/>
            <w:gridSpan w:val="2"/>
          </w:tcPr>
          <w:p>
            <w:pPr>
              <w:spacing w:after="0" w:line="216" w:lineRule="exact"/>
              <w:rPr>
                <w:sz w:val="20"/>
                <w:szCs w:val="20"/>
                <w:color w:val="auto"/>
              </w:rPr>
            </w:pPr>
            <w:r>
              <w:rPr>
                <w:rFonts w:ascii="Arial" w:cs="Arial" w:eastAsia="Arial" w:hAnsi="Arial"/>
                <w:sz w:val="20"/>
                <w:szCs w:val="20"/>
                <w:color w:val="auto"/>
                <w:w w:val="91"/>
              </w:rPr>
              <w:t>Schedule 6.5(b)(i)</w:t>
            </w:r>
          </w:p>
        </w:tc>
        <w:tc>
          <w:tcPr>
            <w:tcW w:w="100" w:type="dxa"/>
            <w:vAlign w:val="bottom"/>
          </w:tcPr>
          <w:p>
            <w:pPr>
              <w:spacing w:after="0"/>
              <w:rPr>
                <w:sz w:val="18"/>
                <w:szCs w:val="18"/>
                <w:color w:val="auto"/>
              </w:rPr>
            </w:pPr>
          </w:p>
        </w:tc>
        <w:tc>
          <w:tcPr>
            <w:tcW w:w="4460" w:type="dxa"/>
            <w:vAlign w:val="bottom"/>
            <w:gridSpan w:val="2"/>
          </w:tcPr>
          <w:p>
            <w:pPr>
              <w:ind w:left="120"/>
              <w:spacing w:after="0" w:line="216" w:lineRule="exact"/>
              <w:rPr>
                <w:sz w:val="20"/>
                <w:szCs w:val="20"/>
                <w:color w:val="auto"/>
              </w:rPr>
            </w:pPr>
            <w:r>
              <w:rPr>
                <w:rFonts w:ascii="Arial" w:cs="Arial" w:eastAsia="Arial" w:hAnsi="Arial"/>
                <w:sz w:val="20"/>
                <w:szCs w:val="20"/>
                <w:color w:val="auto"/>
              </w:rPr>
              <w:t>Indebtedness</w:t>
            </w:r>
          </w:p>
        </w:tc>
      </w:tr>
      <w:tr>
        <w:trPr>
          <w:trHeight w:val="216"/>
        </w:trPr>
        <w:tc>
          <w:tcPr>
            <w:tcW w:w="1580" w:type="dxa"/>
            <w:vAlign w:val="bottom"/>
            <w:gridSpan w:val="3"/>
          </w:tcPr>
          <w:p>
            <w:pPr>
              <w:spacing w:after="0" w:line="216" w:lineRule="exact"/>
              <w:rPr>
                <w:sz w:val="20"/>
                <w:szCs w:val="20"/>
                <w:color w:val="auto"/>
              </w:rPr>
            </w:pPr>
            <w:r>
              <w:rPr>
                <w:rFonts w:ascii="Arial" w:cs="Arial" w:eastAsia="Arial" w:hAnsi="Arial"/>
                <w:sz w:val="20"/>
                <w:szCs w:val="20"/>
                <w:color w:val="auto"/>
                <w:w w:val="95"/>
              </w:rPr>
              <w:t>Schedule 6.5(b)(ii)</w:t>
            </w:r>
          </w:p>
        </w:tc>
        <w:tc>
          <w:tcPr>
            <w:tcW w:w="4460" w:type="dxa"/>
            <w:vAlign w:val="bottom"/>
            <w:gridSpan w:val="2"/>
          </w:tcPr>
          <w:p>
            <w:pPr>
              <w:ind w:left="160"/>
              <w:spacing w:after="0" w:line="216" w:lineRule="exact"/>
              <w:rPr>
                <w:sz w:val="20"/>
                <w:szCs w:val="20"/>
                <w:color w:val="auto"/>
              </w:rPr>
            </w:pPr>
            <w:r>
              <w:rPr>
                <w:rFonts w:ascii="Arial" w:cs="Arial" w:eastAsia="Arial" w:hAnsi="Arial"/>
                <w:sz w:val="20"/>
                <w:szCs w:val="20"/>
                <w:color w:val="auto"/>
              </w:rPr>
              <w:t>Existing Non-U.S. Facilities</w:t>
            </w:r>
          </w:p>
        </w:tc>
      </w:tr>
      <w:tr>
        <w:trPr>
          <w:trHeight w:val="216"/>
        </w:trPr>
        <w:tc>
          <w:tcPr>
            <w:tcW w:w="1580" w:type="dxa"/>
            <w:vAlign w:val="bottom"/>
            <w:gridSpan w:val="3"/>
          </w:tcPr>
          <w:p>
            <w:pPr>
              <w:spacing w:after="0" w:line="216" w:lineRule="exact"/>
              <w:rPr>
                <w:sz w:val="20"/>
                <w:szCs w:val="20"/>
                <w:color w:val="auto"/>
              </w:rPr>
            </w:pPr>
            <w:r>
              <w:rPr>
                <w:rFonts w:ascii="Arial" w:cs="Arial" w:eastAsia="Arial" w:hAnsi="Arial"/>
                <w:sz w:val="20"/>
                <w:szCs w:val="20"/>
                <w:color w:val="auto"/>
                <w:w w:val="92"/>
              </w:rPr>
              <w:t>Schedule 6.5(b)(iii)</w:t>
            </w:r>
          </w:p>
        </w:tc>
        <w:tc>
          <w:tcPr>
            <w:tcW w:w="4460" w:type="dxa"/>
            <w:vAlign w:val="bottom"/>
            <w:gridSpan w:val="2"/>
          </w:tcPr>
          <w:p>
            <w:pPr>
              <w:ind w:left="220"/>
              <w:spacing w:after="0" w:line="216" w:lineRule="exact"/>
              <w:rPr>
                <w:sz w:val="20"/>
                <w:szCs w:val="20"/>
                <w:color w:val="auto"/>
              </w:rPr>
            </w:pPr>
            <w:r>
              <w:rPr>
                <w:rFonts w:ascii="Arial" w:cs="Arial" w:eastAsia="Arial" w:hAnsi="Arial"/>
                <w:sz w:val="20"/>
                <w:szCs w:val="20"/>
                <w:color w:val="auto"/>
              </w:rPr>
              <w:t>Existing Factoring Facilities</w:t>
            </w:r>
          </w:p>
        </w:tc>
      </w:tr>
      <w:tr>
        <w:trPr>
          <w:trHeight w:val="216"/>
        </w:trPr>
        <w:tc>
          <w:tcPr>
            <w:tcW w:w="6040" w:type="dxa"/>
            <w:vAlign w:val="bottom"/>
            <w:gridSpan w:val="5"/>
          </w:tcPr>
          <w:p>
            <w:pPr>
              <w:spacing w:after="0" w:line="216" w:lineRule="exact"/>
              <w:rPr>
                <w:sz w:val="20"/>
                <w:szCs w:val="20"/>
                <w:color w:val="auto"/>
              </w:rPr>
            </w:pPr>
            <w:r>
              <w:rPr>
                <w:rFonts w:ascii="Arial" w:cs="Arial" w:eastAsia="Arial" w:hAnsi="Arial"/>
                <w:sz w:val="20"/>
                <w:szCs w:val="20"/>
                <w:color w:val="auto"/>
              </w:rPr>
              <w:t>Schedule 6.10(c)   Canadian Defined Benefit Plans</w:t>
            </w:r>
          </w:p>
        </w:tc>
      </w:tr>
      <w:tr>
        <w:trPr>
          <w:trHeight w:val="216"/>
        </w:trPr>
        <w:tc>
          <w:tcPr>
            <w:tcW w:w="1260" w:type="dxa"/>
            <w:vAlign w:val="bottom"/>
          </w:tcPr>
          <w:p>
            <w:pPr>
              <w:spacing w:after="0" w:line="216" w:lineRule="exact"/>
              <w:rPr>
                <w:sz w:val="20"/>
                <w:szCs w:val="20"/>
                <w:color w:val="auto"/>
              </w:rPr>
            </w:pPr>
            <w:r>
              <w:rPr>
                <w:rFonts w:ascii="Arial" w:cs="Arial" w:eastAsia="Arial" w:hAnsi="Arial"/>
                <w:sz w:val="20"/>
                <w:szCs w:val="20"/>
                <w:color w:val="auto"/>
                <w:w w:val="96"/>
              </w:rPr>
              <w:t>Schedule 6.14</w:t>
            </w:r>
          </w:p>
        </w:tc>
        <w:tc>
          <w:tcPr>
            <w:tcW w:w="4780" w:type="dxa"/>
            <w:vAlign w:val="bottom"/>
            <w:gridSpan w:val="4"/>
          </w:tcPr>
          <w:p>
            <w:pPr>
              <w:ind w:left="120"/>
              <w:spacing w:after="0" w:line="216" w:lineRule="exact"/>
              <w:rPr>
                <w:sz w:val="20"/>
                <w:szCs w:val="20"/>
                <w:color w:val="auto"/>
              </w:rPr>
            </w:pPr>
            <w:r>
              <w:rPr>
                <w:rFonts w:ascii="Arial" w:cs="Arial" w:eastAsia="Arial" w:hAnsi="Arial"/>
                <w:sz w:val="20"/>
                <w:szCs w:val="20"/>
                <w:color w:val="auto"/>
              </w:rPr>
              <w:t>Subsidiaries</w:t>
            </w:r>
          </w:p>
        </w:tc>
      </w:tr>
      <w:tr>
        <w:trPr>
          <w:trHeight w:val="216"/>
        </w:trPr>
        <w:tc>
          <w:tcPr>
            <w:tcW w:w="1260" w:type="dxa"/>
            <w:vAlign w:val="bottom"/>
          </w:tcPr>
          <w:p>
            <w:pPr>
              <w:spacing w:after="0" w:line="216" w:lineRule="exact"/>
              <w:rPr>
                <w:sz w:val="20"/>
                <w:szCs w:val="20"/>
                <w:color w:val="auto"/>
              </w:rPr>
            </w:pPr>
            <w:r>
              <w:rPr>
                <w:rFonts w:ascii="Arial" w:cs="Arial" w:eastAsia="Arial" w:hAnsi="Arial"/>
                <w:sz w:val="20"/>
                <w:szCs w:val="20"/>
                <w:color w:val="auto"/>
                <w:w w:val="88"/>
              </w:rPr>
              <w:t>Schedule 8.2(c)</w:t>
            </w:r>
          </w:p>
        </w:tc>
        <w:tc>
          <w:tcPr>
            <w:tcW w:w="220" w:type="dxa"/>
            <w:vAlign w:val="bottom"/>
          </w:tcPr>
          <w:p>
            <w:pPr>
              <w:spacing w:after="0"/>
              <w:rPr>
                <w:sz w:val="18"/>
                <w:szCs w:val="18"/>
                <w:color w:val="auto"/>
              </w:rPr>
            </w:pPr>
          </w:p>
        </w:tc>
        <w:tc>
          <w:tcPr>
            <w:tcW w:w="4560" w:type="dxa"/>
            <w:vAlign w:val="bottom"/>
            <w:gridSpan w:val="3"/>
          </w:tcPr>
          <w:p>
            <w:pPr>
              <w:ind w:left="20"/>
              <w:spacing w:after="0" w:line="216" w:lineRule="exact"/>
              <w:rPr>
                <w:sz w:val="20"/>
                <w:szCs w:val="20"/>
                <w:color w:val="auto"/>
              </w:rPr>
            </w:pPr>
            <w:r>
              <w:rPr>
                <w:rFonts w:ascii="Arial" w:cs="Arial" w:eastAsia="Arial" w:hAnsi="Arial"/>
                <w:sz w:val="20"/>
                <w:szCs w:val="20"/>
                <w:color w:val="auto"/>
              </w:rPr>
              <w:t>Existing Liens</w:t>
            </w:r>
          </w:p>
        </w:tc>
      </w:tr>
      <w:tr>
        <w:trPr>
          <w:trHeight w:val="216"/>
        </w:trPr>
        <w:tc>
          <w:tcPr>
            <w:tcW w:w="1260" w:type="dxa"/>
            <w:vAlign w:val="bottom"/>
          </w:tcPr>
          <w:p>
            <w:pPr>
              <w:spacing w:after="0" w:line="216" w:lineRule="exact"/>
              <w:rPr>
                <w:sz w:val="20"/>
                <w:szCs w:val="20"/>
                <w:color w:val="auto"/>
              </w:rPr>
            </w:pPr>
            <w:r>
              <w:rPr>
                <w:rFonts w:ascii="Arial" w:cs="Arial" w:eastAsia="Arial" w:hAnsi="Arial"/>
                <w:sz w:val="20"/>
                <w:szCs w:val="20"/>
                <w:color w:val="auto"/>
              </w:rPr>
              <w:t>Schedule 8.4</w:t>
            </w:r>
          </w:p>
        </w:tc>
        <w:tc>
          <w:tcPr>
            <w:tcW w:w="4780" w:type="dxa"/>
            <w:vAlign w:val="bottom"/>
            <w:gridSpan w:val="4"/>
          </w:tcPr>
          <w:p>
            <w:pPr>
              <w:ind w:left="20"/>
              <w:spacing w:after="0" w:line="216" w:lineRule="exact"/>
              <w:rPr>
                <w:sz w:val="20"/>
                <w:szCs w:val="20"/>
                <w:color w:val="auto"/>
              </w:rPr>
            </w:pPr>
            <w:r>
              <w:rPr>
                <w:rFonts w:ascii="Arial" w:cs="Arial" w:eastAsia="Arial" w:hAnsi="Arial"/>
                <w:sz w:val="20"/>
                <w:szCs w:val="20"/>
                <w:color w:val="auto"/>
              </w:rPr>
              <w:t>Existing Investments</w:t>
            </w:r>
          </w:p>
        </w:tc>
      </w:tr>
      <w:tr>
        <w:trPr>
          <w:trHeight w:val="216"/>
        </w:trPr>
        <w:tc>
          <w:tcPr>
            <w:tcW w:w="1480" w:type="dxa"/>
            <w:vAlign w:val="bottom"/>
            <w:gridSpan w:val="2"/>
          </w:tcPr>
          <w:p>
            <w:pPr>
              <w:spacing w:after="0" w:line="216" w:lineRule="exact"/>
              <w:rPr>
                <w:sz w:val="20"/>
                <w:szCs w:val="20"/>
                <w:color w:val="auto"/>
              </w:rPr>
            </w:pPr>
            <w:r>
              <w:rPr>
                <w:rFonts w:ascii="Arial" w:cs="Arial" w:eastAsia="Arial" w:hAnsi="Arial"/>
                <w:sz w:val="20"/>
                <w:szCs w:val="20"/>
                <w:color w:val="auto"/>
                <w:w w:val="91"/>
              </w:rPr>
              <w:t>Schedule 8.5(b)(i)</w:t>
            </w:r>
          </w:p>
        </w:tc>
        <w:tc>
          <w:tcPr>
            <w:tcW w:w="100" w:type="dxa"/>
            <w:vAlign w:val="bottom"/>
          </w:tcPr>
          <w:p>
            <w:pPr>
              <w:spacing w:after="0"/>
              <w:rPr>
                <w:sz w:val="18"/>
                <w:szCs w:val="18"/>
                <w:color w:val="auto"/>
              </w:rPr>
            </w:pPr>
          </w:p>
        </w:tc>
        <w:tc>
          <w:tcPr>
            <w:tcW w:w="4460" w:type="dxa"/>
            <w:vAlign w:val="bottom"/>
            <w:gridSpan w:val="2"/>
          </w:tcPr>
          <w:p>
            <w:pPr>
              <w:ind w:left="120"/>
              <w:spacing w:after="0" w:line="216" w:lineRule="exact"/>
              <w:rPr>
                <w:sz w:val="20"/>
                <w:szCs w:val="20"/>
                <w:color w:val="auto"/>
              </w:rPr>
            </w:pPr>
            <w:r>
              <w:rPr>
                <w:rFonts w:ascii="Arial" w:cs="Arial" w:eastAsia="Arial" w:hAnsi="Arial"/>
                <w:sz w:val="20"/>
                <w:szCs w:val="20"/>
                <w:color w:val="auto"/>
              </w:rPr>
              <w:t>Permitted Transfers</w:t>
            </w:r>
          </w:p>
        </w:tc>
      </w:tr>
      <w:tr>
        <w:trPr>
          <w:trHeight w:val="216"/>
        </w:trPr>
        <w:tc>
          <w:tcPr>
            <w:tcW w:w="1260" w:type="dxa"/>
            <w:vAlign w:val="bottom"/>
          </w:tcPr>
          <w:p>
            <w:pPr>
              <w:spacing w:after="0" w:line="216" w:lineRule="exact"/>
              <w:rPr>
                <w:sz w:val="20"/>
                <w:szCs w:val="20"/>
                <w:color w:val="auto"/>
              </w:rPr>
            </w:pPr>
            <w:r>
              <w:rPr>
                <w:rFonts w:ascii="Arial" w:cs="Arial" w:eastAsia="Arial" w:hAnsi="Arial"/>
                <w:sz w:val="20"/>
                <w:szCs w:val="20"/>
                <w:color w:val="auto"/>
                <w:w w:val="87"/>
              </w:rPr>
              <w:t>Schedule 8.5(h)</w:t>
            </w:r>
          </w:p>
        </w:tc>
        <w:tc>
          <w:tcPr>
            <w:tcW w:w="220" w:type="dxa"/>
            <w:vAlign w:val="bottom"/>
          </w:tcPr>
          <w:p>
            <w:pPr>
              <w:spacing w:after="0"/>
              <w:rPr>
                <w:sz w:val="18"/>
                <w:szCs w:val="18"/>
                <w:color w:val="auto"/>
              </w:rPr>
            </w:pPr>
          </w:p>
        </w:tc>
        <w:tc>
          <w:tcPr>
            <w:tcW w:w="4560" w:type="dxa"/>
            <w:vAlign w:val="bottom"/>
            <w:gridSpan w:val="3"/>
          </w:tcPr>
          <w:p>
            <w:pPr>
              <w:ind w:left="20"/>
              <w:spacing w:after="0" w:line="216" w:lineRule="exact"/>
              <w:rPr>
                <w:sz w:val="20"/>
                <w:szCs w:val="20"/>
                <w:color w:val="auto"/>
              </w:rPr>
            </w:pPr>
            <w:r>
              <w:rPr>
                <w:rFonts w:ascii="Arial" w:cs="Arial" w:eastAsia="Arial" w:hAnsi="Arial"/>
                <w:sz w:val="20"/>
                <w:szCs w:val="20"/>
                <w:color w:val="auto"/>
              </w:rPr>
              <w:t>Permitted Divestitures</w:t>
            </w:r>
          </w:p>
        </w:tc>
      </w:tr>
      <w:tr>
        <w:trPr>
          <w:trHeight w:val="216"/>
        </w:trPr>
        <w:tc>
          <w:tcPr>
            <w:tcW w:w="6040" w:type="dxa"/>
            <w:vAlign w:val="bottom"/>
            <w:gridSpan w:val="5"/>
          </w:tcPr>
          <w:p>
            <w:pPr>
              <w:spacing w:after="0" w:line="216" w:lineRule="exact"/>
              <w:rPr>
                <w:sz w:val="20"/>
                <w:szCs w:val="20"/>
                <w:color w:val="auto"/>
              </w:rPr>
            </w:pPr>
            <w:r>
              <w:rPr>
                <w:rFonts w:ascii="Arial" w:cs="Arial" w:eastAsia="Arial" w:hAnsi="Arial"/>
                <w:sz w:val="20"/>
                <w:szCs w:val="20"/>
                <w:color w:val="auto"/>
              </w:rPr>
              <w:t>Schedule 8.9(f)   Transactions with Affiliates</w:t>
            </w:r>
          </w:p>
        </w:tc>
      </w:tr>
      <w:tr>
        <w:trPr>
          <w:trHeight w:val="216"/>
        </w:trPr>
        <w:tc>
          <w:tcPr>
            <w:tcW w:w="1260" w:type="dxa"/>
            <w:vAlign w:val="bottom"/>
          </w:tcPr>
          <w:p>
            <w:pPr>
              <w:spacing w:after="0" w:line="216" w:lineRule="exact"/>
              <w:rPr>
                <w:sz w:val="20"/>
                <w:szCs w:val="20"/>
                <w:color w:val="auto"/>
              </w:rPr>
            </w:pPr>
            <w:r>
              <w:rPr>
                <w:rFonts w:ascii="Arial" w:cs="Arial" w:eastAsia="Arial" w:hAnsi="Arial"/>
                <w:sz w:val="20"/>
                <w:szCs w:val="20"/>
                <w:color w:val="auto"/>
                <w:w w:val="96"/>
              </w:rPr>
              <w:t>Schedule 8.10</w:t>
            </w:r>
          </w:p>
        </w:tc>
        <w:tc>
          <w:tcPr>
            <w:tcW w:w="4780" w:type="dxa"/>
            <w:vAlign w:val="bottom"/>
            <w:gridSpan w:val="4"/>
          </w:tcPr>
          <w:p>
            <w:pPr>
              <w:ind w:left="120"/>
              <w:spacing w:after="0" w:line="216" w:lineRule="exact"/>
              <w:rPr>
                <w:sz w:val="20"/>
                <w:szCs w:val="20"/>
                <w:color w:val="auto"/>
              </w:rPr>
            </w:pPr>
            <w:r>
              <w:rPr>
                <w:rFonts w:ascii="Arial" w:cs="Arial" w:eastAsia="Arial" w:hAnsi="Arial"/>
                <w:sz w:val="20"/>
                <w:szCs w:val="20"/>
                <w:color w:val="auto"/>
              </w:rPr>
              <w:t>Restrictive Agreements</w:t>
            </w:r>
          </w:p>
        </w:tc>
      </w:tr>
      <w:tr>
        <w:trPr>
          <w:trHeight w:val="250"/>
        </w:trPr>
        <w:tc>
          <w:tcPr>
            <w:tcW w:w="1480" w:type="dxa"/>
            <w:vAlign w:val="bottom"/>
            <w:gridSpan w:val="2"/>
          </w:tcPr>
          <w:p>
            <w:pPr>
              <w:spacing w:after="0"/>
              <w:rPr>
                <w:sz w:val="20"/>
                <w:szCs w:val="20"/>
                <w:color w:val="auto"/>
              </w:rPr>
            </w:pPr>
            <w:r>
              <w:rPr>
                <w:rFonts w:ascii="Arial" w:cs="Arial" w:eastAsia="Arial" w:hAnsi="Arial"/>
                <w:sz w:val="20"/>
                <w:szCs w:val="20"/>
                <w:color w:val="auto"/>
                <w:w w:val="96"/>
              </w:rPr>
              <w:t>Schedule 12.8(c)</w:t>
            </w:r>
          </w:p>
        </w:tc>
        <w:tc>
          <w:tcPr>
            <w:tcW w:w="100" w:type="dxa"/>
            <w:vAlign w:val="bottom"/>
          </w:tcPr>
          <w:p>
            <w:pPr>
              <w:spacing w:after="0"/>
              <w:rPr>
                <w:sz w:val="21"/>
                <w:szCs w:val="21"/>
                <w:color w:val="auto"/>
              </w:rPr>
            </w:pPr>
          </w:p>
        </w:tc>
        <w:tc>
          <w:tcPr>
            <w:tcW w:w="4460" w:type="dxa"/>
            <w:vAlign w:val="bottom"/>
            <w:gridSpan w:val="2"/>
          </w:tcPr>
          <w:p>
            <w:pPr>
              <w:ind w:left="20"/>
              <w:spacing w:after="0"/>
              <w:rPr>
                <w:sz w:val="20"/>
                <w:szCs w:val="20"/>
                <w:color w:val="auto"/>
              </w:rPr>
            </w:pPr>
            <w:r>
              <w:rPr>
                <w:rFonts w:ascii="Arial" w:cs="Arial" w:eastAsia="Arial" w:hAnsi="Arial"/>
                <w:sz w:val="20"/>
                <w:szCs w:val="20"/>
                <w:color w:val="auto"/>
              </w:rPr>
              <w:t>Voting Participants</w:t>
            </w:r>
          </w:p>
        </w:tc>
      </w:tr>
    </w:tbl>
    <w:p>
      <w:pPr>
        <w:sectPr>
          <w:pgSz w:w="11900" w:h="16838" w:orient="portrait"/>
          <w:cols w:equalWidth="0" w:num="1">
            <w:col w:w="10139"/>
          </w:cols>
          <w:pgMar w:left="320" w:top="1419"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20"/>
          <w:szCs w:val="20"/>
          <w:b w:val="1"/>
          <w:bCs w:val="1"/>
          <w:color w:val="auto"/>
        </w:rPr>
        <w:t>AMENDED AND RESTATED CREDIT AGREEMENT</w:t>
      </w:r>
    </w:p>
    <w:p>
      <w:pPr>
        <w:spacing w:after="0" w:line="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9"/>
          <w:szCs w:val="19"/>
          <w:color w:val="auto"/>
        </w:rPr>
        <w:t>This Amended and Restated Credit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April 7, 2017 by and among CROWN AMERICAS LLC, a Pennsylvania limited liability company, CROWN EUROPEAN HOLDINGS S.A., a corporation organized under the laws of France (“</w:t>
      </w:r>
      <w:r>
        <w:rPr>
          <w:rFonts w:ascii="Arial" w:cs="Arial" w:eastAsia="Arial" w:hAnsi="Arial"/>
          <w:sz w:val="19"/>
          <w:szCs w:val="19"/>
          <w:u w:val="single" w:color="auto"/>
          <w:color w:val="auto"/>
        </w:rPr>
        <w:t>European Borrower</w:t>
      </w:r>
      <w:r>
        <w:rPr>
          <w:rFonts w:ascii="Arial" w:cs="Arial" w:eastAsia="Arial" w:hAnsi="Arial"/>
          <w:sz w:val="19"/>
          <w:szCs w:val="19"/>
          <w:color w:val="auto"/>
        </w:rPr>
        <w:t>”), each of the Subsidiary Borrowers from time to time party hereto, CROWN METAL PACKAGING CANADA LP, a limited partnership organized under the laws of the Province of Ontario, Canada (“</w:t>
      </w:r>
      <w:r>
        <w:rPr>
          <w:rFonts w:ascii="Arial" w:cs="Arial" w:eastAsia="Arial" w:hAnsi="Arial"/>
          <w:sz w:val="19"/>
          <w:szCs w:val="19"/>
          <w:u w:val="single" w:color="auto"/>
          <w:color w:val="auto"/>
        </w:rPr>
        <w:t>Canadian Borrower</w:t>
      </w:r>
      <w:r>
        <w:rPr>
          <w:rFonts w:ascii="Arial" w:cs="Arial" w:eastAsia="Arial" w:hAnsi="Arial"/>
          <w:sz w:val="19"/>
          <w:szCs w:val="19"/>
          <w:color w:val="auto"/>
        </w:rPr>
        <w:t>” and together with U.S. Borrower, European Borrower and the Subsidiary Borrowers, “</w:t>
      </w:r>
      <w:r>
        <w:rPr>
          <w:rFonts w:ascii="Arial" w:cs="Arial" w:eastAsia="Arial" w:hAnsi="Arial"/>
          <w:sz w:val="19"/>
          <w:szCs w:val="19"/>
          <w:u w:val="single" w:color="auto"/>
          <w:color w:val="auto"/>
        </w:rPr>
        <w:t>Borrowers</w:t>
      </w:r>
      <w:r>
        <w:rPr>
          <w:rFonts w:ascii="Arial" w:cs="Arial" w:eastAsia="Arial" w:hAnsi="Arial"/>
          <w:sz w:val="19"/>
          <w:szCs w:val="19"/>
          <w:color w:val="auto"/>
        </w:rPr>
        <w:t>” and each, a “</w:t>
      </w:r>
      <w:r>
        <w:rPr>
          <w:rFonts w:ascii="Arial" w:cs="Arial" w:eastAsia="Arial" w:hAnsi="Arial"/>
          <w:sz w:val="19"/>
          <w:szCs w:val="19"/>
          <w:u w:val="single" w:color="auto"/>
          <w:color w:val="auto"/>
        </w:rPr>
        <w:t>Borrower</w:t>
      </w:r>
      <w:r>
        <w:rPr>
          <w:rFonts w:ascii="Arial" w:cs="Arial" w:eastAsia="Arial" w:hAnsi="Arial"/>
          <w:sz w:val="19"/>
          <w:szCs w:val="19"/>
          <w:color w:val="auto"/>
        </w:rPr>
        <w:t>”), CROWN CORK &amp; SEAL COMPANY, INC., a Pennsylvania corporation (“</w:t>
      </w:r>
      <w:r>
        <w:rPr>
          <w:rFonts w:ascii="Arial" w:cs="Arial" w:eastAsia="Arial" w:hAnsi="Arial"/>
          <w:sz w:val="19"/>
          <w:szCs w:val="19"/>
          <w:u w:val="single" w:color="auto"/>
          <w:color w:val="auto"/>
        </w:rPr>
        <w:t>CCSC</w:t>
      </w:r>
      <w:r>
        <w:rPr>
          <w:rFonts w:ascii="Arial" w:cs="Arial" w:eastAsia="Arial" w:hAnsi="Arial"/>
          <w:sz w:val="19"/>
          <w:szCs w:val="19"/>
          <w:color w:val="auto"/>
        </w:rPr>
        <w:t>”), CROWN HOLDINGS, INC., a Pennsylvania corporation (“</w:t>
      </w:r>
      <w:r>
        <w:rPr>
          <w:rFonts w:ascii="Arial" w:cs="Arial" w:eastAsia="Arial" w:hAnsi="Arial"/>
          <w:sz w:val="19"/>
          <w:szCs w:val="19"/>
          <w:u w:val="single" w:color="auto"/>
          <w:color w:val="auto"/>
        </w:rPr>
        <w:t>Crown Holdings</w:t>
      </w:r>
      <w:r>
        <w:rPr>
          <w:rFonts w:ascii="Arial" w:cs="Arial" w:eastAsia="Arial" w:hAnsi="Arial"/>
          <w:sz w:val="19"/>
          <w:szCs w:val="19"/>
          <w:color w:val="auto"/>
        </w:rPr>
        <w:t>”) and CROWN INTERNATIONAL HOLDINGS, INC., a Delaware corporation (“</w:t>
      </w:r>
      <w:r>
        <w:rPr>
          <w:rFonts w:ascii="Arial" w:cs="Arial" w:eastAsia="Arial" w:hAnsi="Arial"/>
          <w:sz w:val="19"/>
          <w:szCs w:val="19"/>
          <w:u w:val="single" w:color="auto"/>
          <w:color w:val="auto"/>
        </w:rPr>
        <w:t>Crown International</w:t>
      </w:r>
      <w:r>
        <w:rPr>
          <w:rFonts w:ascii="Arial" w:cs="Arial" w:eastAsia="Arial" w:hAnsi="Arial"/>
          <w:sz w:val="19"/>
          <w:szCs w:val="19"/>
          <w:color w:val="auto"/>
        </w:rPr>
        <w:t>”) as Parent Guarantors, each other Credit Party from time to time party hereto, the undersigned financial institutions in their capacities as lenders hereunder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each individually, a “</w:t>
      </w:r>
      <w:r>
        <w:rPr>
          <w:rFonts w:ascii="Arial" w:cs="Arial" w:eastAsia="Arial" w:hAnsi="Arial"/>
          <w:sz w:val="19"/>
          <w:szCs w:val="19"/>
          <w:u w:val="single" w:color="auto"/>
          <w:color w:val="auto"/>
        </w:rPr>
        <w:t>Lender</w:t>
      </w:r>
      <w:r>
        <w:rPr>
          <w:rFonts w:ascii="Arial" w:cs="Arial" w:eastAsia="Arial" w:hAnsi="Arial"/>
          <w:sz w:val="19"/>
          <w:szCs w:val="19"/>
          <w:color w:val="auto"/>
        </w:rPr>
        <w:t>”), DEUTSCHE BANK AG CANADA BRANCH, as Canadian administrative agent (“</w:t>
      </w:r>
      <w:r>
        <w:rPr>
          <w:rFonts w:ascii="Arial" w:cs="Arial" w:eastAsia="Arial" w:hAnsi="Arial"/>
          <w:sz w:val="19"/>
          <w:szCs w:val="19"/>
          <w:u w:val="single" w:color="auto"/>
          <w:color w:val="auto"/>
        </w:rPr>
        <w:t>Canadian</w:t>
      </w:r>
      <w:r>
        <w:rPr>
          <w:rFonts w:ascii="Arial" w:cs="Arial" w:eastAsia="Arial" w:hAnsi="Arial"/>
          <w:sz w:val="19"/>
          <w:szCs w:val="19"/>
          <w:color w:val="auto"/>
        </w:rPr>
        <w:t xml:space="preserv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for the Canadian Revolving Lenders, DEUTSCHE BANK AG LONDON BRANCH, as U.K. Administrative Agent (“</w:t>
      </w:r>
      <w:r>
        <w:rPr>
          <w:rFonts w:ascii="Arial" w:cs="Arial" w:eastAsia="Arial" w:hAnsi="Arial"/>
          <w:sz w:val="19"/>
          <w:szCs w:val="19"/>
          <w:u w:val="single" w:color="auto"/>
          <w:color w:val="auto"/>
        </w:rPr>
        <w:t>U.K. Administrative Agent</w:t>
      </w:r>
      <w:r>
        <w:rPr>
          <w:rFonts w:ascii="Arial" w:cs="Arial" w:eastAsia="Arial" w:hAnsi="Arial"/>
          <w:sz w:val="19"/>
          <w:szCs w:val="19"/>
          <w:color w:val="auto"/>
        </w:rPr>
        <w:t>”) for the Multicurrency Revolving Lenders and Term Euro Lenders, and DEUTSCHE BANK AG NEW YORK BRANCH, as administrative agent (in such capacity,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for the Dollar Revolving Lenders and the Term Loan A Lenders.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WHEREAS, a credit agreement exists in favor of Borrowers, dated as of December 19, 2013, by and among Borrowers, the Guarantors party thereto, the lenders from time to time party thereto, Canadian Administrative Agent, U.K. Administrative Agent and Administrative Agent (as amended, restated, amended and restated or otherwise modified prior to the Effective Date, the “</w:t>
      </w:r>
      <w:r>
        <w:rPr>
          <w:rFonts w:ascii="Arial" w:cs="Arial" w:eastAsia="Arial" w:hAnsi="Arial"/>
          <w:sz w:val="20"/>
          <w:szCs w:val="20"/>
          <w:u w:val="single" w:color="auto"/>
          <w:color w:val="auto"/>
        </w:rPr>
        <w:t>Existing 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Borrowers have requested that the (a) (i) Existing Credit Agreement be amended and restated as provided herein and</w:t>
      </w:r>
    </w:p>
    <w:p>
      <w:pPr>
        <w:spacing w:after="0" w:line="48" w:lineRule="exact"/>
        <w:rPr>
          <w:sz w:val="20"/>
          <w:szCs w:val="20"/>
          <w:color w:val="auto"/>
        </w:rPr>
      </w:pPr>
    </w:p>
    <w:p>
      <w:pPr>
        <w:jc w:val="both"/>
        <w:ind w:firstLine="8"/>
        <w:spacing w:after="0" w:line="245" w:lineRule="auto"/>
        <w:tabs>
          <w:tab w:leader="none" w:pos="292" w:val="left"/>
        </w:tabs>
        <w:numPr>
          <w:ilvl w:val="0"/>
          <w:numId w:val="42"/>
        </w:numPr>
        <w:rPr>
          <w:rFonts w:ascii="Arial" w:cs="Arial" w:eastAsia="Arial" w:hAnsi="Arial"/>
          <w:sz w:val="19"/>
          <w:szCs w:val="19"/>
          <w:color w:val="auto"/>
        </w:rPr>
      </w:pPr>
      <w:r>
        <w:rPr>
          <w:rFonts w:ascii="Arial" w:cs="Arial" w:eastAsia="Arial" w:hAnsi="Arial"/>
          <w:sz w:val="19"/>
          <w:szCs w:val="19"/>
          <w:color w:val="auto"/>
        </w:rPr>
        <w:t>from and after the Effective Date, the Lenders provide credit and the Facing Agents issue letters of credit pursuant to the terms hereunder; and (b) the Lenders party hereto have indicated their willingness to extend such credit, and the Facing Agents have indicated their willingness to issue such letters of credit, in each case, on the terms and subject to the conditions set forth herein.</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NOW, THEREFORE, in consideration of the premises and of the mutual covenants herein contained and, among other things, the parties hereto agree as follows:</w:t>
      </w:r>
    </w:p>
    <w:p>
      <w:pPr>
        <w:spacing w:after="0" w:line="204" w:lineRule="exact"/>
        <w:rPr>
          <w:sz w:val="20"/>
          <w:szCs w:val="20"/>
          <w:color w:val="auto"/>
        </w:rPr>
      </w:pPr>
    </w:p>
    <w:p>
      <w:pPr>
        <w:jc w:val="center"/>
        <w:ind w:right="300"/>
        <w:spacing w:after="0"/>
        <w:tabs>
          <w:tab w:leader="none" w:pos="1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9"/>
          <w:szCs w:val="19"/>
          <w:color w:val="auto"/>
        </w:rPr>
        <w:t>DEFINITIONS AND ACCOUNTING TERMS</w:t>
      </w:r>
    </w:p>
    <w:p>
      <w:pPr>
        <w:spacing w:after="0" w:line="229"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u w:val="single" w:color="auto"/>
          <w:color w:val="auto"/>
        </w:rPr>
        <w:t>1.1 Definitions.</w:t>
      </w:r>
      <w:r>
        <w:rPr>
          <w:rFonts w:ascii="Arial" w:cs="Arial" w:eastAsia="Arial" w:hAnsi="Arial"/>
          <w:sz w:val="20"/>
          <w:szCs w:val="20"/>
          <w:color w:val="auto"/>
        </w:rPr>
        <w:t xml:space="preserve"> As used herein, and unless the context requires a different meaning, the following terms have the meanings indicated:</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1996 Indenture</w:t>
      </w:r>
      <w:r>
        <w:rPr>
          <w:rFonts w:ascii="Arial" w:cs="Arial" w:eastAsia="Arial" w:hAnsi="Arial"/>
          <w:sz w:val="20"/>
          <w:szCs w:val="20"/>
          <w:color w:val="auto"/>
        </w:rPr>
        <w:t>” means the Indenture dated as of December 17, 1996 among CCSC, Crown Cork &amp; Seal Finance PLC, Crown Cork &amp; Seal Finance S.A. and The Bank of New York, as trustee.</w:t>
      </w:r>
    </w:p>
    <w:p>
      <w:pPr>
        <w:spacing w:after="0" w:line="20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Acceptance Fee</w:t>
      </w:r>
      <w:r>
        <w:rPr>
          <w:rFonts w:ascii="Arial" w:cs="Arial" w:eastAsia="Arial" w:hAnsi="Arial"/>
          <w:sz w:val="20"/>
          <w:szCs w:val="20"/>
          <w:color w:val="auto"/>
        </w:rPr>
        <w:t>” means a fee payable in Canadian Dollars by Canadian Borrower to a Canadian Revolving Lender with respect to the acceptance of a B/A or the making of a B/A Equivalent Loan on the date of such acceptance or loan, equal to the Applicable B/A Margin of the face amount of such B/A or B/A Equivalent Loan calculated on the basis of the number of days in the applicable Contract Period (including the date of acceptance and excluding the date of maturity) and a year of 365 days (it being agreed that the rate per annum applicable to the B/A Equivalent Loan is equivalent to the rate per annum</w:t>
      </w:r>
    </w:p>
    <w:p>
      <w:pPr>
        <w:sectPr>
          <w:pgSz w:w="11900" w:h="16838" w:orient="portrait"/>
          <w:cols w:equalWidth="0" w:num="1">
            <w:col w:w="11240"/>
          </w:cols>
          <w:pgMar w:left="320" w:top="1413" w:right="339" w:bottom="1440" w:gutter="0" w:footer="0" w:header="0"/>
        </w:sectPr>
      </w:pPr>
    </w:p>
    <w:bookmarkStart w:id="113" w:name="page114"/>
    <w:bookmarkEnd w:id="113"/>
    <w:p>
      <w:pPr>
        <w:jc w:val="both"/>
        <w:ind w:right="20"/>
        <w:spacing w:after="0" w:line="246" w:lineRule="auto"/>
        <w:rPr>
          <w:sz w:val="20"/>
          <w:szCs w:val="20"/>
          <w:color w:val="auto"/>
        </w:rPr>
      </w:pPr>
      <w:r>
        <w:rPr>
          <w:rFonts w:ascii="Arial" w:cs="Arial" w:eastAsia="Arial" w:hAnsi="Arial"/>
          <w:sz w:val="20"/>
          <w:szCs w:val="20"/>
          <w:color w:val="auto"/>
        </w:rPr>
        <w:t xml:space="preserve">otherwise applicable to the Bankers’ Acceptance which has been replaced by the making of such B/A Equivalent Loan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2A.9</w:t>
      </w:r>
      <w:r>
        <w:rPr>
          <w:rFonts w:ascii="Arial" w:cs="Arial" w:eastAsia="Arial" w:hAnsi="Arial"/>
          <w:sz w:val="20"/>
          <w:szCs w:val="20"/>
          <w:color w:val="auto"/>
        </w:rPr>
        <w: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Acceptances to be Converted</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13.1(a)</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w:t>
      </w:r>
      <w:r>
        <w:rPr>
          <w:rFonts w:ascii="Arial" w:cs="Arial" w:eastAsia="Arial" w:hAnsi="Arial"/>
          <w:sz w:val="19"/>
          <w:szCs w:val="19"/>
          <w:color w:val="auto"/>
        </w:rPr>
        <w:t>” means any transaction or series of related transactions for the purpose of or resulting, directly or indirectly, in (i) the purchase by a Person of all or a significant part of a business or business unit conducted by another Person (whether through the acquisition of Capital Stock or assets) or (ii) the merger, consolidation or amalgamation of any Person with any other Person.</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Consideration</w:t>
      </w:r>
      <w:r>
        <w:rPr>
          <w:rFonts w:ascii="Arial" w:cs="Arial" w:eastAsia="Arial" w:hAnsi="Arial"/>
          <w:sz w:val="18"/>
          <w:szCs w:val="18"/>
          <w:color w:val="auto"/>
        </w:rPr>
        <w:t xml:space="preserve">” means the purchase consideration for any Permitted Acquisition by Crown Holdings or any of its Subsidiaries, whether paid in cash or by exchange of properties (excluding any exchange of Capital Stock of Crown Holdings) and whether payable at or prior to the consummation of such Permitted Acquisition or deferred for payment at any future time, whether or not any such future payment is subject to the occurrence of any contingency (excluding, for the avoidance of doubt, any indemnification or expenses paid in connection with such Permitted Acquisition), and includes any and all payments representing the purchase price and any assumptions of Indebtedness, “earn-outs” and other agreements to make any payment the amount of which is, or the terms of payment of which are, in any respect subject to or contingent upon the revenues, income, cash flow or profits (or the like) of any Person or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future payment that is subject to a contingency shall be considered Acquisition Consideration only to the extent of the reserve, if any, required under GAAP at the time of such sale to be established in respect thereof by Crown Holdings or any of its Subsidiaries.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Collateral</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7.14(d)</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Euro Collateral</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7.14(d)</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Facilities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2.9(a)</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Facility Commitment</w:t>
      </w:r>
      <w:r>
        <w:rPr>
          <w:rFonts w:ascii="Arial" w:cs="Arial" w:eastAsia="Arial" w:hAnsi="Arial"/>
          <w:sz w:val="19"/>
          <w:szCs w:val="19"/>
          <w:color w:val="auto"/>
        </w:rPr>
        <w:t>” means, with respect to any Lender and any Additional Facility, the obligation of such Lender to make loans under such Additional Facility, as such commitment may be adjusted from time to time pursuant to this Agreement.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Revolving Credit Commitments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2.9(a)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Revolving Facility</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2.9(a)</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Security Documents</w:t>
      </w:r>
      <w:r>
        <w:rPr>
          <w:rFonts w:ascii="Arial" w:cs="Arial" w:eastAsia="Arial" w:hAnsi="Arial"/>
          <w:sz w:val="20"/>
          <w:szCs w:val="20"/>
          <w:color w:val="auto"/>
        </w:rPr>
        <w:t xml:space="preserve">” means all pledge agreements, security agreements and other security documents entered into pursuant to </w:t>
      </w:r>
      <w:r>
        <w:rPr>
          <w:rFonts w:ascii="Arial" w:cs="Arial" w:eastAsia="Arial" w:hAnsi="Arial"/>
          <w:sz w:val="20"/>
          <w:szCs w:val="20"/>
          <w:u w:val="single" w:color="auto"/>
          <w:color w:val="auto"/>
        </w:rPr>
        <w:t>Section 7.14</w:t>
      </w:r>
      <w:r>
        <w:rPr>
          <w:rFonts w:ascii="Arial" w:cs="Arial" w:eastAsia="Arial" w:hAnsi="Arial"/>
          <w:sz w:val="20"/>
          <w:szCs w:val="20"/>
          <w:color w:val="auto"/>
        </w:rPr>
        <w:t xml:space="preserve"> with respect to Additional Collateral, in each case, as amended, supplemented or otherwise modified from time to time.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Term Loans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2.9(a)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U.S. Collateral</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7.14(b)</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xml:space="preserve">” has the meaning assigned to that term in the preamble to this Agreement and any successor Administrative Agent in such capacity,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the context otherwise requires, (i) when used in respect of payments and notices pertaining to Canadian Revolving Loans, the term “Administrative Agent” shall mean Canadian Administrative Agent and (ii) when used in respect of payments and notices pertaining to Multicurrency Revolving Loans, to Term Euro Loans, or to any other</w:t>
      </w:r>
    </w:p>
    <w:p>
      <w:pPr>
        <w:sectPr>
          <w:pgSz w:w="11900" w:h="16838" w:orient="portrait"/>
          <w:cols w:equalWidth="0" w:num="1">
            <w:col w:w="11240"/>
          </w:cols>
          <w:pgMar w:left="320" w:top="1419" w:right="339" w:bottom="1440" w:gutter="0" w:footer="0" w:header="0"/>
        </w:sectPr>
      </w:pPr>
    </w:p>
    <w:bookmarkStart w:id="114" w:name="page115"/>
    <w:bookmarkEnd w:id="114"/>
    <w:p>
      <w:pPr>
        <w:spacing w:after="0"/>
        <w:rPr>
          <w:sz w:val="20"/>
          <w:szCs w:val="20"/>
          <w:color w:val="auto"/>
        </w:rPr>
      </w:pPr>
      <w:r>
        <w:rPr>
          <w:rFonts w:ascii="Arial" w:cs="Arial" w:eastAsia="Arial" w:hAnsi="Arial"/>
          <w:sz w:val="20"/>
          <w:szCs w:val="20"/>
          <w:color w:val="auto"/>
        </w:rPr>
        <w:t>Term Loans denominated in an Alternative Currency, the term “Administrative Agent” shall mean U.K. Administrative Agent.</w:t>
      </w:r>
    </w:p>
    <w:p>
      <w:pPr>
        <w:spacing w:after="0" w:line="2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any Person, any Person or group acting in concert in respect of the Person in question that, directly or indirectly, controls or is controlled by or is under common control with such Person. For the purposes of this definition, “control” (including, with correlative meanings, the terms “controlled by” and “under common control with”), as used with respect to any Person or group of Persons, means the possession, directly or indirectly, of the power to direct or cause the direction of management and policies of such Person, whether through the ownership of voting securities or by contract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being an officer or director of a person shall not, in and of itself, be deemed “control” of such person. None of the Administrative Agent, the Arrangers, the Bookrunners, any Lender or any of their respective Affiliates shall be considered an Affiliate of Crown Holdings or any of its Subsidiaries.</w:t>
      </w:r>
    </w:p>
    <w:p>
      <w:pPr>
        <w:spacing w:after="0" w:line="19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w:t>
      </w:r>
      <w:r>
        <w:rPr>
          <w:rFonts w:ascii="Arial" w:cs="Arial" w:eastAsia="Arial" w:hAnsi="Arial"/>
          <w:sz w:val="20"/>
          <w:szCs w:val="20"/>
          <w:color w:val="auto"/>
        </w:rPr>
        <w:t>” or “</w:t>
      </w:r>
      <w:r>
        <w:rPr>
          <w:rFonts w:ascii="Arial" w:cs="Arial" w:eastAsia="Arial" w:hAnsi="Arial"/>
          <w:sz w:val="20"/>
          <w:szCs w:val="20"/>
          <w:u w:val="single" w:color="auto"/>
          <w:color w:val="auto"/>
        </w:rPr>
        <w:t>Agents</w:t>
      </w:r>
      <w:r>
        <w:rPr>
          <w:rFonts w:ascii="Arial" w:cs="Arial" w:eastAsia="Arial" w:hAnsi="Arial"/>
          <w:sz w:val="20"/>
          <w:szCs w:val="20"/>
          <w:color w:val="auto"/>
        </w:rPr>
        <w:t>” means Administrative Agent, Canadian Administrative Agent and/or U.K. Administrative Agent, as the context may require.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Agreed Alternative Currency</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2.8(b)</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Agreed Guaranty and Security Principles</w:t>
      </w:r>
      <w:r>
        <w:rPr>
          <w:rFonts w:ascii="Arial" w:cs="Arial" w:eastAsia="Arial" w:hAnsi="Arial"/>
          <w:sz w:val="20"/>
          <w:szCs w:val="20"/>
          <w:color w:val="auto"/>
        </w:rPr>
        <w:t>” means, with respect to any Subsidiary incorporated or formed under the laws of any jurisdiction, that a guaranty of any of the Obligations (including pursuant to the Guaranty) or a pledge or grant of a security interest in an asset (including Capital Stock) otherwise required to be pledged under this Agreement or any other Loan Document, in each case shall not be required to be given by such Subsidiary after the Incremental Amendment No. 2 and Third Amendment Effective Date to the extent that such guaranty, pledge or grant:</w:t>
      </w:r>
    </w:p>
    <w:p>
      <w:pPr>
        <w:spacing w:after="0" w:line="211" w:lineRule="exact"/>
        <w:rPr>
          <w:sz w:val="20"/>
          <w:szCs w:val="20"/>
          <w:color w:val="auto"/>
        </w:rPr>
      </w:pPr>
    </w:p>
    <w:p>
      <w:pPr>
        <w:jc w:val="both"/>
        <w:ind w:firstLine="656"/>
        <w:spacing w:after="0" w:line="267" w:lineRule="auto"/>
        <w:tabs>
          <w:tab w:leader="none" w:pos="917"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prohibited by or in breach of or could reasonably be expected to be in breach of (i) any Requirement of Law (including, but not limited to, any exchange control, financial assistance, corporate benefit, corporate interest, minimum capitalization, fraudulent conveyance, “interest stripping”, transfer pricing, thin capitalization, retention of title or similar laws, rules or regulations) or (ii) any contractual obligation as of the date such Subsidiary or such asset is acquired so long as not entered into in contemplation of such acquisition;</w:t>
      </w:r>
    </w:p>
    <w:p>
      <w:pPr>
        <w:spacing w:after="0" w:line="185" w:lineRule="exact"/>
        <w:rPr>
          <w:rFonts w:ascii="Arial" w:cs="Arial" w:eastAsia="Arial" w:hAnsi="Arial"/>
          <w:sz w:val="18"/>
          <w:szCs w:val="18"/>
          <w:color w:val="auto"/>
        </w:rPr>
      </w:pPr>
    </w:p>
    <w:p>
      <w:pPr>
        <w:jc w:val="both"/>
        <w:ind w:firstLine="656"/>
        <w:spacing w:after="0" w:line="237" w:lineRule="auto"/>
        <w:tabs>
          <w:tab w:leader="none" w:pos="928" w:val="left"/>
        </w:tabs>
        <w:numPr>
          <w:ilvl w:val="0"/>
          <w:numId w:val="43"/>
        </w:numPr>
        <w:rPr>
          <w:rFonts w:ascii="Arial" w:cs="Arial" w:eastAsia="Arial" w:hAnsi="Arial"/>
          <w:sz w:val="20"/>
          <w:szCs w:val="20"/>
          <w:color w:val="auto"/>
        </w:rPr>
      </w:pPr>
      <w:r>
        <w:rPr>
          <w:rFonts w:ascii="Arial" w:cs="Arial" w:eastAsia="Arial" w:hAnsi="Arial"/>
          <w:sz w:val="20"/>
          <w:szCs w:val="20"/>
          <w:color w:val="auto"/>
        </w:rPr>
        <w:t>would require consent, approval, license or authorization from any Governmental Authority (including supervisory board, works council, regulator or regulatory board (or equivalent), or other external body) to provide such guarantee, pledge or grant (unless such consent, approval, license or authorization has been received);</w:t>
      </w:r>
    </w:p>
    <w:p>
      <w:pPr>
        <w:spacing w:after="0" w:line="209" w:lineRule="exact"/>
        <w:rPr>
          <w:rFonts w:ascii="Arial" w:cs="Arial" w:eastAsia="Arial" w:hAnsi="Arial"/>
          <w:sz w:val="20"/>
          <w:szCs w:val="20"/>
          <w:color w:val="auto"/>
        </w:rPr>
      </w:pPr>
    </w:p>
    <w:p>
      <w:pPr>
        <w:jc w:val="both"/>
        <w:ind w:firstLine="656"/>
        <w:spacing w:after="0" w:line="237" w:lineRule="auto"/>
        <w:tabs>
          <w:tab w:leader="none" w:pos="917" w:val="left"/>
        </w:tabs>
        <w:numPr>
          <w:ilvl w:val="0"/>
          <w:numId w:val="43"/>
        </w:numPr>
        <w:rPr>
          <w:rFonts w:ascii="Arial" w:cs="Arial" w:eastAsia="Arial" w:hAnsi="Arial"/>
          <w:sz w:val="20"/>
          <w:szCs w:val="20"/>
          <w:color w:val="auto"/>
        </w:rPr>
      </w:pPr>
      <w:r>
        <w:rPr>
          <w:rFonts w:ascii="Arial" w:cs="Arial" w:eastAsia="Arial" w:hAnsi="Arial"/>
          <w:sz w:val="20"/>
          <w:szCs w:val="20"/>
          <w:color w:val="auto"/>
        </w:rPr>
        <w:t>could reasonably be expected to result in a risk of (i) breach of the fiduciary duties of, or personal civil or criminal liability on the part of, any of any Non-U.S. Subsidiary’s officers, directors, employees or similar persons or (ii) criminal liability on the part of any Non-U.S. Subsidiary; or</w:t>
      </w:r>
    </w:p>
    <w:p>
      <w:pPr>
        <w:spacing w:after="0" w:line="209" w:lineRule="exact"/>
        <w:rPr>
          <w:rFonts w:ascii="Arial" w:cs="Arial" w:eastAsia="Arial" w:hAnsi="Arial"/>
          <w:sz w:val="20"/>
          <w:szCs w:val="20"/>
          <w:color w:val="auto"/>
        </w:rPr>
      </w:pPr>
    </w:p>
    <w:p>
      <w:pPr>
        <w:ind w:firstLine="656"/>
        <w:spacing w:after="0" w:line="246" w:lineRule="auto"/>
        <w:tabs>
          <w:tab w:leader="none" w:pos="982" w:val="left"/>
        </w:tabs>
        <w:numPr>
          <w:ilvl w:val="0"/>
          <w:numId w:val="43"/>
        </w:numPr>
        <w:rPr>
          <w:rFonts w:ascii="Arial" w:cs="Arial" w:eastAsia="Arial" w:hAnsi="Arial"/>
          <w:sz w:val="20"/>
          <w:szCs w:val="20"/>
          <w:color w:val="auto"/>
        </w:rPr>
      </w:pPr>
      <w:r>
        <w:rPr>
          <w:rFonts w:ascii="Arial" w:cs="Arial" w:eastAsia="Arial" w:hAnsi="Arial"/>
          <w:sz w:val="20"/>
          <w:szCs w:val="20"/>
          <w:color w:val="auto"/>
        </w:rPr>
        <w:t>could reasonably be expected to result in costs (including stamp duty, VAT, notarization and registration fees) or other consequences (including adverse tax consequences) that would be excessive in relation to the benefits afforded thereby,</w:t>
      </w:r>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in each case of clauses (a) through (d) of this definition, as determined in good faith by Crown Holdings in consultation with the Administrative Agent.</w:t>
      </w:r>
    </w:p>
    <w:p>
      <w:pPr>
        <w:spacing w:after="0" w:line="204"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Agreement, as the same may at any time be amended, supplemented or otherwise modified in accordance with the terms hereof and in effect.</w:t>
      </w:r>
    </w:p>
    <w:p>
      <w:pPr>
        <w:sectPr>
          <w:pgSz w:w="11900" w:h="16838" w:orient="portrait"/>
          <w:cols w:equalWidth="0" w:num="1">
            <w:col w:w="11240"/>
          </w:cols>
          <w:pgMar w:left="320" w:top="1419" w:right="339" w:bottom="1440" w:gutter="0" w:footer="0" w:header="0"/>
        </w:sectPr>
      </w:pPr>
    </w:p>
    <w:bookmarkStart w:id="115" w:name="page116"/>
    <w:bookmarkEnd w:id="115"/>
    <w:p>
      <w:pPr>
        <w:jc w:val="both"/>
        <w:ind w:right="20"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AHYDO Payment</w:t>
      </w:r>
      <w:r>
        <w:rPr>
          <w:rFonts w:ascii="Arial" w:cs="Arial" w:eastAsia="Arial" w:hAnsi="Arial"/>
          <w:sz w:val="20"/>
          <w:szCs w:val="20"/>
          <w:color w:val="auto"/>
        </w:rPr>
        <w:t xml:space="preserve">” means any interest payment, mandatory prepayment or redemption pursuant to the terms of this Agreement or any other Loan Document or any other loan document with respect to any Indebtedness described in </w:t>
      </w:r>
      <w:r>
        <w:rPr>
          <w:rFonts w:ascii="Arial" w:cs="Arial" w:eastAsia="Arial" w:hAnsi="Arial"/>
          <w:sz w:val="20"/>
          <w:szCs w:val="20"/>
          <w:u w:val="single" w:color="auto"/>
          <w:color w:val="auto"/>
        </w:rPr>
        <w:t>Section 8.11(a)</w:t>
      </w:r>
      <w:r>
        <w:rPr>
          <w:rFonts w:ascii="Arial" w:cs="Arial" w:eastAsia="Arial" w:hAnsi="Arial"/>
          <w:sz w:val="20"/>
          <w:szCs w:val="20"/>
          <w:color w:val="auto"/>
        </w:rPr>
        <w:t xml:space="preserve"> in an amount that is the minimum amount necessary to ensure that such Indebtedness is not treated as an “applicable high yield discount obligation” within the meaning of Section 163(i) of the Code.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w:t>
      </w:r>
      <w:r>
        <w:rPr>
          <w:rFonts w:ascii="Arial" w:cs="Arial" w:eastAsia="Arial" w:hAnsi="Arial"/>
          <w:sz w:val="20"/>
          <w:szCs w:val="20"/>
          <w:color w:val="auto"/>
        </w:rPr>
        <w:t>” means, at any time, Euro, Sterling and any Agreed Alternative Currency.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Loan</w:t>
      </w:r>
      <w:r>
        <w:rPr>
          <w:rFonts w:ascii="Arial" w:cs="Arial" w:eastAsia="Arial" w:hAnsi="Arial"/>
          <w:sz w:val="20"/>
          <w:szCs w:val="20"/>
          <w:color w:val="auto"/>
        </w:rPr>
        <w:t>” means any Loan denominated in a currency other than Dollars or Canadian Dollars.</w:t>
      </w:r>
    </w:p>
    <w:p>
      <w:pPr>
        <w:spacing w:after="0" w:line="22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Borrower or its Affiliates from time to time concerning or relating to bribery or corruption.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Anti-Terrorism Laws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6.21(a)</w:t>
      </w:r>
      <w:r>
        <w:rPr>
          <w:rFonts w:ascii="Arial" w:cs="Arial" w:eastAsia="Arial" w:hAnsi="Arial"/>
          <w:sz w:val="20"/>
          <w:szCs w:val="20"/>
          <w:color w:val="auto"/>
        </w:rPr>
        <w:t>.</w:t>
      </w:r>
    </w:p>
    <w:p>
      <w:pPr>
        <w:spacing w:after="0" w:line="229" w:lineRule="exact"/>
        <w:rPr>
          <w:sz w:val="20"/>
          <w:szCs w:val="20"/>
          <w:color w:val="auto"/>
        </w:rPr>
      </w:pPr>
    </w:p>
    <w:p>
      <w:pPr>
        <w:jc w:val="both"/>
        <w:ind w:right="260" w:firstLine="648"/>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B/A Margin</w:t>
      </w:r>
      <w:r>
        <w:rPr>
          <w:rFonts w:ascii="Arial" w:cs="Arial" w:eastAsia="Arial" w:hAnsi="Arial"/>
          <w:sz w:val="19"/>
          <w:szCs w:val="19"/>
          <w:color w:val="auto"/>
        </w:rPr>
        <w:t>” means, at any date, (i) from the Incremental Amendment No. 2 and Third Amendment Effective Date to the date upon which the Administrative Agent receives the Compliance Certificate related to the financial statements for the Fiscal Quarter ending December 31, 2019, 1.50%, and (ii) at any date thereafter, the applicable percentage rate per annum set forth in the following table under column Applicable B/A Margin opposite the Most Recent Total Leverage Ratio as of such date:</w:t>
      </w:r>
    </w:p>
    <w:tbl>
      <w:tblPr>
        <w:tblLayout w:type="fixed"/>
        <w:tblInd w:w="10" w:type="dxa"/>
        <w:tblCellMar>
          <w:top w:w="0" w:type="dxa"/>
          <w:left w:w="0" w:type="dxa"/>
          <w:bottom w:w="0" w:type="dxa"/>
          <w:right w:w="0" w:type="dxa"/>
        </w:tblCellMar>
      </w:tblPr>
      <w:tr>
        <w:trPr>
          <w:trHeight w:val="214"/>
        </w:trPr>
        <w:tc>
          <w:tcPr>
            <w:tcW w:w="5640" w:type="dxa"/>
            <w:vAlign w:val="bottom"/>
            <w:tcBorders>
              <w:top w:val="single" w:sz="8" w:color="auto"/>
              <w:left w:val="single" w:sz="8" w:color="auto"/>
              <w:right w:val="single" w:sz="8" w:color="auto"/>
            </w:tcBorders>
            <w:gridSpan w:val="3"/>
          </w:tcPr>
          <w:p>
            <w:pPr>
              <w:jc w:val="center"/>
              <w:spacing w:after="0" w:line="214" w:lineRule="exact"/>
              <w:rPr>
                <w:sz w:val="20"/>
                <w:szCs w:val="20"/>
                <w:color w:val="auto"/>
              </w:rPr>
            </w:pPr>
            <w:r>
              <w:rPr>
                <w:rFonts w:ascii="Arial" w:cs="Arial" w:eastAsia="Arial" w:hAnsi="Arial"/>
                <w:sz w:val="20"/>
                <w:szCs w:val="20"/>
                <w:b w:val="1"/>
                <w:bCs w:val="1"/>
                <w:color w:val="auto"/>
                <w:w w:val="89"/>
              </w:rPr>
              <w:t>Most Recent Total Leverage Ratio</w:t>
            </w:r>
          </w:p>
        </w:tc>
        <w:tc>
          <w:tcPr>
            <w:tcW w:w="5620" w:type="dxa"/>
            <w:vAlign w:val="bottom"/>
            <w:tcBorders>
              <w:top w:val="single" w:sz="8" w:color="auto"/>
              <w:right w:val="single" w:sz="8" w:color="auto"/>
            </w:tcBorders>
            <w:gridSpan w:val="3"/>
          </w:tcPr>
          <w:p>
            <w:pPr>
              <w:jc w:val="center"/>
              <w:ind w:right="40"/>
              <w:spacing w:after="0" w:line="214" w:lineRule="exact"/>
              <w:rPr>
                <w:sz w:val="20"/>
                <w:szCs w:val="20"/>
                <w:color w:val="auto"/>
              </w:rPr>
            </w:pPr>
            <w:r>
              <w:rPr>
                <w:rFonts w:ascii="Arial" w:cs="Arial" w:eastAsia="Arial" w:hAnsi="Arial"/>
                <w:sz w:val="20"/>
                <w:szCs w:val="20"/>
                <w:b w:val="1"/>
                <w:bCs w:val="1"/>
                <w:color w:val="auto"/>
                <w:w w:val="93"/>
              </w:rPr>
              <w:t>Applicable B/A Margin</w:t>
            </w:r>
          </w:p>
        </w:tc>
      </w:tr>
      <w:tr>
        <w:trPr>
          <w:trHeight w:val="34"/>
        </w:trPr>
        <w:tc>
          <w:tcPr>
            <w:tcW w:w="1380" w:type="dxa"/>
            <w:vAlign w:val="bottom"/>
            <w:tcBorders>
              <w:left w:val="single" w:sz="8" w:color="auto"/>
              <w:bottom w:val="single" w:sz="8" w:color="auto"/>
            </w:tcBorders>
          </w:tcPr>
          <w:p>
            <w:pPr>
              <w:spacing w:after="0"/>
              <w:rPr>
                <w:sz w:val="2"/>
                <w:szCs w:val="2"/>
                <w:color w:val="auto"/>
              </w:rPr>
            </w:pPr>
          </w:p>
        </w:tc>
        <w:tc>
          <w:tcPr>
            <w:tcW w:w="2880" w:type="dxa"/>
            <w:vAlign w:val="bottom"/>
            <w:tcBorders>
              <w:top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80" w:type="dxa"/>
            <w:vAlign w:val="bottom"/>
            <w:tcBorders>
              <w:top w:val="single" w:sz="8" w:color="auto"/>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59"/>
        </w:trPr>
        <w:tc>
          <w:tcPr>
            <w:tcW w:w="1380" w:type="dxa"/>
            <w:vAlign w:val="bottom"/>
            <w:tcBorders>
              <w:left w:val="single" w:sz="8" w:color="auto"/>
              <w:bottom w:val="single" w:sz="8" w:color="auto"/>
            </w:tcBorders>
          </w:tcPr>
          <w:p>
            <w:pPr>
              <w:spacing w:after="0"/>
              <w:rPr>
                <w:sz w:val="22"/>
                <w:szCs w:val="22"/>
                <w:color w:val="auto"/>
              </w:rPr>
            </w:pPr>
          </w:p>
        </w:tc>
        <w:tc>
          <w:tcPr>
            <w:tcW w:w="4260" w:type="dxa"/>
            <w:vAlign w:val="bottom"/>
            <w:tcBorders>
              <w:bottom w:val="single" w:sz="8" w:color="auto"/>
              <w:right w:val="single" w:sz="8" w:color="auto"/>
            </w:tcBorders>
            <w:gridSpan w:val="2"/>
          </w:tcPr>
          <w:p>
            <w:pPr>
              <w:jc w:val="center"/>
              <w:ind w:right="1380"/>
              <w:spacing w:after="0"/>
              <w:rPr>
                <w:sz w:val="20"/>
                <w:szCs w:val="20"/>
                <w:color w:val="auto"/>
              </w:rPr>
            </w:pPr>
            <w:r>
              <w:rPr>
                <w:rFonts w:ascii="Arial" w:cs="Arial" w:eastAsia="Arial" w:hAnsi="Arial"/>
                <w:sz w:val="20"/>
                <w:szCs w:val="20"/>
                <w:color w:val="auto"/>
                <w:w w:val="88"/>
              </w:rPr>
              <w:t>Less than 3.00 to 1.00</w:t>
            </w:r>
          </w:p>
        </w:tc>
        <w:tc>
          <w:tcPr>
            <w:tcW w:w="3780" w:type="dxa"/>
            <w:vAlign w:val="bottom"/>
            <w:tcBorders>
              <w:bottom w:val="single" w:sz="8" w:color="auto"/>
            </w:tcBorders>
            <w:gridSpan w:val="2"/>
          </w:tcPr>
          <w:p>
            <w:pPr>
              <w:jc w:val="center"/>
              <w:ind w:left="1721"/>
              <w:spacing w:after="0"/>
              <w:rPr>
                <w:sz w:val="20"/>
                <w:szCs w:val="20"/>
                <w:color w:val="auto"/>
              </w:rPr>
            </w:pPr>
            <w:r>
              <w:rPr>
                <w:rFonts w:ascii="Arial" w:cs="Arial" w:eastAsia="Arial" w:hAnsi="Arial"/>
                <w:sz w:val="20"/>
                <w:szCs w:val="20"/>
                <w:color w:val="auto"/>
                <w:w w:val="91"/>
              </w:rPr>
              <w:t>1.00%</w:t>
            </w:r>
          </w:p>
        </w:tc>
        <w:tc>
          <w:tcPr>
            <w:tcW w:w="1840" w:type="dxa"/>
            <w:vAlign w:val="bottom"/>
            <w:tcBorders>
              <w:bottom w:val="single" w:sz="8" w:color="auto"/>
              <w:right w:val="single" w:sz="8" w:color="auto"/>
            </w:tcBorders>
          </w:tcPr>
          <w:p>
            <w:pPr>
              <w:spacing w:after="0"/>
              <w:rPr>
                <w:sz w:val="22"/>
                <w:szCs w:val="22"/>
                <w:color w:val="auto"/>
              </w:rPr>
            </w:pPr>
          </w:p>
        </w:tc>
      </w:tr>
      <w:tr>
        <w:trPr>
          <w:trHeight w:val="263"/>
        </w:trPr>
        <w:tc>
          <w:tcPr>
            <w:tcW w:w="56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8"/>
              </w:rPr>
              <w:t>Equal to or greater than 3.00 to 1.00 but less than 4.00 to 1.00</w:t>
            </w:r>
          </w:p>
        </w:tc>
        <w:tc>
          <w:tcPr>
            <w:tcW w:w="3780" w:type="dxa"/>
            <w:vAlign w:val="bottom"/>
            <w:tcBorders>
              <w:bottom w:val="single" w:sz="8" w:color="auto"/>
            </w:tcBorders>
            <w:gridSpan w:val="2"/>
          </w:tcPr>
          <w:p>
            <w:pPr>
              <w:jc w:val="center"/>
              <w:ind w:left="1721"/>
              <w:spacing w:after="0"/>
              <w:rPr>
                <w:sz w:val="20"/>
                <w:szCs w:val="20"/>
                <w:color w:val="auto"/>
              </w:rPr>
            </w:pPr>
            <w:r>
              <w:rPr>
                <w:rFonts w:ascii="Arial" w:cs="Arial" w:eastAsia="Arial" w:hAnsi="Arial"/>
                <w:sz w:val="20"/>
                <w:szCs w:val="20"/>
                <w:color w:val="auto"/>
                <w:w w:val="91"/>
              </w:rPr>
              <w:t>1.25%</w:t>
            </w:r>
          </w:p>
        </w:tc>
        <w:tc>
          <w:tcPr>
            <w:tcW w:w="1840" w:type="dxa"/>
            <w:vAlign w:val="bottom"/>
            <w:tcBorders>
              <w:bottom w:val="single" w:sz="8" w:color="auto"/>
              <w:right w:val="single" w:sz="8" w:color="auto"/>
            </w:tcBorders>
          </w:tcPr>
          <w:p>
            <w:pPr>
              <w:spacing w:after="0"/>
              <w:rPr>
                <w:sz w:val="22"/>
                <w:szCs w:val="22"/>
                <w:color w:val="auto"/>
              </w:rPr>
            </w:pPr>
          </w:p>
        </w:tc>
      </w:tr>
      <w:tr>
        <w:trPr>
          <w:trHeight w:val="263"/>
        </w:trPr>
        <w:tc>
          <w:tcPr>
            <w:tcW w:w="1380" w:type="dxa"/>
            <w:vAlign w:val="bottom"/>
            <w:tcBorders>
              <w:left w:val="single" w:sz="8" w:color="auto"/>
              <w:bottom w:val="single" w:sz="8" w:color="auto"/>
            </w:tcBorders>
          </w:tcPr>
          <w:p>
            <w:pPr>
              <w:spacing w:after="0"/>
              <w:rPr>
                <w:sz w:val="22"/>
                <w:szCs w:val="22"/>
                <w:color w:val="auto"/>
              </w:rPr>
            </w:pPr>
          </w:p>
        </w:tc>
        <w:tc>
          <w:tcPr>
            <w:tcW w:w="4260" w:type="dxa"/>
            <w:vAlign w:val="bottom"/>
            <w:tcBorders>
              <w:bottom w:val="single" w:sz="8" w:color="auto"/>
              <w:right w:val="single" w:sz="8" w:color="auto"/>
            </w:tcBorders>
            <w:gridSpan w:val="2"/>
          </w:tcPr>
          <w:p>
            <w:pPr>
              <w:jc w:val="center"/>
              <w:ind w:right="1360"/>
              <w:spacing w:after="0"/>
              <w:rPr>
                <w:sz w:val="20"/>
                <w:szCs w:val="20"/>
                <w:color w:val="auto"/>
              </w:rPr>
            </w:pPr>
            <w:r>
              <w:rPr>
                <w:rFonts w:ascii="Arial" w:cs="Arial" w:eastAsia="Arial" w:hAnsi="Arial"/>
                <w:sz w:val="20"/>
                <w:szCs w:val="20"/>
                <w:color w:val="auto"/>
                <w:w w:val="88"/>
              </w:rPr>
              <w:t>Equal to or greater than 4.00 to 1.00</w:t>
            </w:r>
          </w:p>
        </w:tc>
        <w:tc>
          <w:tcPr>
            <w:tcW w:w="3780" w:type="dxa"/>
            <w:vAlign w:val="bottom"/>
            <w:tcBorders>
              <w:bottom w:val="single" w:sz="8" w:color="auto"/>
            </w:tcBorders>
            <w:gridSpan w:val="2"/>
          </w:tcPr>
          <w:p>
            <w:pPr>
              <w:jc w:val="center"/>
              <w:ind w:left="1721"/>
              <w:spacing w:after="0"/>
              <w:rPr>
                <w:sz w:val="20"/>
                <w:szCs w:val="20"/>
                <w:color w:val="auto"/>
              </w:rPr>
            </w:pPr>
            <w:r>
              <w:rPr>
                <w:rFonts w:ascii="Arial" w:cs="Arial" w:eastAsia="Arial" w:hAnsi="Arial"/>
                <w:sz w:val="20"/>
                <w:szCs w:val="20"/>
                <w:color w:val="auto"/>
                <w:w w:val="91"/>
              </w:rPr>
              <w:t>1.50%</w:t>
            </w:r>
          </w:p>
        </w:tc>
        <w:tc>
          <w:tcPr>
            <w:tcW w:w="1840" w:type="dxa"/>
            <w:vAlign w:val="bottom"/>
            <w:tcBorders>
              <w:bottom w:val="single" w:sz="8" w:color="auto"/>
              <w:right w:val="single" w:sz="8" w:color="auto"/>
            </w:tcBorders>
          </w:tcPr>
          <w:p>
            <w:pPr>
              <w:spacing w:after="0"/>
              <w:rPr>
                <w:sz w:val="22"/>
                <w:szCs w:val="22"/>
                <w:color w:val="auto"/>
              </w:rPr>
            </w:pPr>
          </w:p>
        </w:tc>
      </w:tr>
    </w:tbl>
    <w:p>
      <w:pPr>
        <w:spacing w:after="0" w:line="78" w:lineRule="exact"/>
        <w:rPr>
          <w:sz w:val="20"/>
          <w:szCs w:val="20"/>
          <w:color w:val="auto"/>
        </w:rPr>
      </w:pPr>
    </w:p>
    <w:p>
      <w:pPr>
        <w:jc w:val="both"/>
        <w:ind w:right="20"/>
        <w:spacing w:after="0" w:line="233"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Applicable B/A Margin shall be adjusted pursuant to the Sustainability Rating Adjustment. Any adjustment in the Applicable B/A Margin shall be applicable to all applicable Loans then existing or subsequently made or issued.</w:t>
      </w:r>
    </w:p>
    <w:p>
      <w:pPr>
        <w:spacing w:after="0" w:line="1"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Base Rate Margin</w:t>
      </w:r>
      <w:r>
        <w:rPr>
          <w:rFonts w:ascii="Arial" w:cs="Arial" w:eastAsia="Arial" w:hAnsi="Arial"/>
          <w:sz w:val="20"/>
          <w:szCs w:val="20"/>
          <w:color w:val="auto"/>
        </w:rPr>
        <w:t>” means, at any date, with respect to Dollar Revolving Loans and Term A Loans, (i) from the Incremental Amendment No. 2 and Third Amendment Effective Date to the date upon which the Administrative Agent receives the Compliance Certificate related to the financial statements for the Fiscal Quarter ending December 31, 2019, 0.50%, and (ii) at any date thereafter, the applicable percentage rate per annum set forth in the following applicable table under the column Applicable Base Rate Margin opposite the Most Recent Total Leverage Ratio as of such date.</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12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89"/>
              </w:rPr>
              <w:t>Most Recent Total Leverage Ratio</w:t>
            </w:r>
          </w:p>
        </w:tc>
        <w:tc>
          <w:tcPr>
            <w:tcW w:w="514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0"/>
              </w:rPr>
              <w:t>Applicable Base Rate Margin</w:t>
            </w:r>
          </w:p>
        </w:tc>
      </w:tr>
      <w:tr>
        <w:trPr>
          <w:trHeight w:val="34"/>
        </w:trPr>
        <w:tc>
          <w:tcPr>
            <w:tcW w:w="1620" w:type="dxa"/>
            <w:vAlign w:val="bottom"/>
            <w:tcBorders>
              <w:left w:val="single" w:sz="8" w:color="auto"/>
              <w:bottom w:val="single" w:sz="8" w:color="auto"/>
            </w:tcBorders>
          </w:tcPr>
          <w:p>
            <w:pPr>
              <w:spacing w:after="0"/>
              <w:rPr>
                <w:sz w:val="2"/>
                <w:szCs w:val="2"/>
                <w:color w:val="auto"/>
              </w:rPr>
            </w:pPr>
          </w:p>
        </w:tc>
        <w:tc>
          <w:tcPr>
            <w:tcW w:w="2880" w:type="dxa"/>
            <w:vAlign w:val="bottom"/>
            <w:tcBorders>
              <w:top w:val="single" w:sz="8" w:color="auto"/>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80" w:type="dxa"/>
            <w:vAlign w:val="bottom"/>
            <w:tcBorders>
              <w:top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59"/>
        </w:trPr>
        <w:tc>
          <w:tcPr>
            <w:tcW w:w="1620" w:type="dxa"/>
            <w:vAlign w:val="bottom"/>
            <w:tcBorders>
              <w:left w:val="single" w:sz="8" w:color="auto"/>
              <w:bottom w:val="single" w:sz="8" w:color="auto"/>
            </w:tcBorders>
          </w:tcPr>
          <w:p>
            <w:pPr>
              <w:spacing w:after="0"/>
              <w:rPr>
                <w:sz w:val="22"/>
                <w:szCs w:val="22"/>
                <w:color w:val="auto"/>
              </w:rPr>
            </w:pPr>
          </w:p>
        </w:tc>
        <w:tc>
          <w:tcPr>
            <w:tcW w:w="4500" w:type="dxa"/>
            <w:vAlign w:val="bottom"/>
            <w:tcBorders>
              <w:bottom w:val="single" w:sz="8" w:color="auto"/>
              <w:right w:val="single" w:sz="8" w:color="auto"/>
            </w:tcBorders>
            <w:gridSpan w:val="2"/>
          </w:tcPr>
          <w:p>
            <w:pPr>
              <w:jc w:val="center"/>
              <w:ind w:right="1620"/>
              <w:spacing w:after="0"/>
              <w:rPr>
                <w:sz w:val="20"/>
                <w:szCs w:val="20"/>
                <w:color w:val="auto"/>
              </w:rPr>
            </w:pPr>
            <w:r>
              <w:rPr>
                <w:rFonts w:ascii="Arial" w:cs="Arial" w:eastAsia="Arial" w:hAnsi="Arial"/>
                <w:sz w:val="20"/>
                <w:szCs w:val="20"/>
                <w:color w:val="auto"/>
                <w:w w:val="88"/>
              </w:rPr>
              <w:t>Less than 3.00 to 1.00</w:t>
            </w:r>
          </w:p>
        </w:tc>
        <w:tc>
          <w:tcPr>
            <w:tcW w:w="3800" w:type="dxa"/>
            <w:vAlign w:val="bottom"/>
            <w:tcBorders>
              <w:bottom w:val="single" w:sz="8" w:color="auto"/>
            </w:tcBorders>
            <w:gridSpan w:val="2"/>
          </w:tcPr>
          <w:p>
            <w:pPr>
              <w:jc w:val="center"/>
              <w:ind w:left="1221"/>
              <w:spacing w:after="0"/>
              <w:rPr>
                <w:sz w:val="20"/>
                <w:szCs w:val="20"/>
                <w:color w:val="auto"/>
              </w:rPr>
            </w:pPr>
            <w:r>
              <w:rPr>
                <w:rFonts w:ascii="Arial" w:cs="Arial" w:eastAsia="Arial" w:hAnsi="Arial"/>
                <w:sz w:val="20"/>
                <w:szCs w:val="20"/>
                <w:color w:val="auto"/>
                <w:w w:val="91"/>
              </w:rPr>
              <w:t>0.00%</w:t>
            </w:r>
          </w:p>
        </w:tc>
        <w:tc>
          <w:tcPr>
            <w:tcW w:w="1340" w:type="dxa"/>
            <w:vAlign w:val="bottom"/>
            <w:tcBorders>
              <w:bottom w:val="single" w:sz="8" w:color="auto"/>
              <w:right w:val="single" w:sz="8" w:color="auto"/>
            </w:tcBorders>
          </w:tcPr>
          <w:p>
            <w:pPr>
              <w:spacing w:after="0"/>
              <w:rPr>
                <w:sz w:val="22"/>
                <w:szCs w:val="22"/>
                <w:color w:val="auto"/>
              </w:rPr>
            </w:pPr>
          </w:p>
        </w:tc>
      </w:tr>
      <w:tr>
        <w:trPr>
          <w:trHeight w:val="263"/>
        </w:trPr>
        <w:tc>
          <w:tcPr>
            <w:tcW w:w="61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8"/>
              </w:rPr>
              <w:t>Equal to or greater than 3.00 to 1.00 but less than 4.00 to 1.00</w:t>
            </w:r>
          </w:p>
        </w:tc>
        <w:tc>
          <w:tcPr>
            <w:tcW w:w="3800" w:type="dxa"/>
            <w:vAlign w:val="bottom"/>
            <w:tcBorders>
              <w:bottom w:val="single" w:sz="8" w:color="auto"/>
            </w:tcBorders>
            <w:gridSpan w:val="2"/>
          </w:tcPr>
          <w:p>
            <w:pPr>
              <w:jc w:val="center"/>
              <w:ind w:left="1221"/>
              <w:spacing w:after="0"/>
              <w:rPr>
                <w:sz w:val="20"/>
                <w:szCs w:val="20"/>
                <w:color w:val="auto"/>
              </w:rPr>
            </w:pPr>
            <w:r>
              <w:rPr>
                <w:rFonts w:ascii="Arial" w:cs="Arial" w:eastAsia="Arial" w:hAnsi="Arial"/>
                <w:sz w:val="20"/>
                <w:szCs w:val="20"/>
                <w:color w:val="auto"/>
                <w:w w:val="91"/>
              </w:rPr>
              <w:t>0.25%</w:t>
            </w:r>
          </w:p>
        </w:tc>
        <w:tc>
          <w:tcPr>
            <w:tcW w:w="1340" w:type="dxa"/>
            <w:vAlign w:val="bottom"/>
            <w:tcBorders>
              <w:bottom w:val="single" w:sz="8" w:color="auto"/>
              <w:right w:val="single" w:sz="8" w:color="auto"/>
            </w:tcBorders>
          </w:tcPr>
          <w:p>
            <w:pPr>
              <w:spacing w:after="0"/>
              <w:rPr>
                <w:sz w:val="22"/>
                <w:szCs w:val="22"/>
                <w:color w:val="auto"/>
              </w:rPr>
            </w:pPr>
          </w:p>
        </w:tc>
      </w:tr>
      <w:tr>
        <w:trPr>
          <w:trHeight w:val="263"/>
        </w:trPr>
        <w:tc>
          <w:tcPr>
            <w:tcW w:w="1620" w:type="dxa"/>
            <w:vAlign w:val="bottom"/>
            <w:tcBorders>
              <w:left w:val="single" w:sz="8" w:color="auto"/>
              <w:bottom w:val="single" w:sz="8" w:color="auto"/>
            </w:tcBorders>
          </w:tcPr>
          <w:p>
            <w:pPr>
              <w:spacing w:after="0"/>
              <w:rPr>
                <w:sz w:val="22"/>
                <w:szCs w:val="22"/>
                <w:color w:val="auto"/>
              </w:rPr>
            </w:pPr>
          </w:p>
        </w:tc>
        <w:tc>
          <w:tcPr>
            <w:tcW w:w="4500" w:type="dxa"/>
            <w:vAlign w:val="bottom"/>
            <w:tcBorders>
              <w:bottom w:val="single" w:sz="8" w:color="auto"/>
              <w:right w:val="single" w:sz="8" w:color="auto"/>
            </w:tcBorders>
            <w:gridSpan w:val="2"/>
          </w:tcPr>
          <w:p>
            <w:pPr>
              <w:jc w:val="center"/>
              <w:ind w:right="1620"/>
              <w:spacing w:after="0"/>
              <w:rPr>
                <w:sz w:val="20"/>
                <w:szCs w:val="20"/>
                <w:color w:val="auto"/>
              </w:rPr>
            </w:pPr>
            <w:r>
              <w:rPr>
                <w:rFonts w:ascii="Arial" w:cs="Arial" w:eastAsia="Arial" w:hAnsi="Arial"/>
                <w:sz w:val="20"/>
                <w:szCs w:val="20"/>
                <w:color w:val="auto"/>
                <w:w w:val="89"/>
              </w:rPr>
              <w:t>Equal to or greater than 4.00 to 1.00</w:t>
            </w:r>
          </w:p>
        </w:tc>
        <w:tc>
          <w:tcPr>
            <w:tcW w:w="3800" w:type="dxa"/>
            <w:vAlign w:val="bottom"/>
            <w:tcBorders>
              <w:bottom w:val="single" w:sz="8" w:color="auto"/>
            </w:tcBorders>
            <w:gridSpan w:val="2"/>
          </w:tcPr>
          <w:p>
            <w:pPr>
              <w:jc w:val="center"/>
              <w:ind w:left="1221"/>
              <w:spacing w:after="0"/>
              <w:rPr>
                <w:sz w:val="20"/>
                <w:szCs w:val="20"/>
                <w:color w:val="auto"/>
              </w:rPr>
            </w:pPr>
            <w:r>
              <w:rPr>
                <w:rFonts w:ascii="Arial" w:cs="Arial" w:eastAsia="Arial" w:hAnsi="Arial"/>
                <w:sz w:val="20"/>
                <w:szCs w:val="20"/>
                <w:color w:val="auto"/>
                <w:w w:val="91"/>
              </w:rPr>
              <w:t>0.50%</w:t>
            </w:r>
          </w:p>
        </w:tc>
        <w:tc>
          <w:tcPr>
            <w:tcW w:w="1340" w:type="dxa"/>
            <w:vAlign w:val="bottom"/>
            <w:tcBorders>
              <w:bottom w:val="single" w:sz="8" w:color="auto"/>
              <w:right w:val="single" w:sz="8" w:color="auto"/>
            </w:tcBorders>
          </w:tcPr>
          <w:p>
            <w:pPr>
              <w:spacing w:after="0"/>
              <w:rPr>
                <w:sz w:val="22"/>
                <w:szCs w:val="22"/>
                <w:color w:val="auto"/>
              </w:rPr>
            </w:pPr>
          </w:p>
        </w:tc>
      </w:tr>
    </w:tbl>
    <w:p>
      <w:pPr>
        <w:spacing w:after="0" w:line="307" w:lineRule="exact"/>
        <w:rPr>
          <w:sz w:val="20"/>
          <w:szCs w:val="20"/>
          <w:color w:val="auto"/>
        </w:rPr>
      </w:pPr>
    </w:p>
    <w:p>
      <w:pPr>
        <w:ind w:right="40"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Canadian Prime Rate Margin</w:t>
      </w:r>
      <w:r>
        <w:rPr>
          <w:rFonts w:ascii="Arial" w:cs="Arial" w:eastAsia="Arial" w:hAnsi="Arial"/>
          <w:sz w:val="18"/>
          <w:szCs w:val="18"/>
          <w:color w:val="auto"/>
        </w:rPr>
        <w:t>” means, at any date, (i) from the Incremental Amendment No. 2 and Third Amendment Effective Date to the date upon which the Administrative Agent receives the Compliance Certificate related to the financial statements for the Fiscal Quarter ending December 31, 2019, 0.50%, and (ii) at any date thereafter, the applicable percentage rate per annum set forth in the following table under the column Applicable Canadian Prime Rate Margin opposite the Most Recent Total Leverage Ratio as of such date.</w:t>
      </w:r>
    </w:p>
    <w:p>
      <w:pPr>
        <w:sectPr>
          <w:pgSz w:w="11900" w:h="16838" w:orient="portrait"/>
          <w:cols w:equalWidth="0" w:num="1">
            <w:col w:w="11260"/>
          </w:cols>
          <w:pgMar w:left="320" w:top="1419" w:right="319" w:bottom="1440" w:gutter="0" w:footer="0" w:header="0"/>
        </w:sectPr>
      </w:pPr>
    </w:p>
    <w:bookmarkStart w:id="116" w:name="page117"/>
    <w:bookmarkEnd w:id="11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440" w:type="dxa"/>
            <w:vAlign w:val="bottom"/>
            <w:tcBorders>
              <w:top w:val="single" w:sz="8" w:color="auto"/>
              <w:left w:val="single" w:sz="8" w:color="auto"/>
            </w:tcBorders>
          </w:tcPr>
          <w:p>
            <w:pPr>
              <w:spacing w:after="0"/>
              <w:rPr>
                <w:sz w:val="19"/>
                <w:szCs w:val="19"/>
                <w:color w:val="auto"/>
              </w:rPr>
            </w:pPr>
          </w:p>
        </w:tc>
        <w:tc>
          <w:tcPr>
            <w:tcW w:w="4340" w:type="dxa"/>
            <w:vAlign w:val="bottom"/>
            <w:tcBorders>
              <w:top w:val="single" w:sz="8" w:color="auto"/>
              <w:right w:val="single" w:sz="8" w:color="auto"/>
            </w:tcBorders>
            <w:gridSpan w:val="2"/>
          </w:tcPr>
          <w:p>
            <w:pPr>
              <w:jc w:val="center"/>
              <w:ind w:right="1440"/>
              <w:spacing w:after="0"/>
              <w:rPr>
                <w:sz w:val="20"/>
                <w:szCs w:val="20"/>
                <w:color w:val="auto"/>
              </w:rPr>
            </w:pPr>
            <w:r>
              <w:rPr>
                <w:rFonts w:ascii="Arial" w:cs="Arial" w:eastAsia="Arial" w:hAnsi="Arial"/>
                <w:sz w:val="20"/>
                <w:szCs w:val="20"/>
                <w:b w:val="1"/>
                <w:bCs w:val="1"/>
                <w:color w:val="auto"/>
                <w:w w:val="90"/>
              </w:rPr>
              <w:t>Most Recent Total Leverage Ratio</w:t>
            </w:r>
          </w:p>
        </w:tc>
        <w:tc>
          <w:tcPr>
            <w:tcW w:w="980" w:type="dxa"/>
            <w:vAlign w:val="bottom"/>
            <w:tcBorders>
              <w:top w:val="single" w:sz="8" w:color="auto"/>
            </w:tcBorders>
          </w:tcPr>
          <w:p>
            <w:pPr>
              <w:spacing w:after="0"/>
              <w:rPr>
                <w:sz w:val="19"/>
                <w:szCs w:val="19"/>
                <w:color w:val="auto"/>
              </w:rPr>
            </w:pPr>
          </w:p>
        </w:tc>
        <w:tc>
          <w:tcPr>
            <w:tcW w:w="4500" w:type="dxa"/>
            <w:vAlign w:val="bottom"/>
            <w:tcBorders>
              <w:top w:val="single" w:sz="8" w:color="auto"/>
              <w:right w:val="single" w:sz="8" w:color="auto"/>
            </w:tcBorders>
            <w:gridSpan w:val="2"/>
          </w:tcPr>
          <w:p>
            <w:pPr>
              <w:jc w:val="center"/>
              <w:ind w:right="1020"/>
              <w:spacing w:after="0"/>
              <w:rPr>
                <w:sz w:val="20"/>
                <w:szCs w:val="20"/>
                <w:color w:val="auto"/>
              </w:rPr>
            </w:pPr>
            <w:r>
              <w:rPr>
                <w:rFonts w:ascii="Arial" w:cs="Arial" w:eastAsia="Arial" w:hAnsi="Arial"/>
                <w:sz w:val="20"/>
                <w:szCs w:val="20"/>
                <w:b w:val="1"/>
                <w:bCs w:val="1"/>
                <w:color w:val="auto"/>
                <w:w w:val="92"/>
              </w:rPr>
              <w:t>Applicable Canadian Prime Rate Margin</w:t>
            </w:r>
          </w:p>
        </w:tc>
      </w:tr>
      <w:tr>
        <w:trPr>
          <w:trHeight w:val="34"/>
        </w:trPr>
        <w:tc>
          <w:tcPr>
            <w:tcW w:w="1440" w:type="dxa"/>
            <w:vAlign w:val="bottom"/>
            <w:tcBorders>
              <w:left w:val="single" w:sz="8" w:color="auto"/>
              <w:bottom w:val="single" w:sz="8" w:color="auto"/>
            </w:tcBorders>
          </w:tcPr>
          <w:p>
            <w:pPr>
              <w:spacing w:after="0"/>
              <w:rPr>
                <w:sz w:val="2"/>
                <w:szCs w:val="2"/>
                <w:color w:val="auto"/>
              </w:rPr>
            </w:pPr>
          </w:p>
        </w:tc>
        <w:tc>
          <w:tcPr>
            <w:tcW w:w="2900" w:type="dxa"/>
            <w:vAlign w:val="bottom"/>
            <w:tcBorders>
              <w:top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80" w:type="dxa"/>
            <w:vAlign w:val="bottom"/>
            <w:tcBorders>
              <w:top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59"/>
        </w:trPr>
        <w:tc>
          <w:tcPr>
            <w:tcW w:w="1440" w:type="dxa"/>
            <w:vAlign w:val="bottom"/>
            <w:tcBorders>
              <w:left w:val="single" w:sz="8" w:color="auto"/>
              <w:bottom w:val="single" w:sz="8" w:color="auto"/>
            </w:tcBorders>
          </w:tcPr>
          <w:p>
            <w:pPr>
              <w:spacing w:after="0"/>
              <w:rPr>
                <w:sz w:val="22"/>
                <w:szCs w:val="22"/>
                <w:color w:val="auto"/>
              </w:rPr>
            </w:pPr>
          </w:p>
        </w:tc>
        <w:tc>
          <w:tcPr>
            <w:tcW w:w="4340" w:type="dxa"/>
            <w:vAlign w:val="bottom"/>
            <w:tcBorders>
              <w:bottom w:val="single" w:sz="8" w:color="auto"/>
              <w:right w:val="single" w:sz="8" w:color="auto"/>
            </w:tcBorders>
            <w:gridSpan w:val="2"/>
          </w:tcPr>
          <w:p>
            <w:pPr>
              <w:jc w:val="center"/>
              <w:ind w:right="1440"/>
              <w:spacing w:after="0"/>
              <w:rPr>
                <w:sz w:val="20"/>
                <w:szCs w:val="20"/>
                <w:color w:val="auto"/>
              </w:rPr>
            </w:pPr>
            <w:r>
              <w:rPr>
                <w:rFonts w:ascii="Arial" w:cs="Arial" w:eastAsia="Arial" w:hAnsi="Arial"/>
                <w:sz w:val="20"/>
                <w:szCs w:val="20"/>
                <w:color w:val="auto"/>
                <w:w w:val="87"/>
              </w:rPr>
              <w:t>Less than 3.00 to 1.00</w:t>
            </w:r>
          </w:p>
        </w:tc>
        <w:tc>
          <w:tcPr>
            <w:tcW w:w="4460" w:type="dxa"/>
            <w:vAlign w:val="bottom"/>
            <w:tcBorders>
              <w:bottom w:val="single" w:sz="8" w:color="auto"/>
            </w:tcBorders>
            <w:gridSpan w:val="2"/>
          </w:tcPr>
          <w:p>
            <w:pPr>
              <w:jc w:val="center"/>
              <w:ind w:left="901"/>
              <w:spacing w:after="0"/>
              <w:rPr>
                <w:sz w:val="20"/>
                <w:szCs w:val="20"/>
                <w:color w:val="auto"/>
              </w:rPr>
            </w:pPr>
            <w:r>
              <w:rPr>
                <w:rFonts w:ascii="Arial" w:cs="Arial" w:eastAsia="Arial" w:hAnsi="Arial"/>
                <w:sz w:val="20"/>
                <w:szCs w:val="20"/>
                <w:color w:val="auto"/>
                <w:w w:val="88"/>
              </w:rPr>
              <w:t>0.00%</w:t>
            </w:r>
          </w:p>
        </w:tc>
        <w:tc>
          <w:tcPr>
            <w:tcW w:w="1020" w:type="dxa"/>
            <w:vAlign w:val="bottom"/>
            <w:tcBorders>
              <w:bottom w:val="single" w:sz="8" w:color="auto"/>
              <w:right w:val="single" w:sz="8" w:color="auto"/>
            </w:tcBorders>
          </w:tcPr>
          <w:p>
            <w:pPr>
              <w:spacing w:after="0"/>
              <w:rPr>
                <w:sz w:val="22"/>
                <w:szCs w:val="22"/>
                <w:color w:val="auto"/>
              </w:rPr>
            </w:pPr>
          </w:p>
        </w:tc>
      </w:tr>
      <w:tr>
        <w:trPr>
          <w:trHeight w:val="263"/>
        </w:trPr>
        <w:tc>
          <w:tcPr>
            <w:tcW w:w="57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8"/>
              </w:rPr>
              <w:t>Equal to or greater than 3.00 to 1.00 but less than 4.00 to 1.00</w:t>
            </w:r>
          </w:p>
        </w:tc>
        <w:tc>
          <w:tcPr>
            <w:tcW w:w="4460" w:type="dxa"/>
            <w:vAlign w:val="bottom"/>
            <w:tcBorders>
              <w:bottom w:val="single" w:sz="8" w:color="auto"/>
            </w:tcBorders>
            <w:gridSpan w:val="2"/>
          </w:tcPr>
          <w:p>
            <w:pPr>
              <w:jc w:val="center"/>
              <w:ind w:left="901"/>
              <w:spacing w:after="0"/>
              <w:rPr>
                <w:sz w:val="20"/>
                <w:szCs w:val="20"/>
                <w:color w:val="auto"/>
              </w:rPr>
            </w:pPr>
            <w:r>
              <w:rPr>
                <w:rFonts w:ascii="Arial" w:cs="Arial" w:eastAsia="Arial" w:hAnsi="Arial"/>
                <w:sz w:val="20"/>
                <w:szCs w:val="20"/>
                <w:color w:val="auto"/>
                <w:w w:val="88"/>
              </w:rPr>
              <w:t>0.25%</w:t>
            </w:r>
          </w:p>
        </w:tc>
        <w:tc>
          <w:tcPr>
            <w:tcW w:w="1020" w:type="dxa"/>
            <w:vAlign w:val="bottom"/>
            <w:tcBorders>
              <w:bottom w:val="single" w:sz="8" w:color="auto"/>
              <w:right w:val="single" w:sz="8" w:color="auto"/>
            </w:tcBorders>
          </w:tcPr>
          <w:p>
            <w:pPr>
              <w:spacing w:after="0"/>
              <w:rPr>
                <w:sz w:val="22"/>
                <w:szCs w:val="22"/>
                <w:color w:val="auto"/>
              </w:rPr>
            </w:pPr>
          </w:p>
        </w:tc>
      </w:tr>
      <w:tr>
        <w:trPr>
          <w:trHeight w:val="263"/>
        </w:trPr>
        <w:tc>
          <w:tcPr>
            <w:tcW w:w="1440" w:type="dxa"/>
            <w:vAlign w:val="bottom"/>
            <w:tcBorders>
              <w:left w:val="single" w:sz="8" w:color="auto"/>
              <w:bottom w:val="single" w:sz="8" w:color="auto"/>
            </w:tcBorders>
          </w:tcPr>
          <w:p>
            <w:pPr>
              <w:spacing w:after="0"/>
              <w:rPr>
                <w:sz w:val="22"/>
                <w:szCs w:val="22"/>
                <w:color w:val="auto"/>
              </w:rPr>
            </w:pPr>
          </w:p>
        </w:tc>
        <w:tc>
          <w:tcPr>
            <w:tcW w:w="4340" w:type="dxa"/>
            <w:vAlign w:val="bottom"/>
            <w:tcBorders>
              <w:bottom w:val="single" w:sz="8" w:color="auto"/>
              <w:right w:val="single" w:sz="8" w:color="auto"/>
            </w:tcBorders>
            <w:gridSpan w:val="2"/>
          </w:tcPr>
          <w:p>
            <w:pPr>
              <w:jc w:val="center"/>
              <w:ind w:right="1440"/>
              <w:spacing w:after="0"/>
              <w:rPr>
                <w:sz w:val="20"/>
                <w:szCs w:val="20"/>
                <w:color w:val="auto"/>
              </w:rPr>
            </w:pPr>
            <w:r>
              <w:rPr>
                <w:rFonts w:ascii="Arial" w:cs="Arial" w:eastAsia="Arial" w:hAnsi="Arial"/>
                <w:sz w:val="20"/>
                <w:szCs w:val="20"/>
                <w:color w:val="auto"/>
                <w:w w:val="88"/>
              </w:rPr>
              <w:t>Equal to or greater than 4.00 to 1.00</w:t>
            </w:r>
          </w:p>
        </w:tc>
        <w:tc>
          <w:tcPr>
            <w:tcW w:w="4460" w:type="dxa"/>
            <w:vAlign w:val="bottom"/>
            <w:tcBorders>
              <w:bottom w:val="single" w:sz="8" w:color="auto"/>
            </w:tcBorders>
            <w:gridSpan w:val="2"/>
          </w:tcPr>
          <w:p>
            <w:pPr>
              <w:jc w:val="center"/>
              <w:ind w:left="901"/>
              <w:spacing w:after="0"/>
              <w:rPr>
                <w:sz w:val="20"/>
                <w:szCs w:val="20"/>
                <w:color w:val="auto"/>
              </w:rPr>
            </w:pPr>
            <w:r>
              <w:rPr>
                <w:rFonts w:ascii="Arial" w:cs="Arial" w:eastAsia="Arial" w:hAnsi="Arial"/>
                <w:sz w:val="20"/>
                <w:szCs w:val="20"/>
                <w:color w:val="auto"/>
                <w:w w:val="88"/>
              </w:rPr>
              <w:t>0.50%</w:t>
            </w:r>
          </w:p>
        </w:tc>
        <w:tc>
          <w:tcPr>
            <w:tcW w:w="1020" w:type="dxa"/>
            <w:vAlign w:val="bottom"/>
            <w:tcBorders>
              <w:bottom w:val="single" w:sz="8" w:color="auto"/>
              <w:right w:val="single" w:sz="8" w:color="auto"/>
            </w:tcBorders>
          </w:tcPr>
          <w:p>
            <w:pPr>
              <w:spacing w:after="0"/>
              <w:rPr>
                <w:sz w:val="22"/>
                <w:szCs w:val="22"/>
                <w:color w:val="auto"/>
              </w:rPr>
            </w:pPr>
          </w:p>
        </w:tc>
      </w:tr>
    </w:tbl>
    <w:p>
      <w:pPr>
        <w:spacing w:after="0" w:line="321" w:lineRule="exact"/>
        <w:rPr>
          <w:sz w:val="20"/>
          <w:szCs w:val="20"/>
          <w:color w:val="auto"/>
        </w:rPr>
      </w:pPr>
    </w:p>
    <w:p>
      <w:pPr>
        <w:ind w:right="40"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Commitment Fee Percentage</w:t>
      </w:r>
      <w:r>
        <w:rPr>
          <w:rFonts w:ascii="Arial" w:cs="Arial" w:eastAsia="Arial" w:hAnsi="Arial"/>
          <w:sz w:val="18"/>
          <w:szCs w:val="18"/>
          <w:color w:val="auto"/>
        </w:rPr>
        <w:t>” means, at any date, (i) from the Incremental Amendment No. 2 and Third Amendment Effective Date to the date upon which the Administrative Agent receives the Compliance Certificate related to the financial statements for the Fiscal Quarter ending December 31, 2019, 0.25%, and (ii) at any date thereafter, the applicable percentage rate per annum set forth in the following table under the column Applicable Commitment Fee Percentage opposite the Most Recent Total Leverage Ratio as of such date:</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7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89"/>
              </w:rPr>
              <w:t>Most Recent Total Leverage Ratio</w:t>
            </w:r>
          </w:p>
        </w:tc>
        <w:tc>
          <w:tcPr>
            <w:tcW w:w="1020" w:type="dxa"/>
            <w:vAlign w:val="bottom"/>
            <w:tcBorders>
              <w:top w:val="single" w:sz="8" w:color="auto"/>
            </w:tcBorders>
          </w:tcPr>
          <w:p>
            <w:pPr>
              <w:spacing w:after="0"/>
              <w:rPr>
                <w:sz w:val="19"/>
                <w:szCs w:val="19"/>
                <w:color w:val="auto"/>
              </w:rPr>
            </w:pPr>
          </w:p>
        </w:tc>
        <w:tc>
          <w:tcPr>
            <w:tcW w:w="4480" w:type="dxa"/>
            <w:vAlign w:val="bottom"/>
            <w:tcBorders>
              <w:top w:val="single" w:sz="8" w:color="auto"/>
              <w:right w:val="single" w:sz="8" w:color="auto"/>
            </w:tcBorders>
            <w:gridSpan w:val="2"/>
          </w:tcPr>
          <w:p>
            <w:pPr>
              <w:jc w:val="center"/>
              <w:ind w:right="1060"/>
              <w:spacing w:after="0"/>
              <w:rPr>
                <w:sz w:val="20"/>
                <w:szCs w:val="20"/>
                <w:color w:val="auto"/>
              </w:rPr>
            </w:pPr>
            <w:r>
              <w:rPr>
                <w:rFonts w:ascii="Arial" w:cs="Arial" w:eastAsia="Arial" w:hAnsi="Arial"/>
                <w:sz w:val="20"/>
                <w:szCs w:val="20"/>
                <w:b w:val="1"/>
                <w:bCs w:val="1"/>
                <w:color w:val="auto"/>
                <w:w w:val="89"/>
              </w:rPr>
              <w:t>Applicable Commitment Fee Percentage</w:t>
            </w:r>
          </w:p>
        </w:tc>
      </w:tr>
      <w:tr>
        <w:trPr>
          <w:trHeight w:val="34"/>
        </w:trPr>
        <w:tc>
          <w:tcPr>
            <w:tcW w:w="1440" w:type="dxa"/>
            <w:vAlign w:val="bottom"/>
            <w:tcBorders>
              <w:left w:val="single" w:sz="8" w:color="auto"/>
              <w:bottom w:val="single" w:sz="8" w:color="auto"/>
            </w:tcBorders>
          </w:tcPr>
          <w:p>
            <w:pPr>
              <w:spacing w:after="0"/>
              <w:rPr>
                <w:sz w:val="2"/>
                <w:szCs w:val="2"/>
                <w:color w:val="auto"/>
              </w:rPr>
            </w:pPr>
          </w:p>
        </w:tc>
        <w:tc>
          <w:tcPr>
            <w:tcW w:w="2880" w:type="dxa"/>
            <w:vAlign w:val="bottom"/>
            <w:tcBorders>
              <w:top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20" w:type="dxa"/>
            <w:vAlign w:val="bottom"/>
            <w:tcBorders>
              <w:top w:val="single" w:sz="8" w:color="auto"/>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r>
      <w:tr>
        <w:trPr>
          <w:trHeight w:val="259"/>
        </w:trPr>
        <w:tc>
          <w:tcPr>
            <w:tcW w:w="1440" w:type="dxa"/>
            <w:vAlign w:val="bottom"/>
            <w:tcBorders>
              <w:left w:val="single" w:sz="8" w:color="auto"/>
              <w:bottom w:val="single" w:sz="8" w:color="auto"/>
            </w:tcBorders>
          </w:tcPr>
          <w:p>
            <w:pPr>
              <w:spacing w:after="0"/>
              <w:rPr>
                <w:sz w:val="22"/>
                <w:szCs w:val="22"/>
                <w:color w:val="auto"/>
              </w:rPr>
            </w:pPr>
          </w:p>
        </w:tc>
        <w:tc>
          <w:tcPr>
            <w:tcW w:w="4320" w:type="dxa"/>
            <w:vAlign w:val="bottom"/>
            <w:tcBorders>
              <w:bottom w:val="single" w:sz="8" w:color="auto"/>
              <w:right w:val="single" w:sz="8" w:color="auto"/>
            </w:tcBorders>
            <w:gridSpan w:val="2"/>
          </w:tcPr>
          <w:p>
            <w:pPr>
              <w:jc w:val="center"/>
              <w:ind w:right="1440"/>
              <w:spacing w:after="0"/>
              <w:rPr>
                <w:sz w:val="20"/>
                <w:szCs w:val="20"/>
                <w:color w:val="auto"/>
              </w:rPr>
            </w:pPr>
            <w:r>
              <w:rPr>
                <w:rFonts w:ascii="Arial" w:cs="Arial" w:eastAsia="Arial" w:hAnsi="Arial"/>
                <w:sz w:val="20"/>
                <w:szCs w:val="20"/>
                <w:color w:val="auto"/>
                <w:w w:val="88"/>
              </w:rPr>
              <w:t>Less than 3.00 to 1.00</w:t>
            </w:r>
          </w:p>
        </w:tc>
        <w:tc>
          <w:tcPr>
            <w:tcW w:w="4440" w:type="dxa"/>
            <w:vAlign w:val="bottom"/>
            <w:tcBorders>
              <w:bottom w:val="single" w:sz="8" w:color="auto"/>
            </w:tcBorders>
            <w:gridSpan w:val="2"/>
          </w:tcPr>
          <w:p>
            <w:pPr>
              <w:jc w:val="center"/>
              <w:ind w:left="921"/>
              <w:spacing w:after="0"/>
              <w:rPr>
                <w:sz w:val="20"/>
                <w:szCs w:val="20"/>
                <w:color w:val="auto"/>
              </w:rPr>
            </w:pPr>
            <w:r>
              <w:rPr>
                <w:rFonts w:ascii="Arial" w:cs="Arial" w:eastAsia="Arial" w:hAnsi="Arial"/>
                <w:sz w:val="20"/>
                <w:szCs w:val="20"/>
                <w:color w:val="auto"/>
                <w:w w:val="88"/>
              </w:rPr>
              <w:t>0.15%</w:t>
            </w:r>
          </w:p>
        </w:tc>
        <w:tc>
          <w:tcPr>
            <w:tcW w:w="1060" w:type="dxa"/>
            <w:vAlign w:val="bottom"/>
            <w:tcBorders>
              <w:bottom w:val="single" w:sz="8" w:color="auto"/>
              <w:right w:val="single" w:sz="8" w:color="auto"/>
            </w:tcBorders>
          </w:tcPr>
          <w:p>
            <w:pPr>
              <w:spacing w:after="0"/>
              <w:rPr>
                <w:sz w:val="22"/>
                <w:szCs w:val="22"/>
                <w:color w:val="auto"/>
              </w:rPr>
            </w:pPr>
          </w:p>
        </w:tc>
      </w:tr>
      <w:tr>
        <w:trPr>
          <w:trHeight w:val="263"/>
        </w:trPr>
        <w:tc>
          <w:tcPr>
            <w:tcW w:w="576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8"/>
              </w:rPr>
              <w:t>Equal to or greater than 3.00 to 1.00 but less than 4.00 to 1.00</w:t>
            </w:r>
          </w:p>
        </w:tc>
        <w:tc>
          <w:tcPr>
            <w:tcW w:w="4440" w:type="dxa"/>
            <w:vAlign w:val="bottom"/>
            <w:tcBorders>
              <w:bottom w:val="single" w:sz="8" w:color="auto"/>
            </w:tcBorders>
            <w:gridSpan w:val="2"/>
          </w:tcPr>
          <w:p>
            <w:pPr>
              <w:jc w:val="center"/>
              <w:ind w:left="921"/>
              <w:spacing w:after="0"/>
              <w:rPr>
                <w:sz w:val="20"/>
                <w:szCs w:val="20"/>
                <w:color w:val="auto"/>
              </w:rPr>
            </w:pPr>
            <w:r>
              <w:rPr>
                <w:rFonts w:ascii="Arial" w:cs="Arial" w:eastAsia="Arial" w:hAnsi="Arial"/>
                <w:sz w:val="20"/>
                <w:szCs w:val="20"/>
                <w:color w:val="auto"/>
                <w:w w:val="88"/>
              </w:rPr>
              <w:t>0.20%</w:t>
            </w:r>
          </w:p>
        </w:tc>
        <w:tc>
          <w:tcPr>
            <w:tcW w:w="1060" w:type="dxa"/>
            <w:vAlign w:val="bottom"/>
            <w:tcBorders>
              <w:bottom w:val="single" w:sz="8" w:color="auto"/>
              <w:right w:val="single" w:sz="8" w:color="auto"/>
            </w:tcBorders>
          </w:tcPr>
          <w:p>
            <w:pPr>
              <w:spacing w:after="0"/>
              <w:rPr>
                <w:sz w:val="22"/>
                <w:szCs w:val="22"/>
                <w:color w:val="auto"/>
              </w:rPr>
            </w:pPr>
          </w:p>
        </w:tc>
      </w:tr>
      <w:tr>
        <w:trPr>
          <w:trHeight w:val="263"/>
        </w:trPr>
        <w:tc>
          <w:tcPr>
            <w:tcW w:w="1440" w:type="dxa"/>
            <w:vAlign w:val="bottom"/>
            <w:tcBorders>
              <w:left w:val="single" w:sz="8" w:color="auto"/>
              <w:bottom w:val="single" w:sz="8" w:color="auto"/>
            </w:tcBorders>
          </w:tcPr>
          <w:p>
            <w:pPr>
              <w:spacing w:after="0"/>
              <w:rPr>
                <w:sz w:val="22"/>
                <w:szCs w:val="22"/>
                <w:color w:val="auto"/>
              </w:rPr>
            </w:pPr>
          </w:p>
        </w:tc>
        <w:tc>
          <w:tcPr>
            <w:tcW w:w="4320" w:type="dxa"/>
            <w:vAlign w:val="bottom"/>
            <w:tcBorders>
              <w:bottom w:val="single" w:sz="8" w:color="auto"/>
              <w:right w:val="single" w:sz="8" w:color="auto"/>
            </w:tcBorders>
            <w:gridSpan w:val="2"/>
          </w:tcPr>
          <w:p>
            <w:pPr>
              <w:jc w:val="center"/>
              <w:ind w:right="1460"/>
              <w:spacing w:after="0"/>
              <w:rPr>
                <w:sz w:val="20"/>
                <w:szCs w:val="20"/>
                <w:color w:val="auto"/>
              </w:rPr>
            </w:pPr>
            <w:r>
              <w:rPr>
                <w:rFonts w:ascii="Arial" w:cs="Arial" w:eastAsia="Arial" w:hAnsi="Arial"/>
                <w:sz w:val="20"/>
                <w:szCs w:val="20"/>
                <w:color w:val="auto"/>
                <w:w w:val="88"/>
              </w:rPr>
              <w:t>Equal to or greater than 4.00 to 1.00</w:t>
            </w:r>
          </w:p>
        </w:tc>
        <w:tc>
          <w:tcPr>
            <w:tcW w:w="4440" w:type="dxa"/>
            <w:vAlign w:val="bottom"/>
            <w:tcBorders>
              <w:bottom w:val="single" w:sz="8" w:color="auto"/>
            </w:tcBorders>
            <w:gridSpan w:val="2"/>
          </w:tcPr>
          <w:p>
            <w:pPr>
              <w:jc w:val="center"/>
              <w:ind w:left="921"/>
              <w:spacing w:after="0"/>
              <w:rPr>
                <w:sz w:val="20"/>
                <w:szCs w:val="20"/>
                <w:color w:val="auto"/>
              </w:rPr>
            </w:pPr>
            <w:r>
              <w:rPr>
                <w:rFonts w:ascii="Arial" w:cs="Arial" w:eastAsia="Arial" w:hAnsi="Arial"/>
                <w:sz w:val="20"/>
                <w:szCs w:val="20"/>
                <w:color w:val="auto"/>
                <w:w w:val="88"/>
              </w:rPr>
              <w:t>0.25%</w:t>
            </w:r>
          </w:p>
        </w:tc>
        <w:tc>
          <w:tcPr>
            <w:tcW w:w="1060" w:type="dxa"/>
            <w:vAlign w:val="bottom"/>
            <w:tcBorders>
              <w:bottom w:val="single" w:sz="8" w:color="auto"/>
              <w:right w:val="single" w:sz="8" w:color="auto"/>
            </w:tcBorders>
          </w:tcPr>
          <w:p>
            <w:pPr>
              <w:spacing w:after="0"/>
              <w:rPr>
                <w:sz w:val="22"/>
                <w:szCs w:val="22"/>
                <w:color w:val="auto"/>
              </w:rPr>
            </w:pPr>
          </w:p>
        </w:tc>
      </w:tr>
    </w:tbl>
    <w:p>
      <w:pPr>
        <w:spacing w:after="0" w:line="30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Currency</w:t>
      </w:r>
      <w:r>
        <w:rPr>
          <w:rFonts w:ascii="Arial" w:cs="Arial" w:eastAsia="Arial" w:hAnsi="Arial"/>
          <w:sz w:val="19"/>
          <w:szCs w:val="19"/>
          <w:color w:val="auto"/>
        </w:rPr>
        <w:t>” means as to any particular payment or Loan, the currency in which it is denominated or is payable (i.e.</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Dollars, Canadian Dollars or the applicable Alternative Currency).</w:t>
      </w:r>
    </w:p>
    <w:p>
      <w:pPr>
        <w:spacing w:after="0" w:line="21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Eurocurrency Margin</w:t>
      </w:r>
      <w:r>
        <w:rPr>
          <w:rFonts w:ascii="Arial" w:cs="Arial" w:eastAsia="Arial" w:hAnsi="Arial"/>
          <w:sz w:val="18"/>
          <w:szCs w:val="18"/>
          <w:color w:val="auto"/>
        </w:rPr>
        <w:t>” means, at any date, with respect to Canadian Revolving Loans, Dollar Revolving Loans, Multicurrency Revolving Loans, Term Euro Loans and Term A Loans, (i) from the Incremental Amendment No. 2 and Third Amendment Effective Date to the date upon which the Administrative Agent receives the Compliance Certificate related to the financial statements for the Fiscal Quarter ending December 31, 2019, 1.50% and (ii) at any date thereafter, the applicable percentage rate per annum set forth in the following table under the column Applicable Eurocurrency Margin opposite the Most Recent Total Leverage Ratio as of such date:</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58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90"/>
              </w:rPr>
              <w:t>Most Recent Total Leverage Ratio</w:t>
            </w:r>
          </w:p>
        </w:tc>
        <w:tc>
          <w:tcPr>
            <w:tcW w:w="3140" w:type="dxa"/>
            <w:vAlign w:val="bottom"/>
            <w:tcBorders>
              <w:top w:val="single" w:sz="8" w:color="auto"/>
              <w:right w:val="single" w:sz="8" w:color="auto"/>
            </w:tcBorders>
            <w:gridSpan w:val="7"/>
          </w:tcPr>
          <w:p>
            <w:pPr>
              <w:jc w:val="center"/>
              <w:ind w:right="20"/>
              <w:spacing w:after="0"/>
              <w:rPr>
                <w:sz w:val="20"/>
                <w:szCs w:val="20"/>
                <w:color w:val="auto"/>
              </w:rPr>
            </w:pPr>
            <w:r>
              <w:rPr>
                <w:rFonts w:ascii="Arial" w:cs="Arial" w:eastAsia="Arial" w:hAnsi="Arial"/>
                <w:sz w:val="20"/>
                <w:szCs w:val="20"/>
                <w:b w:val="1"/>
                <w:bCs w:val="1"/>
                <w:color w:val="auto"/>
                <w:w w:val="92"/>
              </w:rPr>
              <w:t>Applicable Eurocurrency Margin</w:t>
            </w:r>
          </w:p>
        </w:tc>
        <w:tc>
          <w:tcPr>
            <w:tcW w:w="700" w:type="dxa"/>
            <w:vAlign w:val="bottom"/>
            <w:tcBorders>
              <w:top w:val="single" w:sz="8" w:color="auto"/>
            </w:tcBorders>
          </w:tcPr>
          <w:p>
            <w:pPr>
              <w:spacing w:after="0"/>
              <w:rPr>
                <w:sz w:val="19"/>
                <w:szCs w:val="19"/>
                <w:color w:val="auto"/>
              </w:rPr>
            </w:pPr>
          </w:p>
        </w:tc>
        <w:tc>
          <w:tcPr>
            <w:tcW w:w="2820" w:type="dxa"/>
            <w:vAlign w:val="bottom"/>
            <w:tcBorders>
              <w:top w:val="single" w:sz="8" w:color="auto"/>
              <w:right w:val="single" w:sz="8" w:color="auto"/>
            </w:tcBorders>
            <w:gridSpan w:val="2"/>
            <w:vMerge w:val="restart"/>
          </w:tcPr>
          <w:p>
            <w:pPr>
              <w:jc w:val="center"/>
              <w:ind w:right="720"/>
              <w:spacing w:after="0"/>
              <w:rPr>
                <w:sz w:val="20"/>
                <w:szCs w:val="20"/>
                <w:color w:val="auto"/>
              </w:rPr>
            </w:pPr>
            <w:r>
              <w:rPr>
                <w:rFonts w:ascii="Arial" w:cs="Arial" w:eastAsia="Arial" w:hAnsi="Arial"/>
                <w:sz w:val="20"/>
                <w:szCs w:val="20"/>
                <w:b w:val="1"/>
                <w:bCs w:val="1"/>
                <w:color w:val="auto"/>
                <w:w w:val="91"/>
              </w:rPr>
              <w:t>Daily Simple RFR Loans</w:t>
            </w:r>
          </w:p>
        </w:tc>
        <w:tc>
          <w:tcPr>
            <w:tcW w:w="0" w:type="dxa"/>
            <w:vAlign w:val="bottom"/>
          </w:tcPr>
          <w:p>
            <w:pPr>
              <w:spacing w:after="0"/>
              <w:rPr>
                <w:sz w:val="1"/>
                <w:szCs w:val="1"/>
                <w:color w:val="auto"/>
              </w:rPr>
            </w:pPr>
          </w:p>
        </w:tc>
      </w:tr>
      <w:tr>
        <w:trPr>
          <w:trHeight w:val="196"/>
        </w:trPr>
        <w:tc>
          <w:tcPr>
            <w:tcW w:w="340" w:type="dxa"/>
            <w:vAlign w:val="bottom"/>
            <w:tcBorders>
              <w:left w:val="single" w:sz="8" w:color="auto"/>
            </w:tcBorders>
          </w:tcPr>
          <w:p>
            <w:pPr>
              <w:spacing w:after="0"/>
              <w:rPr>
                <w:sz w:val="17"/>
                <w:szCs w:val="17"/>
                <w:color w:val="auto"/>
              </w:rPr>
            </w:pPr>
          </w:p>
        </w:tc>
        <w:tc>
          <w:tcPr>
            <w:tcW w:w="2900" w:type="dxa"/>
            <w:vAlign w:val="bottom"/>
            <w:tcBorders>
              <w:top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gridSpan w:val="4"/>
          </w:tcPr>
          <w:p>
            <w:pPr>
              <w:jc w:val="center"/>
              <w:ind w:right="160"/>
              <w:spacing w:after="0" w:line="196" w:lineRule="exact"/>
              <w:rPr>
                <w:sz w:val="20"/>
                <w:szCs w:val="20"/>
                <w:color w:val="auto"/>
              </w:rPr>
            </w:pPr>
            <w:r>
              <w:rPr>
                <w:rFonts w:ascii="Arial" w:cs="Arial" w:eastAsia="Arial" w:hAnsi="Arial"/>
                <w:sz w:val="20"/>
                <w:szCs w:val="20"/>
                <w:b w:val="1"/>
                <w:bCs w:val="1"/>
                <w:color w:val="auto"/>
                <w:w w:val="92"/>
              </w:rPr>
              <w:t>(other than Daily Simple RFR</w:t>
            </w:r>
          </w:p>
        </w:tc>
        <w:tc>
          <w:tcPr>
            <w:tcW w:w="16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820" w:type="dxa"/>
            <w:vAlign w:val="bottom"/>
            <w:tcBorders>
              <w:top w:val="single" w:sz="8" w:color="auto"/>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Borders>
              <w:lef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20"/>
                <w:szCs w:val="20"/>
                <w:b w:val="1"/>
                <w:bCs w:val="1"/>
                <w:color w:val="auto"/>
                <w:w w:val="88"/>
              </w:rPr>
              <w:t>Loans)</w:t>
            </w:r>
          </w:p>
        </w:tc>
        <w:tc>
          <w:tcPr>
            <w:tcW w:w="320" w:type="dxa"/>
            <w:vAlign w:val="bottom"/>
            <w:tcBorders>
              <w:right w:val="single" w:sz="8" w:color="auto"/>
            </w:tcBorders>
            <w:gridSpan w:val="2"/>
          </w:tcPr>
          <w:p>
            <w:pPr>
              <w:spacing w:after="0"/>
              <w:rPr>
                <w:sz w:val="17"/>
                <w:szCs w:val="17"/>
                <w:color w:val="auto"/>
              </w:rPr>
            </w:pPr>
          </w:p>
        </w:tc>
        <w:tc>
          <w:tcPr>
            <w:tcW w:w="700" w:type="dxa"/>
            <w:vAlign w:val="bottom"/>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340" w:type="dxa"/>
            <w:vAlign w:val="bottom"/>
            <w:tcBorders>
              <w:left w:val="single" w:sz="8" w:color="auto"/>
              <w:bottom w:val="single" w:sz="8" w:color="auto"/>
            </w:tcBorders>
          </w:tcPr>
          <w:p>
            <w:pPr>
              <w:spacing w:after="0"/>
              <w:rPr>
                <w:sz w:val="22"/>
                <w:szCs w:val="22"/>
                <w:color w:val="auto"/>
              </w:rPr>
            </w:pPr>
          </w:p>
        </w:tc>
        <w:tc>
          <w:tcPr>
            <w:tcW w:w="3240" w:type="dxa"/>
            <w:vAlign w:val="bottom"/>
            <w:tcBorders>
              <w:bottom w:val="single" w:sz="8" w:color="auto"/>
              <w:right w:val="single" w:sz="8" w:color="auto"/>
            </w:tcBorders>
            <w:gridSpan w:val="2"/>
          </w:tcPr>
          <w:p>
            <w:pPr>
              <w:jc w:val="center"/>
              <w:ind w:right="340"/>
              <w:spacing w:after="0"/>
              <w:rPr>
                <w:sz w:val="20"/>
                <w:szCs w:val="20"/>
                <w:color w:val="auto"/>
              </w:rPr>
            </w:pPr>
            <w:r>
              <w:rPr>
                <w:rFonts w:ascii="Arial" w:cs="Arial" w:eastAsia="Arial" w:hAnsi="Arial"/>
                <w:sz w:val="20"/>
                <w:szCs w:val="20"/>
                <w:color w:val="auto"/>
                <w:w w:val="87"/>
              </w:rPr>
              <w:t>Less than 3.00 to 1.00</w:t>
            </w:r>
          </w:p>
        </w:tc>
        <w:tc>
          <w:tcPr>
            <w:tcW w:w="1840" w:type="dxa"/>
            <w:vAlign w:val="bottom"/>
            <w:tcBorders>
              <w:bottom w:val="single" w:sz="8" w:color="auto"/>
            </w:tcBorders>
            <w:gridSpan w:val="4"/>
          </w:tcPr>
          <w:p>
            <w:pPr>
              <w:jc w:val="center"/>
              <w:ind w:left="1181"/>
              <w:spacing w:after="0"/>
              <w:rPr>
                <w:sz w:val="20"/>
                <w:szCs w:val="20"/>
                <w:color w:val="auto"/>
              </w:rPr>
            </w:pPr>
            <w:r>
              <w:rPr>
                <w:rFonts w:ascii="Arial" w:cs="Arial" w:eastAsia="Arial" w:hAnsi="Arial"/>
                <w:sz w:val="20"/>
                <w:szCs w:val="20"/>
                <w:color w:val="auto"/>
                <w:w w:val="91"/>
              </w:rPr>
              <w:t>1.00%</w:t>
            </w:r>
          </w:p>
        </w:tc>
        <w:tc>
          <w:tcPr>
            <w:tcW w:w="9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tcBorders>
            <w:gridSpan w:val="2"/>
          </w:tcPr>
          <w:p>
            <w:pPr>
              <w:jc w:val="center"/>
              <w:ind w:left="601"/>
              <w:spacing w:after="0"/>
              <w:rPr>
                <w:sz w:val="20"/>
                <w:szCs w:val="20"/>
                <w:color w:val="auto"/>
              </w:rPr>
            </w:pPr>
            <w:r>
              <w:rPr>
                <w:rFonts w:ascii="Arial" w:cs="Arial" w:eastAsia="Arial" w:hAnsi="Arial"/>
                <w:sz w:val="20"/>
                <w:szCs w:val="20"/>
                <w:color w:val="auto"/>
                <w:w w:val="88"/>
              </w:rPr>
              <w:t>1.0326%</w:t>
            </w:r>
          </w:p>
        </w:tc>
        <w:tc>
          <w:tcPr>
            <w:tcW w:w="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580" w:type="dxa"/>
            <w:vAlign w:val="bottom"/>
            <w:tcBorders>
              <w:left w:val="single" w:sz="8" w:color="auto"/>
              <w:right w:val="single" w:sz="8" w:color="auto"/>
            </w:tcBorders>
            <w:gridSpan w:val="3"/>
          </w:tcPr>
          <w:p>
            <w:pPr>
              <w:jc w:val="center"/>
              <w:spacing w:after="0" w:line="225" w:lineRule="exact"/>
              <w:rPr>
                <w:sz w:val="20"/>
                <w:szCs w:val="20"/>
                <w:color w:val="auto"/>
              </w:rPr>
            </w:pPr>
            <w:r>
              <w:rPr>
                <w:rFonts w:ascii="Arial" w:cs="Arial" w:eastAsia="Arial" w:hAnsi="Arial"/>
                <w:sz w:val="20"/>
                <w:szCs w:val="20"/>
                <w:color w:val="auto"/>
                <w:w w:val="89"/>
              </w:rPr>
              <w:t>Equal to or greater than 3.00 to 1.00 but</w:t>
            </w:r>
          </w:p>
        </w:tc>
        <w:tc>
          <w:tcPr>
            <w:tcW w:w="1840" w:type="dxa"/>
            <w:vAlign w:val="bottom"/>
            <w:gridSpan w:val="4"/>
          </w:tcPr>
          <w:p>
            <w:pPr>
              <w:jc w:val="center"/>
              <w:ind w:left="1181"/>
              <w:spacing w:after="0" w:line="225" w:lineRule="exact"/>
              <w:rPr>
                <w:sz w:val="20"/>
                <w:szCs w:val="20"/>
                <w:color w:val="auto"/>
              </w:rPr>
            </w:pPr>
            <w:r>
              <w:rPr>
                <w:rFonts w:ascii="Arial" w:cs="Arial" w:eastAsia="Arial" w:hAnsi="Arial"/>
                <w:sz w:val="20"/>
                <w:szCs w:val="20"/>
                <w:color w:val="auto"/>
                <w:w w:val="91"/>
              </w:rPr>
              <w:t>1.25%</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800" w:type="dxa"/>
            <w:vAlign w:val="bottom"/>
            <w:gridSpan w:val="2"/>
          </w:tcPr>
          <w:p>
            <w:pPr>
              <w:jc w:val="center"/>
              <w:ind w:left="601"/>
              <w:spacing w:after="0" w:line="225" w:lineRule="exact"/>
              <w:rPr>
                <w:sz w:val="20"/>
                <w:szCs w:val="20"/>
                <w:color w:val="auto"/>
              </w:rPr>
            </w:pPr>
            <w:r>
              <w:rPr>
                <w:rFonts w:ascii="Arial" w:cs="Arial" w:eastAsia="Arial" w:hAnsi="Arial"/>
                <w:sz w:val="20"/>
                <w:szCs w:val="20"/>
                <w:color w:val="auto"/>
                <w:w w:val="88"/>
              </w:rPr>
              <w:t>1.2826%</w:t>
            </w:r>
          </w:p>
        </w:tc>
        <w:tc>
          <w:tcPr>
            <w:tcW w:w="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40" w:type="dxa"/>
            <w:vAlign w:val="bottom"/>
            <w:tcBorders>
              <w:left w:val="single" w:sz="8" w:color="auto"/>
              <w:bottom w:val="single" w:sz="8" w:color="auto"/>
            </w:tcBorders>
          </w:tcPr>
          <w:p>
            <w:pPr>
              <w:spacing w:after="0"/>
              <w:rPr>
                <w:sz w:val="22"/>
                <w:szCs w:val="22"/>
                <w:color w:val="auto"/>
              </w:rPr>
            </w:pPr>
          </w:p>
        </w:tc>
        <w:tc>
          <w:tcPr>
            <w:tcW w:w="3240" w:type="dxa"/>
            <w:vAlign w:val="bottom"/>
            <w:tcBorders>
              <w:bottom w:val="single" w:sz="8" w:color="auto"/>
              <w:right w:val="single" w:sz="8" w:color="auto"/>
            </w:tcBorders>
            <w:gridSpan w:val="2"/>
          </w:tcPr>
          <w:p>
            <w:pPr>
              <w:jc w:val="center"/>
              <w:ind w:right="340"/>
              <w:spacing w:after="0"/>
              <w:rPr>
                <w:sz w:val="20"/>
                <w:szCs w:val="20"/>
                <w:color w:val="auto"/>
              </w:rPr>
            </w:pPr>
            <w:r>
              <w:rPr>
                <w:rFonts w:ascii="Arial" w:cs="Arial" w:eastAsia="Arial" w:hAnsi="Arial"/>
                <w:sz w:val="20"/>
                <w:szCs w:val="20"/>
                <w:color w:val="auto"/>
                <w:w w:val="88"/>
              </w:rPr>
              <w:t>less than 4.00 to 1.00</w:t>
            </w: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40" w:type="dxa"/>
            <w:vAlign w:val="bottom"/>
            <w:tcBorders>
              <w:left w:val="single" w:sz="8" w:color="auto"/>
              <w:bottom w:val="single" w:sz="8" w:color="auto"/>
            </w:tcBorders>
          </w:tcPr>
          <w:p>
            <w:pPr>
              <w:spacing w:after="0"/>
              <w:rPr>
                <w:sz w:val="22"/>
                <w:szCs w:val="22"/>
                <w:color w:val="auto"/>
              </w:rPr>
            </w:pPr>
          </w:p>
        </w:tc>
        <w:tc>
          <w:tcPr>
            <w:tcW w:w="3240" w:type="dxa"/>
            <w:vAlign w:val="bottom"/>
            <w:tcBorders>
              <w:bottom w:val="single" w:sz="8" w:color="auto"/>
              <w:right w:val="single" w:sz="8" w:color="auto"/>
            </w:tcBorders>
            <w:gridSpan w:val="2"/>
          </w:tcPr>
          <w:p>
            <w:pPr>
              <w:jc w:val="center"/>
              <w:ind w:right="340"/>
              <w:spacing w:after="0"/>
              <w:rPr>
                <w:sz w:val="20"/>
                <w:szCs w:val="20"/>
                <w:color w:val="auto"/>
              </w:rPr>
            </w:pPr>
            <w:r>
              <w:rPr>
                <w:rFonts w:ascii="Arial" w:cs="Arial" w:eastAsia="Arial" w:hAnsi="Arial"/>
                <w:sz w:val="20"/>
                <w:szCs w:val="20"/>
                <w:color w:val="auto"/>
                <w:w w:val="88"/>
              </w:rPr>
              <w:t>Equal to or greater than 4.00 to 1.00</w:t>
            </w:r>
          </w:p>
        </w:tc>
        <w:tc>
          <w:tcPr>
            <w:tcW w:w="1840" w:type="dxa"/>
            <w:vAlign w:val="bottom"/>
            <w:tcBorders>
              <w:bottom w:val="single" w:sz="8" w:color="auto"/>
            </w:tcBorders>
            <w:gridSpan w:val="4"/>
          </w:tcPr>
          <w:p>
            <w:pPr>
              <w:jc w:val="center"/>
              <w:ind w:left="1181"/>
              <w:spacing w:after="0"/>
              <w:rPr>
                <w:sz w:val="20"/>
                <w:szCs w:val="20"/>
                <w:color w:val="auto"/>
              </w:rPr>
            </w:pPr>
            <w:r>
              <w:rPr>
                <w:rFonts w:ascii="Arial" w:cs="Arial" w:eastAsia="Arial" w:hAnsi="Arial"/>
                <w:sz w:val="20"/>
                <w:szCs w:val="20"/>
                <w:color w:val="auto"/>
                <w:w w:val="91"/>
              </w:rPr>
              <w:t>1.50%</w:t>
            </w:r>
          </w:p>
        </w:tc>
        <w:tc>
          <w:tcPr>
            <w:tcW w:w="9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tcBorders>
            <w:gridSpan w:val="2"/>
          </w:tcPr>
          <w:p>
            <w:pPr>
              <w:jc w:val="center"/>
              <w:ind w:left="601"/>
              <w:spacing w:after="0"/>
              <w:rPr>
                <w:sz w:val="20"/>
                <w:szCs w:val="20"/>
                <w:color w:val="auto"/>
              </w:rPr>
            </w:pPr>
            <w:r>
              <w:rPr>
                <w:rFonts w:ascii="Arial" w:cs="Arial" w:eastAsia="Arial" w:hAnsi="Arial"/>
                <w:sz w:val="20"/>
                <w:szCs w:val="20"/>
                <w:color w:val="auto"/>
                <w:w w:val="88"/>
              </w:rPr>
              <w:t>1.5326%</w:t>
            </w:r>
          </w:p>
        </w:tc>
        <w:tc>
          <w:tcPr>
            <w:tcW w:w="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jc w:val="both"/>
        <w:ind w:right="20"/>
        <w:spacing w:after="0" w:line="27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Applicable Eurocurrency Margin shall be adjusted pursuant to the Sustainability Rating Adjustment. Any adjustment in the Applicable Eurocurrency Margin shall be applicable to all applicable Loans then existing or subsequently made or issued.</w:t>
      </w:r>
    </w:p>
    <w:p>
      <w:pPr>
        <w:spacing w:after="0" w:line="180" w:lineRule="exact"/>
        <w:rPr>
          <w:sz w:val="20"/>
          <w:szCs w:val="20"/>
          <w:color w:val="auto"/>
        </w:rPr>
      </w:pPr>
    </w:p>
    <w:p>
      <w:pPr>
        <w:jc w:val="both"/>
        <w:ind w:right="20" w:firstLine="648"/>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LC Sublimit</w:t>
      </w:r>
      <w:r>
        <w:rPr>
          <w:rFonts w:ascii="Arial" w:cs="Arial" w:eastAsia="Arial" w:hAnsi="Arial"/>
          <w:sz w:val="16"/>
          <w:szCs w:val="16"/>
          <w:color w:val="auto"/>
        </w:rPr>
        <w:t xml:space="preserve">” means, (i) with respect to each of the Facing Agents on the Incremental Amendment No. 2 and Third Amendment Effective Date, the amount set forth opposite such Facing Agent’s name on </w:t>
      </w:r>
      <w:r>
        <w:rPr>
          <w:rFonts w:ascii="Arial" w:cs="Arial" w:eastAsia="Arial" w:hAnsi="Arial"/>
          <w:sz w:val="16"/>
          <w:szCs w:val="16"/>
          <w:u w:val="single" w:color="auto"/>
          <w:color w:val="auto"/>
        </w:rPr>
        <w:t>Schedule 1.1(g)</w:t>
      </w:r>
      <w:r>
        <w:rPr>
          <w:rFonts w:ascii="Arial" w:cs="Arial" w:eastAsia="Arial" w:hAnsi="Arial"/>
          <w:sz w:val="16"/>
          <w:szCs w:val="16"/>
          <w:color w:val="auto"/>
        </w:rPr>
        <w:t xml:space="preserve"> and (ii) with respect to any other Person that becomes a Facing Agent pursuant to the terms of the applicable agreement pursuant to which such entity agrees to become a Facing Agent hereunder, such amount as agreed to in writing by Crown Holdings and such Person at the time such Person becomes a Facing Agent pursuant to the terms of the applicable agreement pursuant to which such entity agrees to become a Facing Agent hereunder, as each of the foregoing amounts may be decreased or increased from time to time with the written consent of Crown Holdings and the Facing</w:t>
      </w:r>
    </w:p>
    <w:p>
      <w:pPr>
        <w:sectPr>
          <w:pgSz w:w="11900" w:h="16838" w:orient="portrait"/>
          <w:cols w:equalWidth="0" w:num="1">
            <w:col w:w="11260"/>
          </w:cols>
          <w:pgMar w:left="320" w:top="1440" w:right="319" w:bottom="1440" w:gutter="0" w:footer="0" w:header="0"/>
        </w:sectPr>
      </w:pPr>
    </w:p>
    <w:bookmarkStart w:id="117" w:name="page118"/>
    <w:bookmarkEnd w:id="117"/>
    <w:p>
      <w:pPr>
        <w:spacing w:after="0" w:line="246" w:lineRule="auto"/>
        <w:rPr>
          <w:sz w:val="20"/>
          <w:szCs w:val="20"/>
          <w:color w:val="auto"/>
        </w:rPr>
      </w:pPr>
      <w:r>
        <w:rPr>
          <w:rFonts w:ascii="Arial" w:cs="Arial" w:eastAsia="Arial" w:hAnsi="Arial"/>
          <w:sz w:val="20"/>
          <w:szCs w:val="20"/>
          <w:color w:val="auto"/>
        </w:rPr>
        <w:t>Agents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increase in the Applicable LC Sublimit with respect to any Facing Agent shall only require the consent of Crown Holdings and such Facing Agent).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Bank</w:t>
      </w:r>
      <w:r>
        <w:rPr>
          <w:rFonts w:ascii="Arial" w:cs="Arial" w:eastAsia="Arial" w:hAnsi="Arial"/>
          <w:sz w:val="20"/>
          <w:szCs w:val="20"/>
          <w:color w:val="auto"/>
        </w:rPr>
        <w:t>” has the meaning assigned to that term in the definition of “Cash Equivalents.”</w:t>
      </w:r>
    </w:p>
    <w:p>
      <w:pPr>
        <w:spacing w:after="0" w:line="229"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Member State</w:t>
      </w:r>
      <w:r>
        <w:rPr>
          <w:rFonts w:ascii="Arial" w:cs="Arial" w:eastAsia="Arial" w:hAnsi="Arial"/>
          <w:sz w:val="20"/>
          <w:szCs w:val="20"/>
          <w:color w:val="auto"/>
        </w:rPr>
        <w:t>” means Belgium, France, Germany, Ireland, Italy, Luxembourg, The Netherlands, Spain, Sweden and the United Kingdom.</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each of Deutsche Bank Securities Inc., Citibank, N.A., Wells Fargo Securities, LLC, Merrill Lynch, Pierce, Fenner</w:t>
      </w:r>
    </w:p>
    <w:p>
      <w:pPr>
        <w:spacing w:after="0" w:line="25" w:lineRule="exact"/>
        <w:rPr>
          <w:sz w:val="20"/>
          <w:szCs w:val="20"/>
          <w:color w:val="auto"/>
        </w:rPr>
      </w:pPr>
    </w:p>
    <w:p>
      <w:pPr>
        <w:ind w:firstLine="8"/>
        <w:spacing w:after="0" w:line="282" w:lineRule="auto"/>
        <w:tabs>
          <w:tab w:leader="none" w:pos="2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Smith Incorporated, BNP Paribas, Banco Santander, S.A., Mizuho Bank, Ltd., The Bank of Nova Scotia and TD Bank, N.A., each in its capacity as a joint lead arranger under this Agreement, and each Incremental Amendment No. 2 and Third Amendment Arranger.</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Asbestos Payment</w:t>
      </w:r>
      <w:r>
        <w:rPr>
          <w:rFonts w:ascii="Arial" w:cs="Arial" w:eastAsia="Arial" w:hAnsi="Arial"/>
          <w:sz w:val="19"/>
          <w:szCs w:val="19"/>
          <w:color w:val="auto"/>
        </w:rPr>
        <w:t>” means any payment in cash actually made by or on behalf of Crown Holdings or any Subsidiary in respect of any liability related to asbestos or any actual or threatened claim, action or proceeding related to asbestos (including any settlement of any thereof). For avoidance of doubt, deferred payments shall only constitute Asbestos Payments when made.</w:t>
      </w:r>
    </w:p>
    <w:p>
      <w:pPr>
        <w:spacing w:after="0" w:line="197"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 Disposition</w:t>
      </w:r>
      <w:r>
        <w:rPr>
          <w:rFonts w:ascii="Arial" w:cs="Arial" w:eastAsia="Arial" w:hAnsi="Arial"/>
          <w:sz w:val="20"/>
          <w:szCs w:val="20"/>
          <w:color w:val="auto"/>
        </w:rPr>
        <w:t>” means any sale, transfer, lease, conveyance or other disposition (or series of related sales, leases, transfers or dispositions) of all or any part of (i) an interest in shares of Capital Stock of a Subsidiary of Crown Holdings (other than directors’ qualifying shares) or (ii) property or other assets (each of (i) and (ii) referred to for the purposes of this definition as a “</w:t>
      </w:r>
      <w:r>
        <w:rPr>
          <w:rFonts w:ascii="Arial" w:cs="Arial" w:eastAsia="Arial" w:hAnsi="Arial"/>
          <w:sz w:val="20"/>
          <w:szCs w:val="20"/>
          <w:u w:val="single" w:color="auto"/>
          <w:color w:val="auto"/>
        </w:rPr>
        <w:t>disposition</w:t>
      </w:r>
      <w:r>
        <w:rPr>
          <w:rFonts w:ascii="Arial" w:cs="Arial" w:eastAsia="Arial" w:hAnsi="Arial"/>
          <w:sz w:val="20"/>
          <w:szCs w:val="20"/>
          <w:color w:val="auto"/>
        </w:rPr>
        <w:t xml:space="preserve">”) by Crown Holdings or any of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asset dispositions following the Incremental Amendment No. 2 and Third Amendment Effective Date having an aggregate fair market value not in excess of $750,000,000 shall not be deemed an “Asset Disposition” for purposes of this Agreement</w:t>
      </w:r>
      <w:r>
        <w:rPr>
          <w:rFonts w:ascii="Arial" w:cs="Arial" w:eastAsia="Arial" w:hAnsi="Arial"/>
          <w:sz w:val="20"/>
          <w:szCs w:val="20"/>
          <w:i w:val="1"/>
          <w:iCs w:val="1"/>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12.8(d)</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 Agreement</w:t>
      </w:r>
      <w:r>
        <w:rPr>
          <w:rFonts w:ascii="Arial" w:cs="Arial" w:eastAsia="Arial" w:hAnsi="Arial"/>
          <w:sz w:val="20"/>
          <w:szCs w:val="20"/>
          <w:color w:val="auto"/>
        </w:rPr>
        <w:t xml:space="preserve">” means an Assignment and Assumption Agreement substantially in the form of </w:t>
      </w:r>
      <w:r>
        <w:rPr>
          <w:rFonts w:ascii="Arial" w:cs="Arial" w:eastAsia="Arial" w:hAnsi="Arial"/>
          <w:sz w:val="20"/>
          <w:szCs w:val="20"/>
          <w:u w:val="single" w:color="auto"/>
          <w:color w:val="auto"/>
        </w:rPr>
        <w:t>Exhibit</w:t>
      </w:r>
      <w:r>
        <w:rPr>
          <w:rFonts w:ascii="Arial" w:cs="Arial" w:eastAsia="Arial" w:hAnsi="Arial"/>
          <w:sz w:val="20"/>
          <w:szCs w:val="20"/>
          <w:color w:val="auto"/>
        </w:rPr>
        <w:t xml:space="preserve"> </w:t>
      </w:r>
      <w:r>
        <w:rPr>
          <w:rFonts w:ascii="Arial" w:cs="Arial" w:eastAsia="Arial" w:hAnsi="Arial"/>
          <w:sz w:val="20"/>
          <w:szCs w:val="20"/>
          <w:u w:val="single" w:color="auto"/>
          <w:color w:val="auto"/>
        </w:rPr>
        <w:t>12.8(d)</w:t>
      </w:r>
      <w:r>
        <w:rPr>
          <w:rFonts w:ascii="Arial" w:cs="Arial" w:eastAsia="Arial" w:hAnsi="Arial"/>
          <w:sz w:val="20"/>
          <w:szCs w:val="20"/>
          <w:color w:val="auto"/>
        </w:rPr>
        <w:t xml:space="preserve"> (or such other form as mutually agreed by Crown Holdings and the Administrative Agent) by any applicable Lender, as assignor, and such Lender’s assignee in accordance with </w:t>
      </w:r>
      <w:r>
        <w:rPr>
          <w:rFonts w:ascii="Arial" w:cs="Arial" w:eastAsia="Arial" w:hAnsi="Arial"/>
          <w:sz w:val="20"/>
          <w:szCs w:val="20"/>
          <w:u w:val="single" w:color="auto"/>
          <w:color w:val="auto"/>
        </w:rPr>
        <w:t>Section 12.8</w:t>
      </w:r>
      <w:r>
        <w:rPr>
          <w:rFonts w:ascii="Arial" w:cs="Arial" w:eastAsia="Arial" w:hAnsi="Arial"/>
          <w:sz w:val="20"/>
          <w:szCs w:val="20"/>
          <w:color w:val="auto"/>
        </w:rPr>
        <w:t>.</w:t>
      </w:r>
    </w:p>
    <w:p>
      <w:pPr>
        <w:spacing w:after="0" w:line="210"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Attorney Costs</w:t>
      </w:r>
      <w:r>
        <w:rPr>
          <w:rFonts w:ascii="Arial" w:cs="Arial" w:eastAsia="Arial" w:hAnsi="Arial"/>
          <w:sz w:val="20"/>
          <w:szCs w:val="20"/>
          <w:color w:val="auto"/>
        </w:rPr>
        <w:t>” means all reasonable, documented and out-of-pocket fees and disbursements of any law firm or other external counsel, which, in the absence of an Event of Default which is continuing, shall include only the fees and expenses of one joint outside counsel for the Administrative Agent and the Lenders (and special and local counsels in each appropriate jurisdiction, to the extent reasonably necessary).</w:t>
      </w:r>
    </w:p>
    <w:p>
      <w:pPr>
        <w:spacing w:after="0" w:line="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Attributable Debt</w:t>
      </w:r>
      <w:r>
        <w:rPr>
          <w:rFonts w:ascii="Arial" w:cs="Arial" w:eastAsia="Arial" w:hAnsi="Arial"/>
          <w:sz w:val="19"/>
          <w:szCs w:val="19"/>
          <w:color w:val="auto"/>
        </w:rPr>
        <w:t xml:space="preserve">” means as of the date of determination thereof, without duplication, (i) in connection with a sale and leaseback transaction, the net present value (discounted according to GAAP at the cost of debt implied in the lease) of the obligations of the lessee for net rental payments during the then remaining term of any applicable lease, (ii) the aggregate Receivables Net Investment of all Permitted Receivables or Factoring Financings outstanding and (iii) the liquidation or preference value of outstanding Disqualified Preferred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Excluded Attributable Debt shall not constitute Attributable Debt.</w:t>
      </w:r>
    </w:p>
    <w:p>
      <w:pPr>
        <w:spacing w:after="0" w:line="21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Amount</w:t>
      </w:r>
      <w:r>
        <w:rPr>
          <w:rFonts w:ascii="Arial" w:cs="Arial" w:eastAsia="Arial" w:hAnsi="Arial"/>
          <w:sz w:val="20"/>
          <w:szCs w:val="20"/>
          <w:color w:val="auto"/>
        </w:rPr>
        <w:t>” means, on any date of determination, an amount equal to the sum of (A) 50% of the Consolidated Net Income of Crown Holdings for the period (taken as one accounting period) from December 31, 2004 to the end of Crown Holdings’ most recently ended Fiscal Quarter for which internal financial statements are available at the time of such Investment (or, in the case such Consolidated Net Income shall be a deficit, minus 100% of such deficit); plus (B) 100% of the aggregate Net Proceeds received by Crown Holdings from the issuance and sale of its Capital Stock after the</w:t>
      </w:r>
    </w:p>
    <w:p>
      <w:pPr>
        <w:sectPr>
          <w:pgSz w:w="11900" w:h="16838" w:orient="portrait"/>
          <w:cols w:equalWidth="0" w:num="1">
            <w:col w:w="11240"/>
          </w:cols>
          <w:pgMar w:left="320" w:top="1419" w:right="339" w:bottom="1440" w:gutter="0" w:footer="0" w:header="0"/>
        </w:sectPr>
      </w:pPr>
    </w:p>
    <w:bookmarkStart w:id="118" w:name="page119"/>
    <w:bookmarkEnd w:id="118"/>
    <w:p>
      <w:pPr>
        <w:jc w:val="both"/>
        <w:spacing w:after="0" w:line="237" w:lineRule="auto"/>
        <w:rPr>
          <w:sz w:val="20"/>
          <w:szCs w:val="20"/>
          <w:color w:val="auto"/>
        </w:rPr>
      </w:pPr>
      <w:r>
        <w:rPr>
          <w:rFonts w:ascii="Arial" w:cs="Arial" w:eastAsia="Arial" w:hAnsi="Arial"/>
          <w:sz w:val="20"/>
          <w:szCs w:val="20"/>
          <w:color w:val="auto"/>
        </w:rPr>
        <w:t>Effective Date (other than Capital Stock that is not permitted to be issued under Section 8.1(b)), plus (C) $200,000,000 plus (D) the Retained Declined Proceeds minus (E) the amount of any usage of such Available Amount pursuant to Section 8.4(l), Section 8.8(m) and Section 8.11(b)(s), in each case in this clause (E), prior to such date.</w:t>
      </w:r>
    </w:p>
    <w:p>
      <w:pPr>
        <w:spacing w:after="0" w:line="21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Canadian Revolving Commitment</w:t>
      </w:r>
      <w:r>
        <w:rPr>
          <w:rFonts w:ascii="Arial" w:cs="Arial" w:eastAsia="Arial" w:hAnsi="Arial"/>
          <w:sz w:val="18"/>
          <w:szCs w:val="18"/>
          <w:color w:val="auto"/>
        </w:rPr>
        <w:t>” means, as to any Lender at any time, an amount equal to the excess, if any, of (a) such Lender’s Canadian Revolving Commitment over (b) the sum of (i) the Effective Amount of then outstanding Canadian Revolving Loans made by such Lender and (ii) such Lender’s Canadian Revolver Pro Rata Share of the Effective Amount of Canadian LC Obligations.</w:t>
      </w:r>
    </w:p>
    <w:p>
      <w:pPr>
        <w:spacing w:after="0" w:line="1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Dollar Revolving Commitment</w:t>
      </w:r>
      <w:r>
        <w:rPr>
          <w:rFonts w:ascii="Arial" w:cs="Arial" w:eastAsia="Arial" w:hAnsi="Arial"/>
          <w:sz w:val="18"/>
          <w:szCs w:val="18"/>
          <w:color w:val="auto"/>
        </w:rPr>
        <w:t>” means, as to any Lender at any time an amount equal to the excess, if any, of (a) such Lender’s Dollar Revolving Commitment over (b) the sum of (i) the aggregate Effective Amount of then outstanding Dollar Revolving Loans made by such Lender and (ii) such Lender’s Dollar Revolver Pro Rata Share of the Effective Amount of Dollar LC Obligations.</w:t>
      </w:r>
    </w:p>
    <w:p>
      <w:pPr>
        <w:spacing w:after="0" w:line="17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Multicurrency Revolving Commitment</w:t>
      </w:r>
      <w:r>
        <w:rPr>
          <w:rFonts w:ascii="Arial" w:cs="Arial" w:eastAsia="Arial" w:hAnsi="Arial"/>
          <w:sz w:val="20"/>
          <w:szCs w:val="20"/>
          <w:color w:val="auto"/>
        </w:rPr>
        <w:t>” means, as to any Lender at any time an amount equal to the excess, if any, of (a) such Lender’s Multicurrency Revolving Commitment over (b) the sum of (i) the aggregate Effective Amount of then outstanding Multicurrency Revolving Loans made by such Lender and (ii) such Lender’s Multicurrency Revolver Pro Rata Share of the Effective Amount of LC Obligations and Swing Line Loans then outstanding.</w:t>
      </w:r>
    </w:p>
    <w:p>
      <w:pPr>
        <w:spacing w:after="0" w:line="21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Multicurrency Revolving Sublimit</w:t>
      </w:r>
      <w:r>
        <w:rPr>
          <w:rFonts w:ascii="Arial" w:cs="Arial" w:eastAsia="Arial" w:hAnsi="Arial"/>
          <w:sz w:val="18"/>
          <w:szCs w:val="18"/>
          <w:color w:val="auto"/>
        </w:rPr>
        <w:t>” means, as to European Borrower or any Subsidiary Borrower at any time an amount equal to (i) such Borrower’s Multicurrency Revolving Sublimit at such time minus (ii) the sum of (a) the aggregate Effective Amount of then outstanding Multicurrency Revolving Loans made to such Borrower plus (b) the Effective Amount of such Borrower’s LC Obligations plus</w:t>
      </w:r>
    </w:p>
    <w:p>
      <w:pPr>
        <w:spacing w:after="0" w:line="2" w:lineRule="exact"/>
        <w:rPr>
          <w:sz w:val="20"/>
          <w:szCs w:val="20"/>
          <w:color w:val="auto"/>
        </w:rPr>
      </w:pPr>
    </w:p>
    <w:p>
      <w:pPr>
        <w:ind w:left="660" w:right="3420" w:hanging="652"/>
        <w:spacing w:after="0" w:line="522" w:lineRule="auto"/>
        <w:tabs>
          <w:tab w:leader="none" w:pos="28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aggregate Effective Amount of then outstanding Swing Line Loans made to such Borrower. “</w:t>
      </w:r>
      <w:r>
        <w:rPr>
          <w:rFonts w:ascii="Arial" w:cs="Arial" w:eastAsia="Arial" w:hAnsi="Arial"/>
          <w:sz w:val="18"/>
          <w:szCs w:val="18"/>
          <w:u w:val="single" w:color="auto"/>
          <w:color w:val="auto"/>
        </w:rPr>
        <w:t>B/A Equivalent Loan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2A.9(h)</w:t>
      </w:r>
      <w:r>
        <w:rPr>
          <w:rFonts w:ascii="Arial" w:cs="Arial" w:eastAsia="Arial" w:hAnsi="Arial"/>
          <w:sz w:val="18"/>
          <w:szCs w:val="18"/>
          <w:color w:val="auto"/>
        </w:rPr>
        <w:t>.</w:t>
      </w:r>
    </w:p>
    <w:p>
      <w:pPr>
        <w:spacing w:after="0" w:line="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 Loan</w:t>
      </w:r>
      <w:r>
        <w:rPr>
          <w:rFonts w:ascii="Arial" w:cs="Arial" w:eastAsia="Arial" w:hAnsi="Arial"/>
          <w:sz w:val="20"/>
          <w:szCs w:val="20"/>
          <w:color w:val="auto"/>
        </w:rPr>
        <w:t xml:space="preserve">” means a Borrowing comprised of one or more Bankers’ Acceptances or, as applicable, B/A Equivalent Loans. For greater certainty, all provisions of this Agreement which are applicable to Bankers’ Acceptances are also applicable, </w:t>
      </w:r>
      <w:r>
        <w:rPr>
          <w:rFonts w:ascii="Arial" w:cs="Arial" w:eastAsia="Arial" w:hAnsi="Arial"/>
          <w:sz w:val="20"/>
          <w:szCs w:val="20"/>
          <w:u w:val="single" w:color="auto"/>
          <w:color w:val="auto"/>
        </w:rPr>
        <w:t>mutatis mutandis</w:t>
      </w:r>
      <w:r>
        <w:rPr>
          <w:rFonts w:ascii="Arial" w:cs="Arial" w:eastAsia="Arial" w:hAnsi="Arial"/>
          <w:sz w:val="20"/>
          <w:szCs w:val="20"/>
          <w:color w:val="auto"/>
        </w:rPr>
        <w:t>, to B/A Equivalent Loans.</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21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Related Cash Management Agreement</w:t>
      </w:r>
      <w:r>
        <w:rPr>
          <w:rFonts w:ascii="Arial" w:cs="Arial" w:eastAsia="Arial" w:hAnsi="Arial"/>
          <w:sz w:val="18"/>
          <w:szCs w:val="18"/>
          <w:color w:val="auto"/>
        </w:rPr>
        <w:t xml:space="preserve">” means agreements of Crown Holdings or any of its Subsidiaries arising from treasury, depository, cash management services (but excluding credit and debit cards) and letter of credit facilities pursuant to </w:t>
      </w:r>
      <w:r>
        <w:rPr>
          <w:rFonts w:ascii="Arial" w:cs="Arial" w:eastAsia="Arial" w:hAnsi="Arial"/>
          <w:sz w:val="18"/>
          <w:szCs w:val="18"/>
          <w:u w:val="single" w:color="auto"/>
          <w:color w:val="auto"/>
        </w:rPr>
        <w:t>Section 8.1(a)(xxviii)</w:t>
      </w:r>
      <w:r>
        <w:rPr>
          <w:rFonts w:ascii="Arial" w:cs="Arial" w:eastAsia="Arial" w:hAnsi="Arial"/>
          <w:sz w:val="18"/>
          <w:szCs w:val="18"/>
          <w:color w:val="auto"/>
        </w:rPr>
        <w:t xml:space="preserve"> provided by one or more counterparties that are Administrative Agent, U.K. Administrative Agent, Canadian Administrative Agent or a Lender or an Affiliate thereof at the time that such Bank Related Cash Management Agreement was entered into.</w:t>
      </w:r>
    </w:p>
    <w:p>
      <w:pPr>
        <w:spacing w:after="0" w:line="18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Related Debt</w:t>
      </w:r>
      <w:r>
        <w:rPr>
          <w:rFonts w:ascii="Arial" w:cs="Arial" w:eastAsia="Arial" w:hAnsi="Arial"/>
          <w:sz w:val="20"/>
          <w:szCs w:val="20"/>
          <w:color w:val="auto"/>
        </w:rPr>
        <w:t xml:space="preserve">” means obligations under Hedging Agreements, letter of credit facilities pursuant to </w:t>
      </w:r>
      <w:r>
        <w:rPr>
          <w:rFonts w:ascii="Arial" w:cs="Arial" w:eastAsia="Arial" w:hAnsi="Arial"/>
          <w:sz w:val="20"/>
          <w:szCs w:val="20"/>
          <w:u w:val="single" w:color="auto"/>
          <w:color w:val="auto"/>
        </w:rPr>
        <w:t>Section 8.1(a)(xxviii)</w:t>
      </w:r>
      <w:r>
        <w:rPr>
          <w:rFonts w:ascii="Arial" w:cs="Arial" w:eastAsia="Arial" w:hAnsi="Arial"/>
          <w:sz w:val="20"/>
          <w:szCs w:val="20"/>
          <w:color w:val="auto"/>
        </w:rPr>
        <w:t>, and Bank Related Cash Management Agreements owed to counterparties that are Administrative Agent, U.K. Administrative Agent, Canadian Administrative Agent</w:t>
      </w:r>
    </w:p>
    <w:p>
      <w:pPr>
        <w:sectPr>
          <w:pgSz w:w="11900" w:h="16838" w:orient="portrait"/>
          <w:cols w:equalWidth="0" w:num="1">
            <w:col w:w="11240"/>
          </w:cols>
          <w:pgMar w:left="320" w:top="1419" w:right="339" w:bottom="1440" w:gutter="0" w:footer="0" w:header="0"/>
        </w:sectPr>
      </w:pPr>
    </w:p>
    <w:bookmarkStart w:id="119" w:name="page120"/>
    <w:bookmarkEnd w:id="119"/>
    <w:p>
      <w:pPr>
        <w:jc w:val="both"/>
        <w:spacing w:after="0" w:line="246" w:lineRule="auto"/>
        <w:rPr>
          <w:sz w:val="20"/>
          <w:szCs w:val="20"/>
          <w:color w:val="auto"/>
        </w:rPr>
      </w:pPr>
      <w:r>
        <w:rPr>
          <w:rFonts w:ascii="Arial" w:cs="Arial" w:eastAsia="Arial" w:hAnsi="Arial"/>
          <w:sz w:val="20"/>
          <w:szCs w:val="20"/>
          <w:color w:val="auto"/>
        </w:rPr>
        <w:t>or a Lender or any Affiliate thereof at the time such Hedging Agreement, letter of credit facility or Bank Related Cash Management Agreement was entered into (any such Person, a “</w:t>
      </w:r>
      <w:r>
        <w:rPr>
          <w:rFonts w:ascii="Arial" w:cs="Arial" w:eastAsia="Arial" w:hAnsi="Arial"/>
          <w:sz w:val="20"/>
          <w:szCs w:val="20"/>
          <w:u w:val="single" w:color="auto"/>
          <w:color w:val="auto"/>
        </w:rPr>
        <w:t>Hedge Bank</w:t>
      </w:r>
      <w:r>
        <w:rPr>
          <w:rFonts w:ascii="Arial" w:cs="Arial" w:eastAsia="Arial" w:hAnsi="Arial"/>
          <w:sz w:val="20"/>
          <w:szCs w:val="20"/>
          <w:color w:val="auto"/>
        </w:rPr>
        <w:t>”) to the extent permitted hereunder.</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Bankers’ Acceptance</w:t>
      </w:r>
      <w:r>
        <w:rPr>
          <w:rFonts w:ascii="Arial" w:cs="Arial" w:eastAsia="Arial" w:hAnsi="Arial"/>
          <w:sz w:val="19"/>
          <w:szCs w:val="19"/>
          <w:color w:val="auto"/>
        </w:rPr>
        <w:t>” and “</w:t>
      </w:r>
      <w:r>
        <w:rPr>
          <w:rFonts w:ascii="Arial" w:cs="Arial" w:eastAsia="Arial" w:hAnsi="Arial"/>
          <w:sz w:val="19"/>
          <w:szCs w:val="19"/>
          <w:u w:val="single" w:color="auto"/>
          <w:color w:val="auto"/>
        </w:rPr>
        <w:t>B/A</w:t>
      </w:r>
      <w:r>
        <w:rPr>
          <w:rFonts w:ascii="Arial" w:cs="Arial" w:eastAsia="Arial" w:hAnsi="Arial"/>
          <w:sz w:val="19"/>
          <w:szCs w:val="19"/>
          <w:color w:val="auto"/>
        </w:rPr>
        <w:t>” mean a depository bill within the meaning of the Depository Bills and Notes Act (Canada) or a bill of exchange within the meaning of the Bills of Exchange Act (Canada), in each case, denominated in Canadian Dollars, drawn by Canadian Borrower, and accepted by a Canadian Revolving Lender in accordance with this Agreement.</w:t>
      </w:r>
    </w:p>
    <w:p>
      <w:pPr>
        <w:spacing w:after="0" w:line="19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means Title I of the Bankruptcy Reform Act of 1978, as amended, as set forth in Title 11 of the United States Code, as hereafter amended, the BIA, the CCAA, the WURA and all other liquidation, conservatorship, bankruptcy, assignment for the benefit of creditors, moratorium, rearrangement, receivership, insolvency, reorganization or similar debtor relief laws of any applicable jurisdictions from time to time in effect and affecting the rights of creditors generally.</w:t>
      </w:r>
    </w:p>
    <w:p>
      <w:pPr>
        <w:spacing w:after="0" w:line="210"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w:t>
      </w:r>
      <w:r>
        <w:rPr>
          <w:rFonts w:ascii="Arial" w:cs="Arial" w:eastAsia="Arial" w:hAnsi="Arial"/>
          <w:sz w:val="20"/>
          <w:szCs w:val="20"/>
          <w:color w:val="auto"/>
        </w:rPr>
        <w:t>” means the greater of (i) the rate most recently announced by the Administrative Agent at its principal office as its “prime rate,” which is not necessarily the lowest rate made available by the Administrative Agent, (ii) the Federal Funds Rate plus 1/2 of 1% per annum or (iii) the Eurocurrency Rate plus 1.00%. The “prime rate” announced by the Administrative Agent is evidenced by the recording thereof after its announcement in such internal publication or publications as the Administrative Agent may designate. Any change in the interest rate resulting from a change in such “prime rate” announced by the Administrative Agent shall become effective without prior notice to Borrower as of 12:01 a.m. (New York City time) on the Business Day on which each change in such “prime rate” is announced by the Administrative Agent. The Administrative Agent may make commercial or other loans to others at rates of interest at, above or below its “prime rate.”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any Loan which bears interest at a rate determined with reference to the Base Rate.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Basel III</w:t>
      </w:r>
      <w:r>
        <w:rPr>
          <w:rFonts w:ascii="Arial" w:cs="Arial" w:eastAsia="Arial" w:hAnsi="Arial"/>
          <w:sz w:val="20"/>
          <w:szCs w:val="20"/>
          <w:color w:val="auto"/>
        </w:rPr>
        <w:t>” means:</w:t>
      </w:r>
    </w:p>
    <w:p>
      <w:pPr>
        <w:spacing w:after="0" w:line="2" w:lineRule="exact"/>
        <w:rPr>
          <w:sz w:val="20"/>
          <w:szCs w:val="20"/>
          <w:color w:val="auto"/>
        </w:rPr>
      </w:pPr>
    </w:p>
    <w:p>
      <w:pPr>
        <w:ind w:left="1960" w:hanging="436"/>
        <w:spacing w:after="0"/>
        <w:tabs>
          <w:tab w:leader="none" w:pos="1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agreements on capital requirements, a leverage ratio and liquidity standards contained in “Basel III: A global</w:t>
      </w:r>
    </w:p>
    <w:p>
      <w:pPr>
        <w:spacing w:after="0" w:line="9" w:lineRule="exact"/>
        <w:rPr>
          <w:rFonts w:ascii="Arial" w:cs="Arial" w:eastAsia="Arial" w:hAnsi="Arial"/>
          <w:sz w:val="18"/>
          <w:szCs w:val="18"/>
          <w:color w:val="auto"/>
        </w:rPr>
      </w:pPr>
    </w:p>
    <w:p>
      <w:pPr>
        <w:jc w:val="both"/>
        <w:ind w:left="1960"/>
        <w:spacing w:after="0" w:line="225" w:lineRule="auto"/>
        <w:rPr>
          <w:rFonts w:ascii="Arial" w:cs="Arial" w:eastAsia="Arial" w:hAnsi="Arial"/>
          <w:sz w:val="18"/>
          <w:szCs w:val="18"/>
          <w:color w:val="auto"/>
        </w:rPr>
      </w:pPr>
      <w:r>
        <w:rPr>
          <w:rFonts w:ascii="Arial" w:cs="Arial" w:eastAsia="Arial" w:hAnsi="Arial"/>
          <w:sz w:val="20"/>
          <w:szCs w:val="20"/>
          <w:color w:val="auto"/>
        </w:rPr>
        <w:t>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 w:lineRule="exact"/>
        <w:rPr>
          <w:rFonts w:ascii="Arial" w:cs="Arial" w:eastAsia="Arial" w:hAnsi="Arial"/>
          <w:sz w:val="18"/>
          <w:szCs w:val="18"/>
          <w:color w:val="auto"/>
        </w:rPr>
      </w:pPr>
    </w:p>
    <w:p>
      <w:pPr>
        <w:jc w:val="both"/>
        <w:ind w:left="1960" w:hanging="491"/>
        <w:spacing w:after="0" w:line="237" w:lineRule="auto"/>
        <w:tabs>
          <w:tab w:leader="none" w:pos="19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ind w:left="1960" w:hanging="546"/>
        <w:spacing w:after="0"/>
        <w:tabs>
          <w:tab w:leader="none" w:pos="1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9" w:lineRule="exact"/>
        <w:rPr>
          <w:rFonts w:ascii="Arial" w:cs="Arial" w:eastAsia="Arial" w:hAnsi="Arial"/>
          <w:sz w:val="18"/>
          <w:szCs w:val="18"/>
          <w:color w:val="auto"/>
        </w:rPr>
      </w:pPr>
    </w:p>
    <w:p>
      <w:pPr>
        <w:ind w:left="1420"/>
        <w:spacing w:after="0" w:line="225" w:lineRule="auto"/>
        <w:rPr>
          <w:rFonts w:ascii="Arial" w:cs="Arial" w:eastAsia="Arial" w:hAnsi="Arial"/>
          <w:sz w:val="18"/>
          <w:szCs w:val="18"/>
          <w:color w:val="auto"/>
        </w:rPr>
      </w:pPr>
      <w:r>
        <w:rPr>
          <w:rFonts w:ascii="Arial" w:cs="Arial" w:eastAsia="Arial" w:hAnsi="Arial"/>
          <w:sz w:val="20"/>
          <w:szCs w:val="20"/>
          <w:color w:val="auto"/>
        </w:rPr>
        <w:t>iv.</w:t>
      </w:r>
    </w:p>
    <w:p>
      <w:pPr>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29"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any of (a) an “employee benefit plan” (as defined in ERISA) that is subject to Title I of ERISA, (b) a “plan” as defined in and subject to Section 4975 of the Code or (c) any Person</w:t>
      </w:r>
    </w:p>
    <w:p>
      <w:pPr>
        <w:sectPr>
          <w:pgSz w:w="11900" w:h="16838" w:orient="portrait"/>
          <w:cols w:equalWidth="0" w:num="1">
            <w:col w:w="11240"/>
          </w:cols>
          <w:pgMar w:left="320" w:top="1419" w:right="339" w:bottom="1440" w:gutter="0" w:footer="0" w:header="0"/>
        </w:sectPr>
      </w:pPr>
    </w:p>
    <w:bookmarkStart w:id="120" w:name="page121"/>
    <w:bookmarkEnd w:id="120"/>
    <w:p>
      <w:pPr>
        <w:jc w:val="both"/>
        <w:spacing w:after="0" w:line="246" w:lineRule="auto"/>
        <w:rPr>
          <w:sz w:val="20"/>
          <w:szCs w:val="20"/>
          <w:color w:val="auto"/>
        </w:rPr>
      </w:pPr>
      <w:r>
        <w:rPr>
          <w:rFonts w:ascii="Arial" w:cs="Arial" w:eastAsia="Arial" w:hAnsi="Arial"/>
          <w:sz w:val="20"/>
          <w:szCs w:val="20"/>
          <w:color w:val="auto"/>
        </w:rPr>
        <w:t>whose assets include (for purposes of ERISA Section 3(42) or otherwise for purposes of Title I of ERISA or Section 4975 of the Code) the assets of any such “employee benefit plan” or “plan”.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Benefited Lender</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12.6(a)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BIA</w:t>
      </w:r>
      <w:r>
        <w:rPr>
          <w:rFonts w:ascii="Arial" w:cs="Arial" w:eastAsia="Arial" w:hAnsi="Arial"/>
          <w:sz w:val="20"/>
          <w:szCs w:val="20"/>
          <w:color w:val="auto"/>
        </w:rPr>
        <w:t>” means the Bankruptcy and Insolvency Act (Canada), as amended.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Governors of the Federal Reserve System.</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Bookrunner</w:t>
      </w:r>
      <w:r>
        <w:rPr>
          <w:rFonts w:ascii="Arial" w:cs="Arial" w:eastAsia="Arial" w:hAnsi="Arial"/>
          <w:sz w:val="20"/>
          <w:szCs w:val="20"/>
          <w:color w:val="auto"/>
        </w:rPr>
        <w:t>” means each of Deutsche Bank Securities Inc., Citibank, N.A., Wells Fargo Securities, LLC, Merrill Lynch, Pierce, Fenner &amp; Smith Incorporated, BNP Paribas, Banco Santander, S.A., Mizuho Bank, Ltd., The Bank of Nova Scotia and TD Bank, N.A., each in its capacity as a joint bookrunner under this Agreement.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assigned to that term in the preamble to this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Borrowers</w:t>
      </w:r>
      <w:r>
        <w:rPr>
          <w:rFonts w:ascii="Arial" w:cs="Arial" w:eastAsia="Arial" w:hAnsi="Arial"/>
          <w:sz w:val="20"/>
          <w:szCs w:val="20"/>
          <w:color w:val="auto"/>
        </w:rPr>
        <w:t>” has the meaning assigned to that term in the preamble to this Agreement.</w:t>
      </w:r>
    </w:p>
    <w:p>
      <w:pPr>
        <w:spacing w:after="0" w:line="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xml:space="preserve">” means a group of Loans of a single Type made by the Lenders or the Swing Line Lender, as appropriate, on a single date (or resulting from a conversion on such date) and in the case of Eurocurrency Loans (other than Daily Simple RFR Loans), as to which a single Interest Period is in effect,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Base Rate Loans or Eurocurrency Loans incurred pursuant to </w:t>
      </w:r>
      <w:r>
        <w:rPr>
          <w:rFonts w:ascii="Arial" w:cs="Arial" w:eastAsia="Arial" w:hAnsi="Arial"/>
          <w:sz w:val="20"/>
          <w:szCs w:val="20"/>
          <w:u w:val="single" w:color="auto"/>
          <w:color w:val="auto"/>
        </w:rPr>
        <w:t>Section 3.7</w:t>
      </w:r>
      <w:r>
        <w:rPr>
          <w:rFonts w:ascii="Arial" w:cs="Arial" w:eastAsia="Arial" w:hAnsi="Arial"/>
          <w:sz w:val="20"/>
          <w:szCs w:val="20"/>
          <w:color w:val="auto"/>
        </w:rPr>
        <w:t xml:space="preserve"> shall be considered part of any related Borrowing of Eurocurrency Loans.</w:t>
      </w:r>
    </w:p>
    <w:p>
      <w:pPr>
        <w:spacing w:after="0" w:line="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(i) as it relates to any payment, determination, funding or notice to be made or given in connection with any Dollar-denominated Loan, or otherwise to be made or given to or from Administrative Agent, a day other than a Saturday, Sunday or other day on which commercial banks in New York City are authorized or required by law to close;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when used in connection with a Eurocurrency Loan or Multicurrency Revolving Loan, the term “Business Day” shall also exclude any day on which banks are not open for dealings in dollar deposits in the London interbank market;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when used in connection with any Letter of Credit, the term “Business Day” shall also exclude any day on which commercial banks in the city in which the respective Facing Agent for such Letter of Credit is domiciled are required by law to close; (ii) as it relates to any payment, determination, funding or notice to be made or given in connection with any Alternative Currency Loan (other than Sterling), any day (A) on which dealings in deposits in the Alternative Currency are carried out in the London interbank market, (B) on which commercial banks and foreign exchange markets are open for business in London, New York City, and the principal financial center for such Alternative Currency, (C) with respect to any such payment, determination or funding to be made in connection with any Alternative Currency Loan denominated in Euros, on which commercial banks and foreign exchange markets are open for business in Paris, and the Trans-European Automated Real-time Gross Settlement Express Transfer (TARGET 2) System or any successor settlement system is open and (D) with respect to any payment, determination, funding or notice to be made or given in connection with a Borrowing by the Canadian Borrower, or otherwise to be made or given to or from Canadian Administrative Agent, a day other than a Saturday, Sunday or other day on which commercial banks in Toronto are authorized or required by law to close and (iii) if such day relates to any interest rate settings as to a Daily Simple RFR Loan, any fundings, disbursements, settlements and payments in respect of any such Daily Simple RFR Loan, or any other dealings to be carried out pursuant to this Agreement in respect of any such Daily Simple RFR Loan, means any such day that is only a RFR Business Day.</w:t>
      </w:r>
    </w:p>
    <w:p>
      <w:pPr>
        <w:spacing w:after="0" w:line="7"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CAM</w:t>
      </w:r>
      <w:r>
        <w:rPr>
          <w:rFonts w:ascii="Arial" w:cs="Arial" w:eastAsia="Arial" w:hAnsi="Arial"/>
          <w:sz w:val="20"/>
          <w:szCs w:val="20"/>
          <w:color w:val="auto"/>
        </w:rPr>
        <w:t xml:space="preserve">” means the mechanism for the allocation and exchange of interests in the Facilities and collections thereunder established under </w:t>
      </w:r>
      <w:r>
        <w:rPr>
          <w:rFonts w:ascii="Arial" w:cs="Arial" w:eastAsia="Arial" w:hAnsi="Arial"/>
          <w:sz w:val="20"/>
          <w:szCs w:val="20"/>
          <w:u w:val="single" w:color="auto"/>
          <w:color w:val="auto"/>
        </w:rPr>
        <w:t>Article XIII</w:t>
      </w:r>
      <w:r>
        <w:rPr>
          <w:rFonts w:ascii="Arial" w:cs="Arial" w:eastAsia="Arial" w:hAnsi="Arial"/>
          <w:sz w:val="20"/>
          <w:szCs w:val="20"/>
          <w:color w:val="auto"/>
        </w:rPr>
        <w: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CAM Exchange</w:t>
      </w:r>
      <w:r>
        <w:rPr>
          <w:rFonts w:ascii="Arial" w:cs="Arial" w:eastAsia="Arial" w:hAnsi="Arial"/>
          <w:sz w:val="20"/>
          <w:szCs w:val="20"/>
          <w:color w:val="auto"/>
        </w:rPr>
        <w:t xml:space="preserve">” means the exchange of the Lenders’ interests provided for in </w:t>
      </w:r>
      <w:r>
        <w:rPr>
          <w:rFonts w:ascii="Arial" w:cs="Arial" w:eastAsia="Arial" w:hAnsi="Arial"/>
          <w:sz w:val="20"/>
          <w:szCs w:val="20"/>
          <w:u w:val="single" w:color="auto"/>
          <w:color w:val="auto"/>
        </w:rPr>
        <w:t>Section 13.1</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121" w:name="page122"/>
    <w:bookmarkEnd w:id="121"/>
    <w:p>
      <w:pPr>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CAM Exchange Date</w:t>
      </w:r>
      <w:r>
        <w:rPr>
          <w:rFonts w:ascii="Arial" w:cs="Arial" w:eastAsia="Arial" w:hAnsi="Arial"/>
          <w:sz w:val="20"/>
          <w:szCs w:val="20"/>
          <w:color w:val="auto"/>
        </w:rPr>
        <w:t xml:space="preserve">” means the first date after the Effective Date on which there shall occur (x) any event described in paragraph (i) of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with respect to any Borrower or (y) any acceleration of the Loans.</w:t>
      </w:r>
    </w:p>
    <w:p>
      <w:pPr>
        <w:spacing w:after="0" w:line="20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CAM Percentage</w:t>
      </w:r>
      <w:r>
        <w:rPr>
          <w:rFonts w:ascii="Arial" w:cs="Arial" w:eastAsia="Arial" w:hAnsi="Arial"/>
          <w:sz w:val="19"/>
          <w:szCs w:val="19"/>
          <w:color w:val="auto"/>
        </w:rPr>
        <w:t>” means, as to each Lender, a fraction, expressed as a decimal to 12 decimal places, of which (a) the numerator shall be the sum of (i) the aggregate Designated Obligations owed to such Lender and (ii) such Lender’s Revolver Pro Rata Share or Canadian Revolver Pro Rata Share, as applicable, of the aggregate outstanding LC Obligations, if any, of such Lender, in each case immediately prior to the CAM Exchange Date, and (b) the denominator shall be the sum of (i) the aggregate Designated Obligations owed to all the Lenders and (ii) the aggregate outstanding LC Obligations, in each case immediately prior to such CAM Exchange Date. For purposes of computing each Lender’s CAM Percentage, all Designated Obligations denominated in an Alternative Currency shall be translated into U.S. Dollars at the Exchange Rate in effect on the CAM Exchange Date.</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Administrative Agent</w:t>
      </w:r>
      <w:r>
        <w:rPr>
          <w:rFonts w:ascii="Arial" w:cs="Arial" w:eastAsia="Arial" w:hAnsi="Arial"/>
          <w:sz w:val="19"/>
          <w:szCs w:val="19"/>
          <w:color w:val="auto"/>
        </w:rPr>
        <w:t xml:space="preserve">” has the meaning assigned to that term in the preamble to this Agreement and any successor Canadian Administrative Agent in such capacity,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all times the Canadian Administrative Agent must be either (i) a resident in Canada for the purpose of the ITA, or (ii) deemed to be resident in Canada for the purpose of Part XIII of the ITA.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Borrower</w:t>
      </w:r>
      <w:r>
        <w:rPr>
          <w:rFonts w:ascii="Arial" w:cs="Arial" w:eastAsia="Arial" w:hAnsi="Arial"/>
          <w:sz w:val="20"/>
          <w:szCs w:val="20"/>
          <w:color w:val="auto"/>
        </w:rPr>
        <w:t>” has the meaning assigned to that term in the preamble to this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Commitment Fee</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3.2(a)(iii)</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Commitment Period</w:t>
      </w:r>
      <w:r>
        <w:rPr>
          <w:rFonts w:ascii="Arial" w:cs="Arial" w:eastAsia="Arial" w:hAnsi="Arial"/>
          <w:sz w:val="20"/>
          <w:szCs w:val="20"/>
          <w:color w:val="auto"/>
        </w:rPr>
        <w:t>” means, the period from and including the Incremental Amendment No. 2 and Third Amendment Effective Date to but not including the Canadian Revolver Termination Date.</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Credit Party</w:t>
      </w:r>
      <w:r>
        <w:rPr>
          <w:rFonts w:ascii="Arial" w:cs="Arial" w:eastAsia="Arial" w:hAnsi="Arial"/>
          <w:sz w:val="20"/>
          <w:szCs w:val="20"/>
          <w:color w:val="auto"/>
        </w:rPr>
        <w:t>” means the Canadian Borrower and any Subsidiary Credit Party organized under the federal laws of Canada or the laws of a province or territory of Canada.</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Defined Benefit Plan</w:t>
      </w:r>
      <w:r>
        <w:rPr>
          <w:rFonts w:ascii="Arial" w:cs="Arial" w:eastAsia="Arial" w:hAnsi="Arial"/>
          <w:sz w:val="20"/>
          <w:szCs w:val="20"/>
          <w:color w:val="auto"/>
        </w:rPr>
        <w:t>” means any Foreign Plan that is a “registered pension plan” as defined in subsection 248(1) of the Income Tax Act (Canada) and which contains a “defined benefit provision” as defined in subsection 147.1(1) of the Income Tax Act (Canada).</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Dollars</w:t>
      </w:r>
      <w:r>
        <w:rPr>
          <w:rFonts w:ascii="Arial" w:cs="Arial" w:eastAsia="Arial" w:hAnsi="Arial"/>
          <w:sz w:val="20"/>
          <w:szCs w:val="20"/>
          <w:color w:val="auto"/>
        </w:rPr>
        <w:t>” and “</w:t>
      </w:r>
      <w:r>
        <w:rPr>
          <w:rFonts w:ascii="Arial" w:cs="Arial" w:eastAsia="Arial" w:hAnsi="Arial"/>
          <w:sz w:val="20"/>
          <w:szCs w:val="20"/>
          <w:u w:val="single" w:color="auto"/>
          <w:color w:val="auto"/>
        </w:rPr>
        <w:t>Cdn.$</w:t>
      </w:r>
      <w:r>
        <w:rPr>
          <w:rFonts w:ascii="Arial" w:cs="Arial" w:eastAsia="Arial" w:hAnsi="Arial"/>
          <w:sz w:val="20"/>
          <w:szCs w:val="20"/>
          <w:color w:val="auto"/>
        </w:rPr>
        <w:t>” mean lawful currency of Canada.</w:t>
      </w:r>
    </w:p>
    <w:p>
      <w:pPr>
        <w:spacing w:after="0" w:line="229"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Facing Agent</w:t>
      </w:r>
      <w:r>
        <w:rPr>
          <w:rFonts w:ascii="Arial" w:cs="Arial" w:eastAsia="Arial" w:hAnsi="Arial"/>
          <w:sz w:val="20"/>
          <w:szCs w:val="20"/>
          <w:color w:val="auto"/>
        </w:rPr>
        <w:t>” means Deutsche Bank AG Canada Branch or any of its affiliates in its capacity as issuer of Canadian Letters of Credit and any other Canadian Revolving Lender which at the request of the Canadian Borrower and with the consent of Canadian Administrative Agent and Administrative Agent (not to be unreasonably withheld) agrees to issue Canadian Letters of Credit, in its capacity as an issuer of Canadian Letters of Credit.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LC Commission</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2.10(g)(ii)</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LC Obligations</w:t>
      </w:r>
      <w:r>
        <w:rPr>
          <w:rFonts w:ascii="Arial" w:cs="Arial" w:eastAsia="Arial" w:hAnsi="Arial"/>
          <w:sz w:val="19"/>
          <w:szCs w:val="19"/>
          <w:color w:val="auto"/>
        </w:rPr>
        <w:t xml:space="preserve">” means, at any time, an amount equal to the sum of (a) the aggregate Stated Amount of the then outstanding Canadian Letters of Credit and (b) the aggregate amount of Unpaid Drawings under the Canadian Letters of Credit which have not then been reimbursed pursuant to </w:t>
      </w:r>
      <w:r>
        <w:rPr>
          <w:rFonts w:ascii="Arial" w:cs="Arial" w:eastAsia="Arial" w:hAnsi="Arial"/>
          <w:sz w:val="19"/>
          <w:szCs w:val="19"/>
          <w:u w:val="single" w:color="auto"/>
          <w:color w:val="auto"/>
        </w:rPr>
        <w:t>Section 2.10(f)</w:t>
      </w:r>
      <w:r>
        <w:rPr>
          <w:rFonts w:ascii="Arial" w:cs="Arial" w:eastAsia="Arial" w:hAnsi="Arial"/>
          <w:sz w:val="19"/>
          <w:szCs w:val="19"/>
          <w:color w:val="auto"/>
        </w:rPr>
        <w:t>. The Canadian LC Obligation of any Canadian Revolving Lender at any time shall mean its Canadian Revolver Pro Rata Share of the aggregate Canadian LC Obligations outstanding at such time.</w:t>
      </w:r>
    </w:p>
    <w:p>
      <w:pPr>
        <w:ind w:left="660"/>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Letter of Credit</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2.10(a)(ii)</w:t>
      </w:r>
      <w:r>
        <w:rPr>
          <w:rFonts w:ascii="Arial" w:cs="Arial" w:eastAsia="Arial" w:hAnsi="Arial"/>
          <w:sz w:val="20"/>
          <w:szCs w:val="20"/>
          <w:color w:val="auto"/>
        </w:rPr>
        <w:t>.</w:t>
      </w:r>
    </w:p>
    <w:p>
      <w:pPr>
        <w:spacing w:after="0" w:line="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Letter of Credit Exposure</w:t>
      </w:r>
      <w:r>
        <w:rPr>
          <w:rFonts w:ascii="Arial" w:cs="Arial" w:eastAsia="Arial" w:hAnsi="Arial"/>
          <w:sz w:val="20"/>
          <w:szCs w:val="20"/>
          <w:color w:val="auto"/>
        </w:rPr>
        <w:t>” means, with respect to a Canadian Revolving Lender, such Lender’s Canadian Revolver Pro Rata Share of the aggregate Canadian LC Obligations.</w:t>
      </w:r>
    </w:p>
    <w:p>
      <w:pPr>
        <w:sectPr>
          <w:pgSz w:w="11900" w:h="16838" w:orient="portrait"/>
          <w:cols w:equalWidth="0" w:num="1">
            <w:col w:w="11240"/>
          </w:cols>
          <w:pgMar w:left="320" w:top="1419" w:right="339" w:bottom="1440" w:gutter="0" w:footer="0" w:header="0"/>
        </w:sectPr>
      </w:pPr>
    </w:p>
    <w:bookmarkStart w:id="122" w:name="page123"/>
    <w:bookmarkEnd w:id="122"/>
    <w:p>
      <w:pPr>
        <w:jc w:val="both"/>
        <w:ind w:firstLine="648"/>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Obligations</w:t>
      </w:r>
      <w:r>
        <w:rPr>
          <w:rFonts w:ascii="Arial" w:cs="Arial" w:eastAsia="Arial" w:hAnsi="Arial"/>
          <w:sz w:val="18"/>
          <w:szCs w:val="18"/>
          <w:color w:val="auto"/>
        </w:rPr>
        <w:t>” means, with respect to the Canadian Borrower, the unpaid principal of and interest on (including interest accruing after the maturity of the Loans made to the Canadian Borrower and interest and fees accruing after the filing of any petition in bankruptcy, or the commencement of any insolvency, reorganization or like proceeding, relating to the Canadian Borrower, whether or not a claim for post-filing or post-petition interest and fees is allowed in such proceeding) the Loans made to or Unpaid Drawings pursuant to Canadian Letters of Credit issued for the account of Canadian Borrower and all other obligations and liabilities of the Canadian Borrower and any Canadian Subsidiary (including Bank Related Debt) to any Agent, any Facing Agent, to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the Canadian Borrower and any Canadian Subsidiary to any Agent, any Facing Agent, any Lender or any Hedge Bank pursuant to any Loan Document or any Bank Related Debt) or otherwise.</w:t>
      </w:r>
    </w:p>
    <w:p>
      <w:pPr>
        <w:spacing w:after="0" w:line="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Pension Termination Event</w:t>
      </w:r>
      <w:r>
        <w:rPr>
          <w:rFonts w:ascii="Arial" w:cs="Arial" w:eastAsia="Arial" w:hAnsi="Arial"/>
          <w:sz w:val="18"/>
          <w:szCs w:val="18"/>
          <w:color w:val="auto"/>
        </w:rPr>
        <w:t>” means the occurrence of any of the following: (i) the board of directors of any Canadian Credit Party passes a resolution to terminate or wind up in whole or in part any Canadian Defined Benefit Plan or any Canadian Credit Party otherwise initiates any action or filing to voluntarily terminate or wind up in whole or in part any Canadian Defined Benefit Plan; (ii) the institution of proceedings by any Governmental Authority to terminate in whole or in part any Canadian Defined Benefit Plan, including notice being given by the Ontario Superintendent of Financial Services or another Governmental Authority that it intends to proceed to wind-up in whole or in part a Canadian Credit Party’s Canadian Defined Benefit Plan; (iii) there is a cessation or suspension of contributions to the fund of a Canadian Defined Benefit Plan by a Canadian Credit Party (other than a cessation or suspension of contributions that is due to (a) an administrative error that is corrected or (b) the taking of contribution holidays in accordance with applicable law); (iv) the receipt by a Canadian Credit Party of correspondence from any Governmental Authority related to the likely wind-up or termination (in whole or in part) of any Canadian Defined Benefit Plan; and (v) the wind-up or partial wind-up of a Canadian Defined Benefit Plan; or (vi) an event respecting any Canadian Defined Benefit Plan which could result in the revocation of the registration of such Canadian Defined Benefit Plan or which could otherwise reasonably be expected to adversely affect the tax status of any such Canadian Defined Benefit Plan. Notwithstanding anything to the contrary herein, a Canadian Pension Termination Event shall not include any event that relates to the partial wind-up or termination of solely a defined contribution component of a Canadian Defined Benefit Plan.</w:t>
      </w:r>
    </w:p>
    <w:p>
      <w:pPr>
        <w:spacing w:after="0" w:line="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w:t>
      </w:r>
      <w:r>
        <w:rPr>
          <w:rFonts w:ascii="Arial" w:cs="Arial" w:eastAsia="Arial" w:hAnsi="Arial"/>
          <w:sz w:val="18"/>
          <w:szCs w:val="18"/>
          <w:color w:val="auto"/>
        </w:rPr>
        <w:t>” means, for each day in any period, a fluctuating interest rate per annum as shall be in effect from time to time, which rate per annum shall at all times for such day be equal to the higher of (a) the annual rate of interest announced publicly by Canadian Administrative Agent and in effect as its prime rate at its principal office in Toronto, Ontario on such day for determining interest rates on Canadian Dollar-denominated commercial loans made in Canada and (b) 0.75% per annum above the average of the rates per annum for Canadian Dollar bankers’ acceptances having a term of 30 days that appears on the display referred to as the “CDOR Page” (or any display substituted therefor) of Reuters Monitor Money Rates Service as of 10:00 a.m. (Toronto time) on the date of determination, as reported by Canadian Administrative Agent (and if such screen is not available, any successor or similar service as may be selected by Canadian Administrative Agent). Notwithstanding the foregoing, the Canadian Prime Rate shall not in any event be less than zero.</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 Loan</w:t>
      </w:r>
      <w:r>
        <w:rPr>
          <w:rFonts w:ascii="Arial" w:cs="Arial" w:eastAsia="Arial" w:hAnsi="Arial"/>
          <w:sz w:val="18"/>
          <w:szCs w:val="18"/>
          <w:color w:val="auto"/>
        </w:rPr>
        <w:t>” means any Loan which bears interest at a rate determined with reference to the Canadian Prime Rate.</w:t>
      </w:r>
    </w:p>
    <w:p>
      <w:pPr>
        <w:spacing w:after="0" w:line="252"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Revolver Pro Rata Share</w:t>
      </w:r>
      <w:r>
        <w:rPr>
          <w:rFonts w:ascii="Arial" w:cs="Arial" w:eastAsia="Arial" w:hAnsi="Arial"/>
          <w:sz w:val="20"/>
          <w:szCs w:val="20"/>
          <w:color w:val="auto"/>
        </w:rPr>
        <w:t>” means, when used with reference to any Canadian Revolving Lender and any described aggregate or total amount, an amount equal to the result obtained by multiplying such described aggregate or total amount by a fraction the numerator of which shall be such</w:t>
      </w:r>
    </w:p>
    <w:p>
      <w:pPr>
        <w:sectPr>
          <w:pgSz w:w="11900" w:h="16838" w:orient="portrait"/>
          <w:cols w:equalWidth="0" w:num="1">
            <w:col w:w="11240"/>
          </w:cols>
          <w:pgMar w:left="320" w:top="1419" w:right="339" w:bottom="1440" w:gutter="0" w:footer="0" w:header="0"/>
        </w:sectPr>
      </w:pPr>
    </w:p>
    <w:bookmarkStart w:id="123" w:name="page124"/>
    <w:bookmarkEnd w:id="123"/>
    <w:p>
      <w:pPr>
        <w:jc w:val="both"/>
        <w:spacing w:after="0" w:line="234" w:lineRule="auto"/>
        <w:rPr>
          <w:sz w:val="20"/>
          <w:szCs w:val="20"/>
          <w:color w:val="auto"/>
        </w:rPr>
      </w:pPr>
      <w:r>
        <w:rPr>
          <w:rFonts w:ascii="Arial" w:cs="Arial" w:eastAsia="Arial" w:hAnsi="Arial"/>
          <w:sz w:val="20"/>
          <w:szCs w:val="20"/>
          <w:color w:val="auto"/>
        </w:rPr>
        <w:t>Lender’s Canadian Revolving Commitment or if the Canadian Revolver Termination Date has occurred, the Effective Amount of such Canadian Revolving Lender’s then outstanding Canadian Revolving Loans and the denominator of which shall be the Canadian Revolving Commitments or, if the Canadian Revolver Termination Date has occurred, the Effective Amount of all then outstanding Canadian Revolving Loans.</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Revolver Termination Date</w:t>
      </w:r>
      <w:r>
        <w:rPr>
          <w:rFonts w:ascii="Arial" w:cs="Arial" w:eastAsia="Arial" w:hAnsi="Arial"/>
          <w:sz w:val="20"/>
          <w:szCs w:val="20"/>
          <w:color w:val="auto"/>
        </w:rPr>
        <w:t>” means the earliest to occur of (i) the date that is the fifth anniversary of the Incremental Amendment No. 2 and Third Amendment Effective Date or (ii) such earlier date as the Canadian Revolving Commitments shall have been terminated or otherwise reduced to $0 pursuant to this Agreement.</w:t>
      </w:r>
    </w:p>
    <w:p>
      <w:pPr>
        <w:spacing w:after="0" w:line="21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Revolving Commitment</w:t>
      </w:r>
      <w:r>
        <w:rPr>
          <w:rFonts w:ascii="Arial" w:cs="Arial" w:eastAsia="Arial" w:hAnsi="Arial"/>
          <w:sz w:val="19"/>
          <w:szCs w:val="19"/>
          <w:color w:val="auto"/>
        </w:rPr>
        <w:t xml:space="preserve">” means, with respect to any Canadian Revolving Lender, the obligation of such Canadian Revolving Lender to make Canadian Revolving Loans and to participate in Canadian Letters of Credit, as such commitment may be adjusted from time to time pursuant to this Agreement, which commitment as of the Incremental Amendment No. 2 and Third Amendment Effective Date is the amount set forth opposite such lender’s name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to Incremental Amendment No. 2 and Third Amendment under the caption “Amount of Canadian Revolving Commitment” as the same may be adjusted from time to time pursuant to the terms hereof and “</w:t>
      </w:r>
      <w:r>
        <w:rPr>
          <w:rFonts w:ascii="Arial" w:cs="Arial" w:eastAsia="Arial" w:hAnsi="Arial"/>
          <w:sz w:val="19"/>
          <w:szCs w:val="19"/>
          <w:u w:val="single" w:color="auto"/>
          <w:color w:val="auto"/>
        </w:rPr>
        <w:t>Canadian Revolving Commitments</w:t>
      </w:r>
      <w:r>
        <w:rPr>
          <w:rFonts w:ascii="Arial" w:cs="Arial" w:eastAsia="Arial" w:hAnsi="Arial"/>
          <w:sz w:val="19"/>
          <w:szCs w:val="19"/>
          <w:color w:val="auto"/>
        </w:rPr>
        <w:t>” means such commitments collectively, which commitments equal $50,000,000 in the aggregate as of the Incremental Amendment No. 2 and Third Amendment Effective Date.</w:t>
      </w:r>
    </w:p>
    <w:p>
      <w:pPr>
        <w:spacing w:after="0" w:line="206"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Revolving Credit Exposure</w:t>
      </w:r>
      <w:r>
        <w:rPr>
          <w:rFonts w:ascii="Arial" w:cs="Arial" w:eastAsia="Arial" w:hAnsi="Arial"/>
          <w:sz w:val="20"/>
          <w:szCs w:val="20"/>
          <w:color w:val="auto"/>
        </w:rPr>
        <w:t>” means, with respect to a Canadian Revolving Lender, the sum of (i) the outstanding principal amount of Canadian Revolving Loans made by such Lender and (ii) the Canadian Letter of Credit Exposure of such Canadian Revolving Lender.</w:t>
      </w:r>
    </w:p>
    <w:p>
      <w:pPr>
        <w:spacing w:after="0" w:line="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Revolving Facility</w:t>
      </w:r>
      <w:r>
        <w:rPr>
          <w:rFonts w:ascii="Arial" w:cs="Arial" w:eastAsia="Arial" w:hAnsi="Arial"/>
          <w:sz w:val="20"/>
          <w:szCs w:val="20"/>
          <w:color w:val="auto"/>
        </w:rPr>
        <w:t>” means the credit facility under this Agreement evidenced by the Canadian Revolving Commitments and the Canadian Revolving Loans.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Revolving Lender</w:t>
      </w:r>
      <w:r>
        <w:rPr>
          <w:rFonts w:ascii="Arial" w:cs="Arial" w:eastAsia="Arial" w:hAnsi="Arial"/>
          <w:sz w:val="20"/>
          <w:szCs w:val="20"/>
          <w:color w:val="auto"/>
        </w:rPr>
        <w:t>” means any Lender which has a Canadian Revolving Commitment.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Revolving Loan</w:t>
      </w:r>
      <w:r>
        <w:rPr>
          <w:rFonts w:ascii="Arial" w:cs="Arial" w:eastAsia="Arial" w:hAnsi="Arial"/>
          <w:sz w:val="20"/>
          <w:szCs w:val="20"/>
          <w:color w:val="auto"/>
        </w:rPr>
        <w:t>” and “</w:t>
      </w:r>
      <w:r>
        <w:rPr>
          <w:rFonts w:ascii="Arial" w:cs="Arial" w:eastAsia="Arial" w:hAnsi="Arial"/>
          <w:sz w:val="20"/>
          <w:szCs w:val="20"/>
          <w:u w:val="single" w:color="auto"/>
          <w:color w:val="auto"/>
        </w:rPr>
        <w:t>Canadian Revolving Loans</w:t>
      </w:r>
      <w:r>
        <w:rPr>
          <w:rFonts w:ascii="Arial" w:cs="Arial" w:eastAsia="Arial" w:hAnsi="Arial"/>
          <w:sz w:val="20"/>
          <w:szCs w:val="20"/>
          <w:color w:val="auto"/>
        </w:rPr>
        <w:t xml:space="preserve">” as defined have the meanings given in </w:t>
      </w:r>
      <w:r>
        <w:rPr>
          <w:rFonts w:ascii="Arial" w:cs="Arial" w:eastAsia="Arial" w:hAnsi="Arial"/>
          <w:sz w:val="20"/>
          <w:szCs w:val="20"/>
          <w:u w:val="single" w:color="auto"/>
          <w:color w:val="auto"/>
        </w:rPr>
        <w:t>Section 2A.1</w:t>
      </w:r>
      <w:r>
        <w:rPr>
          <w:rFonts w:ascii="Arial" w:cs="Arial" w:eastAsia="Arial" w:hAnsi="Arial"/>
          <w:sz w:val="20"/>
          <w:szCs w:val="20"/>
          <w:color w:val="auto"/>
        </w:rPr>
        <w:t xml:space="preserve">, including by way of Bankers’ Acceptances and B/A Equivalent Loans, pursuant to </w:t>
      </w:r>
      <w:r>
        <w:rPr>
          <w:rFonts w:ascii="Arial" w:cs="Arial" w:eastAsia="Arial" w:hAnsi="Arial"/>
          <w:sz w:val="20"/>
          <w:szCs w:val="20"/>
          <w:u w:val="single" w:color="auto"/>
          <w:color w:val="auto"/>
        </w:rPr>
        <w:t>Section 2A.1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2A.9</w:t>
      </w:r>
      <w:r>
        <w:rPr>
          <w:rFonts w:ascii="Arial" w:cs="Arial" w:eastAsia="Arial" w:hAnsi="Arial"/>
          <w:sz w:val="20"/>
          <w:szCs w:val="20"/>
          <w:color w:val="auto"/>
        </w:rPr>
        <w: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Revolving Note</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2A.2(a)</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any and all common shares, preferred shares, interests, participations, rights in or other equivalents (however designated) of such Person’s capital stock, partnership interests, membership interests or other equivalent interests and any rights (other than debt securities convertible into or exchangeable for capital stock or other ownership interests or rights, warrants or options), warrants or options exchangeable for or convertible into such capital stock or other equity interests.</w:t>
      </w:r>
    </w:p>
    <w:p>
      <w:pPr>
        <w:spacing w:after="0" w:line="18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Capitalized Lease</w:t>
      </w:r>
      <w:r>
        <w:rPr>
          <w:rFonts w:ascii="Arial" w:cs="Arial" w:eastAsia="Arial" w:hAnsi="Arial"/>
          <w:sz w:val="20"/>
          <w:szCs w:val="20"/>
          <w:color w:val="auto"/>
        </w:rPr>
        <w:t>” means, at the time any determination thereof is to be made, any lease of property, real or personal, in respect of which the present value of the minimum rental commitment is capitalized on the balance sheet of the lessee in accordance with GAAP as in effect on December 15, 2018.</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Capitalized Lease Obligation</w:t>
      </w:r>
      <w:r>
        <w:rPr>
          <w:rFonts w:ascii="Arial" w:cs="Arial" w:eastAsia="Arial" w:hAnsi="Arial"/>
          <w:sz w:val="20"/>
          <w:szCs w:val="20"/>
          <w:color w:val="auto"/>
        </w:rPr>
        <w:t>” means, at the time any determination thereof is to be made, the amount of the liability in respect of a Capitalized Lease which would at such time be so required to be capitalized on the balance sheet of the lessee in accordance with GAAP as in effect on December 15, 2018.</w:t>
      </w:r>
    </w:p>
    <w:p>
      <w:pPr>
        <w:sectPr>
          <w:pgSz w:w="11900" w:h="16838" w:orient="portrait"/>
          <w:cols w:equalWidth="0" w:num="1">
            <w:col w:w="11240"/>
          </w:cols>
          <w:pgMar w:left="320" w:top="1419" w:right="339" w:bottom="1440" w:gutter="0" w:footer="0" w:header="0"/>
        </w:sectPr>
      </w:pPr>
    </w:p>
    <w:bookmarkStart w:id="124" w:name="page125"/>
    <w:bookmarkEnd w:id="124"/>
    <w:p>
      <w:pPr>
        <w:jc w:val="both"/>
        <w:ind w:firstLine="648"/>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w:t>
      </w:r>
      <w:r>
        <w:rPr>
          <w:rFonts w:ascii="Arial" w:cs="Arial" w:eastAsia="Arial" w:hAnsi="Arial"/>
          <w:sz w:val="20"/>
          <w:szCs w:val="20"/>
          <w:color w:val="auto"/>
        </w:rPr>
        <w:t>” means money, currency or the available credit balance in Dollars, Canadian Dollars, an Alternative Currency or another currency reasonably acceptable to the Administrative Agent in a Deposit Account.</w:t>
      </w:r>
    </w:p>
    <w:p>
      <w:pPr>
        <w:spacing w:after="0" w:line="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(i) any evidence of indebtedness, maturing not more than one year after the date of issue, issued by an Approved Member State, the United States of America, Canada, or any instrumentality or agency thereof, the principal, interest and premium, if any, of which is guaranteed fully by, or backed by the full faith and credit of, such Approved Member State, the United States of America or Canada, (ii) time deposits, certificates of deposit and bankers acceptances maturing not more than one year after the date of purchase, issued or guaranteed by or placed with, and money market accounts issued or offered by, (x) any Lender or (y) a commercial banking institution having, or which is the principal banking subsidiary of a bank holding company having, at the time of such deposit, certificates of deposit or banker’s acceptance, or the opening of such money market account, combined capital and surplus and undivided profits of not less than $200,000,000 (or the Dollar Equivalent of $100,000,000 in the case of non-U.S. banking institutions) or whose commercial paper (or the commercial paper of such bank’s holding company) has a rating of “P-2” (or higher) according to Moody’s, “A-2” (or higher) according to S&amp;P or the equivalent rating by any other nationally recognized rating agency (any such bank, an “</w:t>
      </w:r>
      <w:r>
        <w:rPr>
          <w:rFonts w:ascii="Arial" w:cs="Arial" w:eastAsia="Arial" w:hAnsi="Arial"/>
          <w:sz w:val="18"/>
          <w:szCs w:val="18"/>
          <w:u w:val="single" w:color="auto"/>
          <w:color w:val="auto"/>
        </w:rPr>
        <w:t>Approved</w:t>
      </w:r>
      <w:r>
        <w:rPr>
          <w:rFonts w:ascii="Arial" w:cs="Arial" w:eastAsia="Arial" w:hAnsi="Arial"/>
          <w:sz w:val="18"/>
          <w:szCs w:val="18"/>
          <w:color w:val="auto"/>
        </w:rPr>
        <w:t xml:space="preserve"> </w:t>
      </w:r>
      <w:r>
        <w:rPr>
          <w:rFonts w:ascii="Arial" w:cs="Arial" w:eastAsia="Arial" w:hAnsi="Arial"/>
          <w:sz w:val="18"/>
          <w:szCs w:val="18"/>
          <w:u w:val="single" w:color="auto"/>
          <w:color w:val="auto"/>
        </w:rPr>
        <w:t>Bank</w:t>
      </w:r>
      <w:r>
        <w:rPr>
          <w:rFonts w:ascii="Arial" w:cs="Arial" w:eastAsia="Arial" w:hAnsi="Arial"/>
          <w:sz w:val="18"/>
          <w:szCs w:val="18"/>
          <w:color w:val="auto"/>
        </w:rPr>
        <w:t>”), (iii) commercial paper, maturing not more than one year after the date of purchase with a rating, at the time as of the acquisition thereof, of “P-2” (or higher) according to Moody’s, or “A-2” (or higher) according to S&amp;P or the equivalent rating by any other nationally recognized rating agency, (iv) demand deposits with any bank or trust company maintained in the ordinary course of business, (v) repurchase or reverse repurchase agreements covering obligations of the type specified in clause (i) with a term of not more than 30 days with any Approved Bank and (vi) shares of any money market mutual fund rated at least AA- or the equivalent thereof by S&amp;P or at least Aa3 or the equivalent thereof by Moody’s at the time of the acquisition thereof, including, without limitation, any such mutual fund managed or advised by any Lender or Administrative Agent. In the case of Investments by any Non-U.S. Subsidiary or Investments made in a country outside of the United States of America, Cash Equivalents shall include (a) investments of the type and maturity described in clauses (i) through (vi) above of foreign obligors, which Investments or obligors (or the parents of such obligors) have ratings described in such clauses or equivalent ratings from comparable foreign rating agencies and (b) other short-term investments utilized by Non-U.S. Subsidiaries in accordance with normal investment practices for cash management in investments analogous to the foregoing investments in clauses (i) through (vi) above.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CCAA</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Companies Creditors Arrangement Act</w:t>
      </w:r>
      <w:r>
        <w:rPr>
          <w:rFonts w:ascii="Arial" w:cs="Arial" w:eastAsia="Arial" w:hAnsi="Arial"/>
          <w:sz w:val="20"/>
          <w:szCs w:val="20"/>
          <w:color w:val="auto"/>
        </w:rPr>
        <w:t xml:space="preserve"> (Canada), as amended.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CCSC</w:t>
      </w:r>
      <w:r>
        <w:rPr>
          <w:rFonts w:ascii="Arial" w:cs="Arial" w:eastAsia="Arial" w:hAnsi="Arial"/>
          <w:sz w:val="20"/>
          <w:szCs w:val="20"/>
          <w:color w:val="auto"/>
        </w:rPr>
        <w:t>” has the meaning assigned to such term in the preamble to this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CCSC 2026 Debentures</w:t>
      </w:r>
      <w:r>
        <w:rPr>
          <w:rFonts w:ascii="Arial" w:cs="Arial" w:eastAsia="Arial" w:hAnsi="Arial"/>
          <w:sz w:val="19"/>
          <w:szCs w:val="19"/>
          <w:color w:val="auto"/>
        </w:rPr>
        <w:t>” means the $350,000,000 7.375% Debentures due 2026 of CCSC issued under the 1996 Indenture.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CCSC 2096 Debentures</w:t>
      </w:r>
      <w:r>
        <w:rPr>
          <w:rFonts w:ascii="Arial" w:cs="Arial" w:eastAsia="Arial" w:hAnsi="Arial"/>
          <w:sz w:val="19"/>
          <w:szCs w:val="19"/>
          <w:color w:val="auto"/>
        </w:rPr>
        <w:t>” means the $150,000,000 7.50% Debentures due 2096 of CCSC issued under the 1996 Indenture.</w:t>
      </w:r>
    </w:p>
    <w:p>
      <w:pPr>
        <w:spacing w:after="0" w:line="24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CDOR Rate</w:t>
      </w:r>
      <w:r>
        <w:rPr>
          <w:rFonts w:ascii="Arial" w:cs="Arial" w:eastAsia="Arial" w:hAnsi="Arial"/>
          <w:sz w:val="19"/>
          <w:szCs w:val="19"/>
          <w:color w:val="auto"/>
        </w:rPr>
        <w:t xml:space="preserve">” means, on any day, the per annum rate of interest which is the rate determined as being the arithmetic average of the annual yield rates applicable to Canadian Dollar bankers’ acceptances having identical issue and comparable maturity dates as the Bankers’ Acceptances proposed to be issued, displayed and identified as such on the display referred to as the “CDOR Page” (or any display substituted therefor) of Reuters Monitor Money Rates Service as at approximately 10:00 a.m. (Toronto time) on such day, or if such day is not a Business Day, then on the immediately preceding Business Day (as adjusted by Canadian Administrative Agent in good faith after 10:00 a.m. (Toronto time) to reflect any error in a posted rate of interest or in the posted average annual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such a rate does not appear on such CDOR Page, then the CDOR Rate, on any day, shall be the discount rate</w:t>
      </w:r>
    </w:p>
    <w:p>
      <w:pPr>
        <w:sectPr>
          <w:pgSz w:w="11900" w:h="16838" w:orient="portrait"/>
          <w:cols w:equalWidth="0" w:num="1">
            <w:col w:w="11240"/>
          </w:cols>
          <w:pgMar w:left="320" w:top="1419" w:right="339" w:bottom="1440" w:gutter="0" w:footer="0" w:header="0"/>
        </w:sectPr>
      </w:pPr>
    </w:p>
    <w:bookmarkStart w:id="125" w:name="page126"/>
    <w:bookmarkEnd w:id="125"/>
    <w:p>
      <w:pPr>
        <w:jc w:val="both"/>
        <w:spacing w:after="0" w:line="234" w:lineRule="auto"/>
        <w:rPr>
          <w:sz w:val="20"/>
          <w:szCs w:val="20"/>
          <w:color w:val="auto"/>
        </w:rPr>
      </w:pPr>
      <w:r>
        <w:rPr>
          <w:rFonts w:ascii="Arial" w:cs="Arial" w:eastAsia="Arial" w:hAnsi="Arial"/>
          <w:sz w:val="20"/>
          <w:szCs w:val="20"/>
          <w:color w:val="auto"/>
        </w:rPr>
        <w:t>quoted by Canadian Administrative Agent (determined as of 10:00 a.m. (Toronto time)) on such day at which Canadian Administrative Agent would purchase its own bankers acceptances in a comparable face amount and with comparable maturity dates to the Bankers’ Acceptances proposed to be issued on such day, or if such day is not a Business Day, then on the immediately preceding Business Day. Notwithstanding the foregoing, the CDOR Rate shall not in any event be less than zero.</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CERCLA</w:t>
      </w:r>
      <w:r>
        <w:rPr>
          <w:rFonts w:ascii="Arial" w:cs="Arial" w:eastAsia="Arial" w:hAnsi="Arial"/>
          <w:sz w:val="19"/>
          <w:szCs w:val="19"/>
          <w:color w:val="auto"/>
        </w:rPr>
        <w:t>” means the Comprehensive Environmental Response, Compensation, and Liability Act of 1980, as amended.</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“controlled foreign corporation” within the meaning of Section 957 of the Code.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 the acquisition of ownership, directly or indirectly (including, without limitation, through the issuance, sale or exchange of Capital Stock, a merger, amalgamation or consolidation or otherwise), beneficially or of record, by any Person or group (within the meaning of the Exchange Act and the rules of the SEC thereunder) of Capital Stock representing more than 40% of the aggregate ordinary voting power represented by the issued and outstanding Capital Stock of Crown Holdings, (b) Crown Holdings shall fail to own, directly or indirectly, beneficially or of record all of the outstanding Capital Stock of either U.S. Borrower or European Borrower (other than director’s qualifying shares) or (c) the occurrence of a “Change of Control” as defined in any Public Debt Document.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Civil Procedural Law</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14.14(a)</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Co-Documentation Agents</w:t>
      </w:r>
      <w:r>
        <w:rPr>
          <w:rFonts w:ascii="Arial" w:cs="Arial" w:eastAsia="Arial" w:hAnsi="Arial"/>
          <w:sz w:val="18"/>
          <w:szCs w:val="18"/>
          <w:color w:val="auto"/>
        </w:rPr>
        <w:t>” means BBVA USA, CoBank, ACB, Commerzbank AG, New York Branch, Coöperatieve Rabobank U.A., New York Branch, Credit Agricole Corporate and Investment Bank, Goldman Sachs Bank USA, ING Ireland (DAC), MUFG Bank, Ltd., PNC Capital Markets LLC, Sumitomo Mitsui Banking Corporation and Unicredit Bank AG, each in its capacity as a co-documentation agent under this Agreement, and the Incremental Amendment No. 2 and Third Amendment Co-Documentation Agents.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U.S. Internal Revenue Code of 1986, as amended.</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means all “Collateral” as defined in any applicable Security Document and all other assets pledged or otherwise subject to security pursuant to the Security Documents.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Account</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4.4(a)(ii)</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or “</w:t>
      </w:r>
      <w:r>
        <w:rPr>
          <w:rFonts w:ascii="Arial" w:cs="Arial" w:eastAsia="Arial" w:hAnsi="Arial"/>
          <w:sz w:val="18"/>
          <w:szCs w:val="18"/>
          <w:u w:val="single" w:color="auto"/>
          <w:color w:val="auto"/>
        </w:rPr>
        <w:t>Collateral Agents</w:t>
      </w:r>
      <w:r>
        <w:rPr>
          <w:rFonts w:ascii="Arial" w:cs="Arial" w:eastAsia="Arial" w:hAnsi="Arial"/>
          <w:sz w:val="18"/>
          <w:szCs w:val="18"/>
          <w:color w:val="auto"/>
        </w:rPr>
        <w:t>” means U.S. Collateral Agent and/or Euro Collateral Agent, as the context may require.</w:t>
      </w:r>
    </w:p>
    <w:p>
      <w:pPr>
        <w:sectPr>
          <w:pgSz w:w="11900" w:h="16838" w:orient="portrait"/>
          <w:cols w:equalWidth="0" w:num="1">
            <w:col w:w="11240"/>
          </w:cols>
          <w:pgMar w:left="320" w:top="1419" w:right="339" w:bottom="1440" w:gutter="0" w:footer="0" w:header="0"/>
        </w:sectPr>
      </w:pPr>
    </w:p>
    <w:bookmarkStart w:id="126" w:name="page127"/>
    <w:bookmarkEnd w:id="126"/>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Reinstatement Event</w:t>
      </w:r>
      <w:r>
        <w:rPr>
          <w:rFonts w:ascii="Arial" w:cs="Arial" w:eastAsia="Arial" w:hAnsi="Arial"/>
          <w:sz w:val="20"/>
          <w:szCs w:val="20"/>
          <w:color w:val="auto"/>
        </w:rPr>
        <w:t>” means, at any time after the occurrence of a Collateral Release Event, the occurrence of either of the following: (a) the public corporate/corporate family ratings of Crown Holdings from either Moody’s or S&amp;P fall below Baa3 or BBB-respectively or (b) Crown Holdings requests that the Liens and security interests in all Collateral granted by the Credit Parties to secure the Obligations be reinstated.</w:t>
      </w:r>
    </w:p>
    <w:p>
      <w:pPr>
        <w:spacing w:after="0" w:line="21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Release Event</w:t>
      </w:r>
      <w:r>
        <w:rPr>
          <w:rFonts w:ascii="Arial" w:cs="Arial" w:eastAsia="Arial" w:hAnsi="Arial"/>
          <w:sz w:val="18"/>
          <w:szCs w:val="18"/>
          <w:color w:val="auto"/>
        </w:rPr>
        <w:t>” means the satisfaction of each of the following conditions: (a) no Event of Default shall have occurred and be continuing; (b) the achievement of public corporate/corporate family ratings of Crown Holdings from each of Moody’s and S&amp;P of at least (in each case, with a stable or better outlook) Baa3 and BBB- respectively and (c) the Administrative Agent shall have received a certificate from Crown Holdings certifying to the foregoing in a manner reasonably acceptable to the Administrative Agent.</w:t>
      </w:r>
    </w:p>
    <w:p>
      <w:pPr>
        <w:spacing w:after="0" w:line="18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Release Period</w:t>
      </w:r>
      <w:r>
        <w:rPr>
          <w:rFonts w:ascii="Arial" w:cs="Arial" w:eastAsia="Arial" w:hAnsi="Arial"/>
          <w:sz w:val="19"/>
          <w:szCs w:val="19"/>
          <w:color w:val="auto"/>
        </w:rPr>
        <w:t>” means each period commencing with the occurrence of a Collateral Release Event and continuing until the occurrence of the next Collateral Reinstatement Event, if any, immediately following such Collateral Release Event.</w:t>
      </w:r>
    </w:p>
    <w:p>
      <w:pPr>
        <w:spacing w:after="0" w:line="18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with respect to each Lender, the aggregate of the Dollar Revolving Commitment, Multicurrency Revolving Commitment, Canadian Revolving Commitment and the Term Commitments of such Lender and “</w:t>
      </w:r>
      <w:r>
        <w:rPr>
          <w:rFonts w:ascii="Arial" w:cs="Arial" w:eastAsia="Arial" w:hAnsi="Arial"/>
          <w:sz w:val="20"/>
          <w:szCs w:val="20"/>
          <w:u w:val="single" w:color="auto"/>
          <w:color w:val="auto"/>
        </w:rPr>
        <w:t>Commitments</w:t>
      </w:r>
      <w:r>
        <w:rPr>
          <w:rFonts w:ascii="Arial" w:cs="Arial" w:eastAsia="Arial" w:hAnsi="Arial"/>
          <w:sz w:val="20"/>
          <w:szCs w:val="20"/>
          <w:color w:val="auto"/>
        </w:rPr>
        <w:t>” means such commitments of all of the Lenders collectively.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means collectively, Dollar Commitment Fees, Multicurrency Commitment Fees and Canadian Commitment</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Fees.</w:t>
      </w:r>
    </w:p>
    <w:p>
      <w:pPr>
        <w:spacing w:after="0" w:line="21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Period</w:t>
      </w:r>
      <w:r>
        <w:rPr>
          <w:rFonts w:ascii="Arial" w:cs="Arial" w:eastAsia="Arial" w:hAnsi="Arial"/>
          <w:sz w:val="20"/>
          <w:szCs w:val="20"/>
          <w:color w:val="auto"/>
        </w:rPr>
        <w:t>” means, the period from and including the Incremental Amendment No. 2 and Third Amendment Effective Date to but not including the applicable Revolver Termination Date or, in the case of the Swing Line Commitment, five (5) Business Days prior to the Revolver Termination Date for the Multicurrency Revolving Facility.</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xml:space="preserve">” means the Commodity Exchange Act (7 U.S.C. § 1 </w:t>
      </w:r>
      <w:r>
        <w:rPr>
          <w:rFonts w:ascii="Arial" w:cs="Arial" w:eastAsia="Arial" w:hAnsi="Arial"/>
          <w:sz w:val="20"/>
          <w:szCs w:val="20"/>
          <w:u w:val="single" w:color="auto"/>
          <w:color w:val="auto"/>
        </w:rPr>
        <w:t>et seq</w:t>
      </w:r>
      <w:r>
        <w:rPr>
          <w:rFonts w:ascii="Arial" w:cs="Arial" w:eastAsia="Arial" w:hAnsi="Arial"/>
          <w:sz w:val="20"/>
          <w:szCs w:val="20"/>
          <w:color w:val="auto"/>
        </w:rPr>
        <w:t>.), as amended from time to time, and any successor statute.</w:t>
      </w:r>
    </w:p>
    <w:p>
      <w:pPr>
        <w:spacing w:after="0" w:line="20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Competitor</w:t>
      </w:r>
      <w:r>
        <w:rPr>
          <w:rFonts w:ascii="Arial" w:cs="Arial" w:eastAsia="Arial" w:hAnsi="Arial"/>
          <w:sz w:val="19"/>
          <w:szCs w:val="19"/>
          <w:color w:val="auto"/>
        </w:rPr>
        <w:t xml:space="preserve">” means any Person that is or becomes a competitor of the Borrowers or any of their respective Subsidiaries or is or becomes an Affiliate or Subsidiary of any such Person, in each case as specifically identified by Crown Holdings or its Subsidiaries to the Administrative Agent from time to time in writing (whether before, on or after the Original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Company Competitor shall not include any bona fide debt fund or investment vehicle (other than a Disqualified Institution referred to in clause (a) of the definition thereof) that is engaged in making, purchasing, holding or otherwise investing in commercial loans and similar extensions of credit in the ordinary course of business which is managed independently from any Company Competitor and any affiliate or a Company Competitor that manages a Company Competitor.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7.2(a)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Computation Date</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2.8(a)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Consenting Lender</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2.15(b)</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Capital Expenditures</w:t>
      </w:r>
      <w:r>
        <w:rPr>
          <w:rFonts w:ascii="Arial" w:cs="Arial" w:eastAsia="Arial" w:hAnsi="Arial"/>
          <w:sz w:val="20"/>
          <w:szCs w:val="20"/>
          <w:color w:val="auto"/>
        </w:rPr>
        <w:t>” means, for any Person, for any period, the aggregate of all expenditures (whether paid in cash or accrued as liabilities and including in all events all Capitalized Lease Obligations but excluding any capitalized interest with respect thereto) by such Person and its</w:t>
      </w:r>
    </w:p>
    <w:p>
      <w:pPr>
        <w:sectPr>
          <w:pgSz w:w="11900" w:h="16838" w:orient="portrait"/>
          <w:cols w:equalWidth="0" w:num="1">
            <w:col w:w="11240"/>
          </w:cols>
          <w:pgMar w:left="320" w:top="1419" w:right="339" w:bottom="1440" w:gutter="0" w:footer="0" w:header="0"/>
        </w:sectPr>
      </w:pPr>
    </w:p>
    <w:bookmarkStart w:id="127" w:name="page128"/>
    <w:bookmarkEnd w:id="127"/>
    <w:p>
      <w:pPr>
        <w:jc w:val="both"/>
        <w:spacing w:after="0" w:line="246" w:lineRule="auto"/>
        <w:rPr>
          <w:sz w:val="20"/>
          <w:szCs w:val="20"/>
          <w:color w:val="auto"/>
        </w:rPr>
      </w:pPr>
      <w:r>
        <w:rPr>
          <w:rFonts w:ascii="Arial" w:cs="Arial" w:eastAsia="Arial" w:hAnsi="Arial"/>
          <w:sz w:val="20"/>
          <w:szCs w:val="20"/>
          <w:color w:val="auto"/>
        </w:rPr>
        <w:t>Subsidiaries during that period that, in conformity with GAAP, are or are required to be included in the property, plant or equipment reflected in the consolidated balance sheet of such Person.</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Current Assets</w:t>
      </w:r>
      <w:r>
        <w:rPr>
          <w:rFonts w:ascii="Arial" w:cs="Arial" w:eastAsia="Arial" w:hAnsi="Arial"/>
          <w:sz w:val="20"/>
          <w:szCs w:val="20"/>
          <w:color w:val="auto"/>
        </w:rPr>
        <w:t>” means, with respect to any Person as at any date of determination, the total assets of such Person and its consolidated Subsidiaries which should properly be classified as current assets on a consolidated balance sheet of such Person and its consolidated Subsidiaries in accordance with GAAP.</w:t>
      </w:r>
    </w:p>
    <w:p>
      <w:pPr>
        <w:spacing w:after="0" w:line="21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Current Liabilities</w:t>
      </w:r>
      <w:r>
        <w:rPr>
          <w:rFonts w:ascii="Arial" w:cs="Arial" w:eastAsia="Arial" w:hAnsi="Arial"/>
          <w:sz w:val="19"/>
          <w:szCs w:val="19"/>
          <w:color w:val="auto"/>
        </w:rPr>
        <w:t>” means, with respect to any Person as at any date of determination, the total liabilities of such Person and its consolidated Subsidiaries which should properly be classified as current liabilities (other than the current portion of any Loans) on a consolidated balance sheet of such Person and its consolidated Subsidiaries in accordance with GAAP.</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means, for any period and with respect to any Person, Consolidated Net Income of such Person and its Subsidiaries for such period plus (a) without duplication and to the extent deducted in determining such Consolidated Net Income, the sum of</w:t>
      </w:r>
    </w:p>
    <w:p>
      <w:pPr>
        <w:spacing w:after="0" w:line="1" w:lineRule="exact"/>
        <w:rPr>
          <w:sz w:val="20"/>
          <w:szCs w:val="20"/>
          <w:color w:val="auto"/>
        </w:rPr>
      </w:pPr>
    </w:p>
    <w:p>
      <w:pPr>
        <w:jc w:val="both"/>
        <w:ind w:firstLine="8"/>
        <w:spacing w:after="0" w:line="251" w:lineRule="auto"/>
        <w:tabs>
          <w:tab w:leader="none" w:pos="257"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Consolidated Interest Expense of such Person and its Subsidiaries for such period, (ii) provision for taxes based on income, profits or capital gains, including, without limitation, federal, state and local, franchise and similar taxes and foreign withholding, franchise and similar income taxes (including the Restricted Payments permitted pursuant to </w:t>
      </w:r>
      <w:r>
        <w:rPr>
          <w:rFonts w:ascii="Arial" w:cs="Arial" w:eastAsia="Arial" w:hAnsi="Arial"/>
          <w:sz w:val="18"/>
          <w:szCs w:val="18"/>
          <w:u w:val="single" w:color="auto"/>
          <w:color w:val="auto"/>
        </w:rPr>
        <w:t>Sections 8.8(f)</w:t>
      </w:r>
      <w:r>
        <w:rPr>
          <w:rFonts w:ascii="Arial" w:cs="Arial" w:eastAsia="Arial" w:hAnsi="Arial"/>
          <w:sz w:val="18"/>
          <w:szCs w:val="18"/>
          <w:color w:val="auto"/>
        </w:rPr>
        <w:t xml:space="preserve">) paid or accrued by such Person and its Subsidiaries during such period, including tax settlements, penalties and interest related to such taxes, arising from any tax examinations or pursuant to any tax sharing arrangement, (iii) all amounts attributable to depreciation and amortization of such Person and its Subsidiaries for such period, (iv) any non-cash deductions made in determining Consolidated Net Income of such Person and its Subsidiaries for such period (including, without limitation, non-cash deductions relating to translation and foreign exchange adjustments) (other than any deductions which (or should) represent the accrual of a reserve for the payment of cash charges in any future period or amortization of a prepaid cash expense that was paid in a prior period) (it being understood that (x) reserves for pension or health care benefits shall not be so “added back” to Consolidated Net Income except for non-cash charges recorded in current period Consolidated Net Income that represent the reclassification of previously unrecognized net losses from other comprehensive income as a result of a plan settlement and (y) reserves for Asbestos Payments shall be “added back”), (v) actual cash realized relating to the sale of Real Property or equipment in connection with restructuring activities, (vi) (A) fees, costs and expenses in connection with the Transactions, (B) transaction fees, costs and expenses (including up-front fees, commissions, premiums or charges) incurred in connection with, to the extent permitted under the Loan Documents and whether or not consummated, equity issuances, investments, acquisitions, asset dispositions, recapitalizations, refinancings, mergers, option buy-outs, or the incurrence or repayment of Indebtedness or any amendments, waivers or other modifications under the agreements relating to such Indebtedness or similar transactions, (C) fees, costs and expenses in connection with strategic initiatives, transition costs and other business optimization and information systems related fees costs and expenses (including non-recurring employee bonuses in connection therewith and the separation and eventual disposal of businesses or lines of business) and (D) fees, costs and expenses with respect to Permitted Receivables or Factoring Financings, to the extent not included in Consolidated Interest Expense, plus (vii) the amount of “run-rate” cost savings, product margin synergies (including increased share of shelf), operating expense reductions and product cost (including sourcing), and other operating improvements and synergies reasonably identifiable and factually supportable relating to, and projected by Crown Holdings in good faith to result from, actions taken or with respect to which substantial steps have been taken or are expected to be taken by Borrowers or any of their Subsidiaries within 24 months after (A) in the case of the Transactions, the Incremental Amendment No. 2 and Third Amendment Effective Date and (B) in the case of asset sales, investments, asset dispositions, operating improvements, mergers or other business combinations, Acquisitions, divestitures, restructurings and cost savings initiatives, the date it is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added back pursuant to this clause (vii) (other than in connection with any mergers, business combinations, acquisitions or</w:t>
      </w:r>
    </w:p>
    <w:p>
      <w:pPr>
        <w:sectPr>
          <w:pgSz w:w="11900" w:h="16838" w:orient="portrait"/>
          <w:cols w:equalWidth="0" w:num="1">
            <w:col w:w="11240"/>
          </w:cols>
          <w:pgMar w:left="320" w:top="1419" w:right="339" w:bottom="1440" w:gutter="0" w:footer="0" w:header="0"/>
        </w:sectPr>
      </w:pPr>
    </w:p>
    <w:bookmarkStart w:id="128" w:name="page129"/>
    <w:bookmarkEnd w:id="128"/>
    <w:p>
      <w:pPr>
        <w:jc w:val="both"/>
        <w:spacing w:after="0" w:line="253" w:lineRule="auto"/>
        <w:rPr>
          <w:sz w:val="20"/>
          <w:szCs w:val="20"/>
          <w:color w:val="auto"/>
        </w:rPr>
      </w:pPr>
      <w:r>
        <w:rPr>
          <w:rFonts w:ascii="Arial" w:cs="Arial" w:eastAsia="Arial" w:hAnsi="Arial"/>
          <w:sz w:val="18"/>
          <w:szCs w:val="18"/>
          <w:color w:val="auto"/>
        </w:rPr>
        <w:t xml:space="preserve">divestitures) and clause (viii) and pursuant to any pro forma adjustments in accordance with the definition of “Pro Forma Basis” in any Test Period shall not exceed 30% of Consolidated EBITDA with respect to such period (after giving effect to such add-backs pursuant to this clause (vii) and clause (viii) and such adjustments), plus (viii) costs, charges, accruals, reserves or expenses attributable to the undertaking or implementation of cost savings initiatives, operating expense reductions, integration, transition, facilities opening and pre-opening, business optimization and other restructuring costs, charges, accruals, reserves and expenses (including, without limitation, inventory optimization programs, software development costs and costs related to the closure or consolidation of facilities, stores or distribution centers and curtailments, costs related to entry into new markets, consulting fees, signing costs, retention or completion bonuses, relocation expenses, severance payments, modifications to pension and post-retirement employee benefit plans, new systems design and implementation costs and project startup costs);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any such costs, charges, accruals, reserves or expenses (other than in connection with any mergers, business combinations, acquisitions or divestures), together with any amounts added back pursuant to clause (vii) and pursuant to any pro forma adjustment in accordance with the definition of “Pro Forma Basis” in any Test Period shall not exceed 30% of Consolidated EBITDA with respect to such period (after giving effect to such add-backs pursuant to this clause (viii) and clause (vii) and such adjustments), minus (b) any non-cash additions to Consolidated Net Income of such Person and its Subsidiaries for such period (including, without limitation, non-cash additions relating to translation and foreign exchange adjustments), minus (c) without duplication and to the extent included in determining such Consolidated Net Income of such Person and its Subsidiaries, any extraordinary gains (or plus extraordinary losses) for such period and any gains (or plus losses) realized in connection with any Asset Disposition of such Person and its Subsidiaries during such period, all determined on a consolidated basis in accordance with GAAP.</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xml:space="preserve">” means, for any Person, for any period, the sum of (a) gross interest expense for such period, including (i) the amortization of debt discounts, (ii) the amortization of all fees (including fees with respect to Hedging Agreements) payable in connection with the incurrence of Indebtedness to the extent included in interest expense, (iii) subject to the last sentence of </w:t>
      </w:r>
      <w:r>
        <w:rPr>
          <w:rFonts w:ascii="Arial" w:cs="Arial" w:eastAsia="Arial" w:hAnsi="Arial"/>
          <w:sz w:val="19"/>
          <w:szCs w:val="19"/>
          <w:u w:val="single" w:color="auto"/>
          <w:color w:val="auto"/>
        </w:rPr>
        <w:t>Section 1.2(a)</w:t>
      </w:r>
      <w:r>
        <w:rPr>
          <w:rFonts w:ascii="Arial" w:cs="Arial" w:eastAsia="Arial" w:hAnsi="Arial"/>
          <w:sz w:val="19"/>
          <w:szCs w:val="19"/>
          <w:color w:val="auto"/>
        </w:rPr>
        <w:t>, the portion of any payments or accruals with respect to Capitalized Lease Obligations allocable to interest expense and (iv) the interest component of any lease payments under Attributable Debt transactions of such Person and its Subsidiaries plus any yield, discount, interest expense or fees associated with any Permitted Receivables or Factoring Financing (other than amounts payable to any Credit Party), (b) capitalized interest for such period and (c) dividends paid in cash during such period on Disqualified Preferred Stock, in each case on a consolidated basis for such Person and its Subsidiaries. For purposes of the foregoing, gross interest expense shall be determined after giving effect to any net payments made by such Person and its Subsidiaries with respect to Hedging Agreements. Breakage costs in connection with repaying Loans outstanding under the Credit Agreement on the Incremental Amendment No. 2 and Third Amendment Effective Date shall not be considered Consolidated Interest Expense.</w:t>
      </w:r>
    </w:p>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and “</w:t>
      </w:r>
      <w:r>
        <w:rPr>
          <w:rFonts w:ascii="Arial" w:cs="Arial" w:eastAsia="Arial" w:hAnsi="Arial"/>
          <w:sz w:val="16"/>
          <w:szCs w:val="16"/>
          <w:u w:val="single" w:color="auto"/>
          <w:color w:val="auto"/>
        </w:rPr>
        <w:t>Consolidated Net Loss</w:t>
      </w:r>
      <w:r>
        <w:rPr>
          <w:rFonts w:ascii="Arial" w:cs="Arial" w:eastAsia="Arial" w:hAnsi="Arial"/>
          <w:sz w:val="16"/>
          <w:szCs w:val="16"/>
          <w:color w:val="auto"/>
        </w:rPr>
        <w:t xml:space="preserve">” mean, respectively, for any period and for any Person, the net income (loss) of such Person and its Subsidiaries for such period determined on a consolidated basis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excluded for any such Person therefrom (i) the net income or loss of any Person (other than consolidated Subsidiaries of such Person) in which any other Person (other than such Person or any of its Subsidiaries) has a joint interest, except to the extent of the amount of dividends, distributions or other payments actually paid to such Person or any of its Subsidiaries by such Person during such period, (ii) the cumulative effect of a change in accounting principles during such period to the extent included in Consolidated Net Income, (iii) any net after-tax income (loss) from discontinued operations and any net after-tax gains or losses on disposal of discontinued operations, in each case after the date of disposal and not in the ordinary course of business, (iv) the net income or loss of any Person accrued prior to the date it becomes a Subsidiary or is merged into, amalgamated with or consolidated with such Person or any of its Subsidiaries or that Person’s assets</w:t>
      </w:r>
    </w:p>
    <w:p>
      <w:pPr>
        <w:sectPr>
          <w:pgSz w:w="11900" w:h="16838" w:orient="portrait"/>
          <w:cols w:equalWidth="0" w:num="1">
            <w:col w:w="11240"/>
          </w:cols>
          <w:pgMar w:left="320" w:top="1419" w:right="339" w:bottom="1440" w:gutter="0" w:footer="0" w:header="0"/>
        </w:sectPr>
      </w:pPr>
    </w:p>
    <w:bookmarkStart w:id="129" w:name="page130"/>
    <w:bookmarkEnd w:id="129"/>
    <w:p>
      <w:pPr>
        <w:jc w:val="both"/>
        <w:spacing w:after="0" w:line="233" w:lineRule="auto"/>
        <w:rPr>
          <w:sz w:val="20"/>
          <w:szCs w:val="20"/>
          <w:color w:val="auto"/>
        </w:rPr>
      </w:pPr>
      <w:r>
        <w:rPr>
          <w:rFonts w:ascii="Arial" w:cs="Arial" w:eastAsia="Arial" w:hAnsi="Arial"/>
          <w:sz w:val="20"/>
          <w:szCs w:val="20"/>
          <w:color w:val="auto"/>
        </w:rPr>
        <w:t>are acquired by such Person or any of its Subsidiaries and (v) gains and losses for such period from the early extinguishment of Indebtedness to the extent included in Consolidated Net Income.</w:t>
      </w:r>
    </w:p>
    <w:p>
      <w:pPr>
        <w:spacing w:after="0" w:line="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Tangible Assets</w:t>
      </w:r>
      <w:r>
        <w:rPr>
          <w:rFonts w:ascii="Arial" w:cs="Arial" w:eastAsia="Arial" w:hAnsi="Arial"/>
          <w:sz w:val="18"/>
          <w:szCs w:val="18"/>
          <w:color w:val="auto"/>
        </w:rPr>
        <w:t xml:space="preserve">” means the aggregate amount of assets (less applicable reserves and other properly deductible items) after deducting therefrom all goodwill, trade names, trademarks, patents, unamortized debt discount and expense (to the extent included in said aggregate amount of assets) and other like intangibles, all as set forth in the most recent consolidated balance sheet of Crown Holdings and its Subsidiaries for which financial statements have been delivered pursuant to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Consolidated Tangible Assets shall be calculated after giving effect to the transaction giving rise to the need to calculate Consolidated Tangible Assets.</w:t>
      </w:r>
    </w:p>
    <w:p>
      <w:pPr>
        <w:spacing w:after="0" w:line="19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Assets</w:t>
      </w:r>
      <w:r>
        <w:rPr>
          <w:rFonts w:ascii="Arial" w:cs="Arial" w:eastAsia="Arial" w:hAnsi="Arial"/>
          <w:sz w:val="20"/>
          <w:szCs w:val="20"/>
          <w:color w:val="auto"/>
        </w:rPr>
        <w:t xml:space="preserve">” means the aggregate amount of assets (less applicable reserves and other properly deductible items), all as set forth in the most recent consolidated balance sheet of Crown Holdings and its Subsidiaries for which financial statements have been delivered pursuant to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Consolidated Total Assets shall be calculated after giving effect to the transaction giving rise to the need to calculate Consolidated Total Assets.</w:t>
      </w:r>
    </w:p>
    <w:p>
      <w:pPr>
        <w:spacing w:after="0" w:line="21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 Period</w:t>
      </w:r>
      <w:r>
        <w:rPr>
          <w:rFonts w:ascii="Arial" w:cs="Arial" w:eastAsia="Arial" w:hAnsi="Arial"/>
          <w:sz w:val="20"/>
          <w:szCs w:val="20"/>
          <w:color w:val="auto"/>
        </w:rPr>
        <w:t xml:space="preserve">” means the term of a B/A Loan selected by Canadian Borrower in accordance with </w:t>
      </w:r>
      <w:r>
        <w:rPr>
          <w:rFonts w:ascii="Arial" w:cs="Arial" w:eastAsia="Arial" w:hAnsi="Arial"/>
          <w:sz w:val="20"/>
          <w:szCs w:val="20"/>
          <w:u w:val="single" w:color="auto"/>
          <w:color w:val="auto"/>
        </w:rPr>
        <w:t>Section 2A.5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2A.6</w:t>
      </w:r>
      <w:r>
        <w:rPr>
          <w:rFonts w:ascii="Arial" w:cs="Arial" w:eastAsia="Arial" w:hAnsi="Arial"/>
          <w:sz w:val="20"/>
          <w:szCs w:val="20"/>
          <w:color w:val="auto"/>
        </w:rPr>
        <w:t xml:space="preserve"> commencing on the date of such B/A Loan and expiring on a Business Day which shall be either 30 days, 60 days, 90 days or 180 days (subject to availability) thereafter,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if any Contract Period would otherwise expire on a day which is not a Business Day, such Contract Period shall expire on the next succeeding Business Day (or if such next succeeding Business Day is in a different month, on the next preceding Business Day) and (ii) no Contract Period for a Canadian Revolving Loan shall extend beyond the Canadian Revolver Termination Date.</w:t>
      </w:r>
    </w:p>
    <w:p>
      <w:pPr>
        <w:spacing w:after="0" w:line="21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Securities issued by such Person or of any indenture or credit agreement or any agreement, instrument or other undertaking to which such Person is a party or by which it or any of its property is bound or to which it may be subject.</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ownership of Voting Securities, by contract or otherwise, and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Converted Acceptances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13.1(a)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Event</w:t>
      </w:r>
      <w:r>
        <w:rPr>
          <w:rFonts w:ascii="Arial" w:cs="Arial" w:eastAsia="Arial" w:hAnsi="Arial"/>
          <w:sz w:val="20"/>
          <w:szCs w:val="20"/>
          <w:color w:val="auto"/>
        </w:rPr>
        <w:t>” means the making of any Loan or the issuance of any Letter of Credit.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Exposure</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12.8(b)</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w:t>
      </w:r>
      <w:r>
        <w:rPr>
          <w:rFonts w:ascii="Arial" w:cs="Arial" w:eastAsia="Arial" w:hAnsi="Arial"/>
          <w:sz w:val="20"/>
          <w:szCs w:val="20"/>
          <w:color w:val="auto"/>
        </w:rPr>
        <w:t>” means U.S. Borrower, European Borrower, Canadian Borrower, each Parent Guarantor, Crown Développement, each Subsidiary Credit Party and any other guarantor which may hereafter enter into a guarantee agreement or a pledge agreement with respect to all or any portion of the Obligations.</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Crown Développement</w:t>
      </w:r>
      <w:r>
        <w:rPr>
          <w:rFonts w:ascii="Arial" w:cs="Arial" w:eastAsia="Arial" w:hAnsi="Arial"/>
          <w:sz w:val="20"/>
          <w:szCs w:val="20"/>
          <w:color w:val="auto"/>
        </w:rPr>
        <w:t>” means Crown Développement SAS, a simplified joint stock corporation (société par actions simplifiée) organized under the laws of France.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Crown Finance</w:t>
      </w:r>
      <w:r>
        <w:rPr>
          <w:rFonts w:ascii="Arial" w:cs="Arial" w:eastAsia="Arial" w:hAnsi="Arial"/>
          <w:sz w:val="20"/>
          <w:szCs w:val="20"/>
          <w:color w:val="auto"/>
        </w:rPr>
        <w:t>” means Crown Americas Capital Corp., a Delaware corporation.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Crown Finance II</w:t>
      </w:r>
      <w:r>
        <w:rPr>
          <w:rFonts w:ascii="Arial" w:cs="Arial" w:eastAsia="Arial" w:hAnsi="Arial"/>
          <w:sz w:val="20"/>
          <w:szCs w:val="20"/>
          <w:color w:val="auto"/>
        </w:rPr>
        <w:t>” means Crown Americas Capital Corp. II, a Delaware corporation.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Crown Holdings</w:t>
      </w:r>
      <w:r>
        <w:rPr>
          <w:rFonts w:ascii="Arial" w:cs="Arial" w:eastAsia="Arial" w:hAnsi="Arial"/>
          <w:sz w:val="20"/>
          <w:szCs w:val="20"/>
          <w:color w:val="auto"/>
        </w:rPr>
        <w:t>” has the meaning assigned to such term in the preamble to this Agreement.</w:t>
      </w:r>
    </w:p>
    <w:p>
      <w:pPr>
        <w:sectPr>
          <w:pgSz w:w="11900" w:h="16838" w:orient="portrait"/>
          <w:cols w:equalWidth="0" w:num="1">
            <w:col w:w="11240"/>
          </w:cols>
          <w:pgMar w:left="320" w:top="1419" w:right="339" w:bottom="1440" w:gutter="0" w:footer="0" w:header="0"/>
        </w:sectPr>
      </w:pPr>
    </w:p>
    <w:bookmarkStart w:id="130" w:name="page131"/>
    <w:bookmarkEnd w:id="13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Crown International</w:t>
      </w:r>
      <w:r>
        <w:rPr>
          <w:rFonts w:ascii="Arial" w:cs="Arial" w:eastAsia="Arial" w:hAnsi="Arial"/>
          <w:sz w:val="20"/>
          <w:szCs w:val="20"/>
          <w:color w:val="auto"/>
        </w:rPr>
        <w:t>” has the meaning assigned to such term in the preamble to this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CTA</w:t>
      </w:r>
      <w:r>
        <w:rPr>
          <w:rFonts w:ascii="Arial" w:cs="Arial" w:eastAsia="Arial" w:hAnsi="Arial"/>
          <w:sz w:val="20"/>
          <w:szCs w:val="20"/>
          <w:color w:val="auto"/>
        </w:rPr>
        <w:t>” means the Corporation Tax Act 2009 (United Kingdom).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DB</w:t>
      </w:r>
      <w:r>
        <w:rPr>
          <w:rFonts w:ascii="Arial" w:cs="Arial" w:eastAsia="Arial" w:hAnsi="Arial"/>
          <w:sz w:val="20"/>
          <w:szCs w:val="20"/>
          <w:color w:val="auto"/>
        </w:rPr>
        <w:t>” means Deutsche Bank AG New York Branch, and its successors.</w:t>
      </w:r>
    </w:p>
    <w:p>
      <w:pPr>
        <w:spacing w:after="0" w:line="229" w:lineRule="exact"/>
        <w:rPr>
          <w:sz w:val="20"/>
          <w:szCs w:val="20"/>
          <w:color w:val="auto"/>
        </w:rPr>
      </w:pPr>
    </w:p>
    <w:p>
      <w:pPr>
        <w:jc w:val="both"/>
        <w:spacing w:after="0" w:line="22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RFR</w:t>
      </w:r>
      <w:r>
        <w:rPr>
          <w:rFonts w:ascii="Arial" w:cs="Arial" w:eastAsia="Arial" w:hAnsi="Arial"/>
          <w:sz w:val="20"/>
          <w:szCs w:val="20"/>
          <w:color w:val="auto"/>
        </w:rPr>
        <w:t>” means, for any day (an “</w:t>
      </w:r>
      <w:r>
        <w:rPr>
          <w:rFonts w:ascii="Arial" w:cs="Arial" w:eastAsia="Arial" w:hAnsi="Arial"/>
          <w:sz w:val="20"/>
          <w:szCs w:val="20"/>
          <w:u w:val="single" w:color="auto"/>
          <w:color w:val="auto"/>
        </w:rPr>
        <w:t>RFR Rate Day</w:t>
      </w:r>
      <w:r>
        <w:rPr>
          <w:rFonts w:ascii="Arial" w:cs="Arial" w:eastAsia="Arial" w:hAnsi="Arial"/>
          <w:sz w:val="20"/>
          <w:szCs w:val="20"/>
          <w:color w:val="auto"/>
        </w:rPr>
        <w:t>”), a rate per annum equal to, for any Obligations denominated in, or calculated with respect to, Sterling, the greater of (i) SONIA for the day (such day, an “</w:t>
      </w:r>
      <w:r>
        <w:rPr>
          <w:rFonts w:ascii="Arial" w:cs="Arial" w:eastAsia="Arial" w:hAnsi="Arial"/>
          <w:sz w:val="20"/>
          <w:szCs w:val="20"/>
          <w:u w:val="single" w:color="auto"/>
          <w:color w:val="auto"/>
        </w:rPr>
        <w:t>RFR Determination Day</w:t>
      </w:r>
      <w:r>
        <w:rPr>
          <w:rFonts w:ascii="Arial" w:cs="Arial" w:eastAsia="Arial" w:hAnsi="Arial"/>
          <w:sz w:val="20"/>
          <w:szCs w:val="20"/>
          <w:color w:val="auto"/>
        </w:rPr>
        <w:t>”) that is five (5) RFR Business Days prior to (A) if such RFR Rate Day is an RFR Business Day, such RFR Rate Day or (B) if such RFR Rate Day is not an RFR Business Day, the RFR Business Day immediately preceding such RFR Rate Day, and (ii) 0.0%. If by 5:00 pm, London time, on the second (2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RFR Business Day immediately following any RFR Determination Day, SONIA in respect of such RFR Determination Day has not been published, then SONIA for such RFR Determination Day will be SONIA as published in respect of the first preceding RFR Business Day for which SONIA was published on the SONIA Administrator’s Website;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SONIA as determined pursuant to this sentence shall be utilized for purposes of calculating Daily Simple RFR for no more than three (3) consecutive RFR Rate Days. Any change in Daily Simple RFR due to a change in SONIA shall be effective from and including the effective date of such change in SONIA without notice to the Borrowers.</w:t>
      </w:r>
    </w:p>
    <w:p>
      <w:pPr>
        <w:spacing w:after="0" w:line="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RFR Loan</w:t>
      </w:r>
      <w:r>
        <w:rPr>
          <w:rFonts w:ascii="Arial" w:cs="Arial" w:eastAsia="Arial" w:hAnsi="Arial"/>
          <w:sz w:val="20"/>
          <w:szCs w:val="20"/>
          <w:color w:val="auto"/>
        </w:rPr>
        <w:t>” means a Loan that bears interest at a rate based on Daily Simple RFR pursuant to clause (c) of the definition of “Eurocurrency Rate”.</w:t>
      </w:r>
    </w:p>
    <w:p>
      <w:pPr>
        <w:ind w:left="66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Debentures</w:t>
      </w:r>
      <w:r>
        <w:rPr>
          <w:rFonts w:ascii="Arial" w:cs="Arial" w:eastAsia="Arial" w:hAnsi="Arial"/>
          <w:sz w:val="20"/>
          <w:szCs w:val="20"/>
          <w:color w:val="auto"/>
        </w:rPr>
        <w:t>” means the CCSC 2026 Debentures and the CCSC 2096 Debentures.</w:t>
      </w:r>
    </w:p>
    <w:p>
      <w:pPr>
        <w:jc w:val="both"/>
        <w:ind w:right="20" w:firstLine="648"/>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Basket Amount</w:t>
      </w:r>
      <w:r>
        <w:rPr>
          <w:rFonts w:ascii="Arial" w:cs="Arial" w:eastAsia="Arial" w:hAnsi="Arial"/>
          <w:sz w:val="20"/>
          <w:szCs w:val="20"/>
          <w:color w:val="auto"/>
        </w:rPr>
        <w:t xml:space="preserve">” means 20% of Consolidated Tangible Assets as set forth in the financial statements last delivered by Crown Holdings pursuant to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ind w:left="66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Declining Lender</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2.15(b)</w:t>
      </w:r>
      <w:r>
        <w:rPr>
          <w:rFonts w:ascii="Arial" w:cs="Arial" w:eastAsia="Arial" w:hAnsi="Arial"/>
          <w:sz w:val="20"/>
          <w:szCs w:val="20"/>
          <w:color w:val="auto"/>
        </w:rPr>
        <w:t>.</w:t>
      </w: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variable rate per annum which shall be two percent (2%) per annum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either (i) the then applicable interest rate hereunder in respect of the amount on which the Default Rate is being assessed or (ii) if there is no such applicable interest rate, the Base Rate plus the Applicable Base Rate Margin, and with respect to the obligations denominated in Canadian Dollars the Canadian Prime Rate plus the Applicable Canadian Prime Rate Margin, but in no event in excess of that permitted by applicable law.</w:t>
      </w:r>
    </w:p>
    <w:p>
      <w:pPr>
        <w:spacing w:after="0" w:line="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Lender that (a) has failed, within two Business Days of the date required to be funded or paid, to (i) fund any portion of its Loans, (ii) fund any portion of its participations in Letters of Credit or Swing Line Loans or (iii) pay over to any Agent, any Facing Agent, any Swing Line Lender or any other Lender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w:t>
      </w:r>
    </w:p>
    <w:p>
      <w:pPr>
        <w:spacing w:after="0" w:line="2" w:lineRule="exact"/>
        <w:rPr>
          <w:sz w:val="20"/>
          <w:szCs w:val="20"/>
          <w:color w:val="auto"/>
        </w:rPr>
      </w:pPr>
    </w:p>
    <w:p>
      <w:pPr>
        <w:jc w:val="both"/>
        <w:ind w:firstLine="8"/>
        <w:spacing w:after="0" w:line="253" w:lineRule="auto"/>
        <w:tabs>
          <w:tab w:leader="none" w:pos="284"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has notified the Borrowers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(c) has failed, within three Business Days after written request by a Borrower, acting in good faith, to provide a written confirmation from an authorized officer of such Lender that it will comply with its obligations to fund prospective Loans and participations in then outstanding Letters of Credit and Swing Line Loans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such Borrower’s receipt of such certification in form and substance reasonably satisfactory to it and the Administrative Agent; or (d) (i) has, or has a direct or indirect parent company that has, become the subject of a bankruptcy or Insolvency Proceeding or (ii) has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w:t>
      </w:r>
    </w:p>
    <w:p>
      <w:pPr>
        <w:sectPr>
          <w:pgSz w:w="11900" w:h="16838" w:orient="portrait"/>
          <w:cols w:equalWidth="0" w:num="1">
            <w:col w:w="11240"/>
          </w:cols>
          <w:pgMar w:left="320" w:top="1419" w:right="339" w:bottom="1440" w:gutter="0" w:footer="0" w:header="0"/>
        </w:sectPr>
      </w:pPr>
    </w:p>
    <w:bookmarkStart w:id="131" w:name="page132"/>
    <w:bookmarkEnd w:id="131"/>
    <w:p>
      <w:pPr>
        <w:jc w:val="both"/>
        <w:spacing w:after="0" w:line="230" w:lineRule="auto"/>
        <w:rPr>
          <w:sz w:val="20"/>
          <w:szCs w:val="20"/>
          <w:color w:val="auto"/>
        </w:rPr>
      </w:pPr>
      <w:r>
        <w:rPr>
          <w:rFonts w:ascii="Arial" w:cs="Arial" w:eastAsia="Arial" w:hAnsi="Arial"/>
          <w:sz w:val="20"/>
          <w:szCs w:val="20"/>
          <w:color w:val="auto"/>
        </w:rPr>
        <w:t>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3" w:lineRule="exact"/>
        <w:rPr>
          <w:sz w:val="20"/>
          <w:szCs w:val="20"/>
          <w:color w:val="auto"/>
        </w:rPr>
      </w:pPr>
    </w:p>
    <w:p>
      <w:pPr>
        <w:jc w:val="both"/>
        <w:ind w:right="20" w:firstLine="648"/>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Deposit Account</w:t>
      </w:r>
      <w:r>
        <w:rPr>
          <w:rFonts w:ascii="Arial" w:cs="Arial" w:eastAsia="Arial" w:hAnsi="Arial"/>
          <w:sz w:val="20"/>
          <w:szCs w:val="20"/>
          <w:color w:val="auto"/>
        </w:rPr>
        <w:t>” means a demand, time, savings, passbook or like account with a bank, savings and loan association, credit union or like organization, other than an account evidenced by a negotiable certificate of deposit.</w:t>
      </w:r>
    </w:p>
    <w:p>
      <w:pPr>
        <w:spacing w:after="0" w:line="1"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Obligations</w:t>
      </w:r>
      <w:r>
        <w:rPr>
          <w:rFonts w:ascii="Arial" w:cs="Arial" w:eastAsia="Arial" w:hAnsi="Arial"/>
          <w:sz w:val="20"/>
          <w:szCs w:val="20"/>
          <w:color w:val="auto"/>
        </w:rPr>
        <w:t>” means all Obligations of the Credit Parties in respect of accrued and unpaid (a) principal of and interest on the Loans (including B/As, B/A Equivalent Loans and Acceptance Fees with respect thereto), (b) Multicurrency LC Commissions, Dollar LC Commissions and Canadian LC Commissions and (c) Commitment Fees, whether or not the same shall at the time of any determination be due and payable under the terms of the Loan Documents.</w:t>
      </w:r>
    </w:p>
    <w:p>
      <w:pPr>
        <w:spacing w:after="0" w:line="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with respect to any Letter of Credit, (i) the most recent date upon which one of the following shall have occurred: (x) the date of issuance of such Letter of Credit, (y) the date on which any Facing Agent was or is, as applicable, required to deliver a notice of non-renewal with respect to such Letter of Credit, and (z) the first Business Day of each month, commencing on the first Business Day following the issuance of such Letter of Credit; and (ii) such other date determined by the Administrative Agent in its sole discretion.</w:t>
      </w:r>
    </w:p>
    <w:p>
      <w:pPr>
        <w:spacing w:after="0" w:line="2"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 Proceeds</w:t>
      </w:r>
      <w:r>
        <w:rPr>
          <w:rFonts w:ascii="Arial" w:cs="Arial" w:eastAsia="Arial" w:hAnsi="Arial"/>
          <w:sz w:val="20"/>
          <w:szCs w:val="20"/>
          <w:color w:val="auto"/>
        </w:rPr>
        <w:t>” means in respect of any Bankers’ Acceptance (or, as applicable, any B/A Equivalent Loan) required to be accepted and purchased by a Canadian Revolving Lender an amount (rounded to the nearest whole cent with one-half one cent being rounded-up) determined as of the applicable date of the Canadian Revolving Loan or rollover date for such Canadian Revolving Loan which is equal to:</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Face Amount x Price</w:t>
      </w:r>
    </w:p>
    <w:p>
      <w:pPr>
        <w:spacing w:after="0" w:line="2" w:lineRule="exact"/>
        <w:rPr>
          <w:sz w:val="20"/>
          <w:szCs w:val="20"/>
          <w:color w:val="auto"/>
        </w:rPr>
      </w:pPr>
    </w:p>
    <w:p>
      <w:pPr>
        <w:ind w:left="1300" w:right="2860"/>
        <w:spacing w:after="0" w:line="234" w:lineRule="auto"/>
        <w:rPr>
          <w:sz w:val="20"/>
          <w:szCs w:val="20"/>
          <w:color w:val="auto"/>
        </w:rPr>
      </w:pPr>
      <w:r>
        <w:rPr>
          <w:rFonts w:ascii="Arial" w:cs="Arial" w:eastAsia="Arial" w:hAnsi="Arial"/>
          <w:sz w:val="20"/>
          <w:szCs w:val="20"/>
          <w:color w:val="auto"/>
        </w:rPr>
        <w:t>where “Face Amount” is the face amount of such Bankers’ Acceptance (or, as applicable, the B/A Equivalent Loan) and “Price” is equal to:</w:t>
      </w:r>
    </w:p>
    <w:p>
      <w:pPr>
        <w:spacing w:after="0" w:line="265" w:lineRule="exact"/>
        <w:rPr>
          <w:sz w:val="20"/>
          <w:szCs w:val="20"/>
          <w:color w:val="auto"/>
        </w:rPr>
      </w:pPr>
    </w:p>
    <w:p>
      <w:pPr>
        <w:jc w:val="center"/>
        <w:ind w:right="510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19050</wp:posOffset>
            </wp:positionV>
            <wp:extent cx="14230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 w:lineRule="exact"/>
        <w:rPr>
          <w:sz w:val="20"/>
          <w:szCs w:val="20"/>
          <w:color w:val="auto"/>
        </w:rPr>
      </w:pPr>
    </w:p>
    <w:p>
      <w:pPr>
        <w:jc w:val="center"/>
        <w:ind w:right="5120"/>
        <w:spacing w:after="0"/>
        <w:rPr>
          <w:sz w:val="20"/>
          <w:szCs w:val="20"/>
          <w:color w:val="auto"/>
        </w:rPr>
      </w:pPr>
      <w:r>
        <w:rPr>
          <w:rFonts w:ascii="Arial" w:cs="Arial" w:eastAsia="Arial" w:hAnsi="Arial"/>
          <w:sz w:val="20"/>
          <w:szCs w:val="20"/>
          <w:color w:val="auto"/>
        </w:rPr>
        <w:t>1 + (Rate x</w:t>
      </w:r>
    </w:p>
    <w:p>
      <w:pPr>
        <w:spacing w:after="0" w:line="2" w:lineRule="exact"/>
        <w:rPr>
          <w:sz w:val="20"/>
          <w:szCs w:val="20"/>
          <w:color w:val="auto"/>
        </w:rPr>
      </w:pPr>
    </w:p>
    <w:p>
      <w:pPr>
        <w:ind w:left="1320"/>
        <w:spacing w:after="0"/>
        <w:rPr>
          <w:sz w:val="20"/>
          <w:szCs w:val="20"/>
          <w:color w:val="auto"/>
        </w:rPr>
      </w:pPr>
      <w:r>
        <w:rPr>
          <w:rFonts w:ascii="Arial" w:cs="Arial" w:eastAsia="Arial" w:hAnsi="Arial"/>
          <w:sz w:val="20"/>
          <w:szCs w:val="20"/>
          <w:u w:val="single" w:color="auto"/>
          <w:color w:val="auto"/>
        </w:rPr>
        <w:t>Ter</w:t>
      </w:r>
      <w:r>
        <w:rPr>
          <w:rFonts w:ascii="Arial" w:cs="Arial" w:eastAsia="Arial" w:hAnsi="Arial"/>
          <w:sz w:val="20"/>
          <w:szCs w:val="20"/>
          <w:color w:val="auto"/>
        </w:rPr>
        <w:t>m)</w:t>
      </w:r>
    </w:p>
    <w:p>
      <w:pPr>
        <w:spacing w:after="0" w:line="2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365</w:t>
      </w:r>
    </w:p>
    <w:p>
      <w:pPr>
        <w:spacing w:after="0" w:line="108" w:lineRule="exact"/>
        <w:rPr>
          <w:sz w:val="20"/>
          <w:szCs w:val="20"/>
          <w:color w:val="auto"/>
        </w:rPr>
      </w:pPr>
    </w:p>
    <w:p>
      <w:pPr>
        <w:ind w:left="1300" w:right="2840"/>
        <w:spacing w:after="0" w:line="232" w:lineRule="auto"/>
        <w:rPr>
          <w:sz w:val="20"/>
          <w:szCs w:val="20"/>
          <w:color w:val="auto"/>
        </w:rPr>
      </w:pPr>
      <w:r>
        <w:rPr>
          <w:rFonts w:ascii="Arial" w:cs="Arial" w:eastAsia="Arial" w:hAnsi="Arial"/>
          <w:sz w:val="20"/>
          <w:szCs w:val="20"/>
          <w:color w:val="auto"/>
        </w:rPr>
        <w:t>where the “Rate” is the Discount Rate expressed as a decimal on the date of the Canadian Revolving Loan or rollover date for such Canadian Revolving Loan, as the case may be; the “Term” is the Contract Period of such Bankers’ Acceptance expressed as a number of days; and the Price as so determined is rounded up or down to the fifth decimal place with .000005 being rounded-up.</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 Rate</w:t>
      </w:r>
      <w:r>
        <w:rPr>
          <w:rFonts w:ascii="Arial" w:cs="Arial" w:eastAsia="Arial" w:hAnsi="Arial"/>
          <w:sz w:val="20"/>
          <w:szCs w:val="20"/>
          <w:color w:val="auto"/>
        </w:rPr>
        <w:t>” means:</w:t>
      </w:r>
    </w:p>
    <w:p>
      <w:pPr>
        <w:spacing w:after="0" w:line="229" w:lineRule="exact"/>
        <w:rPr>
          <w:sz w:val="20"/>
          <w:szCs w:val="20"/>
          <w:color w:val="auto"/>
        </w:rPr>
      </w:pPr>
    </w:p>
    <w:p>
      <w:pPr>
        <w:ind w:right="20" w:firstLine="656"/>
        <w:spacing w:after="0" w:line="246" w:lineRule="auto"/>
        <w:tabs>
          <w:tab w:leader="none" w:pos="931" w:val="left"/>
        </w:tabs>
        <w:numPr>
          <w:ilvl w:val="0"/>
          <w:numId w:val="49"/>
        </w:numPr>
        <w:rPr>
          <w:rFonts w:ascii="Arial" w:cs="Arial" w:eastAsia="Arial" w:hAnsi="Arial"/>
          <w:sz w:val="20"/>
          <w:szCs w:val="20"/>
          <w:color w:val="auto"/>
        </w:rPr>
      </w:pPr>
      <w:r>
        <w:rPr>
          <w:rFonts w:ascii="Arial" w:cs="Arial" w:eastAsia="Arial" w:hAnsi="Arial"/>
          <w:sz w:val="20"/>
          <w:szCs w:val="20"/>
          <w:color w:val="auto"/>
        </w:rPr>
        <w:t>with respect to an issue of Bankers’ Acceptances accepted and purchased by a Canadian Revolving Lender that is a Schedule I Bank, the CDOR Rate; and</w:t>
      </w:r>
    </w:p>
    <w:p>
      <w:pPr>
        <w:spacing w:after="0" w:line="203" w:lineRule="exact"/>
        <w:rPr>
          <w:rFonts w:ascii="Arial" w:cs="Arial" w:eastAsia="Arial" w:hAnsi="Arial"/>
          <w:sz w:val="20"/>
          <w:szCs w:val="20"/>
          <w:color w:val="auto"/>
        </w:rPr>
      </w:pPr>
    </w:p>
    <w:p>
      <w:pPr>
        <w:ind w:firstLine="656"/>
        <w:spacing w:after="0" w:line="300" w:lineRule="auto"/>
        <w:tabs>
          <w:tab w:leader="none" w:pos="933"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an issue of Bankers’ Acceptances accepted and purchased by a Canadian Revolving Lender that is not a Schedule I Bank, including without limitation, a Schedule II Bank and a Schedule III Bank, the CDOR Rate plus ten (10) basis points (0.10%).</w:t>
      </w:r>
    </w:p>
    <w:p>
      <w:pPr>
        <w:spacing w:after="0" w:line="15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Disqualified Institution</w:t>
      </w:r>
      <w:r>
        <w:rPr>
          <w:rFonts w:ascii="Arial" w:cs="Arial" w:eastAsia="Arial" w:hAnsi="Arial"/>
          <w:sz w:val="20"/>
          <w:szCs w:val="20"/>
          <w:color w:val="auto"/>
        </w:rPr>
        <w:t>” means (a) each bank, financial institution or other institutional lender identified on a list made available to the Administrative Agent on or prior to the Original Closing Date and (b) any Company Competitor. Notwithstanding the foregoing, any list of Disqualified Institutions shall be required to be available to any Lender on a confidential basis that requests a copy of such list from the Administrative Agent.</w:t>
      </w:r>
    </w:p>
    <w:p>
      <w:pPr>
        <w:sectPr>
          <w:pgSz w:w="11900" w:h="16838" w:orient="portrait"/>
          <w:cols w:equalWidth="0" w:num="1">
            <w:col w:w="11240"/>
          </w:cols>
          <w:pgMar w:left="320" w:top="1419" w:right="339" w:bottom="1440" w:gutter="0" w:footer="0" w:header="0"/>
        </w:sectPr>
      </w:pPr>
    </w:p>
    <w:bookmarkStart w:id="132" w:name="page133"/>
    <w:bookmarkEnd w:id="132"/>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Disqualified Preferred Stock</w:t>
      </w:r>
      <w:r>
        <w:rPr>
          <w:rFonts w:ascii="Arial" w:cs="Arial" w:eastAsia="Arial" w:hAnsi="Arial"/>
          <w:sz w:val="20"/>
          <w:szCs w:val="20"/>
          <w:color w:val="auto"/>
        </w:rPr>
        <w:t>” means any preferred stock of Crown Holdings (or any equity security of Crown Holdings that is convertible or exchangeable into any such preferred stock of Crown Holdings) that is not Permitted Preferred Stock.</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Disregarded Subsidiary</w:t>
      </w:r>
      <w:r>
        <w:rPr>
          <w:rFonts w:ascii="Arial" w:cs="Arial" w:eastAsia="Arial" w:hAnsi="Arial"/>
          <w:sz w:val="18"/>
          <w:szCs w:val="18"/>
          <w:color w:val="auto"/>
        </w:rPr>
        <w:t>” means a Subsidiary of Crown Holdings that is disregarded as an entity separate from its owner for U.S.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and that has no material assets other than Capital Stock of one or more Non-U.S. Subsidiaries that are CFCs.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 of America.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Commitment Fee</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3.2(a)(i)</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Equivalent</w:t>
      </w:r>
      <w:r>
        <w:rPr>
          <w:rFonts w:ascii="Arial" w:cs="Arial" w:eastAsia="Arial" w:hAnsi="Arial"/>
          <w:sz w:val="19"/>
          <w:szCs w:val="19"/>
          <w:color w:val="auto"/>
        </w:rPr>
        <w:t xml:space="preserve">” means, at any time, (a) as to any amount denominated in Dollars, the amount thereof at such time, (b) as to any amount denominated in an Alternative Currency or Canadian Dollars, the equivalent amount in Dollars as determined by Administrative Agent at such time on the basis of the Exchange Rate for the purchase of Dollars with such Alternative Currency or Canadian Dollars on the most recent Computation Date provided for in </w:t>
      </w:r>
      <w:r>
        <w:rPr>
          <w:rFonts w:ascii="Arial" w:cs="Arial" w:eastAsia="Arial" w:hAnsi="Arial"/>
          <w:sz w:val="19"/>
          <w:szCs w:val="19"/>
          <w:u w:val="single" w:color="auto"/>
          <w:color w:val="auto"/>
        </w:rPr>
        <w:t>Section 2.8(a)</w:t>
      </w:r>
      <w:r>
        <w:rPr>
          <w:rFonts w:ascii="Arial" w:cs="Arial" w:eastAsia="Arial" w:hAnsi="Arial"/>
          <w:sz w:val="19"/>
          <w:szCs w:val="19"/>
          <w:color w:val="auto"/>
        </w:rPr>
        <w:t xml:space="preserve"> and (c) as to any amount denominated in any other currency, the equivalent in Dollars of such amount determined by Administrative Agent using the Exchange Rate then in effect.</w:t>
      </w:r>
    </w:p>
    <w:p>
      <w:pPr>
        <w:spacing w:after="0" w:line="2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Facing Agent</w:t>
      </w:r>
      <w:r>
        <w:rPr>
          <w:rFonts w:ascii="Arial" w:cs="Arial" w:eastAsia="Arial" w:hAnsi="Arial"/>
          <w:sz w:val="19"/>
          <w:szCs w:val="19"/>
          <w:color w:val="auto"/>
        </w:rPr>
        <w:t>” means PNC Bank, National Association or any of its affiliates in its capacity as issuer of Dollar Letters of Credit and any other Dollar Revolving Lender which at the request of the U.S. Borrower and with the consent of Administrative Agent (not to be unreasonably withheld) agrees to issue Dollar Letters of Credit, in its capacity as an issuer of Dollar Letters of Credit.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LC Commission</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2.10(g)(ii)</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LC Obligations</w:t>
      </w:r>
      <w:r>
        <w:rPr>
          <w:rFonts w:ascii="Arial" w:cs="Arial" w:eastAsia="Arial" w:hAnsi="Arial"/>
          <w:sz w:val="20"/>
          <w:szCs w:val="20"/>
          <w:color w:val="auto"/>
        </w:rPr>
        <w:t xml:space="preserve">” means, at any time, an amount equal to the sum of (a) the aggregate Stated Amount of the then outstanding Dollar Letters of Credit and (b) the aggregate amount of Unpaid Drawings under the Dollar Letters of Credit which have not then been reimbursed pursuant to </w:t>
      </w:r>
      <w:r>
        <w:rPr>
          <w:rFonts w:ascii="Arial" w:cs="Arial" w:eastAsia="Arial" w:hAnsi="Arial"/>
          <w:sz w:val="20"/>
          <w:szCs w:val="20"/>
          <w:u w:val="single" w:color="auto"/>
          <w:color w:val="auto"/>
        </w:rPr>
        <w:t>Section 2.10(f)</w:t>
      </w:r>
      <w:r>
        <w:rPr>
          <w:rFonts w:ascii="Arial" w:cs="Arial" w:eastAsia="Arial" w:hAnsi="Arial"/>
          <w:sz w:val="20"/>
          <w:szCs w:val="20"/>
          <w:color w:val="auto"/>
        </w:rPr>
        <w:t>. The Dollar LC Obligation of any Dollar Revolving Lender at any time shall mean its Dollar Revolver Pro Rata Share of the aggregate Dollar LC Obligations outstanding at such time.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Letters of Credit</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2.10(a)(ii)</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Letter of Credit Exposure</w:t>
      </w:r>
      <w:r>
        <w:rPr>
          <w:rFonts w:ascii="Arial" w:cs="Arial" w:eastAsia="Arial" w:hAnsi="Arial"/>
          <w:sz w:val="20"/>
          <w:szCs w:val="20"/>
          <w:color w:val="auto"/>
        </w:rPr>
        <w:t>” means, with respect to a Dollar Revolving Lender, such Lender’s Dollar Revolver Pro Rata Share of the aggregate Dollar LC Obligations.</w:t>
      </w:r>
    </w:p>
    <w:p>
      <w:pPr>
        <w:spacing w:after="0" w:line="20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Revolver Pro Rata Share</w:t>
      </w:r>
      <w:r>
        <w:rPr>
          <w:rFonts w:ascii="Arial" w:cs="Arial" w:eastAsia="Arial" w:hAnsi="Arial"/>
          <w:sz w:val="19"/>
          <w:szCs w:val="19"/>
          <w:color w:val="auto"/>
        </w:rPr>
        <w:t>” means, when used with reference to any Dollar Revolving Lender and any described aggregate or total amount, an amount equal to the result obtained by multiplying such described aggregate or total amount by a fraction the numerator of which shall be such Dollar Revolving Lender’s Dollar Revolving Commitment or, if the Revolver Termination Date for the Dollar Revolving Facility has occurred, the Effective Amount of such Dollar Revolving Lender’s then outstanding Dollar Revolving Loans and the denominator of which shall be the Dollar Revolving Commitments or, if the Revolver Termination Date for the Dollar Revolving Facility has occurred, the Effective Amount of all then outstanding Dollar Revolving Loans.</w:t>
      </w:r>
    </w:p>
    <w:p>
      <w:pPr>
        <w:spacing w:after="0" w:line="2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Revolving Commitment</w:t>
      </w:r>
      <w:r>
        <w:rPr>
          <w:rFonts w:ascii="Arial" w:cs="Arial" w:eastAsia="Arial" w:hAnsi="Arial"/>
          <w:sz w:val="19"/>
          <w:szCs w:val="19"/>
          <w:color w:val="auto"/>
        </w:rPr>
        <w:t xml:space="preserve">” means, with respect to any Dollar Revolving Lender, the obligation of such Dollar Revolving Lender to make Dollar Revolving Loans and to participate in Dollar Letters of Credit, as such commitment may be adjusted from time to time pursuant to this Agreement, which commitment as of the Incremental Amendment No. 2 and Third Amendment Effective Date is the amount set forth opposite such lender’s name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to Incremental Amendment No. 2 and Third</w:t>
      </w:r>
    </w:p>
    <w:p>
      <w:pPr>
        <w:sectPr>
          <w:pgSz w:w="11900" w:h="16838" w:orient="portrait"/>
          <w:cols w:equalWidth="0" w:num="1">
            <w:col w:w="11240"/>
          </w:cols>
          <w:pgMar w:left="320" w:top="1419" w:right="339" w:bottom="1440" w:gutter="0" w:footer="0" w:header="0"/>
        </w:sectPr>
      </w:pPr>
    </w:p>
    <w:bookmarkStart w:id="133" w:name="page134"/>
    <w:bookmarkEnd w:id="133"/>
    <w:p>
      <w:pPr>
        <w:jc w:val="both"/>
        <w:spacing w:after="0" w:line="237" w:lineRule="auto"/>
        <w:rPr>
          <w:sz w:val="20"/>
          <w:szCs w:val="20"/>
          <w:color w:val="auto"/>
        </w:rPr>
      </w:pPr>
      <w:r>
        <w:rPr>
          <w:rFonts w:ascii="Arial" w:cs="Arial" w:eastAsia="Arial" w:hAnsi="Arial"/>
          <w:sz w:val="20"/>
          <w:szCs w:val="20"/>
          <w:color w:val="auto"/>
        </w:rPr>
        <w:t>Amendment under the caption “Amount of Dollar Revolving Commitment” as the same may be adjusted from time to time pursuant to the terms hereof and “Dollar Revolving Commitments” means such commitments collectively, which commitments equal $600,000,000 in the aggregate as of the Incremental No. 2 and Third Amendment Effective Date.</w:t>
      </w:r>
    </w:p>
    <w:p>
      <w:pPr>
        <w:spacing w:after="0" w:line="21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Revolving Credit Exposure</w:t>
      </w:r>
      <w:r>
        <w:rPr>
          <w:rFonts w:ascii="Arial" w:cs="Arial" w:eastAsia="Arial" w:hAnsi="Arial"/>
          <w:sz w:val="19"/>
          <w:szCs w:val="19"/>
          <w:color w:val="auto"/>
        </w:rPr>
        <w:t>” means, with respect to a Dollar Revolving Lender, the sum of (i) the outstanding principal amount of Dollar Revolving Loans made by such Lender and (ii) the Dollar Letter of Credit Exposure of such Dollar Revolving Lender.</w:t>
      </w:r>
    </w:p>
    <w:p>
      <w:pPr>
        <w:spacing w:after="0" w:line="18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Revolving Facility</w:t>
      </w:r>
      <w:r>
        <w:rPr>
          <w:rFonts w:ascii="Arial" w:cs="Arial" w:eastAsia="Arial" w:hAnsi="Arial"/>
          <w:sz w:val="20"/>
          <w:szCs w:val="20"/>
          <w:color w:val="auto"/>
        </w:rPr>
        <w:t>” means the credit facility under this Agreement evidenced by the Dollar Revolving Commitments and the Dollar Revolving Loans.</w:t>
      </w:r>
    </w:p>
    <w:p>
      <w:pPr>
        <w:spacing w:after="0" w:line="20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Revolving Lender</w:t>
      </w:r>
      <w:r>
        <w:rPr>
          <w:rFonts w:ascii="Arial" w:cs="Arial" w:eastAsia="Arial" w:hAnsi="Arial"/>
          <w:sz w:val="20"/>
          <w:szCs w:val="20"/>
          <w:color w:val="auto"/>
        </w:rPr>
        <w:t>” means any Lender which has an Dollar Revolving Commitment or is owed an Dollar Revolving Loan (or a portion thereof).</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Revolving Loan</w:t>
      </w:r>
      <w:r>
        <w:rPr>
          <w:rFonts w:ascii="Arial" w:cs="Arial" w:eastAsia="Arial" w:hAnsi="Arial"/>
          <w:sz w:val="20"/>
          <w:szCs w:val="20"/>
          <w:color w:val="auto"/>
        </w:rPr>
        <w:t>” and “</w:t>
      </w:r>
      <w:r>
        <w:rPr>
          <w:rFonts w:ascii="Arial" w:cs="Arial" w:eastAsia="Arial" w:hAnsi="Arial"/>
          <w:sz w:val="20"/>
          <w:szCs w:val="20"/>
          <w:u w:val="single" w:color="auto"/>
          <w:color w:val="auto"/>
        </w:rPr>
        <w:t>Dollar Revolving Loans</w:t>
      </w:r>
      <w:r>
        <w:rPr>
          <w:rFonts w:ascii="Arial" w:cs="Arial" w:eastAsia="Arial" w:hAnsi="Arial"/>
          <w:sz w:val="20"/>
          <w:szCs w:val="20"/>
          <w:color w:val="auto"/>
        </w:rPr>
        <w:t xml:space="preserve">” have the meanings given in </w:t>
      </w:r>
      <w:r>
        <w:rPr>
          <w:rFonts w:ascii="Arial" w:cs="Arial" w:eastAsia="Arial" w:hAnsi="Arial"/>
          <w:sz w:val="20"/>
          <w:szCs w:val="20"/>
          <w:u w:val="single" w:color="auto"/>
          <w:color w:val="auto"/>
        </w:rPr>
        <w:t>Section 2.1(b)(i)</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Dormant Company</w:t>
      </w:r>
      <w:r>
        <w:rPr>
          <w:rFonts w:ascii="Arial" w:cs="Arial" w:eastAsia="Arial" w:hAnsi="Arial"/>
          <w:sz w:val="20"/>
          <w:szCs w:val="20"/>
          <w:color w:val="auto"/>
        </w:rPr>
        <w:t>” means a company, trust or any other legal entity which carries on no operations and does not own, legally or beneficially, assets which in aggregate have a value of £100,000 or more or its equivalent in other currencies as of the last day of the most recently completed period of four consecutive Fiscal Quarters of Crown Holdings.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Drawing</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2.10(d)(ii)</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Dutch Borrowers</w:t>
      </w:r>
      <w:r>
        <w:rPr>
          <w:rFonts w:ascii="Arial" w:cs="Arial" w:eastAsia="Arial" w:hAnsi="Arial"/>
          <w:sz w:val="20"/>
          <w:szCs w:val="20"/>
          <w:color w:val="auto"/>
        </w:rPr>
        <w:t xml:space="preserve">” means each Subsidiary of European Borrower organized under the laws of the Netherlands, and designated as such on </w:t>
      </w:r>
      <w:r>
        <w:rPr>
          <w:rFonts w:ascii="Arial" w:cs="Arial" w:eastAsia="Arial" w:hAnsi="Arial"/>
          <w:sz w:val="20"/>
          <w:szCs w:val="20"/>
          <w:u w:val="single" w:color="auto"/>
          <w:color w:val="auto"/>
        </w:rPr>
        <w:t>Schedule 1.1(d)</w:t>
      </w:r>
      <w:r>
        <w:rPr>
          <w:rFonts w:ascii="Arial" w:cs="Arial" w:eastAsia="Arial" w:hAnsi="Arial"/>
          <w:sz w:val="20"/>
          <w:szCs w:val="20"/>
          <w:color w:val="auto"/>
        </w:rPr>
        <w:t>, and each other Subsidiary of European Borrower organized under the laws of the Netherlands and requested by European Borrower to be a Dutch Borrower, subject to the approval of Administrative Agent.</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Economic Area under and in accordance with the Agreement on the European Economic Area (OJ No L 1, 3.1.1994, p. 3), being (as at the Effective Date) the member states of the European Union, Iceland, Liechtenstein, and Norway.</w:t>
      </w:r>
    </w:p>
    <w:p>
      <w:pPr>
        <w:spacing w:after="0" w:line="21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Amount</w:t>
      </w:r>
      <w:r>
        <w:rPr>
          <w:rFonts w:ascii="Arial" w:cs="Arial" w:eastAsia="Arial" w:hAnsi="Arial"/>
          <w:sz w:val="20"/>
          <w:szCs w:val="20"/>
          <w:color w:val="auto"/>
        </w:rPr>
        <w:t>” means (a) with respect to any Loans on any date, the aggregate outstanding principal Dollar Equivalent amount thereof after giving effect to any Borrowings and prepayments or repayments of Loans occurring on such date; (b) with respect to any outstanding Multicurrency LC Obligations on any date, the Dollar amount (or, if applicable, the Dollar Equivalent amount) of such Multicurrency LC Obligations on such date after giving effect to any issuances of Multicurrency Letters of Credit occurring on such date and any other changes in the aggregate amount of the Multicurrency LC Obligations as of such date, including as a result of any reimbursements of outstanding unpaid drawings</w:t>
      </w:r>
    </w:p>
    <w:p>
      <w:pPr>
        <w:sectPr>
          <w:pgSz w:w="11900" w:h="16838" w:orient="portrait"/>
          <w:cols w:equalWidth="0" w:num="1">
            <w:col w:w="11240"/>
          </w:cols>
          <w:pgMar w:left="320" w:top="1419" w:right="339" w:bottom="1440" w:gutter="0" w:footer="0" w:header="0"/>
        </w:sectPr>
      </w:pPr>
    </w:p>
    <w:bookmarkStart w:id="134" w:name="page135"/>
    <w:bookmarkEnd w:id="134"/>
    <w:p>
      <w:pPr>
        <w:jc w:val="both"/>
        <w:spacing w:after="0" w:line="241" w:lineRule="auto"/>
        <w:rPr>
          <w:sz w:val="20"/>
          <w:szCs w:val="20"/>
          <w:color w:val="auto"/>
        </w:rPr>
      </w:pPr>
      <w:r>
        <w:rPr>
          <w:rFonts w:ascii="Arial" w:cs="Arial" w:eastAsia="Arial" w:hAnsi="Arial"/>
          <w:sz w:val="19"/>
          <w:szCs w:val="19"/>
          <w:color w:val="auto"/>
        </w:rPr>
        <w:t>under any Multicurrency Letters of Credit or any reductions in the maximum amount available for drawing under Multicurrency Letters of Credit taking effect on such date, (c) with respect to any outstanding Dollar LC Obligations on any date, the Dollar amount of such Dollar LC Obligations on such date after giving effect to any issuances of Dollar Letters of Credit occurring on such date and any other changes in the aggregate amount of the Dollar LC Obligations as of such date, including as a result of any reimbursements of outstanding unpaid drawings under any Dollar Letters of Credit or any reductions in the maximum amount available for drawing under Dollar Letters of Credit taking effect on such date and (d) with respect to any outstanding Canadian LC Obligations on any date, the Dollar Equivalent amount of such Canadian LC Obligations on such date after giving effect to any issuances of Canadian Letters of Credit occurring on such date and any other changes in the aggregate amount of the Canadian LC Obligations as of such date, including as a result of any reimbursements of outstanding unpaid drawings under any Canadian Letters of Credit or any reductions in the maximum amount available for drawing under Canadian Letters of Credit taking effect on such date.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April 7, 2017.</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Yield</w:t>
      </w:r>
      <w:r>
        <w:rPr>
          <w:rFonts w:ascii="Arial" w:cs="Arial" w:eastAsia="Arial" w:hAnsi="Arial"/>
          <w:sz w:val="18"/>
          <w:szCs w:val="18"/>
          <w:color w:val="auto"/>
        </w:rPr>
        <w:t xml:space="preserve">” means, as to any Loans of any class, the effective yield on such Loans, taking into account the applicable interest rate margins, any interest rate floors or similar devices and all fees, including upfront or similar fees or original issue discount (amortized over the shorter of (x) the original stated life of such Loans and (y) the four years following the date of incurrence thereof) incurred by the Borrower and payable ratably to all Lenders making such Loans, but excluding any prepayment premium, arrangement fees, syndication fees, structuring fees, commitment fees, underwriting fees, placement fees, success fees, advisory fees, ticking and unused line fees, consent or amendment fees and any other fees payable in connection therewith (regardless of whether shared or paid, in whole or in part, with or to any or all Lenders making such Loans) and any other fees that are not paid ratably to all relevant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increase in the Effective Yield applicable to any Loans of any class then outstanding is required due to the application of an interest rate floor, such increase shall be effected solely through an increase in such floor (or the implementation of a floor), as applicable.</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 commercial bank, financial institution, financial company, Fund or insurance company in each case, together with its Affiliates or Related Funds, which extends credit or buys loans in the ordinary course of its business or any other Person approved by Administrative Agent and, so long as no Unmatured Event of Default or Event of Default exists, Crown Holdings, such approval not to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Disqualified Institution shall not be deemed an Eligible Assignee, (ii) Crown Holdings and its Subsidiaries and their respective Affiliates shall not be deemed to be Eligible Assignees, (iii) natural persons shall not be deemed to be Eligible Assignees and (iv) a Defaulting Lender shall not be deemed to be an Eligible Assignee.</w:t>
      </w:r>
    </w:p>
    <w:p>
      <w:pPr>
        <w:spacing w:after="0" w:line="194" w:lineRule="exact"/>
        <w:rPr>
          <w:sz w:val="20"/>
          <w:szCs w:val="20"/>
          <w:color w:val="auto"/>
        </w:rPr>
      </w:pPr>
    </w:p>
    <w:p>
      <w:pPr>
        <w:jc w:val="both"/>
        <w:ind w:right="20" w:firstLine="648"/>
        <w:spacing w:after="0" w:line="3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w:t>
      </w:r>
      <w:r>
        <w:rPr>
          <w:rFonts w:ascii="Arial" w:cs="Arial" w:eastAsia="Arial" w:hAnsi="Arial"/>
          <w:sz w:val="16"/>
          <w:szCs w:val="16"/>
          <w:color w:val="auto"/>
        </w:rPr>
        <w:t>” means ambient air, indoor air, surface water and groundwater (including potable water, navigable water and wetlands), the land surface or subsurface strata, natural resources such as flora and fauna, or as otherwise defined in any Environmental Law.</w:t>
      </w:r>
    </w:p>
    <w:p>
      <w:pPr>
        <w:spacing w:after="0" w:line="11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applicable treaties, laws (including common law), rules, regulations, codes, ordinances, orders, decrees, judgments, injunctions or binding agreements issued, promulgated or entered into by any Governmental Authority, relating in any way to the Environment, preservation or reclamation of natural resources, the management, Release or threatened Release of, or exposure to, any Hazardous Material or to health and safety matters.</w:t>
      </w:r>
    </w:p>
    <w:p>
      <w:pPr>
        <w:spacing w:after="0" w:line="21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means any liability, contingent or otherwise (including, but not limited to, any liability for damages, natural resource damage, costs of environmental remediation, administrative oversight costs, fines, penalties or indemnities), directly or indirectly resulting from or based upon (a) violation of any Environmental Law, (b) the generation, use, handling, transportation, storage, treatment</w:t>
      </w:r>
    </w:p>
    <w:p>
      <w:pPr>
        <w:sectPr>
          <w:pgSz w:w="11900" w:h="16838" w:orient="portrait"/>
          <w:cols w:equalWidth="0" w:num="1">
            <w:col w:w="11240"/>
          </w:cols>
          <w:pgMar w:left="320" w:top="1419" w:right="339" w:bottom="1440" w:gutter="0" w:footer="0" w:header="0"/>
        </w:sectPr>
      </w:pPr>
    </w:p>
    <w:bookmarkStart w:id="135" w:name="page136"/>
    <w:bookmarkEnd w:id="135"/>
    <w:p>
      <w:pPr>
        <w:jc w:val="both"/>
        <w:spacing w:after="0" w:line="237" w:lineRule="auto"/>
        <w:rPr>
          <w:sz w:val="20"/>
          <w:szCs w:val="20"/>
          <w:color w:val="auto"/>
        </w:rPr>
      </w:pPr>
      <w:r>
        <w:rPr>
          <w:rFonts w:ascii="Arial" w:cs="Arial" w:eastAsia="Arial" w:hAnsi="Arial"/>
          <w:sz w:val="20"/>
          <w:szCs w:val="20"/>
          <w:color w:val="auto"/>
        </w:rPr>
        <w:t>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Lien</w:t>
      </w:r>
      <w:r>
        <w:rPr>
          <w:rFonts w:ascii="Arial" w:cs="Arial" w:eastAsia="Arial" w:hAnsi="Arial"/>
          <w:sz w:val="20"/>
          <w:szCs w:val="20"/>
          <w:color w:val="auto"/>
        </w:rPr>
        <w:t>” means a Lien in favor of any Governmental Authority for (i) any liability under Environmental Laws, or (ii) damages relating to, or costs incurred by such Governmental Authority in response to, a Release or threatened Release of a Hazardous Material into the Environment.</w:t>
      </w:r>
    </w:p>
    <w:p>
      <w:pPr>
        <w:spacing w:after="0" w:line="21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Permits</w:t>
      </w:r>
      <w:r>
        <w:rPr>
          <w:rFonts w:ascii="Arial" w:cs="Arial" w:eastAsia="Arial" w:hAnsi="Arial"/>
          <w:sz w:val="20"/>
          <w:szCs w:val="20"/>
          <w:color w:val="auto"/>
        </w:rPr>
        <w:t>” means any permit, approval, authorization, certificate, license, variance, filing or permission required by or from any Governmental Authority pursuant to any Environmental Law.</w:t>
      </w:r>
    </w:p>
    <w:p>
      <w:pPr>
        <w:spacing w:after="0" w:line="20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from time to time amended, and the rules and regulations promulgated thereunder.</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with respect to any Person, any trade or business (whether or not incorporated) which, together with such Person, is under common control as described in Section 414(c) of the Code, or is a member of a “controlled group,” as defined in Section 414(b) of the Code, which includes such Person or, solely for purposes of Section 302 of ERISA and Section 412 of the Code, is treated as a single employer under Section 414(m) of the Code. Unless otherwise qualified, all references to an “ERISA Affiliate” in this Agreement shall refer to an ERISA Affiliate of Crown Holdings or any Subsidiary.</w:t>
      </w:r>
    </w:p>
    <w:p>
      <w:pPr>
        <w:spacing w:after="0" w:line="20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means the lawful currency of Participating Member States.</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 Bank Pledge Agreement</w:t>
      </w:r>
      <w:r>
        <w:rPr>
          <w:rFonts w:ascii="Arial" w:cs="Arial" w:eastAsia="Arial" w:hAnsi="Arial"/>
          <w:sz w:val="20"/>
          <w:szCs w:val="20"/>
          <w:color w:val="auto"/>
        </w:rPr>
        <w:t>” means that certain Euro Pledge Agreement, dated as December 19, 2013, as amended, restated, amended and restated or otherwise modified from time to time, among the U.S. Credit Parties and the Euro Collateral Agent for the benefit of the Secured Creditors named therein.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 Collateral</w:t>
      </w:r>
      <w:r>
        <w:rPr>
          <w:rFonts w:ascii="Arial" w:cs="Arial" w:eastAsia="Arial" w:hAnsi="Arial"/>
          <w:sz w:val="20"/>
          <w:szCs w:val="20"/>
          <w:color w:val="auto"/>
        </w:rPr>
        <w:t>” means all Collateral securing only the Euro Obligations and/or the Canadian Obligations.</w:t>
      </w:r>
    </w:p>
    <w:p>
      <w:pPr>
        <w:spacing w:after="0" w:line="22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 Collateral Agent</w:t>
      </w:r>
      <w:r>
        <w:rPr>
          <w:rFonts w:ascii="Arial" w:cs="Arial" w:eastAsia="Arial" w:hAnsi="Arial"/>
          <w:sz w:val="20"/>
          <w:szCs w:val="20"/>
          <w:color w:val="auto"/>
        </w:rPr>
        <w:t>” means DB in its capacity as collateral agent or security trustee, as the case may be, under the Euro Security Documents and any of its successors or assigns, and, as regards any Euro Security Document governed by French law, means Deutsche Bank AG New York Branch in its capacity as collateral agent (“</w:t>
      </w:r>
      <w:r>
        <w:rPr>
          <w:rFonts w:ascii="Arial" w:cs="Arial" w:eastAsia="Arial" w:hAnsi="Arial"/>
          <w:sz w:val="20"/>
          <w:szCs w:val="20"/>
          <w:u w:val="single" w:color="auto"/>
          <w:color w:val="auto"/>
        </w:rPr>
        <w:t>agent de sûretés</w:t>
      </w:r>
      <w:r>
        <w:rPr>
          <w:rFonts w:ascii="Arial" w:cs="Arial" w:eastAsia="Arial" w:hAnsi="Arial"/>
          <w:sz w:val="20"/>
          <w:szCs w:val="20"/>
          <w:color w:val="auto"/>
        </w:rPr>
        <w:t>”) in accordance with the provisions of Article 2328-1 of the French Civil Code.</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 Credit Parties</w:t>
      </w:r>
      <w:r>
        <w:rPr>
          <w:rFonts w:ascii="Arial" w:cs="Arial" w:eastAsia="Arial" w:hAnsi="Arial"/>
          <w:sz w:val="20"/>
          <w:szCs w:val="20"/>
          <w:color w:val="auto"/>
        </w:rPr>
        <w:t>” means (a) European Borrower, (b) Canadian Borrower, (c) each Subsidiary Borrower and (d) each Subsidiary of Crown Holdings from time to time party to a Non-U.S. Guarantee Agreement.</w:t>
      </w:r>
    </w:p>
    <w:p>
      <w:pPr>
        <w:spacing w:after="0" w:line="20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 Obligations</w:t>
      </w:r>
      <w:r>
        <w:rPr>
          <w:rFonts w:ascii="Arial" w:cs="Arial" w:eastAsia="Arial" w:hAnsi="Arial"/>
          <w:sz w:val="20"/>
          <w:szCs w:val="20"/>
          <w:color w:val="auto"/>
        </w:rPr>
        <w:t>” means, with respect to European Borrower and any Subsidiary Borrower, the unpaid principal of and interest on (including interest accruing after the maturity of the Loans made to European Borrower and any Subsidiary Borrower and interest and fees accruing after the filing of any petition in bankruptcy, or the commencement of any insolvency, reorganizations or like proceeding, relating to European Borrower and any Subsidiary Borrower, whether or not a claim for post-filing or post-petition interest and fees is allowed in such proceeding) the Loans made to or Unpaid Drawings</w:t>
      </w:r>
    </w:p>
    <w:p>
      <w:pPr>
        <w:sectPr>
          <w:pgSz w:w="11900" w:h="16838" w:orient="portrait"/>
          <w:cols w:equalWidth="0" w:num="1">
            <w:col w:w="11240"/>
          </w:cols>
          <w:pgMar w:left="320" w:top="1419" w:right="339" w:bottom="1440" w:gutter="0" w:footer="0" w:header="0"/>
        </w:sectPr>
      </w:pPr>
    </w:p>
    <w:bookmarkStart w:id="136" w:name="page137"/>
    <w:bookmarkEnd w:id="136"/>
    <w:p>
      <w:pPr>
        <w:jc w:val="both"/>
        <w:spacing w:after="0" w:line="257" w:lineRule="auto"/>
        <w:rPr>
          <w:sz w:val="20"/>
          <w:szCs w:val="20"/>
          <w:color w:val="auto"/>
        </w:rPr>
      </w:pPr>
      <w:r>
        <w:rPr>
          <w:rFonts w:ascii="Arial" w:cs="Arial" w:eastAsia="Arial" w:hAnsi="Arial"/>
          <w:sz w:val="18"/>
          <w:szCs w:val="18"/>
          <w:color w:val="auto"/>
        </w:rPr>
        <w:t>pursuant to Letters of Credit issued for the account of European Borrower and any Subsidiary Borrower or Euro Subsidiary Credit Party and all other obligations and liabilities of European Borrower and any Subsidiary Borrower or any Euro Subsidiary Credit Party (including Bank Related Debt) to any Agent, any Collateral Agent,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European Borrower and any Subsidiary Borrower or any Euro Subsidiary Credit Party to any Agent, any Collateral Agent, any Lender or any Hedge Bank pursuant to any Loan Document or any Bank Related Debt) or otherwise.</w:t>
      </w:r>
    </w:p>
    <w:p>
      <w:pPr>
        <w:spacing w:after="0" w:line="19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 Security Documents</w:t>
      </w:r>
      <w:r>
        <w:rPr>
          <w:rFonts w:ascii="Arial" w:cs="Arial" w:eastAsia="Arial" w:hAnsi="Arial"/>
          <w:sz w:val="19"/>
          <w:szCs w:val="19"/>
          <w:color w:val="auto"/>
        </w:rPr>
        <w:t xml:space="preserve">” means each security agreement, pledge agreement (including the Euro Bank Pledge Agreement), mortgage or other document or instrument executed and delivered (each as amended, restated, amended and restated or otherwise modified from time to time) for the benefit of Euro Collateral Agent, or U.K. Administrative Agent on behalf of the Multicurrency Revolving Lenders, Canadian Revolving Lenders and/or Term Euro Lenders and each other security agreement, mortgage or other instrument or document executed and delivered pursuant to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(each as amended, restated, amended and restated or otherwise modified from time to time) to secure any of the Euro Obligations or the Canadian Obligations.</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 Subsidiary Credit Parties</w:t>
      </w:r>
      <w:r>
        <w:rPr>
          <w:rFonts w:ascii="Arial" w:cs="Arial" w:eastAsia="Arial" w:hAnsi="Arial"/>
          <w:sz w:val="19"/>
          <w:szCs w:val="19"/>
          <w:color w:val="auto"/>
        </w:rPr>
        <w:t xml:space="preserve">” means each Non-U.S. Subsidiary of Crown Holdings designated on </w:t>
      </w:r>
      <w:r>
        <w:rPr>
          <w:rFonts w:ascii="Arial" w:cs="Arial" w:eastAsia="Arial" w:hAnsi="Arial"/>
          <w:sz w:val="19"/>
          <w:szCs w:val="19"/>
          <w:u w:val="single" w:color="auto"/>
          <w:color w:val="auto"/>
        </w:rPr>
        <w:t>Schedule 1.1(d)</w:t>
      </w:r>
      <w:r>
        <w:rPr>
          <w:rFonts w:ascii="Arial" w:cs="Arial" w:eastAsia="Arial" w:hAnsi="Arial"/>
          <w:sz w:val="19"/>
          <w:szCs w:val="19"/>
          <w:color w:val="auto"/>
        </w:rPr>
        <w:t xml:space="preserve"> as a subsidiary guarantor or Subsidiary Borrower or which becomes a subsidiary guarantor pursuant to the provisions of </w:t>
      </w:r>
      <w:r>
        <w:rPr>
          <w:rFonts w:ascii="Arial" w:cs="Arial" w:eastAsia="Arial" w:hAnsi="Arial"/>
          <w:sz w:val="19"/>
          <w:szCs w:val="19"/>
          <w:u w:val="single" w:color="auto"/>
          <w:color w:val="auto"/>
        </w:rPr>
        <w:t>Section 7.14</w:t>
      </w:r>
      <w:r>
        <w:rPr>
          <w:rFonts w:ascii="Arial" w:cs="Arial" w:eastAsia="Arial" w:hAnsi="Arial"/>
          <w:sz w:val="19"/>
          <w:szCs w:val="19"/>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Loan</w:t>
      </w:r>
      <w:r>
        <w:rPr>
          <w:rFonts w:ascii="Arial" w:cs="Arial" w:eastAsia="Arial" w:hAnsi="Arial"/>
          <w:sz w:val="20"/>
          <w:szCs w:val="20"/>
          <w:color w:val="auto"/>
        </w:rPr>
        <w:t>” means any Loan bearing interest at a rate determined by reference to the Eurocurrency Rate.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w:t>
      </w:r>
      <w:r>
        <w:rPr>
          <w:rFonts w:ascii="Arial" w:cs="Arial" w:eastAsia="Arial" w:hAnsi="Arial"/>
          <w:sz w:val="20"/>
          <w:szCs w:val="20"/>
          <w:color w:val="auto"/>
        </w:rPr>
        <w:t>” means the aggregate of (1) and (2) below:</w:t>
      </w:r>
    </w:p>
    <w:p>
      <w:pPr>
        <w:spacing w:after="0" w:line="229" w:lineRule="exact"/>
        <w:rPr>
          <w:sz w:val="20"/>
          <w:szCs w:val="20"/>
          <w:color w:val="auto"/>
        </w:rPr>
      </w:pPr>
    </w:p>
    <w:p>
      <w:pPr>
        <w:jc w:val="both"/>
        <w:ind w:firstLine="1304"/>
        <w:spacing w:after="0" w:line="255" w:lineRule="auto"/>
        <w:tabs>
          <w:tab w:leader="none" w:pos="15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in the case of Dollar denominated Loans, (i) the rate per annum equal to the rate determined by Administrative Agent to be the offered rate that appears on the Reuters Screen that displays the ICE Benchmark Administration Limited rate for deposits in Dollars (for delivery on the first day of such Interest Period) with a term equivalent to such Interest Period (or the successor thereto if ICE Benchmark Administration Limited is no longer making the applicable interest settlement rate available), determined as of approximately 11:00 a.m. (London time) on the applicable Interest Rate Determination Date or (ii) in the event such rate does not appear on either of such Reuters pages, on any successor or substitute page on such screen that displays such rate, or on the appropriate page of such other information service that publishes such rate or a successor rate as shall be selected by the Administrative Agent from time to time in its reasonable discretion and, in the event such rate is not available, the rate for such Interest Period shall be the interest rate per annum at which the Administrative Agent could borrow deposits in Dollars for delivery on the first day of such Interest Period in immediately available funds in the approximate amount of the Eurocurrency Loan being made, continued or converted by the Administrative Agent and with a term equivalent to such Interest Period, were it to do so by asking for and then accepting offers from major banks in the London interbank market for Dollars at their request at approximately 11:00 a.m. (London time) on the applicable Interest Rate Determination Date; or</w:t>
      </w:r>
    </w:p>
    <w:p>
      <w:pPr>
        <w:spacing w:after="0" w:line="196" w:lineRule="exact"/>
        <w:rPr>
          <w:sz w:val="20"/>
          <w:szCs w:val="20"/>
          <w:color w:val="auto"/>
        </w:rPr>
      </w:pPr>
    </w:p>
    <w:p>
      <w:pPr>
        <w:jc w:val="both"/>
        <w:ind w:firstLine="1304"/>
        <w:spacing w:after="0" w:line="248" w:lineRule="auto"/>
        <w:tabs>
          <w:tab w:leader="none" w:pos="1576" w:val="left"/>
        </w:tabs>
        <w:numPr>
          <w:ilvl w:val="0"/>
          <w:numId w:val="51"/>
        </w:numPr>
        <w:rPr>
          <w:rFonts w:ascii="Arial" w:cs="Arial" w:eastAsia="Arial" w:hAnsi="Arial"/>
          <w:sz w:val="19"/>
          <w:szCs w:val="19"/>
          <w:color w:val="auto"/>
        </w:rPr>
      </w:pPr>
      <w:r>
        <w:rPr>
          <w:rFonts w:ascii="Arial" w:cs="Arial" w:eastAsia="Arial" w:hAnsi="Arial"/>
          <w:sz w:val="19"/>
          <w:szCs w:val="19"/>
          <w:color w:val="auto"/>
        </w:rPr>
        <w:t>in the case of Euro denominated Loans, (i) the rate per annum equal to the rate determined by Administrative Agent to be the euro interbank offered rate that appears on the appropriate page of the Thomson Reuters screen that displays the Global Rate Set Systems Limited rate for Euro (for delivery on the first day of such Interest Period) with a term equivalent to such Interest Period (or the successor thereto appointed by the European Money Markets Institute, if Global Rate Set Systems</w:t>
      </w:r>
    </w:p>
    <w:p>
      <w:pPr>
        <w:sectPr>
          <w:pgSz w:w="11900" w:h="16838" w:orient="portrait"/>
          <w:cols w:equalWidth="0" w:num="1">
            <w:col w:w="11240"/>
          </w:cols>
          <w:pgMar w:left="320" w:top="1419" w:right="339" w:bottom="1440" w:gutter="0" w:footer="0" w:header="0"/>
        </w:sectPr>
      </w:pPr>
    </w:p>
    <w:bookmarkStart w:id="137" w:name="page138"/>
    <w:bookmarkEnd w:id="137"/>
    <w:p>
      <w:pPr>
        <w:jc w:val="both"/>
        <w:spacing w:after="0" w:line="256" w:lineRule="auto"/>
        <w:rPr>
          <w:sz w:val="20"/>
          <w:szCs w:val="20"/>
          <w:color w:val="auto"/>
        </w:rPr>
      </w:pPr>
      <w:r>
        <w:rPr>
          <w:rFonts w:ascii="Arial" w:cs="Arial" w:eastAsia="Arial" w:hAnsi="Arial"/>
          <w:sz w:val="18"/>
          <w:szCs w:val="18"/>
          <w:color w:val="auto"/>
        </w:rPr>
        <w:t>Limited is no longer making the applicable interest settlement rate available), determined as of approximately 11:00 a.m. (London time) on the applicable Interest Rate Determination Date or (ii) in the event such rate does not appear on either of such Reuters pages, on any successor or substitute page on such screen that displays such rate, or on the appropriate page of such other information service that publishes such rate or a successor rate as shall be selected by the Administrative Agent from time to time in its reasonable discretion and, in the event such rate is not available, the rate for such Interest Period shall be the interest rate per annum at which the Administrative Agent could borrow deposits in Euros for delivery on the first day of such Interest Period in immediately available funds in the approximate amount of the Eurocurrency Loan being made, continued or converted by the Administrative Agent and with a term equivalent to such Interest Period, were it to do so by asking for and then accepting offers from major banks in the European interbank market for Euros at their request at approximately 11:00 a.m. (Brussels time) on the applicable Interest Rate Determination Date; or</w:t>
      </w:r>
    </w:p>
    <w:p>
      <w:pPr>
        <w:spacing w:after="0" w:line="200" w:lineRule="exact"/>
        <w:rPr>
          <w:sz w:val="20"/>
          <w:szCs w:val="20"/>
          <w:color w:val="auto"/>
        </w:rPr>
      </w:pPr>
    </w:p>
    <w:p>
      <w:pPr>
        <w:ind w:left="1580" w:hanging="276"/>
        <w:spacing w:after="0"/>
        <w:tabs>
          <w:tab w:leader="none" w:pos="15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in the case of Sterling denominated Loans, the rate per annum based on Daily Simple RFR;</w:t>
      </w:r>
    </w:p>
    <w:p>
      <w:pPr>
        <w:spacing w:after="0" w:line="229" w:lineRule="exact"/>
        <w:rPr>
          <w:rFonts w:ascii="Arial" w:cs="Arial" w:eastAsia="Arial" w:hAnsi="Arial"/>
          <w:sz w:val="20"/>
          <w:szCs w:val="20"/>
          <w:color w:val="auto"/>
        </w:rPr>
      </w:pPr>
    </w:p>
    <w:p>
      <w:pPr>
        <w:jc w:val="both"/>
        <w:ind w:firstLine="1304"/>
        <w:spacing w:after="0" w:line="254" w:lineRule="auto"/>
        <w:tabs>
          <w:tab w:leader="none" w:pos="1576"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Loans denominated in any Alternative Currency (other than Euro or Sterling), (i) the rate per annum equal to the rate determined by the Administrative Agent to be the offered rate that appears on the appropriate page of the Reuters screen that displays the ICE Benchmark Administration Limited rate for deposits in the applicable Alternative Currency (for delivery on the first day of such Interest Period) with a term equivalent to such Interest Period (or the successor thereto if ICE Benchmark Administration Limited is no longer making the applicable interest settlement rate available) (the “</w:t>
      </w:r>
      <w:r>
        <w:rPr>
          <w:rFonts w:ascii="Arial" w:cs="Arial" w:eastAsia="Arial" w:hAnsi="Arial"/>
          <w:sz w:val="18"/>
          <w:szCs w:val="18"/>
          <w:u w:val="single" w:color="auto"/>
          <w:color w:val="auto"/>
        </w:rPr>
        <w:t>LIBOR Screen Rate</w:t>
      </w:r>
      <w:r>
        <w:rPr>
          <w:rFonts w:ascii="Arial" w:cs="Arial" w:eastAsia="Arial" w:hAnsi="Arial"/>
          <w:sz w:val="18"/>
          <w:szCs w:val="18"/>
          <w:color w:val="auto"/>
        </w:rPr>
        <w:t xml:space="preserve">”), determined as of approximately 11:00 a.m. (London time) on the applicable Interest Rate Determination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LIBOR Screen Rate shall be less than zero, such rate shall be deemed to be zero for the purposes of this Agreement (but if more than one rate is specified on such page, the rate will be an arithmetic average of all such rates) or, in the event such rate is not available for any reason, (ii) the rate for such Interest Period shall be the interest rate per annum at which the Administrative Agent could borrow deposits in the applicable Alternative Currency for delivery on the first day of such Interest Period in immediately available funds in the approximate amount of the Eurocurrency Loan being made, continued or converted by the Administrative Agent and with a term equivalent to such Interest Period, were it to do so by asking for and then accepting offers from major banks in the London interbank market for the applicable Alternative Currency at their request at approximately 11:00 a.m. (London time) on the applicable Interest Rate Determination Date; or</w:t>
      </w:r>
    </w:p>
    <w:p>
      <w:pPr>
        <w:spacing w:after="0" w:line="203" w:lineRule="exact"/>
        <w:rPr>
          <w:rFonts w:ascii="Arial" w:cs="Arial" w:eastAsia="Arial" w:hAnsi="Arial"/>
          <w:sz w:val="18"/>
          <w:szCs w:val="18"/>
          <w:color w:val="auto"/>
        </w:rPr>
      </w:pPr>
    </w:p>
    <w:p>
      <w:pPr>
        <w:jc w:val="both"/>
        <w:ind w:firstLine="1304"/>
        <w:spacing w:after="0"/>
        <w:tabs>
          <w:tab w:leader="none" w:pos="1592" w:val="left"/>
        </w:tabs>
        <w:numPr>
          <w:ilvl w:val="0"/>
          <w:numId w:val="52"/>
        </w:numPr>
        <w:rPr>
          <w:rFonts w:ascii="Arial" w:cs="Arial" w:eastAsia="Arial" w:hAnsi="Arial"/>
          <w:sz w:val="19"/>
          <w:szCs w:val="19"/>
          <w:color w:val="auto"/>
        </w:rPr>
      </w:pPr>
      <w:r>
        <w:rPr>
          <w:rFonts w:ascii="Arial" w:cs="Arial" w:eastAsia="Arial" w:hAnsi="Arial"/>
          <w:sz w:val="19"/>
          <w:szCs w:val="19"/>
          <w:color w:val="auto"/>
        </w:rPr>
        <w:t>for any interest calculation with respect to a Base Rate Loan on any date, the rate per annum equal to (i) the rate determined by Administrative Agent to be the offered rate that appears on the Reuters Screen that displays an ICE Benchmark Administration Limited rate, determined at approximately 11:00 a.m. (London Time) on the applicable Interest Rate Determination Date for Dollar deposits being delivered in the London interbank market for a term of one month commencing that day or, in the event such rate does not appear on either of such Reuters pages, on any successor or substitute page on such screen that displays such rate, or on the appropriate page of such other information service that publishes such rate or a successor rate as shall be selected by the Administrative Agent from time to time in its reasonable discretion or (ii) if such rate is not available at such time for any reason, the rate per annum determined by the Administrative Agent to be the rate at which deposits in Dollars for delivery on the date of determination in the same day funds in the approximate amount of the Base Rate Loan being made or maintained and with a term equal to one month would be offered by the Administrative Agent (or an affiliate thereof) to major banks in the London interbank Eurocurrency market at their request at the date and time of determination.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(2) The then current cost of the Lenders of complying with any Eurocurrency Reserve Requirements.</w:t>
      </w:r>
    </w:p>
    <w:p>
      <w:pPr>
        <w:sectPr>
          <w:pgSz w:w="11900" w:h="16838" w:orient="portrait"/>
          <w:cols w:equalWidth="0" w:num="1">
            <w:col w:w="11240"/>
          </w:cols>
          <w:pgMar w:left="320" w:top="1419" w:right="339" w:bottom="1440" w:gutter="0" w:footer="0" w:header="0"/>
        </w:sectPr>
      </w:pPr>
    </w:p>
    <w:bookmarkStart w:id="138" w:name="page139"/>
    <w:bookmarkEnd w:id="138"/>
    <w:p>
      <w:pPr>
        <w:ind w:left="660"/>
        <w:spacing w:after="0"/>
        <w:rPr>
          <w:sz w:val="20"/>
          <w:szCs w:val="20"/>
          <w:color w:val="auto"/>
        </w:rPr>
      </w:pPr>
      <w:r>
        <w:rPr>
          <w:rFonts w:ascii="Arial" w:cs="Arial" w:eastAsia="Arial" w:hAnsi="Arial"/>
          <w:sz w:val="20"/>
          <w:szCs w:val="20"/>
          <w:color w:val="auto"/>
        </w:rPr>
        <w:t>Notwithstanding the foregoing, the Eurocurrency Rate shall not in any event be less than zero.</w:t>
      </w:r>
    </w:p>
    <w:p>
      <w:pPr>
        <w:spacing w:after="0" w:line="2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Reserve Requirements</w:t>
      </w:r>
      <w:r>
        <w:rPr>
          <w:rFonts w:ascii="Arial" w:cs="Arial" w:eastAsia="Arial" w:hAnsi="Arial"/>
          <w:sz w:val="18"/>
          <w:szCs w:val="18"/>
          <w:color w:val="auto"/>
        </w:rPr>
        <w:t>” means, for any day as applied to a Eurocurrency Loan, the aggregate (without duplication) of the maximum rates (expressed as a decimal fraction) of reserve liquid asset or similar requirements in effect on such day (including, without limitation, basic, supplemental, marginal and emergency reserves under any regulations of the Board or other Governmental Authority having jurisdiction with respect thereto), including without limitation, under regulations issued from time to time by (a) the Board, (b) any Governmental Authority of the jurisdiction of the relevant currency or (c) any Governmental Authority of any jurisdiction in which advances in such currency are made to which banks in any jurisdiction are subject for any category of deposits or liabilities customarily used to fund loans in such currency or by reference to which interest rates applicable to loans in such currency are determined.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European Borrower</w:t>
      </w:r>
      <w:r>
        <w:rPr>
          <w:rFonts w:ascii="Arial" w:cs="Arial" w:eastAsia="Arial" w:hAnsi="Arial"/>
          <w:sz w:val="20"/>
          <w:szCs w:val="20"/>
          <w:color w:val="auto"/>
        </w:rPr>
        <w:t>” has the meaning assigned to that term in the preamble to this Agreement.</w:t>
      </w:r>
    </w:p>
    <w:p>
      <w:pPr>
        <w:spacing w:after="0" w:line="22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European Receivables Purchase Agreement</w:t>
      </w:r>
      <w:r>
        <w:rPr>
          <w:rFonts w:ascii="Arial" w:cs="Arial" w:eastAsia="Arial" w:hAnsi="Arial"/>
          <w:sz w:val="20"/>
          <w:szCs w:val="20"/>
          <w:color w:val="auto"/>
        </w:rPr>
        <w:t>” means that certain Master Framework Agreement, dated July 23, 2012, by and among Crown Packaging Commercial UK Limited, Crown Commercial France, Eurofactor, Ester Finance Titrisation and Credit Agricole Corporate and Investment Bank, as the same has been amended through and including the Incremental No. 2 and Third Amendment Effective Date and may thereafter be amended, amended and restated, supplemented or otherwise modified from time to time in accordance with the terms 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10.1</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xml:space="preserve">” means the Securities Exchange Act of 1934, as amended and as codified in 15 U.S.C. 78a </w:t>
      </w:r>
      <w:r>
        <w:rPr>
          <w:rFonts w:ascii="Arial" w:cs="Arial" w:eastAsia="Arial" w:hAnsi="Arial"/>
          <w:sz w:val="20"/>
          <w:szCs w:val="20"/>
          <w:u w:val="single" w:color="auto"/>
          <w:color w:val="auto"/>
        </w:rPr>
        <w:t>et seq</w:t>
      </w:r>
      <w:r>
        <w:rPr>
          <w:rFonts w:ascii="Arial" w:cs="Arial" w:eastAsia="Arial" w:hAnsi="Arial"/>
          <w:sz w:val="20"/>
          <w:szCs w:val="20"/>
          <w:color w:val="auto"/>
        </w:rPr>
        <w:t>., and as hereafter amended.</w:t>
      </w:r>
    </w:p>
    <w:p>
      <w:pPr>
        <w:spacing w:after="0" w:line="20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Rate</w:t>
      </w:r>
      <w:r>
        <w:rPr>
          <w:rFonts w:ascii="Arial" w:cs="Arial" w:eastAsia="Arial" w:hAnsi="Arial"/>
          <w:sz w:val="19"/>
          <w:szCs w:val="19"/>
          <w:color w:val="auto"/>
        </w:rPr>
        <w:t xml:space="preserve">” means, on any day, (a) with respect to conversions between any Alternative Currency and Dollars, the Spot Rate and (b) with respect to conversions between Canadian Dollars and Dollars, the spot rate set forth on the Reuters World Currency Page for Canadian Dollars (or, if not so quoted, the spot rate of exchange quoted for wholesale transactions made by Canadian Administrative Agent in Toronto, Ontario) at 12:00 noon (Toronto time), on such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the time of any such determination, for any reason, no such spot rate is being quoted, Administrative Agent or Canadian Administrative Agent, as applicable, may use any reasonable method it deems applicable to determine such rate, and such determination shall be conclusive absent manifest error. For purposes of determining the Exchange Rate in connection with an Alternative Currency Loan, such Exchange Rate shall be determined as of the Exchange Rate Determination Date for such Borrowing. Administrative Agent shall provide Borrower with the then current Exchange Rate from time to time upon Borrower’s request therefor.</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Rate Determination Date</w:t>
      </w:r>
      <w:r>
        <w:rPr>
          <w:rFonts w:ascii="Arial" w:cs="Arial" w:eastAsia="Arial" w:hAnsi="Arial"/>
          <w:sz w:val="19"/>
          <w:szCs w:val="19"/>
          <w:color w:val="auto"/>
        </w:rPr>
        <w:t>” means for purposes of the determination of the Exchange Rate of any stated amount on any Business Day in relation to any Alternative Currency Loan, the date which is two Business Days prior to such Borrowing.</w:t>
      </w:r>
    </w:p>
    <w:p>
      <w:pPr>
        <w:spacing w:after="0" w:line="18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Attributable Debt</w:t>
      </w:r>
      <w:r>
        <w:rPr>
          <w:rFonts w:ascii="Arial" w:cs="Arial" w:eastAsia="Arial" w:hAnsi="Arial"/>
          <w:sz w:val="20"/>
          <w:szCs w:val="20"/>
          <w:color w:val="auto"/>
        </w:rPr>
        <w:t>” means (a) Attributable Debt (for purposes of this definition, without regard to the proviso thereto) under any Permitted Receivables or Factoring Financing which is non-recourse except (i) for customary representations, warranties, covenants and indemnities made in connection with such facilities or (ii) as is otherwise customary (as determined by Crown Holdings in good faith) for similar transactions in the applicable jurisdictions, and (b) any off-balance sheet Permitted Receivables or Factoring Financing.</w:t>
      </w:r>
    </w:p>
    <w:p>
      <w:pPr>
        <w:sectPr>
          <w:pgSz w:w="11900" w:h="16838" w:orient="portrait"/>
          <w:cols w:equalWidth="0" w:num="1">
            <w:col w:w="11240"/>
          </w:cols>
          <w:pgMar w:left="320" w:top="1419" w:right="339" w:bottom="1440" w:gutter="0" w:footer="0" w:header="0"/>
        </w:sectPr>
      </w:pPr>
    </w:p>
    <w:bookmarkStart w:id="139" w:name="page140"/>
    <w:bookmarkEnd w:id="139"/>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Subsidiary</w:t>
      </w:r>
      <w:r>
        <w:rPr>
          <w:rFonts w:ascii="Arial" w:cs="Arial" w:eastAsia="Arial" w:hAnsi="Arial"/>
          <w:sz w:val="20"/>
          <w:szCs w:val="20"/>
          <w:color w:val="auto"/>
        </w:rPr>
        <w:t>” means any Subsidiary of Crown Holdings (a) that is an Unrestricted Entity, (b) that, in accordance with the Agreed Guaranty and Security Principles, is not required to guarantee the Obligations (including pursuant to the Guaranty) or pledge or grant a security interest in its assets (including Capital Stock) on the date such Subsidiary is acquired, (c) that is a Receivables Subsidiary, (d) that is the Insurance Subsidiary or (e) that is not a Material Subsidiary.</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xml:space="preserve">” means, with respect to any Guarantor, any Swap Obligation if, and to the extent that, all or a portion of the Obligations guaranteed by such Guarantor or the grant by such Guarantor of a security interest to secure, such Swap Obligation (or any Obligations guaranteed by such Guarantor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Arial" w:cs="Arial" w:eastAsia="Arial" w:hAnsi="Arial"/>
          <w:sz w:val="19"/>
          <w:szCs w:val="19"/>
          <w:u w:val="single" w:color="auto"/>
          <w:color w:val="auto"/>
        </w:rPr>
        <w:t>Section 14.13</w:t>
      </w:r>
      <w:r>
        <w:rPr>
          <w:rFonts w:ascii="Arial" w:cs="Arial" w:eastAsia="Arial" w:hAnsi="Arial"/>
          <w:sz w:val="19"/>
          <w:szCs w:val="19"/>
          <w:color w:val="auto"/>
        </w:rPr>
        <w:t xml:space="preserve"> and any other “keepwell, support or other agreement” for the benefit of such Guarantor and any and all guarantees of such Guarantor’s Swap Obligations by other Credit Parties) at the time the Obligations guaranteed by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Obligations guaranteed by such Guarantor or security interest is or becomes excluded in accordance with the first sentence of this definition.</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Taxes</w:t>
      </w:r>
      <w:r>
        <w:rPr>
          <w:rFonts w:ascii="Arial" w:cs="Arial" w:eastAsia="Arial" w:hAnsi="Arial"/>
          <w:sz w:val="20"/>
          <w:szCs w:val="20"/>
          <w:color w:val="auto"/>
        </w:rPr>
        <w:t>” means any of the following Taxes imposed on or with respect to a Recipient or required to be withheld or deducted from a payment to a Recipient under any Loan Document:</w:t>
      </w:r>
    </w:p>
    <w:p>
      <w:pPr>
        <w:spacing w:after="0" w:line="204" w:lineRule="exact"/>
        <w:rPr>
          <w:sz w:val="20"/>
          <w:szCs w:val="20"/>
          <w:color w:val="auto"/>
        </w:rPr>
      </w:pPr>
    </w:p>
    <w:p>
      <w:pPr>
        <w:jc w:val="both"/>
        <w:ind w:firstLine="656"/>
        <w:spacing w:after="0" w:line="288" w:lineRule="auto"/>
        <w:tabs>
          <w:tab w:leader="none" w:pos="888" w:val="left"/>
        </w:tabs>
        <w:numPr>
          <w:ilvl w:val="1"/>
          <w:numId w:val="53"/>
        </w:numPr>
        <w:rPr>
          <w:rFonts w:ascii="Arial" w:cs="Arial" w:eastAsia="Arial" w:hAnsi="Arial"/>
          <w:sz w:val="16"/>
          <w:szCs w:val="16"/>
          <w:color w:val="auto"/>
        </w:rPr>
      </w:pPr>
      <w:r>
        <w:rPr>
          <w:rFonts w:ascii="Arial" w:cs="Arial" w:eastAsia="Arial" w:hAnsi="Arial"/>
          <w:sz w:val="16"/>
          <w:szCs w:val="16"/>
          <w:color w:val="auto"/>
        </w:rPr>
        <w:t>Taxes based upon, or measured by, net income (however denominated) or net profits, including franchise Taxes and similar Taxes imposed in lieu of net income Taxes, and branch profit taxes, in each case (A) imposed as a result of such Recipient being a resident of, organized under the laws of, or having its principal office located in, the jurisdiction imposing such Tax (or any political subdivision thereof),</w:t>
      </w:r>
    </w:p>
    <w:p>
      <w:pPr>
        <w:spacing w:after="0" w:line="1" w:lineRule="exact"/>
        <w:rPr>
          <w:rFonts w:ascii="Arial" w:cs="Arial" w:eastAsia="Arial" w:hAnsi="Arial"/>
          <w:sz w:val="16"/>
          <w:szCs w:val="16"/>
          <w:color w:val="auto"/>
        </w:rPr>
      </w:pPr>
    </w:p>
    <w:p>
      <w:pPr>
        <w:jc w:val="both"/>
        <w:ind w:firstLine="8"/>
        <w:spacing w:after="0" w:line="228" w:lineRule="auto"/>
        <w:tabs>
          <w:tab w:leader="none" w:pos="327"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 the case of a Lender, Facing Agent or Swing Line Lender imposed as a result of such Recipient having its applicable lending office located in such jurisdiction (or any political subdivision thereof), or (C) imposed as a result of any other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212" w:lineRule="exact"/>
        <w:rPr>
          <w:rFonts w:ascii="Arial" w:cs="Arial" w:eastAsia="Arial" w:hAnsi="Arial"/>
          <w:sz w:val="20"/>
          <w:szCs w:val="20"/>
          <w:color w:val="auto"/>
        </w:rPr>
      </w:pPr>
    </w:p>
    <w:p>
      <w:pPr>
        <w:jc w:val="both"/>
        <w:ind w:firstLine="656"/>
        <w:spacing w:after="0" w:line="256" w:lineRule="auto"/>
        <w:tabs>
          <w:tab w:leader="none" w:pos="955"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in the case of a Lender, Swing Line Lender or Facing Agent (other than an assignee pursuant to a request by Crown Holdings under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any U.S. federal withholding Tax imposed on amounts payable to or for the account of such Lender, Swing Line Lender or Facing Agent, in respect of any Loans, Letters of Credit, or Commitments provided to U.S. Borrower pursuant to a law in effect on the date on which (A) such Lender, Swing Line Lender or Facing Agent acquires the applicable interest in the applicable Commitment (or, to the extent any Lender, Swing Line Lender or Facing Agent did not fund an applicable Loan or Letter of Credit pursuant to a prior commitment, on the date on which such Person acquires its interest in such Loan or Letter of Credit) or (B) such Lender, Swing Line Lender or Facing Agent changes its lending office, except in each case to the extent that, pursuant to </w:t>
      </w:r>
      <w:r>
        <w:rPr>
          <w:rFonts w:ascii="Arial" w:cs="Arial" w:eastAsia="Arial" w:hAnsi="Arial"/>
          <w:sz w:val="18"/>
          <w:szCs w:val="18"/>
          <w:u w:val="single" w:color="auto"/>
          <w:color w:val="auto"/>
        </w:rPr>
        <w:t>Section 4.7</w:t>
      </w:r>
      <w:r>
        <w:rPr>
          <w:rFonts w:ascii="Arial" w:cs="Arial" w:eastAsia="Arial" w:hAnsi="Arial"/>
          <w:sz w:val="18"/>
          <w:szCs w:val="18"/>
          <w:color w:val="auto"/>
        </w:rPr>
        <w:t>, amounts with respect to such Taxes were payable either to such Lender’s, Swing Line Lender’s or Facing Agent’s assignor immediately before such Lender, Swing Line Lender or Facing Agent became a party hereto or to such Lender immediately before it changed its lending office;</w:t>
      </w:r>
    </w:p>
    <w:p>
      <w:pPr>
        <w:sectPr>
          <w:pgSz w:w="11900" w:h="16838" w:orient="portrait"/>
          <w:cols w:equalWidth="0" w:num="1">
            <w:col w:w="11240"/>
          </w:cols>
          <w:pgMar w:left="320" w:top="1419" w:right="339" w:bottom="1440" w:gutter="0" w:footer="0" w:header="0"/>
        </w:sectPr>
      </w:pPr>
    </w:p>
    <w:bookmarkStart w:id="140" w:name="page141"/>
    <w:bookmarkEnd w:id="140"/>
    <w:p>
      <w:pPr>
        <w:jc w:val="both"/>
        <w:ind w:firstLine="656"/>
        <w:spacing w:after="0" w:line="254" w:lineRule="auto"/>
        <w:tabs>
          <w:tab w:leader="none" w:pos="997"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in the case of a Lender (other than an assignee pursuant to a request by Crown Holdings under </w:t>
      </w:r>
      <w:r>
        <w:rPr>
          <w:rFonts w:ascii="Arial" w:cs="Arial" w:eastAsia="Arial" w:hAnsi="Arial"/>
          <w:sz w:val="19"/>
          <w:szCs w:val="19"/>
          <w:u w:val="single" w:color="auto"/>
          <w:color w:val="auto"/>
        </w:rPr>
        <w:t>Section 3.7</w:t>
      </w:r>
      <w:r>
        <w:rPr>
          <w:rFonts w:ascii="Arial" w:cs="Arial" w:eastAsia="Arial" w:hAnsi="Arial"/>
          <w:sz w:val="19"/>
          <w:szCs w:val="19"/>
          <w:color w:val="auto"/>
        </w:rPr>
        <w:t>), any Tax imposed by France on amounts payable, in respect of any Loans, Letters of Credit, or Commitments provided to European Borrower, to such Lender, to the extent that such Tax would not have been imposed but for the payment in a Non-Cooperative Jurisdiction;</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(iv)in the case of a Lender (other than an assignee pursuant to a request by Crown Holdings under </w:t>
      </w:r>
      <w:r>
        <w:rPr>
          <w:rFonts w:ascii="Arial" w:cs="Arial" w:eastAsia="Arial" w:hAnsi="Arial"/>
          <w:sz w:val="18"/>
          <w:szCs w:val="18"/>
          <w:u w:val="single" w:color="auto"/>
          <w:color w:val="auto"/>
        </w:rPr>
        <w:t>Section 3.7</w:t>
      </w:r>
      <w:r>
        <w:rPr>
          <w:rFonts w:ascii="Arial" w:cs="Arial" w:eastAsia="Arial" w:hAnsi="Arial"/>
          <w:sz w:val="18"/>
          <w:szCs w:val="18"/>
          <w:color w:val="auto"/>
        </w:rPr>
        <w:t>), any Canadian federal withholding Tax imposed under the ITA on any payment of interest (or any payments on account, in lieu, or in satisfaction of interest, or which are deemed to be interest for purposes of the ITA), in respect of any advance provided to Canadian Borrower under any Loan Document, because such Lender is not dealing at arm’s length for purposes of the ITA with the applicable Credit Party at the time of such payment or deemed payment or is a “specified shareholder” (as such term is defined in subsection 18(5) of the ITA) of the applicable Credit Party or does not deal at arm’s length for purposes of the ITA with a “specified shareholder” (as such term is defined in subsection 18(5) of the ITA) of the applicable Credit Party, or because a Person that is not resident in Canada for purposes of the ITA has made a transfer or assignment to another Person that is resident in Canada for purposes of the ITA and this other Person is not dealing at arm’s length for purposes of the ITA with the transferor or assignor other than where the non-arm’s length relationship arises, or where the Lender is a “specified shareholder” or does not deal at arm’s length with a “specified shareholder” in connection with or as a result of the Lender having become a party to, received or perfected a security interest under or received or enforced any rights under, a Loan Document;</w:t>
      </w:r>
    </w:p>
    <w:p>
      <w:pPr>
        <w:spacing w:after="0" w:line="200" w:lineRule="exact"/>
        <w:rPr>
          <w:sz w:val="20"/>
          <w:szCs w:val="20"/>
          <w:color w:val="auto"/>
        </w:rPr>
      </w:pPr>
    </w:p>
    <w:p>
      <w:pPr>
        <w:ind w:left="940" w:hanging="284"/>
        <w:spacing w:after="0"/>
        <w:tabs>
          <w:tab w:leader="none" w:pos="9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Taxes attributable to a Recipient’s failure to comply with </w:t>
      </w:r>
      <w:r>
        <w:rPr>
          <w:rFonts w:ascii="Arial" w:cs="Arial" w:eastAsia="Arial" w:hAnsi="Arial"/>
          <w:sz w:val="20"/>
          <w:szCs w:val="20"/>
          <w:u w:val="single" w:color="auto"/>
          <w:color w:val="auto"/>
        </w:rPr>
        <w:t>Section 4.7(d)</w:t>
      </w:r>
      <w:r>
        <w:rPr>
          <w:rFonts w:ascii="Arial" w:cs="Arial" w:eastAsia="Arial" w:hAnsi="Arial"/>
          <w:sz w:val="20"/>
          <w:szCs w:val="20"/>
          <w:color w:val="auto"/>
        </w:rPr>
        <w:t>; and</w:t>
      </w:r>
    </w:p>
    <w:p>
      <w:pPr>
        <w:spacing w:after="0" w:line="229" w:lineRule="exact"/>
        <w:rPr>
          <w:rFonts w:ascii="Arial" w:cs="Arial" w:eastAsia="Arial" w:hAnsi="Arial"/>
          <w:sz w:val="20"/>
          <w:szCs w:val="20"/>
          <w:color w:val="auto"/>
        </w:rPr>
      </w:pPr>
    </w:p>
    <w:p>
      <w:pPr>
        <w:ind w:left="1000" w:hanging="344"/>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 respect to any Loans, Letters of Credit, or Commitments provided to U.S. Borrower, any Taxes withheld under FATCA.</w:t>
      </w:r>
    </w:p>
    <w:p>
      <w:pPr>
        <w:spacing w:after="0" w:line="2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U.K. Companies</w:t>
      </w:r>
      <w:r>
        <w:rPr>
          <w:rFonts w:ascii="Arial" w:cs="Arial" w:eastAsia="Arial" w:hAnsi="Arial"/>
          <w:sz w:val="20"/>
          <w:szCs w:val="20"/>
          <w:color w:val="auto"/>
        </w:rPr>
        <w:t>” means Metal Box Pension Trustees Limited, The CarnaudMetalbox Benevolent Fund Limited and The Can Makers Limited, each a company or trust organized under the laws of England.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Executive Order</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6.21(a)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has the meaning assigned to that term in the recitals to this Agreement.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Factoring Facilities</w:t>
      </w:r>
      <w:r>
        <w:rPr>
          <w:rFonts w:ascii="Arial" w:cs="Arial" w:eastAsia="Arial" w:hAnsi="Arial"/>
          <w:sz w:val="20"/>
          <w:szCs w:val="20"/>
          <w:color w:val="auto"/>
        </w:rPr>
        <w:t xml:space="preserve">” means the existing factoring or discounting programs as of the Incremental No. 2 and Third Amendment Effective Date and set forth on </w:t>
      </w:r>
      <w:r>
        <w:rPr>
          <w:rFonts w:ascii="Arial" w:cs="Arial" w:eastAsia="Arial" w:hAnsi="Arial"/>
          <w:sz w:val="20"/>
          <w:szCs w:val="20"/>
          <w:u w:val="single" w:color="auto"/>
          <w:color w:val="auto"/>
        </w:rPr>
        <w:t>Schedule 6.5(b)(iii)</w:t>
      </w:r>
      <w:r>
        <w:rPr>
          <w:rFonts w:ascii="Arial" w:cs="Arial" w:eastAsia="Arial" w:hAnsi="Arial"/>
          <w:sz w:val="20"/>
          <w:szCs w:val="20"/>
          <w:color w:val="auto"/>
        </w:rPr>
        <w: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2.10(j)</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Maturity Date</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Non-U.S. Facilities</w:t>
      </w:r>
      <w:r>
        <w:rPr>
          <w:rFonts w:ascii="Arial" w:cs="Arial" w:eastAsia="Arial" w:hAnsi="Arial"/>
          <w:sz w:val="20"/>
          <w:szCs w:val="20"/>
          <w:color w:val="auto"/>
        </w:rPr>
        <w:t xml:space="preserve">” means the existing working capital facilities of the Non-U.S. Subsidiaries of European Borrower, Canadian Borrower or U.S. Borrower as of the Incremental Amendment No. 2 and Third Amendment Effective Date and set forth on </w:t>
      </w:r>
      <w:r>
        <w:rPr>
          <w:rFonts w:ascii="Arial" w:cs="Arial" w:eastAsia="Arial" w:hAnsi="Arial"/>
          <w:sz w:val="20"/>
          <w:szCs w:val="20"/>
          <w:u w:val="single" w:color="auto"/>
          <w:color w:val="auto"/>
        </w:rPr>
        <w:t>Schedule 6.5(b)(ii)</w:t>
      </w:r>
      <w:r>
        <w:rPr>
          <w:rFonts w:ascii="Arial" w:cs="Arial" w:eastAsia="Arial" w:hAnsi="Arial"/>
          <w:sz w:val="20"/>
          <w:szCs w:val="20"/>
          <w:color w:val="auto"/>
        </w:rPr>
        <w: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Unsecured Debt</w:t>
      </w:r>
      <w:r>
        <w:rPr>
          <w:rFonts w:ascii="Arial" w:cs="Arial" w:eastAsia="Arial" w:hAnsi="Arial"/>
          <w:sz w:val="18"/>
          <w:szCs w:val="18"/>
          <w:color w:val="auto"/>
        </w:rPr>
        <w:t>” means each of the following Indebtedness to the extent outstanding on the Incremental Amendment No.</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2 and Third Amendment Effective Date after giving effect to the Transactions:</w:t>
      </w:r>
    </w:p>
    <w:p>
      <w:pPr>
        <w:spacing w:after="0" w:line="213" w:lineRule="exact"/>
        <w:rPr>
          <w:sz w:val="20"/>
          <w:szCs w:val="20"/>
          <w:color w:val="auto"/>
        </w:rPr>
      </w:pPr>
    </w:p>
    <w:p>
      <w:pPr>
        <w:ind w:left="900" w:hanging="244"/>
        <w:spacing w:after="0"/>
        <w:tabs>
          <w:tab w:leader="none" w:pos="9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Debentures; and</w:t>
      </w:r>
    </w:p>
    <w:p>
      <w:pPr>
        <w:spacing w:after="0" w:line="2" w:lineRule="exact"/>
        <w:rPr>
          <w:rFonts w:ascii="Arial" w:cs="Arial" w:eastAsia="Arial" w:hAnsi="Arial"/>
          <w:sz w:val="20"/>
          <w:szCs w:val="20"/>
          <w:color w:val="auto"/>
        </w:rPr>
      </w:pPr>
    </w:p>
    <w:p>
      <w:pPr>
        <w:ind w:left="940" w:hanging="284"/>
        <w:spacing w:after="0"/>
        <w:tabs>
          <w:tab w:leader="none" w:pos="9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Senior Notes.</w:t>
      </w:r>
    </w:p>
    <w:p>
      <w:pPr>
        <w:sectPr>
          <w:pgSz w:w="11900" w:h="16838" w:orient="portrait"/>
          <w:cols w:equalWidth="0" w:num="1">
            <w:col w:w="11240"/>
          </w:cols>
          <w:pgMar w:left="320" w:top="1419" w:right="339" w:bottom="1440" w:gutter="0" w:footer="0" w:header="0"/>
        </w:sectPr>
      </w:pPr>
    </w:p>
    <w:bookmarkStart w:id="141" w:name="page142"/>
    <w:bookmarkEnd w:id="14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Facility</w:t>
      </w:r>
      <w:r>
        <w:rPr>
          <w:rFonts w:ascii="Arial" w:cs="Arial" w:eastAsia="Arial" w:hAnsi="Arial"/>
          <w:sz w:val="20"/>
          <w:szCs w:val="20"/>
          <w:color w:val="auto"/>
        </w:rPr>
        <w:t xml:space="preserve">” means any Revolving Facility that is extended pursuant to </w:t>
      </w:r>
      <w:r>
        <w:rPr>
          <w:rFonts w:ascii="Arial" w:cs="Arial" w:eastAsia="Arial" w:hAnsi="Arial"/>
          <w:sz w:val="20"/>
          <w:szCs w:val="20"/>
          <w:u w:val="single" w:color="auto"/>
          <w:color w:val="auto"/>
        </w:rPr>
        <w:t>Section 2.15</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Term Facility</w:t>
      </w:r>
      <w:r>
        <w:rPr>
          <w:rFonts w:ascii="Arial" w:cs="Arial" w:eastAsia="Arial" w:hAnsi="Arial"/>
          <w:sz w:val="20"/>
          <w:szCs w:val="20"/>
          <w:color w:val="auto"/>
        </w:rPr>
        <w:t xml:space="preserve">” means any Term Facility that is extended pursuant to </w:t>
      </w:r>
      <w:r>
        <w:rPr>
          <w:rFonts w:ascii="Arial" w:cs="Arial" w:eastAsia="Arial" w:hAnsi="Arial"/>
          <w:sz w:val="20"/>
          <w:szCs w:val="20"/>
          <w:u w:val="single" w:color="auto"/>
          <w:color w:val="auto"/>
        </w:rPr>
        <w:t>Section 2.15</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Effective Date</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2.15(b)</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means any of the credit facilities established under this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Facing Agent</w:t>
      </w:r>
      <w:r>
        <w:rPr>
          <w:rFonts w:ascii="Arial" w:cs="Arial" w:eastAsia="Arial" w:hAnsi="Arial"/>
          <w:sz w:val="18"/>
          <w:szCs w:val="18"/>
          <w:color w:val="auto"/>
        </w:rPr>
        <w:t xml:space="preserve">” means (a) with respect to Canadian Letters of Credit, the Canadian Facing Agent, (b) with respect to the Dollar Letters of Credit, the Dollar Facing Agent and (c) with respect to Multicurrency Letters of Credit, each of the Multicurrency Revolving Lenders set forth on </w:t>
      </w:r>
      <w:r>
        <w:rPr>
          <w:rFonts w:ascii="Arial" w:cs="Arial" w:eastAsia="Arial" w:hAnsi="Arial"/>
          <w:sz w:val="18"/>
          <w:szCs w:val="18"/>
          <w:u w:val="single" w:color="auto"/>
          <w:color w:val="auto"/>
        </w:rPr>
        <w:t>Schedule 1.1(g)</w:t>
      </w:r>
      <w:r>
        <w:rPr>
          <w:rFonts w:ascii="Arial" w:cs="Arial" w:eastAsia="Arial" w:hAnsi="Arial"/>
          <w:sz w:val="18"/>
          <w:szCs w:val="18"/>
          <w:color w:val="auto"/>
        </w:rPr>
        <w:t xml:space="preserve"> up to the amount of its Multicurrency Revolving Sublimit set forth on such schedule, each in its capacity as an issuer of Multicurrency Letters of Credit hereunder and any other Multicurrency Revolving Lender which at the request of the applicable Borrower and with the consent of the Administrative Agent (not to be unreasonably withheld) agrees to issue Multicurrency Letters of Credit, in its capacity as an issuer of Multicurrency Letters of Credit. Each Facing Agent may, in its good faith discretion, arrange for one or more Letters of Credit to be issued by Affiliates of the Facing Agent, in which case the term “Facing Agent” shall include any such Affiliate with respect to Letters of Credit issued by such Affiliate. Notwithstanding anything herein to the contrary, no Facing Agent shall be required to issue commercial, documentary or trade Letters of Credit unless it agrees in writing to do so in its sole discretion.</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Farm Credit Lender</w:t>
      </w:r>
      <w:r>
        <w:rPr>
          <w:rFonts w:ascii="Arial" w:cs="Arial" w:eastAsia="Arial" w:hAnsi="Arial"/>
          <w:sz w:val="20"/>
          <w:szCs w:val="20"/>
          <w:color w:val="auto"/>
        </w:rPr>
        <w:t>” means a federally-chartered Farm Credit System lending institution organized under the Farm Credit Act of 1971, as the same may be amended or supplemented from time to time.</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the U.S. Treasury Regulations (and any notices, guidance or other official pronouncements) promulgated thereunder or official interpretations thereof, any agreements entered into pursuant to Section 1471(b) of the Code as of the date of this Agreement (or any amended or successor version described above), or any intergovernmental agreement (and any related law or regulation) implementing the foregoing.</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on any one day, the rate per annum equal to the weighted average (rounded upwards, if necessary, to the nearest 1/100th of 1%) of the rate on overnight federal funds transactions with members of the Federal Reserve System only, as published as of such day by the Federal Reserve Bank of New York, or, if such rate is not so published, the average of the quotations for such day on such transactions received by the Administrative Agent from three federal funds brokers of recognized standing selected by the Administrative Agent. Notwithstanding the foregoing, the Federal Funds Rate shall not in any event be less than zero.</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that certain letter agreement or agreements, in each case, between one or more Arrangers and the Borrowers and providing for the payment of certain fees in connection with this Agreement and/or the Incremental Amendment No. 2 and Third Amendment.</w:t>
      </w:r>
    </w:p>
    <w:p>
      <w:pPr>
        <w:spacing w:after="0" w:line="21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of any corporation, partnership or other entity means the chief financial officer, the principal accounting officer, Treasurer or Controller of such corporation, partnership or other entity.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Currency</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12.4(c)</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142" w:name="page143"/>
    <w:bookmarkEnd w:id="14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Lender</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13.1(c)</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Quarter</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7.15</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Year</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7.15</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Obligations</w:t>
      </w:r>
      <w:r>
        <w:rPr>
          <w:rFonts w:ascii="Arial" w:cs="Arial" w:eastAsia="Arial" w:hAnsi="Arial"/>
          <w:sz w:val="20"/>
          <w:szCs w:val="20"/>
          <w:color w:val="auto"/>
        </w:rPr>
        <w:t xml:space="preserve">” means the Euro Obligations, the Canadian Obligations, the Subsidiary Borrower Obligations and the Guarantee Obligations pursuant to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and the Guarantee Agreements in respect of any of the foregoing.</w:t>
      </w:r>
    </w:p>
    <w:p>
      <w:pPr>
        <w:spacing w:after="0" w:line="204"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Plan</w:t>
      </w:r>
      <w:r>
        <w:rPr>
          <w:rFonts w:ascii="Arial" w:cs="Arial" w:eastAsia="Arial" w:hAnsi="Arial"/>
          <w:sz w:val="20"/>
          <w:szCs w:val="20"/>
          <w:color w:val="auto"/>
        </w:rPr>
        <w:t>” means any plan, agreement, fund (including, without limitation, any super-annuation fund) or other similar program, arrangement or agreement established or maintained outside of the United States of America by a Credit Party or one or more of its Subsidiaries or its Affiliates providing employee benefits, including medical, hospital care, dental, sickness, accident, disability, life insurance, pension, supplemental pension, retirement or savings benefits under which a Credit Party or such Subsidiaries or its Affiliates residing outside the United States of America has any liability with respect to any current or former employee, officer, director or contractor (or any spouses, dependents, survivors or beneficiaries of any such persons) and, for greater certainty, includes any Canadian Defined Benefit Plan.</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Requirements of Law</w:t>
      </w:r>
      <w:r>
        <w:rPr>
          <w:rFonts w:ascii="Arial" w:cs="Arial" w:eastAsia="Arial" w:hAnsi="Arial"/>
          <w:sz w:val="20"/>
          <w:szCs w:val="20"/>
          <w:color w:val="auto"/>
        </w:rPr>
        <w:t>” means any Requirement of Law of a Governmental Authority in a jurisdiction other than the United States of America or any state thereof or the District of Columbia (including any banking, exchange control, financial assistance, minimum capitalization, fraudulent conveyance, mandatory labor advice or similar rules or regulations).</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 Person that is a fund that makes, purchases, holds or otherwise invests in commercial loans or similar extensions of credit in the ordinary course of its existence.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means generally accepted accounting principles in the U.S., as in effect from time to time, but subject to </w:t>
      </w:r>
      <w:r>
        <w:rPr>
          <w:rFonts w:ascii="Arial" w:cs="Arial" w:eastAsia="Arial" w:hAnsi="Arial"/>
          <w:sz w:val="19"/>
          <w:szCs w:val="19"/>
          <w:u w:val="single" w:color="auto"/>
          <w:color w:val="auto"/>
        </w:rPr>
        <w:t>Section 1.2</w:t>
      </w:r>
      <w:r>
        <w:rPr>
          <w:rFonts w:ascii="Arial" w:cs="Arial" w:eastAsia="Arial" w:hAnsi="Arial"/>
          <w:sz w:val="19"/>
          <w:szCs w:val="19"/>
          <w:color w:val="auto"/>
        </w:rPr>
        <w:t>.</w:t>
      </w:r>
    </w:p>
    <w:p>
      <w:pPr>
        <w:spacing w:after="0" w:line="24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Borrowers</w:t>
      </w:r>
      <w:r>
        <w:rPr>
          <w:rFonts w:ascii="Arial" w:cs="Arial" w:eastAsia="Arial" w:hAnsi="Arial"/>
          <w:sz w:val="18"/>
          <w:szCs w:val="18"/>
          <w:color w:val="auto"/>
        </w:rPr>
        <w:t xml:space="preserve">” means each Subsidiary of European Borrower organized under the laws of the Federal Republic of Germany, and designated as such on </w:t>
      </w:r>
      <w:r>
        <w:rPr>
          <w:rFonts w:ascii="Arial" w:cs="Arial" w:eastAsia="Arial" w:hAnsi="Arial"/>
          <w:sz w:val="18"/>
          <w:szCs w:val="18"/>
          <w:u w:val="single" w:color="auto"/>
          <w:color w:val="auto"/>
        </w:rPr>
        <w:t>Schedule 1.1(d)</w:t>
      </w:r>
      <w:r>
        <w:rPr>
          <w:rFonts w:ascii="Arial" w:cs="Arial" w:eastAsia="Arial" w:hAnsi="Arial"/>
          <w:sz w:val="18"/>
          <w:szCs w:val="18"/>
          <w:color w:val="auto"/>
        </w:rPr>
        <w:t>, and each other Subsidiary of European Borrower organized under the laws of the Federal Republic of Germany and requested by European Borrower to be a German Borrower, subject to the approval of Administrative Agent.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 Acts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2.10(h)</w:t>
      </w:r>
      <w:r>
        <w:rPr>
          <w:rFonts w:ascii="Arial" w:cs="Arial" w:eastAsia="Arial" w:hAnsi="Arial"/>
          <w:sz w:val="20"/>
          <w:szCs w:val="20"/>
          <w:color w:val="auto"/>
        </w:rPr>
        <w:t>.</w:t>
      </w:r>
    </w:p>
    <w:p>
      <w:pPr>
        <w:spacing w:after="0" w:line="21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any federal, state, provincial, territorial, local or foreign court or governmental agency, authority, instrumentality or regulatory body, including any central bank and any supra-national body exercising such powers or functions, such as the European Union or the European Central Bank.</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 Agreements</w:t>
      </w:r>
      <w:r>
        <w:rPr>
          <w:rFonts w:ascii="Arial" w:cs="Arial" w:eastAsia="Arial" w:hAnsi="Arial"/>
          <w:sz w:val="20"/>
          <w:szCs w:val="20"/>
          <w:color w:val="auto"/>
        </w:rPr>
        <w:t>” means the Non-U.S. Guarantee Agreements and the U.S. Guarantee Agreement.</w:t>
      </w:r>
    </w:p>
    <w:p>
      <w:pPr>
        <w:spacing w:after="0" w:line="22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 Obligations</w:t>
      </w:r>
      <w:r>
        <w:rPr>
          <w:rFonts w:ascii="Arial" w:cs="Arial" w:eastAsia="Arial" w:hAnsi="Arial"/>
          <w:sz w:val="20"/>
          <w:szCs w:val="20"/>
          <w:color w:val="auto"/>
        </w:rPr>
        <w:t>” means, as to any Person, without duplication, any direct or indirect contractual obligation of such Person guaranteeing or intended to guarantee any Indebtedness (“</w:t>
      </w:r>
      <w:r>
        <w:rPr>
          <w:rFonts w:ascii="Arial" w:cs="Arial" w:eastAsia="Arial" w:hAnsi="Arial"/>
          <w:sz w:val="20"/>
          <w:szCs w:val="20"/>
          <w:u w:val="single" w:color="auto"/>
          <w:color w:val="auto"/>
        </w:rPr>
        <w:t>primary obligations</w:t>
      </w:r>
      <w:r>
        <w:rPr>
          <w:rFonts w:ascii="Arial" w:cs="Arial" w:eastAsia="Arial" w:hAnsi="Arial"/>
          <w:sz w:val="20"/>
          <w:szCs w:val="20"/>
          <w:color w:val="auto"/>
        </w:rPr>
        <w:t>”) of any other Person (the “</w:t>
      </w:r>
      <w:r>
        <w:rPr>
          <w:rFonts w:ascii="Arial" w:cs="Arial" w:eastAsia="Arial" w:hAnsi="Arial"/>
          <w:sz w:val="20"/>
          <w:szCs w:val="20"/>
          <w:u w:val="single" w:color="auto"/>
          <w:color w:val="auto"/>
        </w:rPr>
        <w:t>primary obligor</w:t>
      </w:r>
      <w:r>
        <w:rPr>
          <w:rFonts w:ascii="Arial" w:cs="Arial" w:eastAsia="Arial" w:hAnsi="Arial"/>
          <w:sz w:val="20"/>
          <w:szCs w:val="20"/>
          <w:color w:val="auto"/>
        </w:rPr>
        <w:t>”)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w:t>
      </w:r>
    </w:p>
    <w:p>
      <w:pPr>
        <w:sectPr>
          <w:pgSz w:w="11900" w:h="16838" w:orient="portrait"/>
          <w:cols w:equalWidth="0" w:num="1">
            <w:col w:w="11240"/>
          </w:cols>
          <w:pgMar w:left="320" w:top="1419" w:right="339" w:bottom="1440" w:gutter="0" w:footer="0" w:header="0"/>
        </w:sectPr>
      </w:pPr>
    </w:p>
    <w:bookmarkStart w:id="143" w:name="page144"/>
    <w:bookmarkEnd w:id="143"/>
    <w:p>
      <w:pPr>
        <w:jc w:val="both"/>
        <w:spacing w:after="0"/>
        <w:rPr>
          <w:sz w:val="20"/>
          <w:szCs w:val="20"/>
          <w:color w:val="auto"/>
        </w:rPr>
      </w:pPr>
      <w:r>
        <w:rPr>
          <w:rFonts w:ascii="Arial" w:cs="Arial" w:eastAsia="Arial" w:hAnsi="Arial"/>
          <w:sz w:val="19"/>
          <w:szCs w:val="19"/>
          <w:color w:val="auto"/>
        </w:rPr>
        <w:t xml:space="preserve">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such primary obligation against loss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Guarantee Obligations shall not include any endorsements of instruments for deposit or collection in the ordinary course of business. The amount of any Guarantee Obligation at any time shall be deemed to be an amount equal to the lesser at such time of (a) the stated or determinable amount of the primary obligation in respect of which such Guarantee Obligation is made and (b) the maximum amount for which such Person may be liable pursuant to the terms of the instrument embodying such Guarantee Obligation, unless such primary obligation and the maximum amount for which such guarantor may be liable are not stated or determinable, in which case the amount of the obligation under such Guarantee Obligation shall be such Person’s maximum reasonably anticipated liability (assuming full performance) in respect thereof as determined by the guarantor in good faith; irrespective, in any such case, of any amount thereof that would, in accordance with GAAP, be required to be reflected on a balance sheet of such Person.</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xml:space="preserve">” means (i) the Credit Parties (other than the Borrowers) and (ii) for purposes of </w:t>
      </w:r>
      <w:r>
        <w:rPr>
          <w:rFonts w:ascii="Arial" w:cs="Arial" w:eastAsia="Arial" w:hAnsi="Arial"/>
          <w:sz w:val="20"/>
          <w:szCs w:val="20"/>
          <w:u w:val="single" w:color="auto"/>
          <w:color w:val="auto"/>
        </w:rPr>
        <w:t>Section 10.1(j)</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only, the Parent Guarantors, the U.S. Borrower, Crown Finance and the European Borrower.</w:t>
      </w:r>
    </w:p>
    <w:p>
      <w:pPr>
        <w:spacing w:after="0" w:line="20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all pollutants, contaminants, wastes, substances, chemicals, materials and other constituents, including, without limitation, crude oil, petroleum or petroleum distillates, asbestos or asbestos containing materials, polychlorinated biphenyls (“</w:t>
      </w:r>
      <w:r>
        <w:rPr>
          <w:rFonts w:ascii="Arial" w:cs="Arial" w:eastAsia="Arial" w:hAnsi="Arial"/>
          <w:sz w:val="20"/>
          <w:szCs w:val="20"/>
          <w:u w:val="single" w:color="auto"/>
          <w:color w:val="auto"/>
        </w:rPr>
        <w:t>PCBs</w:t>
      </w:r>
      <w:r>
        <w:rPr>
          <w:rFonts w:ascii="Arial" w:cs="Arial" w:eastAsia="Arial" w:hAnsi="Arial"/>
          <w:sz w:val="20"/>
          <w:szCs w:val="20"/>
          <w:color w:val="auto"/>
        </w:rPr>
        <w:t>”) or PCB-containing materials or any other substances, wastes or equipment of any nature which can give rise to Environmental Liability under, or are regulated pursuant to, any Environmental Law.</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Bank</w:t>
      </w:r>
      <w:r>
        <w:rPr>
          <w:rFonts w:ascii="Arial" w:cs="Arial" w:eastAsia="Arial" w:hAnsi="Arial"/>
          <w:sz w:val="20"/>
          <w:szCs w:val="20"/>
          <w:color w:val="auto"/>
        </w:rPr>
        <w:t>” has the meaning assigned to such term in the definition of “Bank Related Debt.”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means any interest rate protection agreement, foreign currency exchange agreement, commodity price protection agreement or other interest or currency exchange rate or commodity price hedging arrangement and all other similar agreements or arrangements designed to alter the risks of any Person arising from fluctuations in interest rate, currency values or commodity prices.</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Impermissible Qualification</w:t>
      </w:r>
      <w:r>
        <w:rPr>
          <w:rFonts w:ascii="Arial" w:cs="Arial" w:eastAsia="Arial" w:hAnsi="Arial"/>
          <w:sz w:val="20"/>
          <w:szCs w:val="20"/>
          <w:color w:val="auto"/>
        </w:rPr>
        <w:t>” means, relative to the opinion or certification of any independent public accountant as to any financial statement of Crown Holdings, any qualification or exception to such opinion or certification:</w:t>
      </w:r>
    </w:p>
    <w:p>
      <w:pPr>
        <w:spacing w:after="0" w:line="204" w:lineRule="exact"/>
        <w:rPr>
          <w:sz w:val="20"/>
          <w:szCs w:val="20"/>
          <w:color w:val="auto"/>
        </w:rPr>
      </w:pPr>
    </w:p>
    <w:p>
      <w:pPr>
        <w:ind w:left="940" w:hanging="284"/>
        <w:spacing w:after="0"/>
        <w:tabs>
          <w:tab w:leader="none" w:pos="9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which is of a “going concern” or similar nature other than any such qualification or exception with respect to, or resulting from,</w:t>
      </w:r>
    </w:p>
    <w:p>
      <w:pPr>
        <w:spacing w:after="0" w:line="25" w:lineRule="exact"/>
        <w:rPr>
          <w:rFonts w:ascii="Arial" w:cs="Arial" w:eastAsia="Arial" w:hAnsi="Arial"/>
          <w:sz w:val="18"/>
          <w:szCs w:val="18"/>
          <w:color w:val="auto"/>
        </w:rPr>
      </w:pPr>
    </w:p>
    <w:p>
      <w:pPr>
        <w:jc w:val="both"/>
        <w:ind w:firstLine="8"/>
        <w:spacing w:after="0" w:line="231" w:lineRule="auto"/>
        <w:tabs>
          <w:tab w:leader="none" w:pos="324"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changes in accounting principles or practices reflecting changes in GAAP that are required or approved by such auditor, (y) the impending maturity date of any Indebtedness of the Credit Parties or (z) any inability to demonstrate pro forma or prospective compliance with, or any anticipated breach of, the financial covenant set forth in </w:t>
      </w:r>
      <w:r>
        <w:rPr>
          <w:rFonts w:ascii="Arial" w:cs="Arial" w:eastAsia="Arial" w:hAnsi="Arial"/>
          <w:sz w:val="20"/>
          <w:szCs w:val="20"/>
          <w:u w:val="single" w:color="auto"/>
          <w:color w:val="auto"/>
        </w:rPr>
        <w:t>Article IX</w:t>
      </w:r>
      <w:r>
        <w:rPr>
          <w:rFonts w:ascii="Arial" w:cs="Arial" w:eastAsia="Arial" w:hAnsi="Arial"/>
          <w:sz w:val="20"/>
          <w:szCs w:val="20"/>
          <w:color w:val="auto"/>
        </w:rPr>
        <w:t>;</w:t>
      </w:r>
    </w:p>
    <w:p>
      <w:pPr>
        <w:spacing w:after="0" w:line="210" w:lineRule="exact"/>
        <w:rPr>
          <w:rFonts w:ascii="Arial" w:cs="Arial" w:eastAsia="Arial" w:hAnsi="Arial"/>
          <w:sz w:val="20"/>
          <w:szCs w:val="20"/>
          <w:color w:val="auto"/>
        </w:rPr>
      </w:pPr>
    </w:p>
    <w:p>
      <w:pPr>
        <w:ind w:left="940" w:hanging="284"/>
        <w:spacing w:after="0"/>
        <w:tabs>
          <w:tab w:leader="none" w:pos="940" w:val="left"/>
        </w:tabs>
        <w:numPr>
          <w:ilvl w:val="1"/>
          <w:numId w:val="59"/>
        </w:numPr>
        <w:rPr>
          <w:rFonts w:ascii="Arial" w:cs="Arial" w:eastAsia="Arial" w:hAnsi="Arial"/>
          <w:sz w:val="20"/>
          <w:szCs w:val="20"/>
          <w:color w:val="auto"/>
        </w:rPr>
      </w:pPr>
      <w:r>
        <w:rPr>
          <w:rFonts w:ascii="Arial" w:cs="Arial" w:eastAsia="Arial" w:hAnsi="Arial"/>
          <w:sz w:val="20"/>
          <w:szCs w:val="20"/>
          <w:color w:val="auto"/>
        </w:rPr>
        <w:t>which relates to the limited scope of examination of matters relevant to such financial statement; or</w:t>
      </w:r>
    </w:p>
    <w:p>
      <w:pPr>
        <w:spacing w:after="0" w:line="229"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 xml:space="preserve">(c)which relates to the treatment or classification of any item in such financial statement and which, as a condition to its removal, would require an adjustment to such item the effect of which would be to cause a default under </w:t>
      </w:r>
      <w:r>
        <w:rPr>
          <w:rFonts w:ascii="Arial" w:cs="Arial" w:eastAsia="Arial" w:hAnsi="Arial"/>
          <w:sz w:val="20"/>
          <w:szCs w:val="20"/>
          <w:u w:val="single" w:color="auto"/>
          <w:color w:val="auto"/>
        </w:rPr>
        <w:t>Article X</w:t>
      </w:r>
      <w:r>
        <w:rPr>
          <w:rFonts w:ascii="Arial" w:cs="Arial" w:eastAsia="Arial" w:hAnsi="Arial"/>
          <w:sz w:val="20"/>
          <w:szCs w:val="20"/>
          <w:color w:val="auto"/>
        </w:rPr>
        <w: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Period</w:t>
      </w:r>
      <w:r>
        <w:rPr>
          <w:rFonts w:ascii="Arial" w:cs="Arial" w:eastAsia="Arial" w:hAnsi="Arial"/>
          <w:sz w:val="20"/>
          <w:szCs w:val="20"/>
          <w:color w:val="auto"/>
        </w:rPr>
        <w:t xml:space="preserve">” has the meaning assigned in </w:t>
      </w:r>
      <w:r>
        <w:rPr>
          <w:rFonts w:ascii="Arial" w:cs="Arial" w:eastAsia="Arial" w:hAnsi="Arial"/>
          <w:sz w:val="20"/>
          <w:szCs w:val="20"/>
          <w:u w:val="single" w:color="auto"/>
          <w:color w:val="auto"/>
        </w:rPr>
        <w:t>Article IX</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144" w:name="page145"/>
    <w:bookmarkEnd w:id="144"/>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Amendment No. 2 and Third Amendment</w:t>
      </w:r>
      <w:r>
        <w:rPr>
          <w:rFonts w:ascii="Arial" w:cs="Arial" w:eastAsia="Arial" w:hAnsi="Arial"/>
          <w:sz w:val="20"/>
          <w:szCs w:val="20"/>
          <w:color w:val="auto"/>
        </w:rPr>
        <w:t>” means the Incremental Amendment No. 2 and Third Amendment to this Agreement, dated as of December 13, 2019, among the Borrowers, the Guarantors, the Administrative Agent, the U.K. Administrative Agent, the Canadian Administrative Agent, the 2019 Additional Term A Lenders (as defined therein), the Facing Agents, the Swing Line Lender and the Revolving Lenders.</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Amendment No. 2 and Third Amendment Arrangers</w:t>
      </w:r>
      <w:r>
        <w:rPr>
          <w:rFonts w:ascii="Arial" w:cs="Arial" w:eastAsia="Arial" w:hAnsi="Arial"/>
          <w:sz w:val="20"/>
          <w:szCs w:val="20"/>
          <w:color w:val="auto"/>
        </w:rPr>
        <w:t>” means the “Lead Arrangers” as defined in the Incremental Amendment No. 2 and Third Amendment.</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Amendment No. 2 and Third Amendment Co-Documentation Agents</w:t>
      </w:r>
      <w:r>
        <w:rPr>
          <w:rFonts w:ascii="Arial" w:cs="Arial" w:eastAsia="Arial" w:hAnsi="Arial"/>
          <w:sz w:val="20"/>
          <w:szCs w:val="20"/>
          <w:color w:val="auto"/>
        </w:rPr>
        <w:t>” means the “Co-Documentation Agents” as defined in the Incremental Amendment No. 2 and Third Amendment.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Amendment No. 2 and Third Amendment Effective Date</w:t>
      </w:r>
      <w:r>
        <w:rPr>
          <w:rFonts w:ascii="Arial" w:cs="Arial" w:eastAsia="Arial" w:hAnsi="Arial"/>
          <w:sz w:val="20"/>
          <w:szCs w:val="20"/>
          <w:color w:val="auto"/>
        </w:rPr>
        <w:t>” means December 13, 2019.</w:t>
      </w:r>
    </w:p>
    <w:p>
      <w:pPr>
        <w:spacing w:after="0" w:line="22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Cap</w:t>
      </w:r>
      <w:r>
        <w:rPr>
          <w:rFonts w:ascii="Arial" w:cs="Arial" w:eastAsia="Arial" w:hAnsi="Arial"/>
          <w:sz w:val="18"/>
          <w:szCs w:val="18"/>
          <w:color w:val="auto"/>
        </w:rPr>
        <w:t xml:space="preserve">” means, as of any date of determination, an aggregate principal amount equal to the sum of (x)(i) $1,500,000,000 (or the Dollar Equivalent thereof at the time of the making of an Additional Term Loans or Incremental Equivalent Debt or establishment of an Additional Revolving Credit Commitment or Additional Revolving Facility)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(ii) the aggregate principal amount of all Additional Facilities and Incremental Equivalent Debt incurred or issued in reliance on clause (x)(i) of this definition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(A) the aggregate principal amount of any voluntary prepayment, redemption, repurchase or other retirement of any Loan, including any Loan under any Additional Facility or any Incremental Equivalent Debt (other than, in each case, incurred pursuant to clause (z) below) in accordance with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(accompanied, to the extent such prepayments are of Loans under any Revolving Facility, Additional Revolving Facility and/or any Additional Revolving Credit Commitments, by a commitment reduction in the like amount under such Revolving Facility, Additional Revolving Facility and/or Additional Revolving Credit Commitment) and/or the aggregate principal amount of any permanent reduction of any Revolving Commitment or Additional Facility Commitment so long as, in the case of any voluntary prepayment, redemption, repurchase or other retirement, such prepayment, redemption, repurchase or other retirement was not funded with the proceeds of a contemporaneous refinancing with new long-term funded Indebtedness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(B) the aggregate outstanding principal amount of all Additional Facilities and Incremental Equivalent Debt incurred or issued in reliance on clause (y)(A) of this definition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(z) such additional unlimited principal amounts such that, at the time of the incurrence of the applicable Additional Facility or Incremental Equivalent Debt, solely with respect to any incurrence in reliance on this clause (z) (immediately after giving effect to the full utilization of the applicable Additional Facility or Incremental Equivalent Debt and excluding any cash constituting proceeds of any Additional Facility or Incremental Equivalent Debt, as applicable, in reliance on this clause (z)), the Total First Lien Leverage Ratio of Crown Holdings and its Subsidiaries (calculated as if any Additional Revolving Credit Commitments and/or Additional Revolving Facilities were fully drawn and excluding any cash constituting proceeds of any Additional Facility and any Incremental Equivalent Debt) does not exceed 2.00 to 1.00 (it being acknowledged that each Additional Facility and/or Incremental Equivalent Debt under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shall be incurred under clause (z) if clause (z) is available at the time of such incurrence up to the maximum amount available, and any additional amounts incurred at any time that clause (z) is unavailable shall be incurred under clauses (x) and/or (y), and any substantially concurrent incurrence or series of related incurrences under clauses (x) and/or (y) shall not be given pro forma effect for purposes of determining the Total First Lien Leverage Ratio with respect to any incurrence under clause (z)), calculated on a Pro Forma Basis, after giving effect to the application of the proceeds thereof (but without “netting” the Cash proceeds of the applicable Additional Facility or Incremental Equivalent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the Cash proceeds thereof are used to repay Indebtedness, pro forma effect shall be given to such repayment of Indebtedness) and, in the case of any Additional Revolving Credit Commitments, assuming a full drawing under such Additional Revolving Credit Commitments, and determined on the basis of the financial statements for the most recently</w:t>
      </w:r>
    </w:p>
    <w:p>
      <w:pPr>
        <w:sectPr>
          <w:pgSz w:w="11900" w:h="16838" w:orient="portrait"/>
          <w:cols w:equalWidth="0" w:num="1">
            <w:col w:w="11240"/>
          </w:cols>
          <w:pgMar w:left="320" w:top="1419" w:right="339" w:bottom="1440" w:gutter="0" w:footer="0" w:header="0"/>
        </w:sectPr>
      </w:pPr>
    </w:p>
    <w:bookmarkStart w:id="145" w:name="page146"/>
    <w:bookmarkEnd w:id="145"/>
    <w:p>
      <w:pPr>
        <w:jc w:val="both"/>
        <w:spacing w:after="0" w:line="275" w:lineRule="auto"/>
        <w:rPr>
          <w:sz w:val="20"/>
          <w:szCs w:val="20"/>
          <w:color w:val="auto"/>
        </w:rPr>
      </w:pPr>
      <w:r>
        <w:rPr>
          <w:rFonts w:ascii="Arial" w:cs="Arial" w:eastAsia="Arial" w:hAnsi="Arial"/>
          <w:sz w:val="18"/>
          <w:szCs w:val="18"/>
          <w:color w:val="auto"/>
        </w:rPr>
        <w:t>completed four Fiscal Quarter period of Borrowers that are internally available. For the avoidance of doubt, undrawn Commitments under the existing Facilities (other than Additional Revolving Credit Commitments or an Additional Revolving Facility (as contemplated in the proviso to the immediately preceding sentence)) shall be disregarded for purposes of calculating the amounts available under clause (z) above.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Equivalent Debt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2.9(d)</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applied to any Person (without duplication):</w:t>
      </w:r>
    </w:p>
    <w:p>
      <w:pPr>
        <w:spacing w:after="0" w:line="229" w:lineRule="exact"/>
        <w:rPr>
          <w:sz w:val="20"/>
          <w:szCs w:val="20"/>
          <w:color w:val="auto"/>
        </w:rPr>
      </w:pPr>
    </w:p>
    <w:p>
      <w:pPr>
        <w:ind w:left="900" w:hanging="244"/>
        <w:spacing w:after="0"/>
        <w:tabs>
          <w:tab w:leader="none" w:pos="9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all indebtedness of such Person for borrowed money;</w:t>
      </w:r>
    </w:p>
    <w:p>
      <w:pPr>
        <w:spacing w:after="0" w:line="229" w:lineRule="exact"/>
        <w:rPr>
          <w:rFonts w:ascii="Arial" w:cs="Arial" w:eastAsia="Arial" w:hAnsi="Arial"/>
          <w:sz w:val="20"/>
          <w:szCs w:val="20"/>
          <w:color w:val="auto"/>
        </w:rPr>
      </w:pPr>
    </w:p>
    <w:p>
      <w:pPr>
        <w:jc w:val="both"/>
        <w:ind w:firstLine="656"/>
        <w:spacing w:after="0" w:line="248" w:lineRule="auto"/>
        <w:tabs>
          <w:tab w:leader="none" w:pos="952" w:val="left"/>
        </w:tabs>
        <w:numPr>
          <w:ilvl w:val="0"/>
          <w:numId w:val="60"/>
        </w:numPr>
        <w:rPr>
          <w:rFonts w:ascii="Arial" w:cs="Arial" w:eastAsia="Arial" w:hAnsi="Arial"/>
          <w:sz w:val="19"/>
          <w:szCs w:val="19"/>
          <w:color w:val="auto"/>
        </w:rPr>
      </w:pPr>
      <w:r>
        <w:rPr>
          <w:rFonts w:ascii="Arial" w:cs="Arial" w:eastAsia="Arial" w:hAnsi="Arial"/>
          <w:sz w:val="19"/>
          <w:szCs w:val="19"/>
          <w:color w:val="auto"/>
        </w:rPr>
        <w:t>all non-contingent obligations to pay the deferred and unpaid balance of the purchase price of assets or services (other than (x) trade payables and other accrued liabilities incurred in the ordinary course of business, (y) deferred compensation arrangements and (z) earn-out obligations unless such earn-out obligations have been liquidated and are not paid when due) which purchase price is due more than six months from the date of incurrence of the obligation in respect thereof;</w:t>
      </w:r>
    </w:p>
    <w:p>
      <w:pPr>
        <w:spacing w:after="0" w:line="203" w:lineRule="exact"/>
        <w:rPr>
          <w:rFonts w:ascii="Arial" w:cs="Arial" w:eastAsia="Arial" w:hAnsi="Arial"/>
          <w:sz w:val="19"/>
          <w:szCs w:val="19"/>
          <w:color w:val="auto"/>
        </w:rPr>
      </w:pPr>
    </w:p>
    <w:p>
      <w:pPr>
        <w:ind w:left="1000" w:hanging="344"/>
        <w:spacing w:after="0"/>
        <w:tabs>
          <w:tab w:leader="none" w:pos="10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all Capitalized Lease Obligations;</w:t>
      </w:r>
    </w:p>
    <w:p>
      <w:pPr>
        <w:spacing w:after="0" w:line="229" w:lineRule="exact"/>
        <w:rPr>
          <w:rFonts w:ascii="Arial" w:cs="Arial" w:eastAsia="Arial" w:hAnsi="Arial"/>
          <w:sz w:val="20"/>
          <w:szCs w:val="20"/>
          <w:color w:val="auto"/>
        </w:rPr>
      </w:pPr>
    </w:p>
    <w:p>
      <w:pPr>
        <w:jc w:val="both"/>
        <w:ind w:firstLine="656"/>
        <w:spacing w:after="0" w:line="232" w:lineRule="auto"/>
        <w:tabs>
          <w:tab w:leader="none" w:pos="985" w:val="left"/>
        </w:tabs>
        <w:numPr>
          <w:ilvl w:val="0"/>
          <w:numId w:val="60"/>
        </w:numPr>
        <w:rPr>
          <w:rFonts w:ascii="Arial" w:cs="Arial" w:eastAsia="Arial" w:hAnsi="Arial"/>
          <w:sz w:val="20"/>
          <w:szCs w:val="20"/>
          <w:color w:val="auto"/>
        </w:rPr>
      </w:pPr>
      <w:r>
        <w:rPr>
          <w:rFonts w:ascii="Arial" w:cs="Arial" w:eastAsia="Arial" w:hAnsi="Arial"/>
          <w:sz w:val="20"/>
          <w:szCs w:val="20"/>
          <w:color w:val="auto"/>
        </w:rPr>
        <w:t>all Indebtedness of the type described in clauses (i) through (iii) above and clauses (v) through (x) below secured by any Lien on any property owned by such Person, whether or not such Indebtedness has been assumed by such Person or is nonrecourse to such Person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Indebtedness that is nonrecourse to the credit of such Person, such Indebtedness shall be taken into account only to the extent of the lesser of the fair market value of the asset(s) subject to such Lien and the amount of Indebtedness secured by such Lien);</w:t>
      </w:r>
    </w:p>
    <w:p>
      <w:pPr>
        <w:spacing w:after="0" w:line="211" w:lineRule="exact"/>
        <w:rPr>
          <w:rFonts w:ascii="Arial" w:cs="Arial" w:eastAsia="Arial" w:hAnsi="Arial"/>
          <w:sz w:val="20"/>
          <w:szCs w:val="20"/>
          <w:color w:val="auto"/>
        </w:rPr>
      </w:pPr>
    </w:p>
    <w:p>
      <w:pPr>
        <w:ind w:left="940" w:hanging="284"/>
        <w:spacing w:after="0"/>
        <w:tabs>
          <w:tab w:leader="none" w:pos="9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[reserved];</w:t>
      </w:r>
    </w:p>
    <w:p>
      <w:pPr>
        <w:spacing w:after="0" w:line="229" w:lineRule="exact"/>
        <w:rPr>
          <w:rFonts w:ascii="Arial" w:cs="Arial" w:eastAsia="Arial" w:hAnsi="Arial"/>
          <w:sz w:val="20"/>
          <w:szCs w:val="20"/>
          <w:color w:val="auto"/>
        </w:rPr>
      </w:pPr>
    </w:p>
    <w:p>
      <w:pPr>
        <w:ind w:left="1000" w:hanging="344"/>
        <w:spacing w:after="0"/>
        <w:tabs>
          <w:tab w:leader="none" w:pos="10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indebtedness or obligations of such Person, in each case, evidenced by bonds, notes or similar written instruments;</w:t>
      </w:r>
    </w:p>
    <w:p>
      <w:pPr>
        <w:spacing w:after="0" w:line="229" w:lineRule="exact"/>
        <w:rPr>
          <w:rFonts w:ascii="Arial" w:cs="Arial" w:eastAsia="Arial" w:hAnsi="Arial"/>
          <w:sz w:val="20"/>
          <w:szCs w:val="20"/>
          <w:color w:val="auto"/>
        </w:rPr>
      </w:pPr>
    </w:p>
    <w:p>
      <w:pPr>
        <w:jc w:val="both"/>
        <w:ind w:firstLine="656"/>
        <w:spacing w:after="0" w:line="234" w:lineRule="auto"/>
        <w:tabs>
          <w:tab w:leader="none" w:pos="1038"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face amount of all letters of credit and bankers’ acceptances issued for the account of such Person, and without duplication, all drafts drawn thereunder other than, in each case, commercial or standby letters of credit or the functional equivalent thereof issued in connection with performance, bid or advance payment obligations incurred in the ordinary course of business, including, without limitation, performance requirements under workers compensation or similar laws;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(viii)net obligations of such Person under Hedging Agreements;</w:t>
      </w:r>
    </w:p>
    <w:p>
      <w:pPr>
        <w:spacing w:after="0" w:line="229" w:lineRule="exact"/>
        <w:rPr>
          <w:sz w:val="20"/>
          <w:szCs w:val="20"/>
          <w:color w:val="auto"/>
        </w:rPr>
      </w:pPr>
    </w:p>
    <w:p>
      <w:pPr>
        <w:ind w:firstLine="656"/>
        <w:spacing w:after="0" w:line="246" w:lineRule="auto"/>
        <w:tabs>
          <w:tab w:leader="none" w:pos="1005" w:val="left"/>
        </w:tabs>
        <w:numPr>
          <w:ilvl w:val="0"/>
          <w:numId w:val="61"/>
        </w:numPr>
        <w:rPr>
          <w:rFonts w:ascii="Arial" w:cs="Arial" w:eastAsia="Arial" w:hAnsi="Arial"/>
          <w:sz w:val="20"/>
          <w:szCs w:val="20"/>
          <w:color w:val="auto"/>
        </w:rPr>
      </w:pPr>
      <w:r>
        <w:rPr>
          <w:rFonts w:ascii="Arial" w:cs="Arial" w:eastAsia="Arial" w:hAnsi="Arial"/>
          <w:sz w:val="20"/>
          <w:szCs w:val="20"/>
          <w:color w:val="auto"/>
        </w:rPr>
        <w:t>Guarantee Obligations of such Person in respect of Indebtedness described in clauses (i) through (viii) and clause (x) of this definition; and</w:t>
      </w:r>
    </w:p>
    <w:p>
      <w:pPr>
        <w:spacing w:after="0" w:line="203" w:lineRule="exact"/>
        <w:rPr>
          <w:rFonts w:ascii="Arial" w:cs="Arial" w:eastAsia="Arial" w:hAnsi="Arial"/>
          <w:sz w:val="20"/>
          <w:szCs w:val="20"/>
          <w:color w:val="auto"/>
        </w:rPr>
      </w:pPr>
    </w:p>
    <w:p>
      <w:pPr>
        <w:ind w:left="940" w:hanging="284"/>
        <w:spacing w:after="0"/>
        <w:tabs>
          <w:tab w:leader="none" w:pos="9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Attributable Debt of such Person;</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Indebtedness shall exclude loans or advances made by Crown Holdings or any of its Subsidiaries to Crown Holdings or any of its Subsidiaries to the extent that such loans or advances are made or issued in the ordinary course of business and have a term of 364 days or less (inclusive of any rollover or extension of the term).</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avoidance of doubt, Excluded Attributable Debt shall not constitute Indebtedness.</w:t>
      </w:r>
    </w:p>
    <w:p>
      <w:pPr>
        <w:sectPr>
          <w:pgSz w:w="11900" w:h="16838" w:orient="portrait"/>
          <w:cols w:equalWidth="0" w:num="1">
            <w:col w:w="11240"/>
          </w:cols>
          <w:pgMar w:left="320" w:top="1419" w:right="339" w:bottom="1440" w:gutter="0" w:footer="0" w:header="0"/>
        </w:sectPr>
      </w:pPr>
    </w:p>
    <w:bookmarkStart w:id="146" w:name="page147"/>
    <w:bookmarkEnd w:id="146"/>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 to Remain Outstanding</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6.5(b)</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Person</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12.4(b)</w:t>
      </w:r>
      <w:r>
        <w:rPr>
          <w:rFonts w:ascii="Arial" w:cs="Arial" w:eastAsia="Arial" w:hAnsi="Arial"/>
          <w:sz w:val="20"/>
          <w:szCs w:val="20"/>
          <w:color w:val="auto"/>
        </w:rPr>
        <w:t>.</w:t>
      </w:r>
    </w:p>
    <w:p>
      <w:pPr>
        <w:spacing w:after="0" w:line="229" w:lineRule="exact"/>
        <w:rPr>
          <w:sz w:val="20"/>
          <w:szCs w:val="20"/>
          <w:color w:val="auto"/>
        </w:rPr>
      </w:pPr>
    </w:p>
    <w:p>
      <w:pPr>
        <w:ind w:firstLine="648"/>
        <w:spacing w:after="0" w:line="3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any and all Taxes, other than Excluded Taxes, imposed on or with respect to any payment made by or on account of any obligation of any Credit Party under any Loan Document and (b) to the extent not otherwise described in (a), Other Taxes.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Borrowing</w:t>
      </w:r>
      <w:r>
        <w:rPr>
          <w:rFonts w:ascii="Arial" w:cs="Arial" w:eastAsia="Arial" w:hAnsi="Arial"/>
          <w:sz w:val="20"/>
          <w:szCs w:val="20"/>
          <w:color w:val="auto"/>
        </w:rPr>
        <w:t>” means the first Borrowing under this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Loan</w:t>
      </w:r>
      <w:r>
        <w:rPr>
          <w:rFonts w:ascii="Arial" w:cs="Arial" w:eastAsia="Arial" w:hAnsi="Arial"/>
          <w:sz w:val="20"/>
          <w:szCs w:val="20"/>
          <w:color w:val="auto"/>
        </w:rPr>
        <w:t>” means the first Loan made by the Lenders under this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 Maturity Date Amount</w:t>
      </w:r>
      <w:r>
        <w:rPr>
          <w:rFonts w:ascii="Arial" w:cs="Arial" w:eastAsia="Arial" w:hAnsi="Arial"/>
          <w:sz w:val="18"/>
          <w:szCs w:val="18"/>
          <w:color w:val="auto"/>
        </w:rPr>
        <w:t>” means $300,000,000 to be shared among (a) clause (i) of the definition of “Permitted Ratio Debt”,</w:t>
      </w:r>
    </w:p>
    <w:p>
      <w:pPr>
        <w:spacing w:after="0" w:line="25" w:lineRule="exact"/>
        <w:rPr>
          <w:sz w:val="20"/>
          <w:szCs w:val="20"/>
          <w:color w:val="auto"/>
        </w:rPr>
      </w:pPr>
    </w:p>
    <w:p>
      <w:pPr>
        <w:jc w:val="both"/>
        <w:ind w:firstLine="8"/>
        <w:spacing w:after="0" w:line="231" w:lineRule="auto"/>
        <w:tabs>
          <w:tab w:leader="none" w:pos="335"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clause (i) of the definition of “Permitted European Borrower Debt”, (c) clause (c) of the definition of “Permitted Refinancing Indebtedness”, (d) </w:t>
      </w:r>
      <w:r>
        <w:rPr>
          <w:rFonts w:ascii="Arial" w:cs="Arial" w:eastAsia="Arial" w:hAnsi="Arial"/>
          <w:sz w:val="20"/>
          <w:szCs w:val="20"/>
          <w:u w:val="single" w:color="auto"/>
          <w:color w:val="auto"/>
        </w:rPr>
        <w:t>Section 2.9(a)(ii)</w:t>
      </w:r>
      <w:r>
        <w:rPr>
          <w:rFonts w:ascii="Arial" w:cs="Arial" w:eastAsia="Arial" w:hAnsi="Arial"/>
          <w:sz w:val="20"/>
          <w:szCs w:val="20"/>
          <w:color w:val="auto"/>
        </w:rPr>
        <w:t xml:space="preserve">, (e) </w:t>
      </w:r>
      <w:r>
        <w:rPr>
          <w:rFonts w:ascii="Arial" w:cs="Arial" w:eastAsia="Arial" w:hAnsi="Arial"/>
          <w:sz w:val="20"/>
          <w:szCs w:val="20"/>
          <w:u w:val="single" w:color="auto"/>
          <w:color w:val="auto"/>
        </w:rPr>
        <w:t>Section 2.9(a)(iii)</w:t>
      </w:r>
      <w:r>
        <w:rPr>
          <w:rFonts w:ascii="Arial" w:cs="Arial" w:eastAsia="Arial" w:hAnsi="Arial"/>
          <w:sz w:val="20"/>
          <w:szCs w:val="20"/>
          <w:color w:val="auto"/>
        </w:rPr>
        <w:t xml:space="preserve"> and (f) </w:t>
      </w:r>
      <w:r>
        <w:rPr>
          <w:rFonts w:ascii="Arial" w:cs="Arial" w:eastAsia="Arial" w:hAnsi="Arial"/>
          <w:sz w:val="20"/>
          <w:szCs w:val="20"/>
          <w:u w:val="single" w:color="auto"/>
          <w:color w:val="auto"/>
        </w:rPr>
        <w:t>Section 2.9(d)</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use of the Inside Maturity Date Amount shall reduce the Inside Maturity Date Amount under any other such clause or basket.</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Proceedings</w:t>
      </w:r>
      <w:r>
        <w:rPr>
          <w:rFonts w:ascii="Arial" w:cs="Arial" w:eastAsia="Arial" w:hAnsi="Arial"/>
          <w:sz w:val="18"/>
          <w:szCs w:val="18"/>
          <w:color w:val="auto"/>
        </w:rPr>
        <w:t>” means, whether voluntary or involuntary (a) any case, proceeding or other action commenced by the Borrowers or any Guarantor (i) under any existing or future law of any jurisdiction, domestic or foreign, relating to bankruptcy, insolvency, reorganization, restructuring, power of sale, compromise, foreclosure or relief of debtors, seeking to have an order for relief entered with respect to it, or seeking to adjudicate it as bankrupt or insolvent, or seeking reorganization, arrangement, adjustment, wind-up, liquidation, dissolution, composition or other relief with respect to it or its debts, or (ii) seeking appointment of a Receiver, trustee, custodian or other similar official for it or for all or any substantial part of its assets; or (b) there shall be commenced against the Borrowers or any Guarantor any such case, proceeding or other action referred to in clause (a) of this definition which results in the entry of an order for relief or any such adjudication or appointment remains undismissed, undischarged and unbonded for a period of sixty (60) days; or (c) there shall be commenced against the Borrowers or any Guarantor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sixty (60) days from the entry thereof.</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Subsidiary</w:t>
      </w:r>
      <w:r>
        <w:rPr>
          <w:rFonts w:ascii="Arial" w:cs="Arial" w:eastAsia="Arial" w:hAnsi="Arial"/>
          <w:sz w:val="20"/>
          <w:szCs w:val="20"/>
          <w:color w:val="auto"/>
        </w:rPr>
        <w:t>” means Crownway Insurance Company, a Vermont corporation.</w:t>
      </w:r>
    </w:p>
    <w:p>
      <w:pPr>
        <w:ind w:left="660"/>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6.20</w:t>
      </w:r>
      <w:r>
        <w:rPr>
          <w:rFonts w:ascii="Arial" w:cs="Arial" w:eastAsia="Arial" w:hAnsi="Arial"/>
          <w:sz w:val="20"/>
          <w:szCs w:val="20"/>
          <w:color w:val="auto"/>
        </w:rPr>
        <w:t>.</w:t>
      </w:r>
    </w:p>
    <w:p>
      <w:pPr>
        <w:spacing w:after="0" w:line="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Intercompany Indebtedness</w:t>
      </w:r>
      <w:r>
        <w:rPr>
          <w:rFonts w:ascii="Arial" w:cs="Arial" w:eastAsia="Arial" w:hAnsi="Arial"/>
          <w:sz w:val="20"/>
          <w:szCs w:val="20"/>
          <w:color w:val="auto"/>
        </w:rPr>
        <w:t>” means Indebtedness of Crown Holdings or any of its Subsidiaries which is owing to any member of such group.</w:t>
      </w:r>
    </w:p>
    <w:p>
      <w:pPr>
        <w:spacing w:after="0" w:line="211"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Coverage Ratio</w:t>
      </w:r>
      <w:r>
        <w:rPr>
          <w:rFonts w:ascii="Arial" w:cs="Arial" w:eastAsia="Arial" w:hAnsi="Arial"/>
          <w:sz w:val="20"/>
          <w:szCs w:val="20"/>
          <w:color w:val="auto"/>
        </w:rPr>
        <w:t>” means, for any period, the ratio of Consolidated EBITDA of Crown Holdings and its Subsidiaries to Consolidated Interest Expense of Crown Holdings and its Subsidiaries for such period.</w:t>
      </w:r>
    </w:p>
    <w:p>
      <w:pPr>
        <w:spacing w:after="0" w:line="20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as to any Base Rate Loan or Canadian Prime Rate Loan, each Quarterly Payment Date to occur while such Loan is outstanding, (b) as to any Eurocurrency Loan (other than a Daily Simple RFR Loan) having an Interest Period of three months or less, the last day of the Interest Period applicable thereto, (c) as to any Eurocurrency Loan (other than a Daily Simple RFR Loan) having an Interest Period longer than three months, each day which is a three (3) month anniversary of the first day of the Interest Period applicable thereto and the last day of the Interest Period applicable thereto and (d) with respect to any Daily Simple RFR Loan, each date that is on the numerically corresponding day in each calendar month that is one month after the Borrowing of such Loan (or, if there is no such numerically corresponding day in such month, then the last day of such month); provided that, as to any</w:t>
      </w:r>
    </w:p>
    <w:p>
      <w:pPr>
        <w:sectPr>
          <w:pgSz w:w="11900" w:h="16838" w:orient="portrait"/>
          <w:cols w:equalWidth="0" w:num="1">
            <w:col w:w="11240"/>
          </w:cols>
          <w:pgMar w:left="320" w:top="1419" w:right="339" w:bottom="1440" w:gutter="0" w:footer="0" w:header="0"/>
        </w:sectPr>
      </w:pPr>
    </w:p>
    <w:bookmarkStart w:id="147" w:name="page148"/>
    <w:bookmarkEnd w:id="147"/>
    <w:p>
      <w:pPr>
        <w:jc w:val="both"/>
        <w:spacing w:after="0" w:line="229" w:lineRule="auto"/>
        <w:rPr>
          <w:sz w:val="20"/>
          <w:szCs w:val="20"/>
          <w:color w:val="auto"/>
        </w:rPr>
      </w:pPr>
      <w:r>
        <w:rPr>
          <w:rFonts w:ascii="Arial" w:cs="Arial" w:eastAsia="Arial" w:hAnsi="Arial"/>
          <w:sz w:val="20"/>
          <w:szCs w:val="20"/>
          <w:color w:val="auto"/>
        </w:rPr>
        <w:t xml:space="preserve">such Daily Simple RFR Loan, (x) if any such date would be a day other than a Business Day, such date shall be extended to the next succeeding Business Day unless such next succeeding Business Day would fall in the next calendar month, in which case such date shall be the next preceding Business Day and (y) the Interest Payment Date with respect to any Borrowing that occurs on the last Business Day of a calendar month (or on a day for which there is no numerically corresponding day in any applicable calendar month) shall be the last Business Day of any such succeeding applicable calendar month;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addition to the foregoing, each of (i) the date upon which both the Revolving Commitments have been terminated and the Revolving Loans have been paid in full (ii) the date upon which both the Canadian Revolving Commitments have been terminated and the Canadian Revolving Loans have been paid in full and (iii) the applicable Term Maturity Date shall be deemed to be an “Interest Payment Date” with respect to any interest which is then accrued hereunder for such Loan.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3.4</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Determination Date</w:t>
      </w:r>
      <w:r>
        <w:rPr>
          <w:rFonts w:ascii="Arial" w:cs="Arial" w:eastAsia="Arial" w:hAnsi="Arial"/>
          <w:sz w:val="18"/>
          <w:szCs w:val="18"/>
          <w:color w:val="auto"/>
        </w:rPr>
        <w:t>” means the date for calculating the Eurocurrency Rate for an Interest Period, which date shall be</w:t>
      </w:r>
    </w:p>
    <w:p>
      <w:pPr>
        <w:spacing w:after="0" w:line="25" w:lineRule="exact"/>
        <w:rPr>
          <w:sz w:val="20"/>
          <w:szCs w:val="20"/>
          <w:color w:val="auto"/>
        </w:rPr>
      </w:pPr>
    </w:p>
    <w:p>
      <w:pPr>
        <w:ind w:left="240" w:hanging="232"/>
        <w:spacing w:after="0"/>
        <w:tabs>
          <w:tab w:leader="none" w:pos="2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case of any Eurocurrency Loan in Dollars, the second Business Day prior to first day of the related Interest Period for such Loan or</w:t>
      </w:r>
    </w:p>
    <w:p>
      <w:pPr>
        <w:spacing w:after="0" w:line="9" w:lineRule="exact"/>
        <w:rPr>
          <w:rFonts w:ascii="Arial" w:cs="Arial" w:eastAsia="Arial" w:hAnsi="Arial"/>
          <w:sz w:val="18"/>
          <w:szCs w:val="18"/>
          <w:color w:val="auto"/>
        </w:rPr>
      </w:pPr>
    </w:p>
    <w:p>
      <w:pPr>
        <w:jc w:val="both"/>
        <w:ind w:firstLine="8"/>
        <w:spacing w:after="0" w:line="229" w:lineRule="auto"/>
        <w:tabs>
          <w:tab w:leader="none" w:pos="306"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in the case of any Eurocurrency Loan (other than a Daily Simple RFR Loan) in an Alternative Currency, the date on which quotations would ordinarily be given by prime banks in the relevant interbank market for deposits in the Applicable Currency for value on the first day of the related Interest Period for such Eurocurrency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for any such Interest Period with respect to an Alternative Currency Loan, quotations would ordinarily be given on more than one date, the Interest Rate Determination Date shall be the last of those dates.</w:t>
      </w:r>
    </w:p>
    <w:p>
      <w:pPr>
        <w:spacing w:after="0" w:line="21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applied to any Person, (i) any direct or indirect purchase or other acquisition by that Person of, or a beneficial interest in, Securities of any other Person, or a capital contribution by that Person to any other Person, (ii) any direct or indirect loan or advance to any other Person (other than prepaid expenses or any Receivable created or acquired in the ordinary course of business and other than any intercompany loans or advances to the extent that such intercompany loans or advances have a term of 364 days or less (inclusive of any rollover or extension of term)), including all Indebtedness to such Person in respect of consideration from a sale of property by such person other than in the ordinary course of its business (iii) any Acquisition or (iv) any purchase by that Person of a futures contract or such person otherwise becoming liable for the purchase or sale of currency or other commodity at a future date in the nature of a futures contract. The amount of any Investment by any Person on any date of determination shall be the sum of the value of the gross assets transferred to or acquired by such Person (including the amount of any liability assumed in connection with such transfer or acquisition by such Person to the extent such liability would be reflected on a balance sheet prepared in accordance with GAAP) plus the cost of all additions, thereto, without any adjustments for increases or decreases in value, or write-ups, write-downs or write-offs with respect to such Investment, minus the amount of all cash returns of principal or capital thereon, cash dividends thereon and other cash returns on investment thereon or liabilities expressly assumed by another Person (other than Crown Holdings or another Subsidiary of Crown Holdings) in connection with the sale of such Investment. Whenever the term “outstanding” is used in this Agreement with reference to an Investment, it shall take into account the matters referred to in the preceding sentence.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 or any successor or analogous organization.</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ITA</w:t>
      </w:r>
      <w:r>
        <w:rPr>
          <w:rFonts w:ascii="Arial" w:cs="Arial" w:eastAsia="Arial" w:hAnsi="Arial"/>
          <w:sz w:val="20"/>
          <w:szCs w:val="20"/>
          <w:color w:val="auto"/>
        </w:rPr>
        <w:t>” means the Income Tax Act (Canada), as from time to time amended, including the regulations proposed or promulgated thereunder, or any successor statute and the regulations proposed or promulgated thereunder.</w:t>
      </w:r>
    </w:p>
    <w:p>
      <w:pPr>
        <w:sectPr>
          <w:pgSz w:w="11900" w:h="16838" w:orient="portrait"/>
          <w:cols w:equalWidth="0" w:num="1">
            <w:col w:w="11240"/>
          </w:cols>
          <w:pgMar w:left="320" w:top="1419" w:right="339" w:bottom="1440" w:gutter="0" w:footer="0" w:header="0"/>
        </w:sectPr>
      </w:pPr>
    </w:p>
    <w:bookmarkStart w:id="148" w:name="page149"/>
    <w:bookmarkEnd w:id="148"/>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ITA-UK</w:t>
      </w:r>
      <w:r>
        <w:rPr>
          <w:rFonts w:ascii="Arial" w:cs="Arial" w:eastAsia="Arial" w:hAnsi="Arial"/>
          <w:sz w:val="20"/>
          <w:szCs w:val="20"/>
          <w:color w:val="auto"/>
        </w:rPr>
        <w:t>” means the Income Tax Act 2007 (United Kingdom).</w:t>
      </w:r>
    </w:p>
    <w:p>
      <w:pPr>
        <w:spacing w:after="0" w:line="229"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means, at any time, an amount equal to the sum of the aggregate Multicurrency LC Obligations, Dollar LC Obligations and Canadian LC Obligations.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Participant</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2.10(e)</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Reserve Account</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13.2(a)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Election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1.6</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Test Date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1.6</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Legal Reservations</w:t>
      </w:r>
      <w:r>
        <w:rPr>
          <w:rFonts w:ascii="Arial" w:cs="Arial" w:eastAsia="Arial" w:hAnsi="Arial"/>
          <w:sz w:val="20"/>
          <w:szCs w:val="20"/>
          <w:color w:val="auto"/>
        </w:rPr>
        <w:t>” means:</w:t>
      </w:r>
    </w:p>
    <w:p>
      <w:pPr>
        <w:spacing w:after="0" w:line="229" w:lineRule="exact"/>
        <w:rPr>
          <w:sz w:val="20"/>
          <w:szCs w:val="20"/>
          <w:color w:val="auto"/>
        </w:rPr>
      </w:pPr>
    </w:p>
    <w:p>
      <w:pPr>
        <w:ind w:right="20" w:firstLine="656"/>
        <w:spacing w:after="0" w:line="246" w:lineRule="auto"/>
        <w:tabs>
          <w:tab w:leader="none" w:pos="917"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principle that equitable remedies may be granted or refused at the discretion of a court and the limitation of enforcement by laws relating to insolvency, reorganization and other laws generally affecting the rights of creditors;</w:t>
      </w:r>
    </w:p>
    <w:p>
      <w:pPr>
        <w:spacing w:after="0" w:line="203" w:lineRule="exact"/>
        <w:rPr>
          <w:rFonts w:ascii="Arial" w:cs="Arial" w:eastAsia="Arial" w:hAnsi="Arial"/>
          <w:sz w:val="20"/>
          <w:szCs w:val="20"/>
          <w:color w:val="auto"/>
        </w:rPr>
      </w:pPr>
    </w:p>
    <w:p>
      <w:pPr>
        <w:jc w:val="both"/>
        <w:ind w:firstLine="656"/>
        <w:spacing w:after="0" w:line="237" w:lineRule="auto"/>
        <w:tabs>
          <w:tab w:leader="none" w:pos="928"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time barring of claims under the Limitations Act, 2002 (Ontario), Limitation Act 1980 and the Foreign Limitation Periods Act 1984 of the United Kingdom, the possibility that an undertaking to assume liability for or indemnify a person against non-payment of UK stamp duty may be void and defenses of set-off or counterclaim;</w:t>
      </w:r>
    </w:p>
    <w:p>
      <w:pPr>
        <w:spacing w:after="0" w:line="209" w:lineRule="exact"/>
        <w:rPr>
          <w:rFonts w:ascii="Arial" w:cs="Arial" w:eastAsia="Arial" w:hAnsi="Arial"/>
          <w:sz w:val="20"/>
          <w:szCs w:val="20"/>
          <w:color w:val="auto"/>
        </w:rPr>
      </w:pPr>
    </w:p>
    <w:p>
      <w:pPr>
        <w:ind w:left="920" w:hanging="264"/>
        <w:spacing w:after="0"/>
        <w:tabs>
          <w:tab w:leader="none" w:pos="9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similar principles, rights and defenses under the laws of any relevant jurisdiction; and;</w:t>
      </w:r>
    </w:p>
    <w:p>
      <w:pPr>
        <w:spacing w:after="0" w:line="229" w:lineRule="exact"/>
        <w:rPr>
          <w:rFonts w:ascii="Arial" w:cs="Arial" w:eastAsia="Arial" w:hAnsi="Arial"/>
          <w:sz w:val="20"/>
          <w:szCs w:val="20"/>
          <w:color w:val="auto"/>
        </w:rPr>
      </w:pPr>
    </w:p>
    <w:p>
      <w:pPr>
        <w:ind w:right="20" w:firstLine="656"/>
        <w:spacing w:after="0" w:line="300" w:lineRule="auto"/>
        <w:tabs>
          <w:tab w:leader="none" w:pos="9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matters which are set out as qualifications or reservations as to matters of law of general application in any legal opinion delivered in accordance with Article V (Conditions of Credit) and Section 6 of the Incremental Amendment No.2 and Third Amendment.</w:t>
      </w:r>
    </w:p>
    <w:p>
      <w:pPr>
        <w:spacing w:after="0" w:line="15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and “</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have the respective meanings assigned to those terms in the preamble to this Agreement and shall include any Person that becomes a “Lender” (i) pursuant to </w:t>
      </w:r>
      <w:r>
        <w:rPr>
          <w:rFonts w:ascii="Arial" w:cs="Arial" w:eastAsia="Arial" w:hAnsi="Arial"/>
          <w:sz w:val="20"/>
          <w:szCs w:val="20"/>
          <w:u w:val="single" w:color="auto"/>
          <w:color w:val="auto"/>
        </w:rPr>
        <w:t>Section 12.8</w:t>
      </w:r>
      <w:r>
        <w:rPr>
          <w:rFonts w:ascii="Arial" w:cs="Arial" w:eastAsia="Arial" w:hAnsi="Arial"/>
          <w:sz w:val="20"/>
          <w:szCs w:val="20"/>
          <w:color w:val="auto"/>
        </w:rPr>
        <w:t xml:space="preserve">, and (ii) in connection with the incurrence of an Additional Facility or Incremental Equivalent Debt pursuant to </w:t>
      </w:r>
      <w:r>
        <w:rPr>
          <w:rFonts w:ascii="Arial" w:cs="Arial" w:eastAsia="Arial" w:hAnsi="Arial"/>
          <w:sz w:val="20"/>
          <w:szCs w:val="20"/>
          <w:u w:val="single" w:color="auto"/>
          <w:color w:val="auto"/>
        </w:rPr>
        <w:t>Section 2.9</w:t>
      </w:r>
      <w:r>
        <w:rPr>
          <w:rFonts w:ascii="Arial" w:cs="Arial" w:eastAsia="Arial" w:hAnsi="Arial"/>
          <w:sz w:val="20"/>
          <w:szCs w:val="20"/>
          <w:color w:val="auto"/>
        </w:rPr>
        <w: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Amendment Request</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2.10(c)</w:t>
      </w:r>
      <w:r>
        <w:rPr>
          <w:rFonts w:ascii="Arial" w:cs="Arial" w:eastAsia="Arial" w:hAnsi="Arial"/>
          <w:sz w:val="20"/>
          <w:szCs w:val="20"/>
          <w:color w:val="auto"/>
        </w:rPr>
        <w:t>.</w:t>
      </w:r>
    </w:p>
    <w:p>
      <w:pPr>
        <w:spacing w:after="0" w:line="22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Exposure</w:t>
      </w:r>
      <w:r>
        <w:rPr>
          <w:rFonts w:ascii="Arial" w:cs="Arial" w:eastAsia="Arial" w:hAnsi="Arial"/>
          <w:sz w:val="19"/>
          <w:szCs w:val="19"/>
          <w:color w:val="auto"/>
        </w:rPr>
        <w:t>” means, with respect to a Revolving Lender, such Lender’s Multicurrency Revolver Pro Rata Share, Dollar Revolver Pro Rata Share or Canadian Revolver Pro Rata Share, as the case may be, of the aggregate LC Obligations.</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Letters of Credit</w:t>
      </w:r>
      <w:r>
        <w:rPr>
          <w:rFonts w:ascii="Arial" w:cs="Arial" w:eastAsia="Arial" w:hAnsi="Arial"/>
          <w:sz w:val="20"/>
          <w:szCs w:val="20"/>
          <w:color w:val="auto"/>
        </w:rPr>
        <w:t>” means, Multicurrency Letters of Credit, the Dollar Letters of Credit and Canadian Letters of Credit, collectively or separately as the context requires, and “</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one of such Letters of Credit.</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 any mortgage, deed of trust, lien, pledge, encumbrance, charge, assignment, hypothecation, deemed trust, prior claim or security interest in or on such asset or any filing of any financing statement under the UCC as in effect in the applicable state, province or territory of Canada or jurisdiction or any other similar notice or lien under any similar notice or recording statute of any Governmental Authority, in each of the foregoing cases whether voluntary or imposed by law, (b) the interest of a vendor or a lessor under any conditional sale agreement, capital lease</w:t>
      </w:r>
    </w:p>
    <w:p>
      <w:pPr>
        <w:sectPr>
          <w:pgSz w:w="11900" w:h="16838" w:orient="portrait"/>
          <w:cols w:equalWidth="0" w:num="1">
            <w:col w:w="11240"/>
          </w:cols>
          <w:pgMar w:left="320" w:top="1419" w:right="339" w:bottom="1440" w:gutter="0" w:footer="0" w:header="0"/>
        </w:sectPr>
      </w:pPr>
    </w:p>
    <w:bookmarkStart w:id="149" w:name="page150"/>
    <w:bookmarkEnd w:id="149"/>
    <w:p>
      <w:pPr>
        <w:jc w:val="both"/>
        <w:spacing w:after="0" w:line="246" w:lineRule="auto"/>
        <w:rPr>
          <w:sz w:val="20"/>
          <w:szCs w:val="20"/>
          <w:color w:val="auto"/>
        </w:rPr>
      </w:pPr>
      <w:r>
        <w:rPr>
          <w:rFonts w:ascii="Arial" w:cs="Arial" w:eastAsia="Arial" w:hAnsi="Arial"/>
          <w:sz w:val="20"/>
          <w:szCs w:val="20"/>
          <w:color w:val="auto"/>
        </w:rPr>
        <w:t>or title retention agreement relating to such asset and (c) any other agreement intended to create any of the foregoing; provided that in no event shall an Operating Lease be deemed to constitute a lien.</w:t>
      </w:r>
    </w:p>
    <w:p>
      <w:pPr>
        <w:spacing w:after="0" w:line="20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Acquisition</w:t>
      </w:r>
      <w:r>
        <w:rPr>
          <w:rFonts w:ascii="Arial" w:cs="Arial" w:eastAsia="Arial" w:hAnsi="Arial"/>
          <w:sz w:val="20"/>
          <w:szCs w:val="20"/>
          <w:color w:val="auto"/>
        </w:rPr>
        <w:t>” means any Acquisition of, or similar third-party Investment by one or more of Crown Holdings and its Subsidiaries in, any assets, business or Person permitted by this Agreement the consummation of which is not conditioned on the availability of, or on obtaining, third-party financing (it being understood that such commitment may be subject to conditions precedent (including diligence and regulatory conditions), which conditions precedent may be amended, satisfied or waived in accordance with the terms of the applicable agreement).</w:t>
      </w:r>
    </w:p>
    <w:p>
      <w:pPr>
        <w:spacing w:after="0" w:line="21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Transaction</w:t>
      </w:r>
      <w:r>
        <w:rPr>
          <w:rFonts w:ascii="Arial" w:cs="Arial" w:eastAsia="Arial" w:hAnsi="Arial"/>
          <w:sz w:val="20"/>
          <w:szCs w:val="20"/>
          <w:color w:val="auto"/>
        </w:rPr>
        <w:t>” means any (a) Limited Condition Acquisition, (b) redemption, repurchase, defeasance, satisfaction, discharge or repayment of Indebtedness requiring irrevocable advance notice of such redemption, repurchase, defeasance, satisfaction, discharge or repayment that is not subject to obtaining financing, or (c) any declaration of a distribution or dividend in respect of, or irrevocable advance notice of, or any irrevocable offer to, purchase, redeem or otherwise acquire or retire for value, any Capital Stock of Crown Holdings that is not subject to obtaining financing.</w:t>
      </w:r>
    </w:p>
    <w:p>
      <w:pPr>
        <w:spacing w:after="0" w:line="21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means any Term Loan, Dollar Revolving Loan, Multicurrency Revolving Loans, Canadian Revolving Loan or Swing Line Loan, and “Loans” means all such Loans collectively.</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means, collectively, this Agreement, the Notes, each Security Document, each Guarantee Agreement, each Receivables Intercreditor Agreement and all other agreements, instruments and documents executed in connection therewith, in each case as the same may at any time be amended, supplemented, restated or otherwise modified and in effect.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 to be Converted</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13.1(a)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w:t>
      </w:r>
      <w:r>
        <w:rPr>
          <w:rFonts w:ascii="Arial" w:cs="Arial" w:eastAsia="Arial" w:hAnsi="Arial"/>
          <w:sz w:val="20"/>
          <w:szCs w:val="20"/>
          <w:color w:val="auto"/>
        </w:rPr>
        <w:t>” means the Grand Duchy of Luxembourg.</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Majority Lenders</w:t>
      </w:r>
      <w:r>
        <w:rPr>
          <w:rFonts w:ascii="Arial" w:cs="Arial" w:eastAsia="Arial" w:hAnsi="Arial"/>
          <w:sz w:val="20"/>
          <w:szCs w:val="20"/>
          <w:color w:val="auto"/>
        </w:rPr>
        <w:t>” of any Facility means those Non-Defaulting Lenders which would constitute the Required Lenders under, and as defined in, this Agreement if all outstanding Obligations of other Facilities under this Agreement were repaid in full and all Commitments with respect thereto were terminated.</w:t>
      </w:r>
    </w:p>
    <w:p>
      <w:pPr>
        <w:spacing w:after="0" w:line="21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Acquisition</w:t>
      </w:r>
      <w:r>
        <w:rPr>
          <w:rFonts w:ascii="Arial" w:cs="Arial" w:eastAsia="Arial" w:hAnsi="Arial"/>
          <w:sz w:val="20"/>
          <w:szCs w:val="20"/>
          <w:color w:val="auto"/>
        </w:rPr>
        <w:t>” means any Permitted Acquisition (or a series of related Permitted Acquisitions) that involves an acquisition, the aggregate fair market value of which assets exceeds $150,000,000.</w:t>
      </w:r>
    </w:p>
    <w:p>
      <w:pPr>
        <w:spacing w:after="0" w:line="20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materially adverse effect on (a) the business, assets, operations or financial condition, of Crown Holdings and its Subsidiaries taken as a whole, (b) the ability of the Credit Parties (taken as a whole) to perform their payment obligations under any Loan Document or (c) the rights of or benefits available to the Lenders taken as a whole under any Loan Document.</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(other than the Loans and Letters of Credit), or obligations in respect of one or more Hedging Agreements, of any one or more of Crown Holdings and its Material Subsidiaries, individually or in an aggregate principal amount exceeding $250,000,000. For purposes of determining Material Indebtedness, the “principal amount” of the obligations of Crown Holdings or any Subsidiary in respect of any Hedging Agreement at any time shall be the maximum aggregate amount (giving effect to any netting agreements) that such Person would be required to pay if such Hedging Agreement were terminated at such time.</w:t>
      </w:r>
    </w:p>
    <w:p>
      <w:pPr>
        <w:sectPr>
          <w:pgSz w:w="11900" w:h="16838" w:orient="portrait"/>
          <w:cols w:equalWidth="0" w:num="1">
            <w:col w:w="11240"/>
          </w:cols>
          <w:pgMar w:left="320" w:top="1419" w:right="339" w:bottom="1440" w:gutter="0" w:footer="0" w:header="0"/>
        </w:sectPr>
      </w:pPr>
    </w:p>
    <w:bookmarkStart w:id="150" w:name="page151"/>
    <w:bookmarkEnd w:id="150"/>
    <w:p>
      <w:pPr>
        <w:jc w:val="both"/>
        <w:ind w:firstLine="648"/>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Subsidiary</w:t>
      </w:r>
      <w:r>
        <w:rPr>
          <w:rFonts w:ascii="Arial" w:cs="Arial" w:eastAsia="Arial" w:hAnsi="Arial"/>
          <w:sz w:val="20"/>
          <w:szCs w:val="20"/>
          <w:color w:val="auto"/>
        </w:rPr>
        <w:t xml:space="preserve">” means any Subsidiary of Crown Holdings, which either (i) the consolidated total assets of which were more than 8% of Crown Holdings’ Consolidated Total Assets as set forth in the financial statements last delivered by Crown Holdings pursuant to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or (ii) the consolidated total revenues of which were more than 7% of Crown Holdings’ consolidated total revenues for such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Borrower and each Subsidiary Borrower (only for so long as such Subsidiary remains a Borrower, unless such Subsidiary otherwise meets the requirements under this definition) shall be deemed to be Material Subsidiaries. Assets of Non-U.S. Subsidiaries shall be converted into Dollars at the rates used for purposes of preparing the consolidated balance sheet of Crown Holdings included in such financial statements.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 Extension Request</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Commitment</w:t>
      </w:r>
      <w:r>
        <w:rPr>
          <w:rFonts w:ascii="Arial" w:cs="Arial" w:eastAsia="Arial" w:hAnsi="Arial"/>
          <w:sz w:val="20"/>
          <w:szCs w:val="20"/>
          <w:color w:val="auto"/>
        </w:rPr>
        <w:t xml:space="preserve">” means, when used with reference to any Lender, the aggregate of such Lender’s Term Commitments, Dollar Revolving Commitment, Multicurrency Revolving Commitment and Canadian Revolving Commitment in the amounts not to exceed those set forth opposite the name of such Lender on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to Incremental Amendment No. 2 and Third Amendment or </w:t>
      </w:r>
      <w:r>
        <w:rPr>
          <w:rFonts w:ascii="Arial" w:cs="Arial" w:eastAsia="Arial" w:hAnsi="Arial"/>
          <w:sz w:val="20"/>
          <w:szCs w:val="20"/>
          <w:u w:val="single" w:color="auto"/>
          <w:color w:val="auto"/>
        </w:rPr>
        <w:t>Schedule 2</w:t>
      </w:r>
      <w:r>
        <w:rPr>
          <w:rFonts w:ascii="Arial" w:cs="Arial" w:eastAsia="Arial" w:hAnsi="Arial"/>
          <w:sz w:val="20"/>
          <w:szCs w:val="20"/>
          <w:color w:val="auto"/>
        </w:rPr>
        <w:t xml:space="preserve"> to Incremental Amendment No. 2 and Third Amendment, subject to reduction from time to time in accordance with the terms of this Agreement.</w:t>
      </w:r>
    </w:p>
    <w:p>
      <w:pPr>
        <w:spacing w:after="0" w:line="21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Borrowing Amount</w:t>
      </w:r>
      <w:r>
        <w:rPr>
          <w:rFonts w:ascii="Arial" w:cs="Arial" w:eastAsia="Arial" w:hAnsi="Arial"/>
          <w:sz w:val="20"/>
          <w:szCs w:val="20"/>
          <w:color w:val="auto"/>
        </w:rPr>
        <w:t>” means (i) with respect to Base Rate Loans, $1,000,000, (ii) with respect to Eurocurrency Loans, $5,000,000 in the case of a Borrowing in Dollars, £3,000,000 in the case of a Borrowing in Sterling and €5,000,000 in the case of a Borrowing in Euros, (iii) with respect to Swing Line Loans, (a) $500,000 in the case of a Borrowing in Dollars, (b) £500,000 in the case of a Borrowing in Sterling and (c) €500,000 in the case of a Borrowing in Euro, (iv) with respect to Canadian Prime Rate Loans, Cdn.$5,000,000, and (v) with respect to B/A Loans Cdn.$5,000,000.</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Borrowing Multiple</w:t>
      </w:r>
      <w:r>
        <w:rPr>
          <w:rFonts w:ascii="Arial" w:cs="Arial" w:eastAsia="Arial" w:hAnsi="Arial"/>
          <w:sz w:val="18"/>
          <w:szCs w:val="18"/>
          <w:color w:val="auto"/>
        </w:rPr>
        <w:t>” means, (i) in the case of a Borrowing in Dollars, $1,000,000 ($500,000 for Swing Line Loans in Dollars), (ii) in the case of a Borrowing in Euros, €1,000,000 (€500,000 for Swing Line Loans in Euros), (iii) in the case of a Borrowing in Sterling £1,000,000 (£500,000 for Swing Line Loans in Sterling) and (iv) in the case of a Borrowing in Canadian Dollars, Cdn.$1,000,000.</w:t>
      </w:r>
    </w:p>
    <w:p>
      <w:pPr>
        <w:spacing w:after="0" w:line="17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Minority Interest</w:t>
      </w:r>
      <w:r>
        <w:rPr>
          <w:rFonts w:ascii="Arial" w:cs="Arial" w:eastAsia="Arial" w:hAnsi="Arial"/>
          <w:sz w:val="20"/>
          <w:szCs w:val="20"/>
          <w:color w:val="auto"/>
        </w:rPr>
        <w:t>” means any Capital Stock in any Person engaged in a line of business which is complementary, reasonably related, ancillary or useful to any business in which Crown Holdings or any of its Subsidiaries is then engaged, where such Capital Stock constitutes 50% or less of all Capital Stock issued and outstanding of such Person.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or any successor to the rating agency business thereof.</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Most Recent Total Leverage Ratio</w:t>
      </w:r>
      <w:r>
        <w:rPr>
          <w:rFonts w:ascii="Arial" w:cs="Arial" w:eastAsia="Arial" w:hAnsi="Arial"/>
          <w:sz w:val="19"/>
          <w:szCs w:val="19"/>
          <w:color w:val="auto"/>
        </w:rPr>
        <w:t xml:space="preserve">” means, at any date, the Total Leverage Ratio for the Test Period ending as of the most recently ended Fiscal Quarter for which financial statements have been delivered to the Lenders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Crown Holdings fails to deliver such financial statements as required by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and further fails to remedy such default within five Business Days of notice thereof from Administrative Agent, then, without prejudice to any other rights of any Lender hereunder, the Most Recent Total Leverage Ratio shall be deemed to be greater than the Total Leverage Ratio required to be maintained pursuant to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as of the date such financial statements were required to be delivered under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Commitment Fee</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3.2(a)(ii)</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LC Commission</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2.10(g)(ii)</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151" w:name="page152"/>
    <w:bookmarkEnd w:id="151"/>
    <w:p>
      <w:pPr>
        <w:jc w:val="both"/>
        <w:ind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Multicurrency LC Obligations</w:t>
      </w:r>
      <w:r>
        <w:rPr>
          <w:rFonts w:ascii="Arial" w:cs="Arial" w:eastAsia="Arial" w:hAnsi="Arial"/>
          <w:sz w:val="19"/>
          <w:szCs w:val="19"/>
          <w:color w:val="auto"/>
        </w:rPr>
        <w:t xml:space="preserve">” means, at any time, an amount equal to the sum of (a) the aggregate Stated Amount of the then outstanding Multicurrency Letters of Credit and (b) the aggregate amount of Unpaid Drawings under Multicurrency Letters of Credit which have not then been reimbursed pursuant to </w:t>
      </w:r>
      <w:r>
        <w:rPr>
          <w:rFonts w:ascii="Arial" w:cs="Arial" w:eastAsia="Arial" w:hAnsi="Arial"/>
          <w:sz w:val="19"/>
          <w:szCs w:val="19"/>
          <w:u w:val="single" w:color="auto"/>
          <w:color w:val="auto"/>
        </w:rPr>
        <w:t>Section 2.10(f)</w:t>
      </w:r>
      <w:r>
        <w:rPr>
          <w:rFonts w:ascii="Arial" w:cs="Arial" w:eastAsia="Arial" w:hAnsi="Arial"/>
          <w:sz w:val="19"/>
          <w:szCs w:val="19"/>
          <w:color w:val="auto"/>
        </w:rPr>
        <w:t>. The Multicurrency LC Obligation of any Lender at any time shall mean its Multicurrency Revolver Pro Rata Share of the aggregate Multicurrency LC Obligations outstanding at such time.</w:t>
      </w:r>
    </w:p>
    <w:p>
      <w:pPr>
        <w:spacing w:after="0" w:line="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Letter of Credit Exposure</w:t>
      </w:r>
      <w:r>
        <w:rPr>
          <w:rFonts w:ascii="Arial" w:cs="Arial" w:eastAsia="Arial" w:hAnsi="Arial"/>
          <w:sz w:val="20"/>
          <w:szCs w:val="20"/>
          <w:color w:val="auto"/>
        </w:rPr>
        <w:t>” means, with respect to a Revolving Lender, such Lender’s Multicurrency Revolver Pro Rata Share of the aggregate Multicurrency LC Obligations.</w:t>
      </w:r>
    </w:p>
    <w:p>
      <w:pPr>
        <w:ind w:left="66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Letters of Credit</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2.10(a)(i)</w:t>
      </w:r>
      <w:r>
        <w:rPr>
          <w:rFonts w:ascii="Arial" w:cs="Arial" w:eastAsia="Arial" w:hAnsi="Arial"/>
          <w:sz w:val="20"/>
          <w:szCs w:val="20"/>
          <w:color w:val="auto"/>
        </w:rPr>
        <w:t>.</w:t>
      </w:r>
    </w:p>
    <w:p>
      <w:pPr>
        <w:jc w:val="both"/>
        <w:ind w:firstLine="648"/>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Revolver Pro Rata Share</w:t>
      </w:r>
      <w:r>
        <w:rPr>
          <w:rFonts w:ascii="Arial" w:cs="Arial" w:eastAsia="Arial" w:hAnsi="Arial"/>
          <w:sz w:val="20"/>
          <w:szCs w:val="20"/>
          <w:color w:val="auto"/>
        </w:rPr>
        <w:t>” means, when used with reference to any Multicurrency Revolving Lender and any described aggregate or total amount, an amount equal to the result obtained by multiplying such described aggregate or total amount by a fraction the numerator of which shall be such Multicurrency Revolving Lender’s Multicurrency Revolving Commitment or, if the Revolver Termination Date for the Multicurrency Revolving Facility has occurred, the Effective Amount of such Multicurrency Revolving Lender’s then outstanding Multicurrency Revolving Loans and the denominator of which shall be the Multicurrency Revolving Commitments or, if the Revolver Termination Date for the Multicurrency Revolving Facility has occurred, the Effective Amount of all then outstanding Multicurrency Revolving Loans.</w:t>
      </w:r>
    </w:p>
    <w:p>
      <w:pPr>
        <w:spacing w:after="0" w:line="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Revolving Commitment</w:t>
      </w:r>
      <w:r>
        <w:rPr>
          <w:rFonts w:ascii="Arial" w:cs="Arial" w:eastAsia="Arial" w:hAnsi="Arial"/>
          <w:sz w:val="18"/>
          <w:szCs w:val="18"/>
          <w:color w:val="auto"/>
        </w:rPr>
        <w:t xml:space="preserve">” means, with respect to any Multicurrency Revolving Lender, the obligation of such Multicurrency Revolving Lender to make Multicurrency Revolving Loans and to participate in Multicurrency Letters of Credit and Swing Line Loans, as such commitment may be adjusted from time to time pursuant to this Agreement, which commitment as of the Incremental Amendment No. 2 and Third Amendment Effective Date is the amount set forth opposite such lender’s name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to Incremental Amendment No. 2 and Third Amendment under the caption “Amount of Multicurrency Revolving Commitment” as the same may be adjusted from time to time pursuant to the terms hereof and “Multicurrency Revolving Commitments” means such commitments collectively, which commitments equal $1,000,000,000 in the aggregate as of the Incremental Amendment No. 2 and Third Amendment Effective Date.</w:t>
      </w:r>
    </w:p>
    <w:p>
      <w:pPr>
        <w:spacing w:after="0" w:line="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Revolving Credit Exposure</w:t>
      </w:r>
      <w:r>
        <w:rPr>
          <w:rFonts w:ascii="Arial" w:cs="Arial" w:eastAsia="Arial" w:hAnsi="Arial"/>
          <w:sz w:val="20"/>
          <w:szCs w:val="20"/>
          <w:color w:val="auto"/>
        </w:rPr>
        <w:t>” means, with respect to a Revolving Lender, the sum of (i) the outstanding principal amount of Multicurrency Revolving Loans made by such Lender, (ii) the Multicurrency Letter of Credit Exposure of such Revolving Lender and (iii) the Swing Line Exposure of such Revolving Lender.</w:t>
      </w:r>
    </w:p>
    <w:p>
      <w:pPr>
        <w:spacing w:after="0" w:line="1"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Revolving Facility</w:t>
      </w:r>
      <w:r>
        <w:rPr>
          <w:rFonts w:ascii="Arial" w:cs="Arial" w:eastAsia="Arial" w:hAnsi="Arial"/>
          <w:sz w:val="20"/>
          <w:szCs w:val="20"/>
          <w:color w:val="auto"/>
        </w:rPr>
        <w:t>” means the credit facility under this Agreement evidenced by the Multicurrency Revolving Commitments and the Multicurrency Revolving Loans.</w:t>
      </w:r>
    </w:p>
    <w:p>
      <w:pPr>
        <w:spacing w:after="0" w:line="1"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Revolving Lender</w:t>
      </w:r>
      <w:r>
        <w:rPr>
          <w:rFonts w:ascii="Arial" w:cs="Arial" w:eastAsia="Arial" w:hAnsi="Arial"/>
          <w:sz w:val="20"/>
          <w:szCs w:val="20"/>
          <w:color w:val="auto"/>
        </w:rPr>
        <w:t>” means any Lender which has a Multicurrency Revolving Commitment or is owed a Multicurrency Revolving Loan (or a portion thereof).</w:t>
      </w:r>
    </w:p>
    <w:p>
      <w:pPr>
        <w:ind w:left="66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Revolving Loan</w:t>
      </w:r>
      <w:r>
        <w:rPr>
          <w:rFonts w:ascii="Arial" w:cs="Arial" w:eastAsia="Arial" w:hAnsi="Arial"/>
          <w:sz w:val="20"/>
          <w:szCs w:val="20"/>
          <w:color w:val="auto"/>
        </w:rPr>
        <w:t>” and “</w:t>
      </w:r>
      <w:r>
        <w:rPr>
          <w:rFonts w:ascii="Arial" w:cs="Arial" w:eastAsia="Arial" w:hAnsi="Arial"/>
          <w:sz w:val="20"/>
          <w:szCs w:val="20"/>
          <w:u w:val="single" w:color="auto"/>
          <w:color w:val="auto"/>
        </w:rPr>
        <w:t>Multicurrency Revolving Loans</w:t>
      </w:r>
      <w:r>
        <w:rPr>
          <w:rFonts w:ascii="Arial" w:cs="Arial" w:eastAsia="Arial" w:hAnsi="Arial"/>
          <w:sz w:val="20"/>
          <w:szCs w:val="20"/>
          <w:color w:val="auto"/>
        </w:rPr>
        <w:t xml:space="preserve">” have the meanings given in </w:t>
      </w:r>
      <w:r>
        <w:rPr>
          <w:rFonts w:ascii="Arial" w:cs="Arial" w:eastAsia="Arial" w:hAnsi="Arial"/>
          <w:sz w:val="20"/>
          <w:szCs w:val="20"/>
          <w:u w:val="single" w:color="auto"/>
          <w:color w:val="auto"/>
        </w:rPr>
        <w:t>Section 2.1(b)(ii)(B)</w:t>
      </w:r>
      <w:r>
        <w:rPr>
          <w:rFonts w:ascii="Arial" w:cs="Arial" w:eastAsia="Arial" w:hAnsi="Arial"/>
          <w:sz w:val="20"/>
          <w:szCs w:val="20"/>
          <w:color w:val="auto"/>
        </w:rPr>
        <w:t>.</w:t>
      </w:r>
    </w:p>
    <w:p>
      <w:pPr>
        <w:jc w:val="both"/>
        <w:ind w:firstLine="648"/>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Revolving Sublimit</w:t>
      </w:r>
      <w:r>
        <w:rPr>
          <w:rFonts w:ascii="Arial" w:cs="Arial" w:eastAsia="Arial" w:hAnsi="Arial"/>
          <w:sz w:val="20"/>
          <w:szCs w:val="20"/>
          <w:color w:val="auto"/>
        </w:rPr>
        <w:t xml:space="preserve">” means, when used in reference to U.S. Borrower or European Borrower, the Total Multicurrency Revolving Commitment and when used in reference to a Subsidiary Borrower, the maximum Effective Amount of Multicurrency Revolving Loans, Multicurrency LC Obligations and Swing Line Loans permitted to be borrowed by such Borrower, which amount is set forth on </w:t>
      </w:r>
      <w:r>
        <w:rPr>
          <w:rFonts w:ascii="Arial" w:cs="Arial" w:eastAsia="Arial" w:hAnsi="Arial"/>
          <w:sz w:val="20"/>
          <w:szCs w:val="20"/>
          <w:u w:val="single" w:color="auto"/>
          <w:color w:val="auto"/>
        </w:rPr>
        <w:t>Schedule 1.1(b)</w:t>
      </w:r>
      <w:r>
        <w:rPr>
          <w:rFonts w:ascii="Arial" w:cs="Arial" w:eastAsia="Arial" w:hAnsi="Arial"/>
          <w:sz w:val="20"/>
          <w:szCs w:val="20"/>
          <w:color w:val="auto"/>
        </w:rPr>
        <w:t xml:space="preserve"> attached hereto.</w:t>
      </w:r>
    </w:p>
    <w:p>
      <w:pPr>
        <w:spacing w:after="0" w:line="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Pension Plan described in Section 4001(a)(3) of ERISA to which contributions are or have, within the preceding six years, been made, or are or were, within the preceding six years, required to be made, by a Credit Party or any of its Subsidiaries or any of their ERISA Affiliates.</w:t>
      </w:r>
    </w:p>
    <w:p>
      <w:pPr>
        <w:spacing w:after="0" w:line="1"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means a Plan or Foreign Plan, other than a Multiemployer Plan, which a Credit Party or any of its Subsidiaries or any of their ERISA Affiliates and at least one employer other than a Credit Party, any of its Subsidiaries or any of their ERISA Affiliates are contributing sponsors and shall include, for greater certainty, any multiemployer pension plan within the meaning of applicable pension standards legislation in Canada.</w:t>
      </w:r>
    </w:p>
    <w:p>
      <w:pPr>
        <w:sectPr>
          <w:pgSz w:w="11900" w:h="16838" w:orient="portrait"/>
          <w:cols w:equalWidth="0" w:num="1">
            <w:col w:w="11240"/>
          </w:cols>
          <w:pgMar w:left="320" w:top="1419" w:right="339" w:bottom="1440" w:gutter="0" w:footer="0" w:header="0"/>
        </w:sectPr>
      </w:pPr>
    </w:p>
    <w:bookmarkStart w:id="152" w:name="page153"/>
    <w:bookmarkEnd w:id="152"/>
    <w:p>
      <w:pPr>
        <w:jc w:val="both"/>
        <w:ind w:firstLine="648"/>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Indebtedness</w:t>
      </w:r>
      <w:r>
        <w:rPr>
          <w:rFonts w:ascii="Arial" w:cs="Arial" w:eastAsia="Arial" w:hAnsi="Arial"/>
          <w:sz w:val="20"/>
          <w:szCs w:val="20"/>
          <w:color w:val="auto"/>
        </w:rPr>
        <w:t>” means, at any date and with respect to any Person, all Indebtedness of such Person described in clauses (i) (excluding any such Indebtedness owed to Crown Holdings or any of its Subsidiaries) through (vii) (other than commercial letters of credit and undrawn amounts under standby letters of credit) and clause (x) of the definition of “Indebtedness” and Guarantee Obligations in respect of the foregoing, on such date less Cash and Cash Equivalents of such Person on such date determined in accordance with GAAP. Net Indebtedness shall not include the amount of any Indebtedness that has been defeased or satisfied and discharged in accordance with the terms of such Indebtedness. For the avoidance of doubt, Excluded Attributable Debt shall not constitute Attributable Debt or Net Indebtedness.</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w:t>
      </w:r>
      <w:r>
        <w:rPr>
          <w:rFonts w:ascii="Arial" w:cs="Arial" w:eastAsia="Arial" w:hAnsi="Arial"/>
          <w:sz w:val="18"/>
          <w:szCs w:val="18"/>
          <w:color w:val="auto"/>
        </w:rPr>
        <w:t xml:space="preserve">” means, with respect to any Asset Disposition, or any Recovery Event, (a) the cash proceeds actually received in respect of such event, including (i) any cash received in respect of any non-cash proceeds, but only as and when received, (ii) in the case of a Recovery Event, insurance proceeds in excess of $500,000,000 for all Recovery Events following the Incremental Amendment No. 2 and Third Amendment Effective Date, and condemnation awards and similar payments in excess of $500,000,000 for all condemnation awards and similar payments following the Incremental Amendment No. 2 and Third Amendment Effective Date, net of (b) the sum of (i) all reasonable costs, fees and out-of-pocket expenses incurred by Crown Holdings and its Subsidiaries to third parties (other than Affiliates) in connection with such event (or, if such costs, fees or expenses have not yet then been incurred or invoiced, such Person’s good faith estimate thereof), (ii) the amount of all Taxes paid (or reasonably estimated to be payable or held in reserve in accordance with GAAP or other applicable accounting rules) by Crown Holdings and its Subsidiaries in connection with such event (including any Taxes imposed as a result of the repatriation of any such cash proceeds), (iii) the amount of all payments required to be made by Crown Holdings and its Subsidiaries as a result of such event to repay Indebtedness (other than Loans) secured by a Prior Lien (as defined in the U.S. Security Agreement) and refinancings thereof permitted hereunder or a Lien permitted by </w:t>
      </w:r>
      <w:r>
        <w:rPr>
          <w:rFonts w:ascii="Arial" w:cs="Arial" w:eastAsia="Arial" w:hAnsi="Arial"/>
          <w:sz w:val="18"/>
          <w:szCs w:val="18"/>
          <w:u w:val="single" w:color="auto"/>
          <w:color w:val="auto"/>
        </w:rPr>
        <w:t>Section 8.2(d)</w:t>
      </w:r>
      <w:r>
        <w:rPr>
          <w:rFonts w:ascii="Arial" w:cs="Arial" w:eastAsia="Arial" w:hAnsi="Arial"/>
          <w:sz w:val="18"/>
          <w:szCs w:val="18"/>
          <w:color w:val="auto"/>
        </w:rPr>
        <w:t xml:space="preserve"> and the amount of any reserves established by Crown Holdings and its Subsidiaries to fund contingent liabilities reasonably estimated to be payable, in each case during the year that such event occurred or the next succeeding two years and that are directly attributable to such event (as determined reasonably and in good faith by Crown Holdings);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amount by which such reserves are reduced for reasons other than payment of any such contingent liabilities shall be considered “Net Proceeds” upon such reduction, (iv) the amount of any reasonable reserves established by Crown Holdings or any Subsidiary of Crown Holdings to fund purchase price adjustment, contingent liabilities and fixed indemnification payments reasonably estimated to be payable; provided that any amount by which such reserves are reduced for reasons other than payment of any such purchase price adjustment, contingent liabilities or indemnification payments shall be considered “Net Proceeds” upon such reduction, (v) any liabilities associated with such asset or assets and retained by Crown Holdings or any of its Subsidiaries after such Asset Disposition or Recovery Event, as applicable, including pension and other post-employment benefit liabilities and liabilities related to Environmental Liability or against any indemnification obligations associated with the transaction, (vi) all distributions and other payments required to be made to minority interest holders in Subsidiaries, Unrestricted Entities or joint ventures as a result of such Asset Disposition or Recovery Event, as applicable, or to any other Person (other than Crown Holdings or any of its Subsidiaries) owning a beneficial interest in the assets subject to such transaction, (vii) in the case of a Recovery Event under clause (ii) of such definition, the costs and expenses of putting any affected property in a safe and secure position and (viii) in the case of proceeds arising out of the sublease or sublicense of any property, amounts required to be paid in respect of the lease or license of such property. Any proceeds received in a currency other than Dollars shall, for purposes of the calculation of the amount of Net Proceeds, be in an amount equal to the Dollar Equivalent thereof as of the date of receipt thereof by Crown Holdings or any Subsidiary of Crown Holdings.</w:t>
      </w:r>
    </w:p>
    <w:p>
      <w:pPr>
        <w:spacing w:after="0" w:line="20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Lender</w:t>
      </w:r>
      <w:r>
        <w:rPr>
          <w:rFonts w:ascii="Arial" w:cs="Arial" w:eastAsia="Arial" w:hAnsi="Arial"/>
          <w:sz w:val="20"/>
          <w:szCs w:val="20"/>
          <w:color w:val="auto"/>
        </w:rPr>
        <w:t xml:space="preserve">” means any Person that becomes a Lender with respect to (a) a tranche of Additional Facilities or Incremental Equivalent Debt pursuant to </w:t>
      </w:r>
      <w:r>
        <w:rPr>
          <w:rFonts w:ascii="Arial" w:cs="Arial" w:eastAsia="Arial" w:hAnsi="Arial"/>
          <w:sz w:val="20"/>
          <w:szCs w:val="20"/>
          <w:u w:val="single" w:color="auto"/>
          <w:color w:val="auto"/>
        </w:rPr>
        <w:t>Section 2.9</w:t>
      </w:r>
      <w:r>
        <w:rPr>
          <w:rFonts w:ascii="Arial" w:cs="Arial" w:eastAsia="Arial" w:hAnsi="Arial"/>
          <w:sz w:val="20"/>
          <w:szCs w:val="20"/>
          <w:color w:val="auto"/>
        </w:rPr>
        <w:t>, (b) a tranche of</w:t>
      </w:r>
    </w:p>
    <w:p>
      <w:pPr>
        <w:sectPr>
          <w:pgSz w:w="11900" w:h="16838" w:orient="portrait"/>
          <w:cols w:equalWidth="0" w:num="1">
            <w:col w:w="11240"/>
          </w:cols>
          <w:pgMar w:left="320" w:top="1419" w:right="339" w:bottom="1440" w:gutter="0" w:footer="0" w:header="0"/>
        </w:sectPr>
      </w:pPr>
    </w:p>
    <w:bookmarkStart w:id="153" w:name="page154"/>
    <w:bookmarkEnd w:id="153"/>
    <w:p>
      <w:pPr>
        <w:jc w:val="both"/>
        <w:ind w:right="20"/>
        <w:spacing w:after="0" w:line="246" w:lineRule="auto"/>
        <w:rPr>
          <w:sz w:val="20"/>
          <w:szCs w:val="20"/>
          <w:color w:val="auto"/>
        </w:rPr>
      </w:pPr>
      <w:r>
        <w:rPr>
          <w:rFonts w:ascii="Arial" w:cs="Arial" w:eastAsia="Arial" w:hAnsi="Arial"/>
          <w:sz w:val="20"/>
          <w:szCs w:val="20"/>
          <w:color w:val="auto"/>
        </w:rPr>
        <w:t xml:space="preserve">Replacement Revolving Loans and Replacement Revolving Commitments pursuant to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or (c) a tranche of Replacement Term Loans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Maturity Date</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2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Non-Cooperative Jurisdiction</w:t>
      </w:r>
      <w:r>
        <w:rPr>
          <w:rFonts w:ascii="Arial" w:cs="Arial" w:eastAsia="Arial" w:hAnsi="Arial"/>
          <w:sz w:val="20"/>
          <w:szCs w:val="20"/>
          <w:color w:val="auto"/>
        </w:rPr>
        <w:t>” means a “non-cooperative state or territory” (</w:t>
      </w:r>
      <w:r>
        <w:rPr>
          <w:rFonts w:ascii="Arial" w:cs="Arial" w:eastAsia="Arial" w:hAnsi="Arial"/>
          <w:sz w:val="20"/>
          <w:szCs w:val="20"/>
          <w:i w:val="1"/>
          <w:iCs w:val="1"/>
          <w:color w:val="auto"/>
        </w:rPr>
        <w:t>État ou territoire non coopératif</w:t>
      </w:r>
      <w:r>
        <w:rPr>
          <w:rFonts w:ascii="Arial" w:cs="Arial" w:eastAsia="Arial" w:hAnsi="Arial"/>
          <w:sz w:val="20"/>
          <w:szCs w:val="20"/>
          <w:color w:val="auto"/>
        </w:rPr>
        <w:t xml:space="preserve">) as set out in the list referred to in article 238-0 A of the French </w:t>
      </w:r>
      <w:r>
        <w:rPr>
          <w:rFonts w:ascii="Arial" w:cs="Arial" w:eastAsia="Arial" w:hAnsi="Arial"/>
          <w:sz w:val="20"/>
          <w:szCs w:val="20"/>
          <w:i w:val="1"/>
          <w:iCs w:val="1"/>
          <w:color w:val="auto"/>
        </w:rPr>
        <w:t>Code général des impôts</w:t>
      </w:r>
      <w:r>
        <w:rPr>
          <w:rFonts w:ascii="Arial" w:cs="Arial" w:eastAsia="Arial" w:hAnsi="Arial"/>
          <w:sz w:val="20"/>
          <w:szCs w:val="20"/>
          <w:color w:val="auto"/>
        </w:rPr>
        <w:t>, as of the Effective Date.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each Lender which is not a Defaulting Lender.</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Non-Stock Collateral Release Event</w:t>
      </w:r>
      <w:r>
        <w:rPr>
          <w:rFonts w:ascii="Arial" w:cs="Arial" w:eastAsia="Arial" w:hAnsi="Arial"/>
          <w:sz w:val="18"/>
          <w:szCs w:val="18"/>
          <w:color w:val="auto"/>
        </w:rPr>
        <w:t>” means the satisfaction of each of the following conditions: (a) no Event of Default shall have occurred and be continuing; (b) the achievement of public corporate/corporate family ratings of Crown Holdings from each of Moody’s and S&amp;P of at least (in each case, with a stable or better outlook) Ba1 and BB+ respectively and (c) the Administrative Agent shall have received a certificate from Crown Holdings certifying to the foregoing in a manner reasonably acceptable to the Administrative Agent.</w:t>
      </w:r>
    </w:p>
    <w:p>
      <w:pPr>
        <w:spacing w:after="0" w:line="18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Non-U.S. Guarantee Agreement</w:t>
      </w:r>
      <w:r>
        <w:rPr>
          <w:rFonts w:ascii="Arial" w:cs="Arial" w:eastAsia="Arial" w:hAnsi="Arial"/>
          <w:sz w:val="20"/>
          <w:szCs w:val="20"/>
          <w:color w:val="auto"/>
        </w:rPr>
        <w:t>” means that certain Non-U.S. Guarantee Agreement, dated as of December 19, 2013 as amended, restated, amended and restated, supplemented or otherwise modified from time to time, among the Guarantors party thereto, Euro Collateral Agent and the Canadian Administrative Agent.</w:t>
      </w:r>
    </w:p>
    <w:p>
      <w:pPr>
        <w:spacing w:after="0" w:line="210" w:lineRule="exact"/>
        <w:rPr>
          <w:sz w:val="20"/>
          <w:szCs w:val="20"/>
          <w:color w:val="auto"/>
        </w:rPr>
      </w:pPr>
    </w:p>
    <w:p>
      <w:pPr>
        <w:jc w:val="both"/>
        <w:ind w:firstLine="648"/>
        <w:spacing w:after="0" w:line="223" w:lineRule="exact"/>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Non-U.S. Guarantee Subsidiary</w:t>
      </w:r>
      <w:r>
        <w:rPr>
          <w:rFonts w:ascii="Arial" w:cs="Arial" w:eastAsia="Arial" w:hAnsi="Arial"/>
          <w:sz w:val="16"/>
          <w:szCs w:val="16"/>
          <w:color w:val="auto"/>
        </w:rPr>
        <w:t>” means (i) any Wholly-Owned Subsidiary organized in England, Canada, France, Germany, Mexico, or Switzerland (other than a Receivables Subsidiary, an SLB Subsidiary, an Excluded U.K. Company, and Butimove), (ii) any Wholly</w:t>
      </w:r>
      <w:r>
        <w:rPr>
          <w:rFonts w:ascii="MS PGothic" w:cs="MS PGothic" w:eastAsia="MS PGothic" w:hAnsi="MS PGothic"/>
          <w:sz w:val="16"/>
          <w:szCs w:val="16"/>
          <w:color w:val="auto"/>
        </w:rPr>
        <w:t>‑</w:t>
      </w:r>
      <w:r>
        <w:rPr>
          <w:rFonts w:ascii="Arial" w:cs="Arial" w:eastAsia="Arial" w:hAnsi="Arial"/>
          <w:sz w:val="16"/>
          <w:szCs w:val="16"/>
          <w:color w:val="auto"/>
        </w:rPr>
        <w:t>Owned Subsidiary that is organized under the laws of a jurisdiction other than the United States of America or any state thereof or the District of Columbia or England, Canada, France, Germany, Mexico or Switzerland that executes or has executed a Non</w:t>
      </w:r>
      <w:r>
        <w:rPr>
          <w:rFonts w:ascii="MS PGothic" w:cs="MS PGothic" w:eastAsia="MS PGothic" w:hAnsi="MS PGothic"/>
          <w:sz w:val="16"/>
          <w:szCs w:val="16"/>
          <w:color w:val="auto"/>
        </w:rPr>
        <w:t>‑</w:t>
      </w:r>
      <w:r>
        <w:rPr>
          <w:rFonts w:ascii="Arial" w:cs="Arial" w:eastAsia="Arial" w:hAnsi="Arial"/>
          <w:sz w:val="16"/>
          <w:szCs w:val="16"/>
          <w:color w:val="auto"/>
        </w:rPr>
        <w:t xml:space="preserve">U.S. Guarantee Agreement (or a supplement thereto) and takes or has taken such other actions contemplated by </w:t>
      </w:r>
      <w:r>
        <w:rPr>
          <w:rFonts w:ascii="Arial" w:cs="Arial" w:eastAsia="Arial" w:hAnsi="Arial"/>
          <w:sz w:val="16"/>
          <w:szCs w:val="16"/>
          <w:u w:val="single" w:color="auto"/>
          <w:color w:val="auto"/>
        </w:rPr>
        <w:t>Section 7.14(c)</w:t>
      </w:r>
      <w:r>
        <w:rPr>
          <w:rFonts w:ascii="Arial" w:cs="Arial" w:eastAsia="Arial" w:hAnsi="Arial"/>
          <w:sz w:val="16"/>
          <w:szCs w:val="16"/>
          <w:color w:val="auto"/>
        </w:rPr>
        <w:t xml:space="preserve"> and (iii) all Dutch Borrowers.</w:t>
      </w:r>
    </w:p>
    <w:p>
      <w:pPr>
        <w:spacing w:after="0" w:line="21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Non-U.S. Lender</w:t>
      </w:r>
      <w:r>
        <w:rPr>
          <w:rFonts w:ascii="Arial" w:cs="Arial" w:eastAsia="Arial" w:hAnsi="Arial"/>
          <w:sz w:val="20"/>
          <w:szCs w:val="20"/>
          <w:color w:val="auto"/>
        </w:rPr>
        <w:t>” means any Lender, Swing Line Lender or Facing Agent that is not a United States person within the meaning of Section 7701(a)(30) of the Code.</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Non-U.S. Subsidiary</w:t>
      </w:r>
      <w:r>
        <w:rPr>
          <w:rFonts w:ascii="Arial" w:cs="Arial" w:eastAsia="Arial" w:hAnsi="Arial"/>
          <w:sz w:val="20"/>
          <w:szCs w:val="20"/>
          <w:color w:val="auto"/>
        </w:rPr>
        <w:t>” means, with respect to any Person, any Subsidiary of such Person that is organized under the laws of a jurisdiction other than the United States of America or any state thereof or the District of Columbia.</w:t>
      </w:r>
    </w:p>
    <w:p>
      <w:pPr>
        <w:spacing w:after="0" w:line="2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Note</w:t>
      </w:r>
      <w:r>
        <w:rPr>
          <w:rFonts w:ascii="Arial" w:cs="Arial" w:eastAsia="Arial" w:hAnsi="Arial"/>
          <w:sz w:val="19"/>
          <w:szCs w:val="19"/>
          <w:color w:val="auto"/>
        </w:rPr>
        <w:t xml:space="preserve">” means a note substantially in the form of </w:t>
      </w:r>
      <w:r>
        <w:rPr>
          <w:rFonts w:ascii="Arial" w:cs="Arial" w:eastAsia="Arial" w:hAnsi="Arial"/>
          <w:sz w:val="19"/>
          <w:szCs w:val="19"/>
          <w:u w:val="single" w:color="auto"/>
          <w:color w:val="auto"/>
        </w:rPr>
        <w:t>Exhibit 2.2(a)(1)</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2.2(a)(2)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2A.2(a)</w:t>
      </w:r>
      <w:r>
        <w:rPr>
          <w:rFonts w:ascii="Arial" w:cs="Arial" w:eastAsia="Arial" w:hAnsi="Arial"/>
          <w:sz w:val="19"/>
          <w:szCs w:val="19"/>
          <w:color w:val="auto"/>
        </w:rPr>
        <w:t xml:space="preserve"> (or, in each case, such other form or mutually agreed by Crown Holdings and the Administrative Agent), and “</w:t>
      </w:r>
      <w:r>
        <w:rPr>
          <w:rFonts w:ascii="Arial" w:cs="Arial" w:eastAsia="Arial" w:hAnsi="Arial"/>
          <w:sz w:val="19"/>
          <w:szCs w:val="19"/>
          <w:u w:val="single" w:color="auto"/>
          <w:color w:val="auto"/>
        </w:rPr>
        <w:t>Notes</w:t>
      </w:r>
      <w:r>
        <w:rPr>
          <w:rFonts w:ascii="Arial" w:cs="Arial" w:eastAsia="Arial" w:hAnsi="Arial"/>
          <w:sz w:val="19"/>
          <w:szCs w:val="19"/>
          <w:color w:val="auto"/>
        </w:rPr>
        <w:t>” means all of such Notes collectively.</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Address</w:t>
      </w:r>
      <w:r>
        <w:rPr>
          <w:rFonts w:ascii="Arial" w:cs="Arial" w:eastAsia="Arial" w:hAnsi="Arial"/>
          <w:sz w:val="19"/>
          <w:szCs w:val="19"/>
          <w:color w:val="auto"/>
        </w:rPr>
        <w:t>” means with respect to the Administrative Agent, the office of Administrative Agent located at Deutsche Bank AG New York Branch, 60 Wall Street, New York, New York 10005 or with respect to the U.K. Administrative Agent, the office of the U.K. Administrative Agent located at Deutsche Bank AG London Branch, GBS Loans and LEMG, 175 Bishopsgate, EC2A 2JN, London, United Kingdom or such other office as the Administrative Agent may hereafter designate in writing as such to the other parties hereto, with respect to Swing Line Lender for Swing Line Loans issued in Alternative Currencies or under the Multicurrency Revolving Facility, the office located at Deutsche Bank AG London Branch, GBS Loans and LEMG, 175 Bishopsgate, EC2A 2JN, London, United Kingdom, or such other office as Swing Line Lender may designate to Borrowers from time to time (which shall be in Europe unless consented to by European Borrower), and with respect to Canadian</w:t>
      </w:r>
    </w:p>
    <w:p>
      <w:pPr>
        <w:sectPr>
          <w:pgSz w:w="11900" w:h="16838" w:orient="portrait"/>
          <w:cols w:equalWidth="0" w:num="1">
            <w:col w:w="11240"/>
          </w:cols>
          <w:pgMar w:left="320" w:top="1419" w:right="339" w:bottom="1440" w:gutter="0" w:footer="0" w:header="0"/>
        </w:sectPr>
      </w:pPr>
    </w:p>
    <w:bookmarkStart w:id="154" w:name="page155"/>
    <w:bookmarkEnd w:id="154"/>
    <w:p>
      <w:pPr>
        <w:jc w:val="both"/>
        <w:spacing w:after="0" w:line="300" w:lineRule="auto"/>
        <w:rPr>
          <w:sz w:val="20"/>
          <w:szCs w:val="20"/>
          <w:color w:val="auto"/>
        </w:rPr>
      </w:pPr>
      <w:r>
        <w:rPr>
          <w:rFonts w:ascii="Arial" w:cs="Arial" w:eastAsia="Arial" w:hAnsi="Arial"/>
          <w:sz w:val="18"/>
          <w:szCs w:val="18"/>
          <w:color w:val="auto"/>
        </w:rPr>
        <w:t>Administrative Agent, located at Deutsche Bank AG Canada Branch, Suite 4700 Commerce Court West, 199 Bay Street, Toronto, Ontario, Canada M5L 1E9, or such other office as Canadian Administrative Agent may designate to Borrowers and the Lenders from time to time.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Borrowing</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2.5</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Canadian Borrowing</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2A.5</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Canadian Conversion or Continuation</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2A.6</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Conversion or Continuation</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2.6</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Issuance</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2.10(c)</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Obligations</w:t>
      </w:r>
      <w:r>
        <w:rPr>
          <w:rFonts w:ascii="Arial" w:cs="Arial" w:eastAsia="Arial" w:hAnsi="Arial"/>
          <w:sz w:val="20"/>
          <w:szCs w:val="20"/>
          <w:color w:val="auto"/>
        </w:rPr>
        <w:t xml:space="preserve">” means the U.S. Obligations, the Euro Obligations, the Canadian Obligations, the Subsidiary Borrower Obligations and the Guarantee Obligations pursuant to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and the Guarantee Agreements. Notwithstanding the foregoing, the “Obligations” exclude Excluded Swap Obligations.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6.21(a)</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Operating Lease</w:t>
      </w:r>
      <w:r>
        <w:rPr>
          <w:rFonts w:ascii="Arial" w:cs="Arial" w:eastAsia="Arial" w:hAnsi="Arial"/>
          <w:sz w:val="19"/>
          <w:szCs w:val="19"/>
          <w:color w:val="auto"/>
        </w:rPr>
        <w:t>” of any Person, means any lease (including, without limitation, leases which may be terminated by the lessee at any time) of any property (whether real, personal or mixed) by such Person, as lessee, which is not a Capitalized Lease.</w:t>
      </w:r>
    </w:p>
    <w:p>
      <w:pPr>
        <w:spacing w:after="0" w:line="18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Organic Documents</w:t>
      </w:r>
      <w:r>
        <w:rPr>
          <w:rFonts w:ascii="Arial" w:cs="Arial" w:eastAsia="Arial" w:hAnsi="Arial"/>
          <w:sz w:val="20"/>
          <w:szCs w:val="20"/>
          <w:color w:val="auto"/>
        </w:rPr>
        <w:t>” means (i) relative to each Person that is a corporation, its charter, articles of incorporation, articles of amendment, articles of amalgamation, by-laws and all shareholder agreements, voting trusts and similar arrangements applicable to any of its authorized shares of capital stock, (ii) relative to each Person that is a partnership, its partnership agreement and any other similar arrangements applicable to any partnership or other equity interests in the Person and (iii) relative to any Person that is any other type of legal entity, such documents as shall be comparable to the foregoing.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Original Closing Date</w:t>
      </w:r>
      <w:r>
        <w:rPr>
          <w:rFonts w:ascii="Arial" w:cs="Arial" w:eastAsia="Arial" w:hAnsi="Arial"/>
          <w:sz w:val="20"/>
          <w:szCs w:val="20"/>
          <w:color w:val="auto"/>
        </w:rPr>
        <w:t>” means December 19, 2013.</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Lender</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13.1(c)</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court or documentary, intangible, recording, filing or similar Taxes (including, for the avoidance of doubt, any Taxes imposed pursuant to Article 7.1.B of the Spanish Transfer Tax and Stamp Duty Law passed by Royal Legislative Decree 1/1993, of September 24) that arise from any payment made under, from the execution, delivery, performance, enforcement or registration of, from the receipt or perfection of a security interest under, or otherwise with respect to, any Loan Document, except any such Taxes that are imposed with respect to any assignment as a result of any present or former connection between the applicable Lender and the jurisdiction imposing such Tax (other than a connection arising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Euro Rate</w:t>
      </w:r>
      <w:r>
        <w:rPr>
          <w:rFonts w:ascii="Arial" w:cs="Arial" w:eastAsia="Arial" w:hAnsi="Arial"/>
          <w:sz w:val="20"/>
          <w:szCs w:val="20"/>
          <w:color w:val="auto"/>
        </w:rPr>
        <w:t>” on any date means the offered quotation to first-class banks in the London interbank market by Swing Line Lender for Euro overnight deposits of amounts in immediately available funds comparable to the outstanding principal amount of the Swing Line Loan of Swing Line Lender as</w:t>
      </w:r>
    </w:p>
    <w:p>
      <w:pPr>
        <w:sectPr>
          <w:pgSz w:w="11900" w:h="16838" w:orient="portrait"/>
          <w:cols w:equalWidth="0" w:num="1">
            <w:col w:w="11240"/>
          </w:cols>
          <w:pgMar w:left="320" w:top="1419" w:right="339" w:bottom="1440" w:gutter="0" w:footer="0" w:header="0"/>
        </w:sectPr>
      </w:pPr>
    </w:p>
    <w:bookmarkStart w:id="155" w:name="page156"/>
    <w:bookmarkEnd w:id="155"/>
    <w:p>
      <w:pPr>
        <w:jc w:val="both"/>
        <w:spacing w:after="0" w:line="263" w:lineRule="auto"/>
        <w:rPr>
          <w:sz w:val="20"/>
          <w:szCs w:val="20"/>
          <w:color w:val="auto"/>
        </w:rPr>
      </w:pPr>
      <w:r>
        <w:rPr>
          <w:rFonts w:ascii="Arial" w:cs="Arial" w:eastAsia="Arial" w:hAnsi="Arial"/>
          <w:sz w:val="18"/>
          <w:szCs w:val="18"/>
          <w:color w:val="auto"/>
        </w:rPr>
        <w:t xml:space="preserve">of 11:00 a.m. (London time)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Administrative Agent has made any determination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in respect of Swing Line Loans denominated in Euros, or in the circumstances described in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in respect of Swing Line Loans denominated in Euros, the Overnight Euro Rate determined pursuant to this definition shall instead be the rate determined by Swing Line Lender as the all-in-cost of funds for Swing Line Lender to fund such Swing Line Loan in each case, plus the Applicable Eurocurrency Margin for Multicurrency Revolving Loans. Notwithstanding the foregoing, the Overnight Euro Rate shall not in any event be less than zero.</w:t>
      </w:r>
    </w:p>
    <w:p>
      <w:pPr>
        <w:spacing w:after="0" w:line="18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LIBOR Rate</w:t>
      </w:r>
      <w:r>
        <w:rPr>
          <w:rFonts w:ascii="Arial" w:cs="Arial" w:eastAsia="Arial" w:hAnsi="Arial"/>
          <w:sz w:val="19"/>
          <w:szCs w:val="19"/>
          <w:color w:val="auto"/>
        </w:rPr>
        <w:t xml:space="preserve">” on any date means the offered quotation to first-class banks in the London interbank market by Swing Line Lender for Sterling overnight deposits of amounts in immediately available funds comparable to the outstanding principal amount of the Swing Line Loan denominated in Sterling of Swing Line Lender as of 11:00 a.m. (London time) on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Administrative Agent has made any determination pursuant to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in respect of Swing Line Loans denominated in Sterling, or in the circumstances described in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in respect of Swing Line Loan, the Overnight LIBOR Rate determined pursuant to this definition shall instead be the rate determined by Swing Line Lender as the all-in-cost of funds for Swing Line Lender to fund such Swing Line Loan, in each case, plus the Applicable Eurocurrency Margin for Multicurrency Revolving Loans. Notwithstanding the foregoing, the Overnight LIBOR Rate shall not in any event be less than zero.</w:t>
      </w:r>
    </w:p>
    <w:p>
      <w:pPr>
        <w:spacing w:after="0" w:line="20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Rate Loan</w:t>
      </w:r>
      <w:r>
        <w:rPr>
          <w:rFonts w:ascii="Arial" w:cs="Arial" w:eastAsia="Arial" w:hAnsi="Arial"/>
          <w:sz w:val="20"/>
          <w:szCs w:val="20"/>
          <w:color w:val="auto"/>
        </w:rPr>
        <w:t>” means each Swing Line Loan which bears interest at a rate determined with reference to the Overnight Euro Rate or the Overnight LIBOR Rate, as applicable based on the Alternative Currency borrowed.</w:t>
      </w:r>
    </w:p>
    <w:p>
      <w:pPr>
        <w:spacing w:after="0" w:line="20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Guarantor</w:t>
      </w:r>
      <w:r>
        <w:rPr>
          <w:rFonts w:ascii="Arial" w:cs="Arial" w:eastAsia="Arial" w:hAnsi="Arial"/>
          <w:sz w:val="20"/>
          <w:szCs w:val="20"/>
          <w:color w:val="auto"/>
        </w:rPr>
        <w:t xml:space="preserve">” means each of Crown Holdings, CCSC and Crown International and any other Subsidiary of Crown Holdings that is a parent company (directly or indirectly) of either U.S. Borrower or European Borrower (other than Crown Développement) under their respective guaranties in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Crown Développement under the Non-U.S. Guarantee Agreement. For purposes of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hereof only, “Parent Guarantor” shall not include Crown Développement.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12.8(b)</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12.8(b)</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Communities that has the common currency of the European Union as its lawful currency in accordance with legislation of the European Union relating to Economic and Monetary Union.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6.22</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Office</w:t>
      </w:r>
      <w:r>
        <w:rPr>
          <w:rFonts w:ascii="Arial" w:cs="Arial" w:eastAsia="Arial" w:hAnsi="Arial"/>
          <w:sz w:val="19"/>
          <w:szCs w:val="19"/>
          <w:color w:val="auto"/>
        </w:rPr>
        <w:t xml:space="preserve">” means (a) with respect to Administrative Agent or Swing Line Lender, for payments with respect to Dollar-denominated Loans and, except as provided in clauses (b) and (c) below, all other amounts, 5022 Gate Parkway Suite 200, Jacksonville, FL 32256, Attn: Commercial Loan Division, or such other address as Administrative Agent or Swing Line Lender, as the case may be, may from time to time specify in accordance with </w:t>
      </w:r>
      <w:r>
        <w:rPr>
          <w:rFonts w:ascii="Arial" w:cs="Arial" w:eastAsia="Arial" w:hAnsi="Arial"/>
          <w:sz w:val="19"/>
          <w:szCs w:val="19"/>
          <w:u w:val="single" w:color="auto"/>
          <w:color w:val="auto"/>
        </w:rPr>
        <w:t>Section 12.3</w:t>
      </w:r>
      <w:r>
        <w:rPr>
          <w:rFonts w:ascii="Arial" w:cs="Arial" w:eastAsia="Arial" w:hAnsi="Arial"/>
          <w:sz w:val="19"/>
          <w:szCs w:val="19"/>
          <w:color w:val="auto"/>
        </w:rPr>
        <w:t xml:space="preserve">, (b) with respect to Administrative Agent or Swing Line Lender, for payments in any Alternative Currency, such account at such bank or office in London or such other place as Administrative Agent or Swing Line Lender, as the case may be, shall designate by notice to the Person required to make the relevant payment; </w:t>
      </w:r>
      <w:r>
        <w:rPr>
          <w:rFonts w:ascii="Arial" w:cs="Arial" w:eastAsia="Arial" w:hAnsi="Arial"/>
          <w:sz w:val="19"/>
          <w:szCs w:val="19"/>
          <w:u w:val="single" w:color="auto"/>
          <w:color w:val="auto"/>
        </w:rPr>
        <w:t>provided</w:t>
      </w:r>
      <w:r>
        <w:rPr>
          <w:rFonts w:ascii="Arial" w:cs="Arial" w:eastAsia="Arial" w:hAnsi="Arial"/>
          <w:sz w:val="19"/>
          <w:szCs w:val="19"/>
          <w:color w:val="auto"/>
        </w:rPr>
        <w:t>, that no such Payment Office shall be designated that is in France and (c) with respect to Canadian Administrative Agent, for payments with respect to Canadian Revolving Loans, such account at such bank or office in Canada as Canadian Administrative Agent shall designate by notice to the Person required to make the relevant payment.</w:t>
      </w:r>
    </w:p>
    <w:p>
      <w:pPr>
        <w:sectPr>
          <w:pgSz w:w="11900" w:h="16838" w:orient="portrait"/>
          <w:cols w:equalWidth="0" w:num="1">
            <w:col w:w="11240"/>
          </w:cols>
          <w:pgMar w:left="320" w:top="1419" w:right="339" w:bottom="1440" w:gutter="0" w:footer="0" w:header="0"/>
        </w:sectPr>
      </w:pPr>
    </w:p>
    <w:bookmarkStart w:id="156" w:name="page157"/>
    <w:bookmarkEnd w:id="156"/>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created by Section 4002(a) of ERISA.</w:t>
      </w:r>
    </w:p>
    <w:p>
      <w:pPr>
        <w:spacing w:after="0" w:line="22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plan described in Section 4021(a) of ERISA and not excluded pursuant to Section 4021(b) thereof, which is or has, within the preceding six years, been established or maintained, or to which contributions are being or have been, within the preceding six years, made, by a Credit Party, any of its Subsidiaries or any of their ERISA Affiliates and, for greater certainty, shall not include any Foreign Plan.</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Perfection Certificate</w:t>
      </w:r>
      <w:r>
        <w:rPr>
          <w:rFonts w:ascii="Arial" w:cs="Arial" w:eastAsia="Arial" w:hAnsi="Arial"/>
          <w:sz w:val="20"/>
          <w:szCs w:val="20"/>
          <w:color w:val="auto"/>
        </w:rPr>
        <w:t>” means that certain perfection certificate delivered pursuant to the U.S. Security Agreement as amended, restated, amended and restated or otherwise modified from time to time.</w:t>
      </w:r>
    </w:p>
    <w:p>
      <w:pPr>
        <w:spacing w:after="0" w:line="204"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xml:space="preserve">” means (A) the Signode Acquisition and (B) subject to </w:t>
      </w:r>
      <w:r>
        <w:rPr>
          <w:rFonts w:ascii="Arial" w:cs="Arial" w:eastAsia="Arial" w:hAnsi="Arial"/>
          <w:sz w:val="20"/>
          <w:szCs w:val="20"/>
          <w:u w:val="single" w:color="auto"/>
          <w:color w:val="auto"/>
        </w:rPr>
        <w:t>Section 1.6</w:t>
      </w:r>
      <w:r>
        <w:rPr>
          <w:rFonts w:ascii="Arial" w:cs="Arial" w:eastAsia="Arial" w:hAnsi="Arial"/>
          <w:sz w:val="20"/>
          <w:szCs w:val="20"/>
          <w:color w:val="auto"/>
        </w:rPr>
        <w:t>, any Acquisition by Crown Holdings or any of its Subsidiaries if, solely with respect to this clause (B), all of the following conditions are met on the date such Acquisition is consummated (or on the date specified in the applicable condition below):</w:t>
      </w:r>
    </w:p>
    <w:p>
      <w:pPr>
        <w:spacing w:after="0" w:line="210" w:lineRule="exact"/>
        <w:rPr>
          <w:sz w:val="20"/>
          <w:szCs w:val="20"/>
          <w:color w:val="auto"/>
        </w:rPr>
      </w:pPr>
    </w:p>
    <w:p>
      <w:pPr>
        <w:jc w:val="both"/>
        <w:ind w:left="660" w:hanging="328"/>
        <w:spacing w:after="0" w:line="237" w:lineRule="auto"/>
        <w:tabs>
          <w:tab w:leader="none" w:pos="649"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on the date of execution of the definitive agreement in respect of such Acquisition, immediately after giving effect thereto on a Pro Forma Basis, no Event of Default under </w:t>
      </w:r>
      <w:r>
        <w:rPr>
          <w:rFonts w:ascii="Arial" w:cs="Arial" w:eastAsia="Arial" w:hAnsi="Arial"/>
          <w:sz w:val="20"/>
          <w:szCs w:val="20"/>
          <w:u w:val="single" w:color="auto"/>
          <w:color w:val="auto"/>
        </w:rPr>
        <w:t>Sections 10.1(a)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w:t>
      </w:r>
      <w:r>
        <w:rPr>
          <w:rFonts w:ascii="Arial" w:cs="Arial" w:eastAsia="Arial" w:hAnsi="Arial"/>
          <w:sz w:val="20"/>
          <w:szCs w:val="20"/>
          <w:color w:val="auto"/>
        </w:rPr>
        <w:t xml:space="preserve"> shall have occurred and be continuing or would immediately result therefrom</w:t>
      </w:r>
    </w:p>
    <w:p>
      <w:pPr>
        <w:spacing w:after="0" w:line="209" w:lineRule="exact"/>
        <w:rPr>
          <w:rFonts w:ascii="Arial" w:cs="Arial" w:eastAsia="Arial" w:hAnsi="Arial"/>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transactions related thereto are consummated in compliance, in all material respects, with applicable Requirements of Law;</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[reserved];</w:t>
      </w:r>
    </w:p>
    <w:p>
      <w:pPr>
        <w:spacing w:after="0" w:line="229" w:lineRule="exact"/>
        <w:rPr>
          <w:rFonts w:ascii="Arial" w:cs="Arial" w:eastAsia="Arial" w:hAnsi="Arial"/>
          <w:sz w:val="20"/>
          <w:szCs w:val="20"/>
          <w:color w:val="auto"/>
        </w:rPr>
      </w:pPr>
    </w:p>
    <w:p>
      <w:pPr>
        <w:jc w:val="both"/>
        <w:ind w:left="660" w:hanging="328"/>
        <w:spacing w:after="0" w:line="237" w:lineRule="auto"/>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all actions, if any, required to be taken under </w:t>
      </w:r>
      <w:r>
        <w:rPr>
          <w:rFonts w:ascii="Arial" w:cs="Arial" w:eastAsia="Arial" w:hAnsi="Arial"/>
          <w:sz w:val="20"/>
          <w:szCs w:val="20"/>
          <w:u w:val="single" w:color="auto"/>
          <w:color w:val="auto"/>
        </w:rPr>
        <w:t>Section 7.14</w:t>
      </w:r>
      <w:r>
        <w:rPr>
          <w:rFonts w:ascii="Arial" w:cs="Arial" w:eastAsia="Arial" w:hAnsi="Arial"/>
          <w:sz w:val="20"/>
          <w:szCs w:val="20"/>
          <w:color w:val="auto"/>
        </w:rPr>
        <w:t xml:space="preserve"> (subject to any grace periods set forth therein) with respect to any newly formed Subsidiary or Person that becomes a Subsidiary as a result of such Permitted Acquisition and its property are taken as and when required under </w:t>
      </w:r>
      <w:r>
        <w:rPr>
          <w:rFonts w:ascii="Arial" w:cs="Arial" w:eastAsia="Arial" w:hAnsi="Arial"/>
          <w:sz w:val="20"/>
          <w:szCs w:val="20"/>
          <w:u w:val="single" w:color="auto"/>
          <w:color w:val="auto"/>
        </w:rPr>
        <w:t>Section 7.14</w:t>
      </w:r>
      <w:r>
        <w:rPr>
          <w:rFonts w:ascii="Arial" w:cs="Arial" w:eastAsia="Arial" w:hAnsi="Arial"/>
          <w:sz w:val="20"/>
          <w:szCs w:val="20"/>
          <w:color w:val="auto"/>
        </w:rPr>
        <w:t>; and</w:t>
      </w:r>
    </w:p>
    <w:p>
      <w:pPr>
        <w:spacing w:after="0" w:line="209" w:lineRule="exact"/>
        <w:rPr>
          <w:rFonts w:ascii="Arial" w:cs="Arial" w:eastAsia="Arial" w:hAnsi="Arial"/>
          <w:sz w:val="20"/>
          <w:szCs w:val="20"/>
          <w:color w:val="auto"/>
        </w:rPr>
      </w:pPr>
    </w:p>
    <w:p>
      <w:pPr>
        <w:jc w:val="both"/>
        <w:ind w:left="660" w:hanging="328"/>
        <w:spacing w:after="0" w:line="256" w:lineRule="auto"/>
        <w:tabs>
          <w:tab w:leader="none" w:pos="649"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with respect to any transaction involving Acquisition Consideration of more than the greater of (x) $300,000,000 and (y) 2% of Consolidated Total Assets set forth in the financial statements last delivered by Crown Holdings pursuant to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(excluding the maximum value of earn out obligations, if any) in assets that are not (or do not become) owned by a Credit Party or in Capital Stock of Persons that do not become Credit Parties, unless Administrative Agent shall otherwise agree, (A) (i) immediately after giving effect thereto, the aggregate principal amount of unutilized Revolving Commitments shall be equal to or greater than $150,000,000 and (ii) on or before the date of the consummation of such acquisition, Crown Holdings shall provide Administrative Agent with historical financial statements for at least the last Fiscal Year of the Person or business to be acquired (if available) and unaudited financial statements thereof for the most recent interim period (if available) and (B) an officer’s certificate executed by a Responsible Officer of Crown Holdings certifying to his or her knowledge that such transaction complies with clause (e)(A)(i) of this definition (which shall have attached thereto reasonably detailed backup data and calculations showing such compliance).</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Covenant</w:t>
      </w:r>
      <w:r>
        <w:rPr>
          <w:rFonts w:ascii="Arial" w:cs="Arial" w:eastAsia="Arial" w:hAnsi="Arial"/>
          <w:sz w:val="19"/>
          <w:szCs w:val="19"/>
          <w:color w:val="auto"/>
        </w:rPr>
        <w:t>” means (i) any periodic reporting covenant, (ii) any covenant restricting payments by Crown Holdings with respect to any securities of Crown Holdings which are junior to the Permitted Preferred Stock, (iii) any covenant the default of which can only result in an increase in the amount of any redemption price, repayment amount, dividend rate or interest rate, (iv) any covenant providing board observance rights with respect to Crown Holdings’ board of directors and (v) any other covenant that does not materially adversely affect the interests of the Lenders (as reasonably determined by Administrative Agent).</w:t>
      </w:r>
    </w:p>
    <w:p>
      <w:pPr>
        <w:sectPr>
          <w:pgSz w:w="11900" w:h="16838" w:orient="portrait"/>
          <w:cols w:equalWidth="0" w:num="1">
            <w:col w:w="11240"/>
          </w:cols>
          <w:pgMar w:left="320" w:top="1419" w:right="339" w:bottom="1440" w:gutter="0" w:footer="0" w:header="0"/>
        </w:sectPr>
      </w:pPr>
    </w:p>
    <w:bookmarkStart w:id="157" w:name="page158"/>
    <w:bookmarkEnd w:id="157"/>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Cross Chain Transactions</w:t>
      </w:r>
      <w:r>
        <w:rPr>
          <w:rFonts w:ascii="Arial" w:cs="Arial" w:eastAsia="Arial" w:hAnsi="Arial"/>
          <w:sz w:val="20"/>
          <w:szCs w:val="20"/>
          <w:color w:val="auto"/>
        </w:rPr>
        <w:t>” means:</w:t>
      </w:r>
    </w:p>
    <w:p>
      <w:pPr>
        <w:spacing w:after="0" w:line="229" w:lineRule="exact"/>
        <w:rPr>
          <w:sz w:val="20"/>
          <w:szCs w:val="20"/>
          <w:color w:val="auto"/>
        </w:rPr>
      </w:pPr>
    </w:p>
    <w:p>
      <w:pPr>
        <w:jc w:val="both"/>
        <w:ind w:left="660" w:hanging="4"/>
        <w:spacing w:after="0" w:line="275" w:lineRule="auto"/>
        <w:tabs>
          <w:tab w:leader="none" w:pos="901"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merger or consolidation of any Wholly-Owned Subsidiary of U.S. Borrower or European Borrower into any other Subsidiary of U.S. Borrower or European Borrower in a transaction in which the surviving entity is a Wholly-Owned Subsidiary of U.S. Borrower or European Borrower and (if any party to such merger is a Subsidiary Credit Party) is a Subsidiary Credit Party; and</w:t>
      </w:r>
    </w:p>
    <w:p>
      <w:pPr>
        <w:spacing w:after="0" w:line="179" w:lineRule="exact"/>
        <w:rPr>
          <w:rFonts w:ascii="Arial" w:cs="Arial" w:eastAsia="Arial" w:hAnsi="Arial"/>
          <w:sz w:val="18"/>
          <w:szCs w:val="18"/>
          <w:color w:val="auto"/>
        </w:rPr>
      </w:pPr>
    </w:p>
    <w:p>
      <w:pPr>
        <w:ind w:left="940" w:hanging="284"/>
        <w:spacing w:after="0"/>
        <w:tabs>
          <w:tab w:leader="none" w:pos="9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sale or transfer by any Subsidiary Credit Party of all or substantially all of its assets or all</w:t>
      </w:r>
    </w:p>
    <w:p>
      <w:pPr>
        <w:spacing w:after="0" w:line="2" w:lineRule="exact"/>
        <w:rPr>
          <w:sz w:val="20"/>
          <w:szCs w:val="20"/>
          <w:color w:val="auto"/>
        </w:rPr>
      </w:pPr>
    </w:p>
    <w:p>
      <w:pPr>
        <w:ind w:left="660" w:right="3220"/>
        <w:spacing w:after="0" w:line="231" w:lineRule="auto"/>
        <w:rPr>
          <w:sz w:val="20"/>
          <w:szCs w:val="20"/>
          <w:color w:val="auto"/>
        </w:rPr>
      </w:pPr>
      <w:r>
        <w:rPr>
          <w:rFonts w:ascii="Arial" w:cs="Arial" w:eastAsia="Arial" w:hAnsi="Arial"/>
          <w:sz w:val="20"/>
          <w:szCs w:val="20"/>
          <w:color w:val="auto"/>
        </w:rPr>
        <w:t>of the stock of a Subsidiary that it owns to any other Subsidiary Credit Party or any such sale between Subsidiaries that are not Credit Parties (whether or not such Subsidiaries are both Subsidiaries of the same Borrower);</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one or more of the Subsidiaries that are the subject of the merger or sale of assets or sale of stock, or the seller of the stock is a Credit Party, the Liens under the Security Documents on the assets or such stock and the Guarantee Obligations of such Credit Parties under the Loan Documents will (and Administrative Agent will be satisfied that such Lien and Guarantee Obligations will) remain valid, enforceable and shall not be impaired as a result of such transactions and that the Lien on such assets or such stock continues to secure at least all Obligations secured prior to such transactions and Administrative Agent shall have received legal opinions from counsel to Borrowers and reasonably acceptable to Administrative Agent in form and substance reasonably satisfactory to Administrative Agent with respect to the continued validity and enforceability and non-impairment of such Guarantee Obligations and Liens and the continued perfection of such Liens, (b) if the surviving entity of any such merger in clause (i) is not a Credit Party or any such sale in clause (ii) is to a Subsidiary that is not a Credit Party, the parent companies of the non-surviving entity or the seller, as applicable, received fair consideration in connection with such transaction in the form of either cash or an intercompany note secured by substantially all of the assets of the obligor and (c) Crown Holdings shall have delivered an officers’ certificate to Administrative Agent confirming compliance with clauses (a) and (b).</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European Borrower Debt</w:t>
      </w:r>
      <w:r>
        <w:rPr>
          <w:rFonts w:ascii="Arial" w:cs="Arial" w:eastAsia="Arial" w:hAnsi="Arial"/>
          <w:sz w:val="18"/>
          <w:szCs w:val="18"/>
          <w:color w:val="auto"/>
        </w:rPr>
        <w:t>” means unsecured indebtedness for borrowed money, in the form of senior or subordinated unsecured term loans, senior or subordinated unsecured revolving credit loans, or senior or subordinated unsecured notes, including convertible notes, of the European Borrower, the terms of which indebtedness (i) do not provide for any scheduled repayment, mandatory redemption or sinking fund obligation prior to six months after the then latest Term Maturity Date or Revolver Termination Date (whichever is latest) (provided that the limitations set forth in this clause (i) shall not apply to Permitted European Borrower Debt in an aggregate principal amount not to exceed the Inside Maturity Date Amount), (ii) do not restrict, limit or adversely affect the ability of any Credit Party or any of its Subsidiaries to perform its obligations under any of the Loan Documents, (iii) provide that no Subsidiary of Crown Holdings is a guarantor under such notes that is not a Credit Party, (iv) are customary for similar offerings by issuers with credit ratings, financial profiles and capital structures comparable to that of the European Borrower, and (v) such indebtedness (other than notes issued pursuant to a public offering or pursuant to an offering in reliance on Section 4(2) and Rule 144A and/or Regulation S under the Securities Act of 1933, as amended) shall otherwise be issued on terms and conditions reasonably satisfactory to the Administrative Agent.</w:t>
      </w:r>
    </w:p>
    <w:p>
      <w:pPr>
        <w:spacing w:after="0" w:line="20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Guarantee Obligations</w:t>
      </w:r>
      <w:r>
        <w:rPr>
          <w:rFonts w:ascii="Arial" w:cs="Arial" w:eastAsia="Arial" w:hAnsi="Arial"/>
          <w:sz w:val="20"/>
          <w:szCs w:val="20"/>
          <w:color w:val="auto"/>
        </w:rPr>
        <w:t xml:space="preserve">” means (i) Guarantee Obligations of Crown Holdings or any of its Subsidiaries of obligations of any Person under leases, subleases, licenses, sublicenses, supply contracts and other contracts or warranties and indemnities, in each case, not constituting Indebtedness of such Person, which have been or are undertaken or made in the ordinary course of business by Crown Holdings or any of its Subsidiaries (including, without limitation, guarantees of leases and supply contracts entered into in the ordinary course of business), (ii) Guarantee Obligations of any Credit Party with respect to Indebtedness permitted under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of any Credit Party (other than </w:t>
      </w:r>
      <w:r>
        <w:rPr>
          <w:rFonts w:ascii="Arial" w:cs="Arial" w:eastAsia="Arial" w:hAnsi="Arial"/>
          <w:sz w:val="20"/>
          <w:szCs w:val="20"/>
          <w:u w:val="single" w:color="auto"/>
          <w:color w:val="auto"/>
        </w:rPr>
        <w:t>clauses (a)(xiv)</w:t>
      </w:r>
    </w:p>
    <w:p>
      <w:pPr>
        <w:sectPr>
          <w:pgSz w:w="11900" w:h="16838" w:orient="portrait"/>
          <w:cols w:equalWidth="0" w:num="1">
            <w:col w:w="11240"/>
          </w:cols>
          <w:pgMar w:left="320" w:top="1419" w:right="339" w:bottom="1440" w:gutter="0" w:footer="0" w:header="0"/>
        </w:sectPr>
      </w:pPr>
    </w:p>
    <w:bookmarkStart w:id="158" w:name="page159"/>
    <w:bookmarkEnd w:id="158"/>
    <w:p>
      <w:pPr>
        <w:jc w:val="both"/>
        <w:spacing w:after="0" w:line="254"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(a)(xix)</w:t>
      </w:r>
      <w:r>
        <w:rPr>
          <w:rFonts w:ascii="Arial" w:cs="Arial" w:eastAsia="Arial" w:hAnsi="Arial"/>
          <w:sz w:val="18"/>
          <w:szCs w:val="18"/>
          <w:color w:val="auto"/>
        </w:rPr>
        <w:t xml:space="preserve"> (unless such Person becomes a Credit Party as a result of such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such Indebtedness is contractually subordinated to the Obligations, such Guarantee Obligation shall also be contractually subordinated to the Obligations on similar subordination terms or otherwise on terms reasonably acceptable to the Administrative Agent, (iii) Guarantee Obligations of any Subsidiary that is not a Credit Party with respect to Indebtedness permitted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Crown Holdings or any Subsidiary (except that a Subsidiary that is not a Credit Party may not, by virtue of this clause (iii), guarantee Indebtedness that such Subsidiary could not otherwise incur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(iv) Guarantee Obligations with respect to surety, appeal, performance bonds and similar bonds or statutory obligations incurred by Crown Holdings or any of its Subsidiaries in the ordinary course, (v) Guarantee Obligations of Crown Holdings and any of its Subsidiaries with respect to Indebtedness permitted under </w:t>
      </w:r>
      <w:r>
        <w:rPr>
          <w:rFonts w:ascii="Arial" w:cs="Arial" w:eastAsia="Arial" w:hAnsi="Arial"/>
          <w:sz w:val="18"/>
          <w:szCs w:val="18"/>
          <w:u w:val="single" w:color="auto"/>
          <w:color w:val="auto"/>
        </w:rPr>
        <w:t>Sections 8.1(a)(xiv)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(a)(xix)</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such Guarantee Obligations shall rank no higher than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Obligations, (vi) Guarantee Obligations incurred in the ordinary course of business or consistent with industry practice in respect of obligations of Crown Holdings or any Subsidiary to vendors, suppliers, customers, franchisees, lessors, licensees, sub-licensees and distribution partners and (vii) additional Guarantee Obligations which (other than Guarantee Obligations of Indebtedness permitted under </w:t>
      </w:r>
      <w:r>
        <w:rPr>
          <w:rFonts w:ascii="Arial" w:cs="Arial" w:eastAsia="Arial" w:hAnsi="Arial"/>
          <w:sz w:val="18"/>
          <w:szCs w:val="18"/>
          <w:u w:val="single" w:color="auto"/>
          <w:color w:val="auto"/>
        </w:rPr>
        <w:t>Section 8.1(a)(vii))</w:t>
      </w:r>
      <w:r>
        <w:rPr>
          <w:rFonts w:ascii="Arial" w:cs="Arial" w:eastAsia="Arial" w:hAnsi="Arial"/>
          <w:sz w:val="18"/>
          <w:szCs w:val="18"/>
          <w:color w:val="auto"/>
        </w:rPr>
        <w:t xml:space="preserve"> do not exceed in the aggregate at any time the greater of (x) the Dollar Equivalent of $500,000,000 and (y) 3.5% of Consolidated Total Assets as set forth in the financial statement last delivered by Crown Holdings pursuant to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Holding Company Transaction</w:t>
      </w:r>
      <w:r>
        <w:rPr>
          <w:rFonts w:ascii="Arial" w:cs="Arial" w:eastAsia="Arial" w:hAnsi="Arial"/>
          <w:sz w:val="20"/>
          <w:szCs w:val="20"/>
          <w:color w:val="auto"/>
        </w:rPr>
        <w:t>” means:</w:t>
      </w:r>
    </w:p>
    <w:p>
      <w:pPr>
        <w:spacing w:after="0" w:line="229" w:lineRule="exact"/>
        <w:rPr>
          <w:sz w:val="20"/>
          <w:szCs w:val="20"/>
          <w:color w:val="auto"/>
        </w:rPr>
      </w:pPr>
    </w:p>
    <w:p>
      <w:pPr>
        <w:ind w:left="660" w:right="2920" w:hanging="4"/>
        <w:spacing w:after="0" w:line="275" w:lineRule="auto"/>
        <w:tabs>
          <w:tab w:leader="none" w:pos="896"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merger or consolidation of any Subsidiary with or into a Wholly-Owned Subsidiary of Crown Holdings that is a Parent Guarantor (other than CCSC) and, if such merger or consolidation includes a Borrower, with the applicable Borrower as the surviving corporation; or</w:t>
      </w:r>
    </w:p>
    <w:p>
      <w:pPr>
        <w:spacing w:after="0" w:line="179" w:lineRule="exact"/>
        <w:rPr>
          <w:rFonts w:ascii="Arial" w:cs="Arial" w:eastAsia="Arial" w:hAnsi="Arial"/>
          <w:sz w:val="18"/>
          <w:szCs w:val="18"/>
          <w:color w:val="auto"/>
        </w:rPr>
      </w:pPr>
    </w:p>
    <w:p>
      <w:pPr>
        <w:ind w:left="660" w:right="3060" w:hanging="4"/>
        <w:spacing w:after="0" w:line="237" w:lineRule="auto"/>
        <w:tabs>
          <w:tab w:leader="none" w:pos="951" w:val="left"/>
        </w:tabs>
        <w:numPr>
          <w:ilvl w:val="0"/>
          <w:numId w:val="67"/>
        </w:numPr>
        <w:rPr>
          <w:rFonts w:ascii="Arial" w:cs="Arial" w:eastAsia="Arial" w:hAnsi="Arial"/>
          <w:sz w:val="20"/>
          <w:szCs w:val="20"/>
          <w:color w:val="auto"/>
        </w:rPr>
      </w:pPr>
      <w:r>
        <w:rPr>
          <w:rFonts w:ascii="Arial" w:cs="Arial" w:eastAsia="Arial" w:hAnsi="Arial"/>
          <w:sz w:val="20"/>
          <w:szCs w:val="20"/>
          <w:color w:val="auto"/>
        </w:rPr>
        <w:t>any sale of the Capital Stock of any Subsidiary or any distribution or dividend or other transfer of the Capital Stock of any Subsidiary to Crown Holdings or any of its Wholly-Owned Subsidiaries that is a Parent Guarantor (other than CCSC);</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 if the Subsidiary that is the subject of the merger or consolidation or the sale or dividend or distribution of Capital Stock is a Credit Party, the Liens under the Security Documents on the Capital Stock and assets and the Guarantee Obligations of such Credit Party under the Guarantee Agreements will (and Administrative Agent will be satisfied that such Lien and Guarantee Agreements will) remain valid, enforceable and shall not be impaired as a result of such transactions and that the Lien on such assets continues to secure at least all Obligations secured prior to such transactions, and Administrative Agent shall have received legal opinions from counsel to the Borrowers and reasonably acceptable to Administrative Agent in form and substance reasonably satisfactory to Administrative Agent with respect to the continued validity and enforceability and non-impairment of such Guarantee Agreements and Liens and the continued perfection of such Liens, (b) Crown Holdings shall have delivered an officers’ certificate to Administrative Agent confirming compliance with </w:t>
      </w:r>
      <w:r>
        <w:rPr>
          <w:rFonts w:ascii="Arial" w:cs="Arial" w:eastAsia="Arial" w:hAnsi="Arial"/>
          <w:sz w:val="19"/>
          <w:szCs w:val="19"/>
          <w:u w:val="single" w:color="auto"/>
          <w:color w:val="auto"/>
        </w:rPr>
        <w:t>clause (a)</w:t>
      </w:r>
      <w:r>
        <w:rPr>
          <w:rFonts w:ascii="Arial" w:cs="Arial" w:eastAsia="Arial" w:hAnsi="Arial"/>
          <w:sz w:val="19"/>
          <w:szCs w:val="19"/>
          <w:color w:val="auto"/>
        </w:rPr>
        <w:t>, and (c) after the consummation of such transaction, Crown Holdings will own at all times, directly or indirectly, 100% of the Capital Stock of U.S. Borrower and European Borrower (the failure of this condition to be met at any time shall be deemed an occurrence of a Change of Control).</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8.2</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Preferred Stock</w:t>
      </w:r>
      <w:r>
        <w:rPr>
          <w:rFonts w:ascii="Arial" w:cs="Arial" w:eastAsia="Arial" w:hAnsi="Arial"/>
          <w:sz w:val="19"/>
          <w:szCs w:val="19"/>
          <w:color w:val="auto"/>
        </w:rPr>
        <w:t>” means any preferred stock of Crown Holdings (or any equity security of Crown Holdings that is convertible or exchangeable into any preferred stock of Crown Holdings), so long as the terms of any such preferred stock or equity security of Crown Holdings: (i) do not provide any collateral security, (ii) do not provide any guaranty or other support by Crown Holdings or any of its Subsidiaries, (iii) do not contain any mandatory put, redemption, repayment, sinking fund or</w:t>
      </w:r>
    </w:p>
    <w:p>
      <w:pPr>
        <w:sectPr>
          <w:pgSz w:w="11900" w:h="16838" w:orient="portrait"/>
          <w:cols w:equalWidth="0" w:num="1">
            <w:col w:w="11240"/>
          </w:cols>
          <w:pgMar w:left="320" w:top="1419" w:right="339" w:bottom="1440" w:gutter="0" w:footer="0" w:header="0"/>
        </w:sectPr>
      </w:pPr>
    </w:p>
    <w:bookmarkStart w:id="159" w:name="page160"/>
    <w:bookmarkEnd w:id="159"/>
    <w:p>
      <w:pPr>
        <w:jc w:val="both"/>
        <w:spacing w:after="0" w:line="231" w:lineRule="auto"/>
        <w:rPr>
          <w:sz w:val="20"/>
          <w:szCs w:val="20"/>
          <w:color w:val="auto"/>
        </w:rPr>
      </w:pPr>
      <w:r>
        <w:rPr>
          <w:rFonts w:ascii="Arial" w:cs="Arial" w:eastAsia="Arial" w:hAnsi="Arial"/>
          <w:sz w:val="20"/>
          <w:szCs w:val="20"/>
          <w:color w:val="auto"/>
        </w:rPr>
        <w:t>other similar provision occurring before the eighth anniversary of the Incremental Amendment No. 2 and Third Amendment, (iv) do not require the cash payment of dividends or interest, (v) do not contain any covenants other than Permitted Covenants, and (vi) do not grant the holders thereof any voting rights except for (x) voting rights required to be granted to such holders under applicable law, (y) limited customary voting rights on fundamental matters such as mergers, amalgamations, consolidations, sales of substantial assets, or liquidations involving Crown Holdings and (z) other voting rights to the extent not greater than or superior to those allocated to Crown Holdings common stock on a per share basis.</w:t>
      </w:r>
    </w:p>
    <w:p>
      <w:pPr>
        <w:spacing w:after="0" w:line="21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Ratio Debt</w:t>
      </w:r>
      <w:r>
        <w:rPr>
          <w:rFonts w:ascii="Arial" w:cs="Arial" w:eastAsia="Arial" w:hAnsi="Arial"/>
          <w:sz w:val="18"/>
          <w:szCs w:val="18"/>
          <w:color w:val="auto"/>
        </w:rPr>
        <w:t>” means Indebtedness of Crown Holdings, the U.S. Borrower, the Canadian Borrower, the European Borrower or any of their respective Subsidiaries, the terms of which Indebtedness (i) do not provide for any scheduled repayment, mandatory redemption or sinking fund obligation prior to the then latest Term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final maturity limitations set forth in this clause (i) shall not apply to Permitted Ratio Debt in an aggregate principal amount not to exceed the Inside Maturity Date Amount), (ii) do not materially restrict, limit or adversely affect the ability of any Credit Party or any of its Subsidiaries to perform its obligations under any of the Loan Documents, (iii) provide that no Subsidiary of Crown Holdings is a guarantor under such Indebtedness that is not a Credit Party (unless such Person shall substantially concurrently become a Credit Party hereunder pursuant to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(iv) provide that no assets secure such Indebtedness that does not secure the Obligations (unless such assets shall substantially concurrently become a part of the Collateral) and (v) taken as a whole, shall be no more restrictive than those applicable to the existing Term Facilities (other than as to pricing, interest rate margins, interest rate floors, discounts, fees, premiums, other economic terms, maturity and prepayment or redemption terms (provided that such Permitted Ratio Debt shall not include more favorable prepayment treatment than the other tranches of Term Loans)), except for covenants and other provisions applicable only to periods after the earlier to occur of the date that all other Term Loans are paid in full (other than Unasserted Contingent Obligations) and the latest Term Maturity Date at the time such Indebtedness are incurred (without regard to the maturity date of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to the extent the terms and conditions of such Indebtedness are not consistent with one or more of the existing Term Facilities (except to the extent permitted pursuant to the immediately preceding proviso or clause (Y) below), such terms and conditions may differ if reasonably satisfactory to Crown Holdings and the Administrative Agent or (Y) in the event such terms are more favorable (taken as a whole) to the Lenders providing such Indebtedness, (A) the applicable Borrowers shall have the right to unilaterally provide the existing Term Lenders with additional rights and benefits and the “no more restrictive than” requirement of the preceding proviso and compliance therewith shall be determined after giving effect to such additional rights and benefits and (B) to the extent any financial maintenance covenant is added for the benefit of the Lenders under such Indebtedness, no consent shall be required from the Administrative Agent or any Lender to the extent that such financial maintenance covenant is also added for the benefit of the Term Loans that remain outstanding after the issuance or incurrence of such Indebtedness (to the extent not already benefitting from any similar financial maintenance covenant and to the extent that such financial maintenance covenant would be effective prior to the latest Term Maturity Date for such Term Facilities) (it being understood and agreed that Crown Holdings may, at its option, deliver a certificate to the Administrative Agent certifying that the requirements of the provisos to this clause (v)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w:t>
      </w:r>
    </w:p>
    <w:p>
      <w:pPr>
        <w:spacing w:after="0" w:line="20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Real Property Encumbrances</w:t>
      </w:r>
      <w:r>
        <w:rPr>
          <w:rFonts w:ascii="Arial" w:cs="Arial" w:eastAsia="Arial" w:hAnsi="Arial"/>
          <w:sz w:val="20"/>
          <w:szCs w:val="20"/>
          <w:color w:val="auto"/>
        </w:rPr>
        <w:t>” means (i) as to any particular real property at any time, such easements, encroachments, covenants, conditions, restrictions, reservations, rights of way, subdivisions, parcelizations, licenses, minor defects, irregularities, encumbrances on title (including leasehold title) or other similar charges or encumbrances which do not materially detract from the value of such real property for the purpose for which it is held by the owner thereof, (ii) municipal and zoning ordinances and other land use or environmental regulations or restrictions, which are not violated in any</w:t>
      </w:r>
    </w:p>
    <w:p>
      <w:pPr>
        <w:sectPr>
          <w:pgSz w:w="11900" w:h="16838" w:orient="portrait"/>
          <w:cols w:equalWidth="0" w:num="1">
            <w:col w:w="11240"/>
          </w:cols>
          <w:pgMar w:left="320" w:top="1419" w:right="339" w:bottom="1440" w:gutter="0" w:footer="0" w:header="0"/>
        </w:sectPr>
      </w:pPr>
    </w:p>
    <w:bookmarkStart w:id="160" w:name="page161"/>
    <w:bookmarkEnd w:id="160"/>
    <w:p>
      <w:pPr>
        <w:jc w:val="both"/>
        <w:spacing w:after="0" w:line="256" w:lineRule="auto"/>
        <w:rPr>
          <w:sz w:val="20"/>
          <w:szCs w:val="20"/>
          <w:color w:val="auto"/>
        </w:rPr>
      </w:pPr>
      <w:r>
        <w:rPr>
          <w:rFonts w:ascii="Arial" w:cs="Arial" w:eastAsia="Arial" w:hAnsi="Arial"/>
          <w:sz w:val="18"/>
          <w:szCs w:val="18"/>
          <w:color w:val="auto"/>
        </w:rPr>
        <w:t>material respect by the existing improvements and the present use made by the owner thereof of the premises, (iii) landlord’s liens, or mechanics’, carriers’, workers’, repairers’ and similar encumbrances arising or incurred in the ordinary course of business for amounts which are not delinquent, (iv) encumbrances for Taxes, assessments and governmental charges not yet due and payable, (v)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 or as to which the grace period has not yet expired (not to exceed 30 days) or the amount or validity of which are being contested in good faith by proper proceedings diligently conducted and for which adequate reserves have been established in conformity with GAAP or, in the case of a Non-U.S. Subsidiary, generally accepted accounting principles in effect from time to time in its jurisdiction of organization, (vi) any matters disclosed on any survey, aerial survey, ExpressMap or equivalent photographic depiction delivered by a Borrower to the Administrative Agent, and (vii) such other items to which the Administrative Agent may consent in its reasonable discretion.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Receivables or Factoring Financings</w:t>
      </w:r>
      <w:r>
        <w:rPr>
          <w:rFonts w:ascii="Arial" w:cs="Arial" w:eastAsia="Arial" w:hAnsi="Arial"/>
          <w:sz w:val="20"/>
          <w:szCs w:val="20"/>
          <w:color w:val="auto"/>
        </w:rPr>
        <w:t>” means:</w:t>
      </w:r>
    </w:p>
    <w:p>
      <w:pPr>
        <w:spacing w:after="0" w:line="2" w:lineRule="exact"/>
        <w:rPr>
          <w:sz w:val="20"/>
          <w:szCs w:val="20"/>
          <w:color w:val="auto"/>
        </w:rPr>
      </w:pPr>
    </w:p>
    <w:p>
      <w:pPr>
        <w:ind w:left="660" w:right="3160" w:hanging="4"/>
        <w:spacing w:after="0" w:line="266" w:lineRule="auto"/>
        <w:tabs>
          <w:tab w:leader="none" w:pos="896" w:val="left"/>
        </w:tabs>
        <w:numPr>
          <w:ilvl w:val="0"/>
          <w:numId w:val="68"/>
        </w:numPr>
        <w:rPr>
          <w:rFonts w:ascii="Arial" w:cs="Arial" w:eastAsia="Arial" w:hAnsi="Arial"/>
          <w:sz w:val="18"/>
          <w:szCs w:val="18"/>
          <w:color w:val="auto"/>
        </w:rPr>
      </w:pPr>
      <w:r>
        <w:rPr>
          <w:rFonts w:ascii="Arial" w:cs="Arial" w:eastAsia="Arial" w:hAnsi="Arial"/>
          <w:sz w:val="18"/>
          <w:szCs w:val="18"/>
          <w:color w:val="auto"/>
        </w:rPr>
        <w:t>(x) the transactions under the Receivables Purchase Agreement and under the “Transaction Documents” as defined therein and (y) the transactions under the Receivables Purchase Agreement II and under the “Transaction Documents” as defined therein,</w:t>
      </w:r>
    </w:p>
    <w:p>
      <w:pPr>
        <w:spacing w:after="0" w:line="186" w:lineRule="exact"/>
        <w:rPr>
          <w:rFonts w:ascii="Arial" w:cs="Arial" w:eastAsia="Arial" w:hAnsi="Arial"/>
          <w:sz w:val="18"/>
          <w:szCs w:val="18"/>
          <w:color w:val="auto"/>
        </w:rPr>
      </w:pPr>
    </w:p>
    <w:p>
      <w:pPr>
        <w:ind w:left="660" w:right="3640" w:hanging="4"/>
        <w:spacing w:after="0" w:line="246" w:lineRule="auto"/>
        <w:tabs>
          <w:tab w:leader="none" w:pos="951"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transactions under the European Receivables Purchase Agreement and under the “Transaction Documents” as defined therein,</w:t>
      </w:r>
    </w:p>
    <w:p>
      <w:pPr>
        <w:spacing w:after="0" w:line="203" w:lineRule="exact"/>
        <w:rPr>
          <w:rFonts w:ascii="Arial" w:cs="Arial" w:eastAsia="Arial" w:hAnsi="Arial"/>
          <w:sz w:val="20"/>
          <w:szCs w:val="20"/>
          <w:color w:val="auto"/>
        </w:rPr>
      </w:pPr>
    </w:p>
    <w:p>
      <w:pPr>
        <w:ind w:left="1000" w:hanging="344"/>
        <w:spacing w:after="0"/>
        <w:tabs>
          <w:tab w:leader="none" w:pos="100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Existing Factoring Facilities, and</w:t>
      </w:r>
    </w:p>
    <w:p>
      <w:pPr>
        <w:spacing w:after="0" w:line="229" w:lineRule="exact"/>
        <w:rPr>
          <w:rFonts w:ascii="Arial" w:cs="Arial" w:eastAsia="Arial" w:hAnsi="Arial"/>
          <w:sz w:val="20"/>
          <w:szCs w:val="20"/>
          <w:color w:val="auto"/>
        </w:rPr>
      </w:pPr>
    </w:p>
    <w:p>
      <w:pPr>
        <w:ind w:left="660" w:right="2820" w:hanging="4"/>
        <w:spacing w:after="0"/>
        <w:tabs>
          <w:tab w:leader="none" w:pos="995" w:val="left"/>
        </w:tabs>
        <w:numPr>
          <w:ilvl w:val="0"/>
          <w:numId w:val="68"/>
        </w:numPr>
        <w:rPr>
          <w:rFonts w:ascii="Arial" w:cs="Arial" w:eastAsia="Arial" w:hAnsi="Arial"/>
          <w:sz w:val="19"/>
          <w:szCs w:val="19"/>
          <w:color w:val="auto"/>
        </w:rPr>
      </w:pPr>
      <w:r>
        <w:rPr>
          <w:rFonts w:ascii="Arial" w:cs="Arial" w:eastAsia="Arial" w:hAnsi="Arial"/>
          <w:sz w:val="19"/>
          <w:szCs w:val="19"/>
          <w:color w:val="auto"/>
        </w:rPr>
        <w:t>refinancings of the program under the Receivables Purchase Agreement, the European Receivables Purchase Agreement, the Receivables Purchase Agreement II and/or the Existing Factoring Facilities (including, without limitation, by extending the maturity thereof) or the consummation of one or more other receivables or factoring financings (including any amendment, modification or supplement thereto or refinancing or extension thereof), with the aggregate Receivables Net Investment of all Permitted Receivables or Factoring Financings under clauses (i) through (iv) outstanding at any time not to exceed $1,950,000,000, in each case pursuant to a structured receivables financing consisting of a securitization or factoring of Receivables Assets the material terms of which are (x) substantially similar to the receivables or factoring programs described in clauses (i) through (iii) or (y) on market terms for companies having a credit profile similar to Crown Holdings and its Subsidiaries at the time of such refinancing or financing.</w:t>
      </w:r>
    </w:p>
    <w:p>
      <w:pPr>
        <w:spacing w:after="0" w:line="21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 Indebtedness</w:t>
      </w:r>
      <w:r>
        <w:rPr>
          <w:rFonts w:ascii="Arial" w:cs="Arial" w:eastAsia="Arial" w:hAnsi="Arial"/>
          <w:sz w:val="18"/>
          <w:szCs w:val="18"/>
          <w:color w:val="auto"/>
        </w:rPr>
        <w:t xml:space="preserve">” means any extension, renewal, refinancing, refunding, defeasance, restructuring or replacement of any Indebtedness incurred by a Credit Party that (a) does not increase the principal amount outstanding thereunder as of the Incremental Amendment No. 2 and Third Amendment Effective Date plus, (i) in the case of a revolving facility or other undrawn letter of credit or term loan, the unutilized commitments thereunder (as determined as of the date of the incurrence of the Indebtedness in accordance with GAAP) does not exceed the Dollar Equivalent of the principal amount of the aggregate amount of Indebtedness and unutilized commitments refinanced thereby on such date, plus (ii) all accrued interest and premiums and the amounts of all fees, expenses, commissions, penalties (including prepayment penalties) and premiums incurred in connection with such extension, renewal, refinancing, refunding, defeasance, restructuring or replacement, plus (iii) without duplication, any additional amount that would otherwise be permitted to be incurred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if applicable, secured under </w:t>
      </w:r>
      <w:r>
        <w:rPr>
          <w:rFonts w:ascii="Arial" w:cs="Arial" w:eastAsia="Arial" w:hAnsi="Arial"/>
          <w:sz w:val="18"/>
          <w:szCs w:val="18"/>
          <w:u w:val="single" w:color="auto"/>
          <w:color w:val="auto"/>
        </w:rPr>
        <w:t>Section 8.2</w:t>
      </w:r>
      <w:r>
        <w:rPr>
          <w:rFonts w:ascii="Arial" w:cs="Arial" w:eastAsia="Arial" w:hAnsi="Arial"/>
          <w:sz w:val="18"/>
          <w:szCs w:val="18"/>
          <w:color w:val="auto"/>
        </w:rPr>
        <w:t>); (b) the final maturity date of such Indebtedness shall be no earlier than the final maturity date of the Indebtedness being replaced, renewed, refinanced, extended, defeased, restructured, or refunded; (c) the Weighted Average Life to Maturity of such Indebtedness is not less than</w:t>
      </w:r>
    </w:p>
    <w:p>
      <w:pPr>
        <w:sectPr>
          <w:pgSz w:w="11900" w:h="16838" w:orient="portrait"/>
          <w:cols w:equalWidth="0" w:num="1">
            <w:col w:w="11240"/>
          </w:cols>
          <w:pgMar w:left="320" w:top="1419" w:right="339" w:bottom="1440" w:gutter="0" w:footer="0" w:header="0"/>
        </w:sectPr>
      </w:pPr>
    </w:p>
    <w:bookmarkStart w:id="161" w:name="page162"/>
    <w:bookmarkEnd w:id="161"/>
    <w:p>
      <w:pPr>
        <w:jc w:val="both"/>
        <w:spacing w:after="0" w:line="288" w:lineRule="auto"/>
        <w:rPr>
          <w:sz w:val="20"/>
          <w:szCs w:val="20"/>
          <w:color w:val="auto"/>
        </w:rPr>
      </w:pPr>
      <w:r>
        <w:rPr>
          <w:rFonts w:ascii="Arial" w:cs="Arial" w:eastAsia="Arial" w:hAnsi="Arial"/>
          <w:sz w:val="16"/>
          <w:szCs w:val="16"/>
          <w:color w:val="auto"/>
        </w:rPr>
        <w:t>the Weighted Average Life to Maturity of the Indebtedness being replaced, renewed, refinanced, extended, defeased, restructured, or refunded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Weighted Average Life to Maturity and final maturity limitations set forth in clauses (b) and (c) of this definition shall not apply to Additional Term Loans in an aggregate principal amount not to exceed the Inside Maturity Date Amount); (d) such Indebtedness is not guaranteed by any Credit Party or any Subsidiary of any Credit Party except (i) to the extent such Person guaranteed or was the borrower or issuer of such Indebtedness being replaced, renewed, refinanced, extended, defeased, restructured, or refunded or (ii) to the extent such Person is or becomes a Credit Party within 5 Business Days (or within such longer period of time that the Collateral Agent may agree in its sole discretion) after the date such Permitted Refinancing Indebtedness is incurred; (e) such Indebtedness is not secured by any assets other than those required to secure such Indebtedness on the Incremental Amendment No. 2 and Third Amendment Effective Date (or, if later, the date such Indebtedness was incurred, assumed or acquired) and, in the case of Capital Lease Obligations and Attributable Debt, such Indebtedness may also be secured by assets of the type securing such Indebtedness (to the extent that such assets would be permitted to be subject to Liens securing Capital Lease Obligations or Attributable Debt pursuant to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without regard to this </w:t>
      </w:r>
      <w:r>
        <w:rPr>
          <w:rFonts w:ascii="Arial" w:cs="Arial" w:eastAsia="Arial" w:hAnsi="Arial"/>
          <w:sz w:val="16"/>
          <w:szCs w:val="16"/>
          <w:u w:val="single" w:color="auto"/>
          <w:color w:val="auto"/>
        </w:rPr>
        <w:t>clause</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u w:val="single" w:color="auto"/>
          <w:color w:val="auto"/>
        </w:rPr>
        <w:t>(e)</w:t>
      </w:r>
      <w:r>
        <w:rPr>
          <w:rFonts w:ascii="Arial" w:cs="Arial" w:eastAsia="Arial" w:hAnsi="Arial"/>
          <w:sz w:val="18"/>
          <w:szCs w:val="18"/>
          <w:color w:val="auto"/>
        </w:rPr>
        <w:t xml:space="preserve">) on the Incremental Amendment No. 2 and Third Amendment Effective Date (or, if later, the date such Indebtedness was incurred, assumed or acquired); (f) in the case of other such Indebtedness the Dollar Equivalent amount which is in excess of the greater of (x) $300,000,000 and (y) 3% Consolidated Total Assets set forth in the financial statements last delivered by Crown Holdings pursuant to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the covenants, defaults and similar non-economic provisions applicable to such Indebtedness that are either (A), taken as a whole, are not materially less favorable to the obligor thereon or to the Lenders than either (i) the provisions contained in the original documentation for such Indebtedness or (ii) in this Agreement or (B) on customary market terms for Indebtedness of such type and so long as Crown Holdings has determined in good faith that such covenants, defaults and similar non-economic provisions, taken as a whole, would not reasonably be expected to impair in any material respect the ability of the Credit Parties to perform their obligations under the Loan Documents, and, in either case, do not contravene in any material respect the provisions of this Agreement and such Indebtedness is at the then prevailing market rates (it being understood and agreed that Crown Holdings may, at its option, deliver a certificate to the Administrative Agent at least 5 Business Days prior to the incurrence of such Indebtedness certifying that the requirements of either clause</w:t>
      </w:r>
    </w:p>
    <w:p>
      <w:pPr>
        <w:spacing w:after="0" w:line="4" w:lineRule="exact"/>
        <w:rPr>
          <w:sz w:val="20"/>
          <w:szCs w:val="20"/>
          <w:color w:val="auto"/>
        </w:rPr>
      </w:pPr>
    </w:p>
    <w:p>
      <w:pPr>
        <w:jc w:val="both"/>
        <w:ind w:firstLine="8"/>
        <w:spacing w:after="0" w:line="252" w:lineRule="auto"/>
        <w:tabs>
          <w:tab w:leader="none" w:pos="325" w:val="left"/>
        </w:tabs>
        <w:numPr>
          <w:ilvl w:val="0"/>
          <w:numId w:val="69"/>
        </w:numPr>
        <w:rPr>
          <w:rFonts w:ascii="Arial" w:cs="Arial" w:eastAsia="Arial" w:hAnsi="Arial"/>
          <w:sz w:val="18"/>
          <w:szCs w:val="18"/>
          <w:color w:val="auto"/>
        </w:rPr>
      </w:pPr>
      <w:r>
        <w:rPr>
          <w:rFonts w:ascii="Arial" w:cs="Arial" w:eastAsia="Arial" w:hAnsi="Arial"/>
          <w:sz w:val="18"/>
          <w:szCs w:val="18"/>
          <w:color w:val="auto"/>
        </w:rPr>
        <w:t>or (B) of this clause (f) have been satisfied,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and notwithstanding the foregoing, the covenants, defaults and similar non-economic provisions applicable to such Indebtedness shall not be deemed to contravene in any material respect the provisions of this Agreement solely because (i) prepayment or repayment of such Indebtedness, in whole or in part, by Crown Holdings or its Subsidiaries is required pursuant to any “change of control” or “asset sale” prepayment provisions customary for such Indebtedness, (ii) such Indebtedness may be converted into, exchanged for, or which may, in whole or in part, be satisfied by the delivery of Crown Holdings’ Capital Stock upon the occurrence of a conversion or exchange event related to the price of Crown Holdings’ Capital Stock, the trading price of such Indebtedness, a “change of control”, “asset sale” or “fundamental change” or other specified corporate transaction or corporate event or (iii) prepayment or repayment of such Indebtedness, in whole or in part, by Crown Holdings or its Subsidiaries is required upon the occurrence of any special and/or mandatory redemption event (or similar or equivalent terms) as a result of a specified corporate transaction or corporate event not proceeding because of a failure of condition precedent in relation to such specified corporate transaction or corporate event; (g) in the case of Permitted Refinancing Indebtedness of Subordinated Indebtedness, such Permitted Refinancing Indebtedness constitutes Subordinated Indebtedness; and (i) in the case of Permitted Refinancing Indebtedness of CCSC 2026 Debentures or CCSC 2096 Debentures, if the Indebtedness under this Agreement is rated Ba2 or lower by Moody’s and BB- or lower by S&amp;P, Crown Holdings shall provide written confirmation from each of Moody’s and S&amp;P that the rating of such Indebtedness will not be downgraded by either Moody’s or S&amp;P as a result of the incurrence of such Permitted Refinancing</w:t>
      </w:r>
    </w:p>
    <w:p>
      <w:pPr>
        <w:sectPr>
          <w:pgSz w:w="11900" w:h="16838" w:orient="portrait"/>
          <w:cols w:equalWidth="0" w:num="1">
            <w:col w:w="11240"/>
          </w:cols>
          <w:pgMar w:left="320" w:top="1419" w:right="339" w:bottom="1440" w:gutter="0" w:footer="0" w:header="0"/>
        </w:sectPr>
      </w:pPr>
    </w:p>
    <w:bookmarkStart w:id="162" w:name="page163"/>
    <w:bookmarkEnd w:id="162"/>
    <w:p>
      <w:pPr>
        <w:jc w:val="both"/>
        <w:spacing w:after="0" w:line="237" w:lineRule="auto"/>
        <w:rPr>
          <w:sz w:val="20"/>
          <w:szCs w:val="20"/>
          <w:color w:val="auto"/>
        </w:rPr>
      </w:pPr>
      <w:r>
        <w:rPr>
          <w:rFonts w:ascii="Arial" w:cs="Arial" w:eastAsia="Arial" w:hAnsi="Arial"/>
          <w:sz w:val="20"/>
          <w:szCs w:val="20"/>
          <w:color w:val="auto"/>
        </w:rPr>
        <w:t xml:space="preserve">Indebtedness. For the avoidance of doubt, it is understood that a Permitted Refinancing Indebtedness may constitute a portion of an issuance of Indebtedness in excess of the amount of such Permitted Refinancing Indebtedness;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excess amount is otherwise permitted to be incurred under </w:t>
      </w:r>
      <w:r>
        <w:rPr>
          <w:rFonts w:ascii="Arial" w:cs="Arial" w:eastAsia="Arial" w:hAnsi="Arial"/>
          <w:sz w:val="20"/>
          <w:szCs w:val="20"/>
          <w:u w:val="single" w:color="auto"/>
          <w:color w:val="auto"/>
        </w:rPr>
        <w:t>Section 8.1</w:t>
      </w:r>
      <w:r>
        <w:rPr>
          <w:rFonts w:ascii="Arial" w:cs="Arial" w:eastAsia="Arial" w:hAnsi="Arial"/>
          <w:sz w:val="20"/>
          <w:szCs w:val="20"/>
          <w:color w:val="auto"/>
        </w:rPr>
        <w:t>.</w:t>
      </w:r>
    </w:p>
    <w:p>
      <w:pPr>
        <w:spacing w:after="0" w:line="21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or a corporation, partnership, limited liability company, trust, incorporated or unincorporated association, joint venture, joint stock company, government (or an agency or political subdivision thereof) or other entity of any kind.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Pension Plan or Welfare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Securities</w:t>
      </w:r>
      <w:r>
        <w:rPr>
          <w:rFonts w:ascii="Arial" w:cs="Arial" w:eastAsia="Arial" w:hAnsi="Arial"/>
          <w:sz w:val="20"/>
          <w:szCs w:val="20"/>
          <w:color w:val="auto"/>
        </w:rPr>
        <w:t>” means any of the Securities pledged pursuant to any Security Document.</w:t>
      </w:r>
    </w:p>
    <w:p>
      <w:pPr>
        <w:spacing w:after="0" w:line="22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Principal Property</w:t>
      </w:r>
      <w:r>
        <w:rPr>
          <w:rFonts w:ascii="Arial" w:cs="Arial" w:eastAsia="Arial" w:hAnsi="Arial"/>
          <w:sz w:val="20"/>
          <w:szCs w:val="20"/>
          <w:color w:val="auto"/>
        </w:rPr>
        <w:t>” has the meaning given to such term under the indentures, agreements and instruments governing the Debentures, as such indentures, agreements and instruments are in effect on the Effective Date.</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means, (a) with respect to the preparation of pro forma financial statements for purposes of the tests set forth in the definition of “Permitted Acquisitions” and for any other purpose relating to a Permitted Acquisition, pro forma on the basis that (i) any Indebtedness incurred or assumed in connection with such Acquisition was incurred or assumed on the first day of the applicable period, (ii) if such Indebtedness bears a floating interest rate, such interest shall be paid over the pro forma period at the rate in effect on the date of such Acquisition, and (iii) all income and expense associated with the assets or entity acquired in connection with such Acquisition (other than the fees, costs and expenses associated with the consummation of such Acquisition) for the most recently ended four fiscal quarter period for which such income and expense amounts are available shall be treated as being earned or incurred by Crown Holdings over the applicable period on a pro forma basis without giving effect to any cost savings other than Pro Forma Cost Savings, (b) with respect to the preparation of a pro forma financial statement for any purpose relating to an Asset Disposition, pro forma on the basis that (i) any Indebtedness prepaid out of the proceeds of such Asset Disposition shall be deemed to have been prepaid as of the first day of the applicable Test Period, and (ii) all income and expense (other than such expenses as Crown Holdings, in good faith, estimates will not be reduced or eliminated as a consequence of such Asset Disposition) associated with the assets or entity disposed of in connection with such Asset Disposition shall be deemed to have been eliminated as of the first day of the applicable Test Period and (c) with respect to the preparation of pro forma financial statements for any purpose relating to an incurrence of Indebtedness or the payment of any Restricted Payment, pro forma on the basis that (i) any Indebtedness incurred or assumed in connection with such incurrence of Indebtedness or such payment was incurred or assumed on the first day of the applicable period, (ii) if such incurrence of Indebtedness bears a floating interest rate, such interest shall be paid over the pro forma period at the rate in effect on the date of the incurrence of such Indebtedness, and (iii) all income and expense associated with any Permitted Acquisition consummated in connection with the incurrence of Indebtedness (other than the fees, costs and expenses associated with the consummation of such incurrence of Indebtedness) for the most recently ended four fiscal quarter period for which such income and expense amounts are available shall be treated as being earned or incurred by Crown Holdings over the applicable period on a pro forma basis without giving effect to any cost savings other than Pro Forma Cost Savings.</w:t>
      </w:r>
    </w:p>
    <w:p>
      <w:pPr>
        <w:spacing w:after="0" w:line="2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Cost Savings</w:t>
      </w:r>
      <w:r>
        <w:rPr>
          <w:rFonts w:ascii="Arial" w:cs="Arial" w:eastAsia="Arial" w:hAnsi="Arial"/>
          <w:sz w:val="19"/>
          <w:szCs w:val="19"/>
          <w:color w:val="auto"/>
        </w:rPr>
        <w:t>” means for any applicable four fiscal quarter period ending on or prior to the date of the applicable Subject Transaction, whenever pro forma effect is to be given to a Subject Transaction of the type described in clauses (a), (b), (c) and (d) of that definition, the amount of “run-rate” cost savings, product margin synergies (including increased share of shelf), operating expense reductions and product cost (including sourcing), and other operating improvements and synergies resulting from or relating to any such Subject Transaction which is being given pro forma effect that have</w:t>
      </w:r>
    </w:p>
    <w:p>
      <w:pPr>
        <w:sectPr>
          <w:pgSz w:w="11900" w:h="16838" w:orient="portrait"/>
          <w:cols w:equalWidth="0" w:num="1">
            <w:col w:w="11240"/>
          </w:cols>
          <w:pgMar w:left="320" w:top="1419" w:right="339" w:bottom="1440" w:gutter="0" w:footer="0" w:header="0"/>
        </w:sectPr>
      </w:pPr>
    </w:p>
    <w:bookmarkStart w:id="163" w:name="page164"/>
    <w:bookmarkEnd w:id="163"/>
    <w:p>
      <w:pPr>
        <w:jc w:val="both"/>
        <w:spacing w:after="0" w:line="252" w:lineRule="auto"/>
        <w:rPr>
          <w:sz w:val="20"/>
          <w:szCs w:val="20"/>
          <w:color w:val="auto"/>
        </w:rPr>
      </w:pPr>
      <w:r>
        <w:rPr>
          <w:rFonts w:ascii="Arial" w:cs="Arial" w:eastAsia="Arial" w:hAnsi="Arial"/>
          <w:sz w:val="18"/>
          <w:szCs w:val="18"/>
          <w:color w:val="auto"/>
        </w:rPr>
        <w:t xml:space="preserve">been realized or are projected in good faith to result (in the good faith determination of Crown Holdings) from such Subject Transaction (calculated on a pro forma basis by reference to the Borrowers’ most recently available internal financial statements as determined by Borrowers in good faith as though such cost savings, product margin synergies (including increased share of shelf), operating expense reductions and product cost (including sourcing), and other operating improvements and synergies had been realized on the first day of such period and as if such cost savings, product margin synergies (including increased share of shelf), operating expense reductions and product cost (including sourcing), and other operating improvements and synergies were realized during the entirety of such period and “run-rate” means the full recurring projected benefit net of the amount of actual savings or other benefits realized during such period from such actions) and any such adjustments shall be included in the initial pro forma calculations of any financial ratios or tests (and in respect of any subsequent pro forma calculations in which such Subject Transaction is given pro forma effect) and during any applicable subsequent period in which the effects thereof are expected to be realized;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amounts are reasonably identifiable and factually supportable in the good faith judgment of the Borrowers, (b) such amounts result from actions taken or actions with respect to which substantial steps have been taken or are expected to be taken (in the good faith determination of the Borrowers) no later than 24 months after the date of such Subject Transaction, (c) no amounts shall be added pursuant to this clause (c) to the extent duplicative of any amounts that are otherwise added back in computing Consolidated EBITDA (or any other components thereof), whether through a pro forma adjustment or otherwise, with respect to such period, (d) the aggregate amount of any such amounts added back pursuant to this definition (other than in connection with any mergers, business combinations, acquisitions or divestures and other than as permitted pursuant to Rule 11.02 of Regulation S-X) shall not exceed, together with any amounts added back pursuant to clauses (vii) and (viii) of the definition of Consolidated EBITDA, 30% of Consolidated EBITDA in any four-Fiscal Quarter period (calculated after giving effect to any such add-backs and adjustments) and (e) if any calculation of Pro Forma Cost Savings is determined by reference to Borrowers’ internal financial statements, the effect of this provision shall not apply for purposes of calculating any financial ratio or test for purposes of (i) calculating the “Applicable Base Rate Margin,” “Applicable B/A Margin,” “Applicable Canadian Prime Rate Margin,” “Applicable Eurocurrency Margin” and “Applicable Commitment Fee Percentage,” and (ii) compliance with Article IX (other than for the purpose of determining pro forma compliance with Article IX), all of which calculations shall be based on the financial statements delivered pursuant to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applicable, for the relevant Test Period (it being understood that such financial ratios, tests and financial statements may otherwise be calculated on a Pro Forma Basis and be adjusted to include the effects of Pro Forma Cost Savings for all other purposes under the Loan Documents, except for (x) any such calculation of the “Applicable Base Rate Margin,” “Applicable Eurocurrency Margin,” “Applicable B/A Margin,” “Applicable Canadian Prime Rate Margin,” and “Applicable Commitment Fee Percentage” or (y) any such determination of actual compliance with Article IX, in the case of clauses (x) and (y), in respect of which only Pro Forma Cost Savings relating to such Subject Transactions that have occurred on or before the end of the applicable Test Period shall be given effect).</w:t>
      </w:r>
    </w:p>
    <w:p>
      <w:pPr>
        <w:spacing w:after="0" w:line="20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Rata Share</w:t>
      </w:r>
      <w:r>
        <w:rPr>
          <w:rFonts w:ascii="Arial" w:cs="Arial" w:eastAsia="Arial" w:hAnsi="Arial"/>
          <w:sz w:val="20"/>
          <w:szCs w:val="20"/>
          <w:color w:val="auto"/>
        </w:rPr>
        <w:t>” means, when used with reference to any Lender and any described aggregate or total amount of any Facility or Facilities, an amount equal to the result obtained by multiplying such described aggregate or total amount by a fraction the numerator of which shall be such Lender’s Maximum Commitment with respect to such Facility or Facilities and the denominator of which shall be the Total Commitment with respect to such Facility or Facilities or, if no Commitments are then outstanding, such Lender’s aggregate Loans to the aggregate Loans and Obligations hereunder with respect to such Facility.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Projections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6.5(c)</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ectPr>
          <w:pgSz w:w="11900" w:h="16838" w:orient="portrait"/>
          <w:cols w:equalWidth="0" w:num="1">
            <w:col w:w="11240"/>
          </w:cols>
          <w:pgMar w:left="320" w:top="1419" w:right="339" w:bottom="1440" w:gutter="0" w:footer="0" w:header="0"/>
        </w:sectPr>
      </w:pPr>
    </w:p>
    <w:bookmarkStart w:id="164" w:name="page165"/>
    <w:bookmarkEnd w:id="164"/>
    <w:p>
      <w:pPr>
        <w:spacing w:after="0" w:line="22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Debt Documents</w:t>
      </w:r>
      <w:r>
        <w:rPr>
          <w:rFonts w:ascii="Arial" w:cs="Arial" w:eastAsia="Arial" w:hAnsi="Arial"/>
          <w:sz w:val="20"/>
          <w:szCs w:val="20"/>
          <w:color w:val="auto"/>
        </w:rPr>
        <w:t>” means, collectively, the Debentures, the Senior Notes Documents and any other documents evidencing, guaranteeing or otherwise governing any Permitted European Borrower Debt and Permitted Ratio Debt.</w:t>
      </w:r>
    </w:p>
    <w:p>
      <w:pPr>
        <w:spacing w:after="0" w:line="20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at any time, each Credit Party incorporated in the United States with total assets exceeding $10,000,000 or that qualifies at such time as an “eligible contract participant” under the Commodity Exchange Act and can cause another person to qualify as an “eligible contract participant” at such time under §1a(18)(A)(v)(II) of the Commodity Exchange Act.</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Quarterly Payment Date</w:t>
      </w:r>
      <w:r>
        <w:rPr>
          <w:rFonts w:ascii="Arial" w:cs="Arial" w:eastAsia="Arial" w:hAnsi="Arial"/>
          <w:sz w:val="20"/>
          <w:szCs w:val="20"/>
          <w:color w:val="auto"/>
        </w:rPr>
        <w:t>” means the last Business Day of each March, June, September and December of each year following the Incremental Amendment No. 2 and Third Amendment Effective Date (commencing on March 31, 2020).</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Reaffirmation Agreement</w:t>
      </w:r>
      <w:r>
        <w:rPr>
          <w:rFonts w:ascii="Arial" w:cs="Arial" w:eastAsia="Arial" w:hAnsi="Arial"/>
          <w:sz w:val="20"/>
          <w:szCs w:val="20"/>
          <w:color w:val="auto"/>
        </w:rPr>
        <w:t>” means that certain Reaffirmation Agreement, dated as of the Effective Date, by and among the Credit Parties party thereto.</w:t>
      </w:r>
    </w:p>
    <w:p>
      <w:pPr>
        <w:spacing w:after="0" w:line="20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all right, title and interest of any Credit Party or any of its respective Subsidiaries in and to a parcel of real property owned, leased or operated (including, without limitation, any leasehold estate) by any Credit Party or any of its respective Subsidiaries together with, in each case, all improvements and, to the extent deemed real property under applicable laws, appurtenant fixtures, equipment, personal property, easements and other property and rights incidental to the ownership, lease or operation thereof.</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w:t>
      </w:r>
      <w:r>
        <w:rPr>
          <w:rFonts w:ascii="Arial" w:cs="Arial" w:eastAsia="Arial" w:hAnsi="Arial"/>
          <w:sz w:val="19"/>
          <w:szCs w:val="19"/>
          <w:color w:val="auto"/>
        </w:rPr>
        <w:t>” means and includes all of Crown Holdings’ and its Subsidiaries’ presently existing and hereafter arising or acquired accounts, accounts receivable, and all present and future rights of Crown Holdings and its Subsidiaries to payment for goods sold or leased or for services rendered (except those evidenced by instruments or chattel paper), whether or not they have been earned by performance, and all rights in any merchandise or goods which any of the same may represent, and all rights, title, security and guaranties with respect to each of the foregoing, including, without limitation, any right of stoppage in transit.</w:t>
      </w:r>
    </w:p>
    <w:p>
      <w:pPr>
        <w:spacing w:after="0" w:line="20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 Assets</w:t>
      </w:r>
      <w:r>
        <w:rPr>
          <w:rFonts w:ascii="Arial" w:cs="Arial" w:eastAsia="Arial" w:hAnsi="Arial"/>
          <w:sz w:val="20"/>
          <w:szCs w:val="20"/>
          <w:color w:val="auto"/>
        </w:rPr>
        <w:t>” means accounts receivable (including any bills of exchange), any security therefor, collections thereof, bank accounts holding payments in respect of accounts receivable, and related assets and property.</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Intercreditor Agreement</w:t>
      </w:r>
      <w:r>
        <w:rPr>
          <w:rFonts w:ascii="Arial" w:cs="Arial" w:eastAsia="Arial" w:hAnsi="Arial"/>
          <w:sz w:val="18"/>
          <w:szCs w:val="18"/>
          <w:color w:val="auto"/>
        </w:rPr>
        <w:t>” means, (a) in connection with the Receivables Purchase Agreement, the Intercreditor Agreement, dated as of July 27, 2018 (and as amended from time to time) among Crown Holdings, Crown International, CCSC, Crown Receivables III LLC, Crown Cork &amp; Seal USA, Inc., Crown Metal Packaging Canada LP, Coöperative Rabobank, U.A., New York Branch, as Program Agent (as defined therein) and Administrative Agent, Canadian Administrative Agent and U.K. Administrative Agent, as Bank Agents (as defined therein), and (b) in connection with any amendment to or refinancing of the Receivables Purchase Agreement or any other Permitted Receivables or Factoring Financing, if applicable, an intercreditor agreement (or amendment thereto or amendment and restatement thereof) substantially similar to the intercreditor agreement referred to above with such changes as may be reasonably acceptable to the Administrative Agent or otherwise on market terms for companies having a credit profile similar to Crown Holdings and its Subsidiaries as determined in good faith by Crown Holdings and agreed to by the Administrative Agent.</w:t>
      </w:r>
    </w:p>
    <w:p>
      <w:pPr>
        <w:spacing w:after="0" w:line="20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 Net Investment</w:t>
      </w:r>
      <w:r>
        <w:rPr>
          <w:rFonts w:ascii="Arial" w:cs="Arial" w:eastAsia="Arial" w:hAnsi="Arial"/>
          <w:sz w:val="20"/>
          <w:szCs w:val="20"/>
          <w:color w:val="auto"/>
        </w:rPr>
        <w:t>” means at any date of determination thereof, the aggregate Dollar Equivalent of the net cash amount paid by a funding source to a Receivables Subsidiary (including, without limitation, the lenders or purchasers under any Permitted Receivables or Factoring Financings or</w:t>
      </w:r>
    </w:p>
    <w:p>
      <w:pPr>
        <w:sectPr>
          <w:pgSz w:w="11900" w:h="16838" w:orient="portrait"/>
          <w:cols w:equalWidth="0" w:num="1">
            <w:col w:w="11240"/>
          </w:cols>
          <w:pgMar w:left="320" w:top="1440" w:right="339" w:bottom="1440" w:gutter="0" w:footer="0" w:header="0"/>
        </w:sectPr>
      </w:pPr>
    </w:p>
    <w:bookmarkStart w:id="165" w:name="page166"/>
    <w:bookmarkEnd w:id="165"/>
    <w:p>
      <w:pPr>
        <w:jc w:val="both"/>
        <w:spacing w:after="0" w:line="244" w:lineRule="auto"/>
        <w:rPr>
          <w:sz w:val="20"/>
          <w:szCs w:val="20"/>
          <w:color w:val="auto"/>
        </w:rPr>
      </w:pPr>
      <w:r>
        <w:rPr>
          <w:rFonts w:ascii="Arial" w:cs="Arial" w:eastAsia="Arial" w:hAnsi="Arial"/>
          <w:sz w:val="19"/>
          <w:szCs w:val="19"/>
          <w:color w:val="auto"/>
        </w:rPr>
        <w:t xml:space="preserve">in connection with sales by Crown Holdings or any Subsidiary permitted pursuant to </w:t>
      </w:r>
      <w:r>
        <w:rPr>
          <w:rFonts w:ascii="Arial" w:cs="Arial" w:eastAsia="Arial" w:hAnsi="Arial"/>
          <w:sz w:val="19"/>
          <w:szCs w:val="19"/>
          <w:u w:val="single" w:color="auto"/>
          <w:color w:val="auto"/>
        </w:rPr>
        <w:t>Section 8.7(b)(ii)</w:t>
      </w:r>
      <w:r>
        <w:rPr>
          <w:rFonts w:ascii="Arial" w:cs="Arial" w:eastAsia="Arial" w:hAnsi="Arial"/>
          <w:sz w:val="19"/>
          <w:szCs w:val="19"/>
          <w:color w:val="auto"/>
        </w:rPr>
        <w:t xml:space="preserve">) in connection with their purchase of, or the making of loans secured by, Receivables Assets or interests therein, as the same may be reduced from time to time by collections with respect to such Receivables Assets or otherwise in accordance with the terms of such Permitted Receivables or Factoring Financings;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all or any part of such Receivables Net Investment shall have been reduced by application of any distribution and thereafter such distribution is rescinded or must otherwise be returned for any reason, such Receivables Net Investment shall be increased by the amount of such distribution, all as if such distribution had not been made.</w:t>
      </w:r>
    </w:p>
    <w:p>
      <w:pPr>
        <w:spacing w:after="0" w:line="2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Purchase Agreement</w:t>
      </w:r>
      <w:r>
        <w:rPr>
          <w:rFonts w:ascii="Arial" w:cs="Arial" w:eastAsia="Arial" w:hAnsi="Arial"/>
          <w:sz w:val="19"/>
          <w:szCs w:val="19"/>
          <w:color w:val="auto"/>
        </w:rPr>
        <w:t>” means that certain Receivables Purchase Agreement dated as of July 27, 2018, among Crown Receivables III LLC, as the seller, Crown Cork &amp; Seal USA, Inc., as the servicer, Coöperatieve Rabobank, U.A., New York Branch, as administrative agent, and the conduit purchasers, alternate purchasers, facility agents party thereto from time to time, as amended, amended and restated, supplemented or otherwise modified from time to time in accordance with the terms hereof.</w:t>
      </w:r>
    </w:p>
    <w:p>
      <w:pPr>
        <w:spacing w:after="0" w:line="20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Purchase Agreement II</w:t>
      </w:r>
      <w:r>
        <w:rPr>
          <w:rFonts w:ascii="Arial" w:cs="Arial" w:eastAsia="Arial" w:hAnsi="Arial"/>
          <w:sz w:val="19"/>
          <w:szCs w:val="19"/>
          <w:color w:val="auto"/>
        </w:rPr>
        <w:t>” means that certain Second Amended and Restated Receivables Purchase Agreement, dated as of December 20, 2017, among Crown Cork and Seal Receivables II LLC, as the seller, Fábricas Monterrey, S.A. de C.V., as the initial master servicer, the servicers party thereto, the purchasers party thereto from time to time, and Coöperatieve Rabobank U.A., New York Branch, as administrative agent, as the same has been amended by that certain First Amendment to Second Amended and Restated Receivables Purchase Agreement, dated as of December 19, 2019, and may thereafter be amended, amended and restated, supplemented or otherwise modified from time to time in accordance with the terms hereof.</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Subsidiary</w:t>
      </w:r>
      <w:r>
        <w:rPr>
          <w:rFonts w:ascii="Arial" w:cs="Arial" w:eastAsia="Arial" w:hAnsi="Arial"/>
          <w:sz w:val="19"/>
          <w:szCs w:val="19"/>
          <w:color w:val="auto"/>
        </w:rPr>
        <w:t xml:space="preserve">” means, initially, Crown Cork and Seal Receivables II LLC, Crown Receivables III LLC and any other special purpose subsidiary which exists solely to purchase and sell Receivables Assets or to otherwise raise financing in connection with a Permitted Receivables or Factoring Financing;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law of a jurisdiction in which Crown Holdings or its Subsidiaries proposes to create a Receivables Subsidiary does not provide for the creation of a bankruptcy remote entity that is acceptable to Crown Holdings or requires the formation of one or more additional entities (whether or not Subsidiaries of Crown Holdings), Administrative Agent may in its discretion permit Crown Holdings or its Subsidiaries to form such other type of entity in such jurisdiction to serve as a Receivables Subsidiary as is necessary or customary for similar transactions in such jurisdiction.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Receiver</w:t>
      </w:r>
      <w:r>
        <w:rPr>
          <w:rFonts w:ascii="Arial" w:cs="Arial" w:eastAsia="Arial" w:hAnsi="Arial"/>
          <w:sz w:val="20"/>
          <w:szCs w:val="20"/>
          <w:color w:val="auto"/>
        </w:rPr>
        <w:t>” means a receiver, interim receiver, receiver and manager, liquidator, trustee in bankruptcy or similar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any Agent, any Facing Agent, any Lender or any Swing Line Lender, as applicable.</w:t>
      </w:r>
    </w:p>
    <w:p>
      <w:pPr>
        <w:spacing w:after="0" w:line="22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Recovery Event</w:t>
      </w:r>
      <w:r>
        <w:rPr>
          <w:rFonts w:ascii="Arial" w:cs="Arial" w:eastAsia="Arial" w:hAnsi="Arial"/>
          <w:sz w:val="16"/>
          <w:szCs w:val="16"/>
          <w:color w:val="auto"/>
        </w:rPr>
        <w:t xml:space="preserve">” means the receipt by Crown Holdings (or any of its Subsidiaries) of any insurance or condemnation proceeds payable (i) by reason of any theft, physical destruction or damage or any other similar event with respect to any properties or assets of Crown Holdings or any of its Subsidiaries, (ii) by reason of any condemnation, taking, seizing or similar event with respect to any properties or assets of Crown Holdings or any of its Subsidiaries or (iii) under any policy of insurance required to be maintained under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payments made under business interruption insurance or rent insurance constitute a Recovery Event.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Refinanced Revolving Commitments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2.13(a)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Refinanced Revolving Loans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2.13(a)</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166" w:name="page167"/>
    <w:bookmarkEnd w:id="166"/>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Refinanced Term Commitments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Refinanced Term Loans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Refunded Swing Line Loans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2.1(c)(iii)</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12.12</w:t>
      </w:r>
      <w:r>
        <w:rPr>
          <w:rFonts w:ascii="Arial" w:cs="Arial" w:eastAsia="Arial" w:hAnsi="Arial"/>
          <w:sz w:val="20"/>
          <w:szCs w:val="20"/>
          <w:color w:val="auto"/>
        </w:rPr>
        <w:t>.</w:t>
      </w:r>
    </w:p>
    <w:p>
      <w:pPr>
        <w:spacing w:after="0" w:line="22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D</w:t>
      </w:r>
      <w:r>
        <w:rPr>
          <w:rFonts w:ascii="Arial" w:cs="Arial" w:eastAsia="Arial" w:hAnsi="Arial"/>
          <w:sz w:val="20"/>
          <w:szCs w:val="20"/>
          <w:color w:val="auto"/>
        </w:rPr>
        <w:t>” means Regulation D of the Board as from time to time in effect and any successor provision to all or a portion thereof establishing reserve requirements.</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Fund</w:t>
      </w:r>
      <w:r>
        <w:rPr>
          <w:rFonts w:ascii="Arial" w:cs="Arial" w:eastAsia="Arial" w:hAnsi="Arial"/>
          <w:sz w:val="20"/>
          <w:szCs w:val="20"/>
          <w:color w:val="auto"/>
        </w:rPr>
        <w:t>” means, with respect to any Lender which is a Fund, any other Fund that is administered or managed by the same investment advisor of such Lender or by an Affiliate of such investment advisor.</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Person, such Person’s Affiliates and the partners, directors, officers, employees, agents, trustees and advisors of such Person and of such Person’s Affiliates.</w:t>
      </w:r>
    </w:p>
    <w:p>
      <w:pPr>
        <w:spacing w:after="0" w:line="20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spilling, leaking, pumping, pouring, emitting, emptying, discharging, injecting, escaping, leaching, dumping, disposing, depositing, dispersing, emanating or migrating of any Hazardous Material in, into, onto or through the Environment.</w:t>
      </w:r>
    </w:p>
    <w:p>
      <w:pPr>
        <w:spacing w:after="0" w:line="15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Remedial Action</w:t>
      </w:r>
      <w:r>
        <w:rPr>
          <w:rFonts w:ascii="Arial" w:cs="Arial" w:eastAsia="Arial" w:hAnsi="Arial"/>
          <w:sz w:val="19"/>
          <w:szCs w:val="19"/>
          <w:color w:val="auto"/>
        </w:rPr>
        <w:t>” means (a) “remedial action,” as such term is defined in CERCLA, 42 USC Section 9601(24), and (b) all other actions required by any Governmental Authority or voluntarily undertaken to: (i) clean up, remove, treat, abate or otherwise take corrective action to address any Hazardous Material in the Environment; (ii) prevent the Release or threat of Release, or minimize the further Release of any Hazardous Material so it does not migrate or endanger or threaten to endanger public health, welfare or the Environment; or (iii) perform studies and investigations in connection with, or as a precondition to, (i) or (ii) above.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Repayments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8.11(b)</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Replaced Lender</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3.7(b)</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Replacement Facility</w:t>
      </w:r>
      <w:r>
        <w:rPr>
          <w:rFonts w:ascii="Arial" w:cs="Arial" w:eastAsia="Arial" w:hAnsi="Arial"/>
          <w:sz w:val="19"/>
          <w:szCs w:val="19"/>
          <w:color w:val="auto"/>
        </w:rPr>
        <w:t>” means a Replacement Revolving Facility and/or a Replacement Term Facility, as the context requires.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Lender</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3.7(b)</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Revolving Commitments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2.13(a)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Revolving Facility</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2.13(a)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Revolving Loans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2.13(a)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Term Commitments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Term Facility</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Term Loans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167" w:name="page168"/>
    <w:bookmarkEnd w:id="167"/>
    <w:p>
      <w:pPr>
        <w:spacing w:after="0" w:line="22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 “reportable event” described in Section 4043(c) of ERISA or in the regulations thereunder with respect to a Plan, excluding any event for which the thirty (30) day notice requirement has been waived.</w:t>
      </w:r>
    </w:p>
    <w:p>
      <w:pPr>
        <w:spacing w:after="0" w:line="20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means Non-Defaulting Lenders the sum of whose Effective Amount of outstanding Term Loans, Dollar Revolving Commitments, Multicurrency Revolving Commitments and Canadian Revolving Commitments (or, if after the Total Dollar Revolving Commitment, Total Multicurrency Revolving Commitment or Total Canadian Revolving Commitment, as applicable, has been terminated (or any Facility thereof), outstanding Dollar Revolving Loans and Dollar Revolver Pro Rata Share of the Dollar LC Obligations, Multicurrency Revolving Loans and Multicurrency Revolver Pro Rata Share of outstanding Swing Line Loans and Multicurrency LC Obligations or Canadian Revolving Loans and Canadian Revolver Pro Rata Share of the Canadian LC Obligations, as applicable) constitute greater than 50% of the sum of (i) the total Effective Amount of outstanding Term Loans of Non-Defaulting Lenders, (ii) the Total Revolving Commitment less the aggregate Revolving Commitments of Defaulting Lenders (or, if after the Total Revolving Commitment has been terminated, the total Effective Amount of outstanding Revolving Loans of Non-Defaulting Lenders and the aggregate Revolver Pro Rata Share of all Non-Defaulting Lenders of the total outstanding Swing Line Loans, Dollar LC Obligations and Multicurrency LC Obligations at such time) and (iii) the Total Canadian Revolving Commitment less the aggregate Canadian Revolving Commitments of the Defaulting Lenders (or, if after the Total Canadian Revolving Commitment has been terminated, the total Effective Amount of outstanding Canadian Revolving Loans of all Non-Defaulting Lenders and the aggregate Canadian Revolver Pro Rata Share of all Non-Defaulting Lenders of the total outstanding Canadian LC Obligations at such time).</w:t>
      </w:r>
    </w:p>
    <w:p>
      <w:pPr>
        <w:spacing w:after="0" w:line="22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Requirement of Law</w:t>
      </w:r>
      <w:r>
        <w:rPr>
          <w:rFonts w:ascii="Arial" w:cs="Arial" w:eastAsia="Arial" w:hAnsi="Arial"/>
          <w:sz w:val="20"/>
          <w:szCs w:val="20"/>
          <w:color w:val="auto"/>
        </w:rPr>
        <w:t>” means, as to any Person, any law (including common law), treaty, rule or regulation or judgment, decree, determination or award of an arbitrator or a court or other Governmental Authority, including without limitation, any Environmental Law, in each case imposing a legal obligation or binding upon such Person or any of its property or to which such Person or any of its property is subject.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Reset Date</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1.5</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Financial Officer</w:t>
      </w:r>
      <w:r>
        <w:rPr>
          <w:rFonts w:ascii="Arial" w:cs="Arial" w:eastAsia="Arial" w:hAnsi="Arial"/>
          <w:sz w:val="20"/>
          <w:szCs w:val="20"/>
          <w:color w:val="auto"/>
        </w:rPr>
        <w:t>” means the Chief Financial Officer, Principal Accounting Officer, Controller or Treasurer of Crown Holdings, or, if being applied to a Subsidiary, of the applicable Subsidiary.</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means any of the Chairman or Vice Chairman of the Board of Directors, the President, any Executive Vice President, any Senior Vice President, the Chief Financial Officer, any Vice President, the Treasurer or any Assistant Treasurer of Crown Holdings or, if being applied to a Subsidiary, of the Subsidiary (and in England and Belgium shall include any director).</w:t>
      </w:r>
    </w:p>
    <w:p>
      <w:pPr>
        <w:spacing w:after="0" w:line="19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means any direct or indirect dividend or other distribution (whether in cash, securities or other property) with respect to any Capital Stock of Crown Holdings or any Subsidiary, or any payment (whether in cash, securities or other property), including any sinking fund or similar deposit, on account of the purchase, redemption, retirement, acquisition, cancellation or termination of any Capital Stock of Crown Holdings or any Subsidiary.</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Securities</w:t>
      </w:r>
      <w:r>
        <w:rPr>
          <w:rFonts w:ascii="Arial" w:cs="Arial" w:eastAsia="Arial" w:hAnsi="Arial"/>
          <w:sz w:val="20"/>
          <w:szCs w:val="20"/>
          <w:color w:val="auto"/>
        </w:rPr>
        <w:t>” means any shares of capital stock or evidences of indebtedness for borrowed money issued by any Restricted Subsidiary and owned by CCSC or any Restricted Subsidiary.</w:t>
      </w:r>
    </w:p>
    <w:p>
      <w:pPr>
        <w:sectPr>
          <w:pgSz w:w="11900" w:h="16838" w:orient="portrait"/>
          <w:cols w:equalWidth="0" w:num="1">
            <w:col w:w="11240"/>
          </w:cols>
          <w:pgMar w:left="320" w:top="1440" w:right="339" w:bottom="1440" w:gutter="0" w:footer="0" w:header="0"/>
        </w:sectPr>
      </w:pPr>
    </w:p>
    <w:bookmarkStart w:id="168" w:name="page169"/>
    <w:bookmarkEnd w:id="168"/>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means any subsidiary of CCSC that would be considered a “Restricted Subsidiary” under (and as defined in) any indenture, agreement or instrument governing or evidencing any Debenture as such indenture, agreement or instrument is in effect on the Incremental Amendment No. 2 and Third Amendment Effective Date.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Retained Declined Proceeds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4.5(a)</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Revolver Pro Rata Share</w:t>
      </w:r>
      <w:r>
        <w:rPr>
          <w:rFonts w:ascii="Arial" w:cs="Arial" w:eastAsia="Arial" w:hAnsi="Arial"/>
          <w:sz w:val="20"/>
          <w:szCs w:val="20"/>
          <w:color w:val="auto"/>
        </w:rPr>
        <w:t>” means, when used with reference to any Revolving Lender and any described aggregate or total amount, an amount equal to the result obtained by multiplying such described aggregate or total amount by a fraction the numerator of which shall be such Revolving Lender’s Revolving Commitment or, if the Revolver Termination Date for any Revolving Facility has occurred, the Effective Amount of such Revolving Lender’s then outstanding Revolving Loans and the denominator of which shall be the Revolving Commitments or, if the Revolver Termination Date for any Facility has occurred, the Effective Amount of all then outstanding Revolving Loans for such terminated Facility.</w:t>
      </w:r>
    </w:p>
    <w:p>
      <w:pPr>
        <w:spacing w:after="0" w:line="21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Revolver Termination Date</w:t>
      </w:r>
      <w:r>
        <w:rPr>
          <w:rFonts w:ascii="Arial" w:cs="Arial" w:eastAsia="Arial" w:hAnsi="Arial"/>
          <w:sz w:val="20"/>
          <w:szCs w:val="20"/>
          <w:color w:val="auto"/>
        </w:rPr>
        <w:t xml:space="preserve">” means, (a) with respect to each Revolving Facility other than the Canadian Revolving Facility, the five year anniversary of the Incremental Amendment No. 2 and Third Amendment Effective Date (or such later termination date for such Facility to the extent extended or replaced as permitted by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or such earlier date as the Revolving Commitments shall have been terminated or otherwise reduced to $0 pursuant to this Agreement and (b) with respect to the Canadian Revolving Facility, the Canadian Revolver Termination Date (or such later termination date for such Facility to the extent extended or replaced as permitted by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2.15</w:t>
      </w:r>
      <w:r>
        <w:rPr>
          <w:rFonts w:ascii="Arial" w:cs="Arial" w:eastAsia="Arial" w:hAnsi="Arial"/>
          <w:sz w:val="20"/>
          <w:szCs w:val="20"/>
          <w:color w:val="auto"/>
        </w:rPr>
        <w:t>).</w:t>
      </w:r>
    </w:p>
    <w:p>
      <w:pPr>
        <w:spacing w:after="0" w:line="211"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w:t>
      </w:r>
      <w:r>
        <w:rPr>
          <w:rFonts w:ascii="Arial" w:cs="Arial" w:eastAsia="Arial" w:hAnsi="Arial"/>
          <w:sz w:val="20"/>
          <w:szCs w:val="20"/>
          <w:color w:val="auto"/>
        </w:rPr>
        <w:t xml:space="preserve">” means, with respect to any Revolving Lender, such Lender’s Dollar Revolving Commitment, Replacement Revolving Commitment and/or Multicurrency Revolving Commitment and, with respect to </w:t>
      </w:r>
      <w:r>
        <w:rPr>
          <w:rFonts w:ascii="Arial" w:cs="Arial" w:eastAsia="Arial" w:hAnsi="Arial"/>
          <w:sz w:val="20"/>
          <w:szCs w:val="20"/>
          <w:u w:val="single" w:color="auto"/>
          <w:color w:val="auto"/>
        </w:rPr>
        <w:t>Section 2.12</w:t>
      </w:r>
      <w:r>
        <w:rPr>
          <w:rFonts w:ascii="Arial" w:cs="Arial" w:eastAsia="Arial" w:hAnsi="Arial"/>
          <w:sz w:val="20"/>
          <w:szCs w:val="20"/>
          <w:color w:val="auto"/>
        </w:rPr>
        <w:t>, including such Lender’s Canadian Revolving Commitment, and “</w:t>
      </w:r>
      <w:r>
        <w:rPr>
          <w:rFonts w:ascii="Arial" w:cs="Arial" w:eastAsia="Arial" w:hAnsi="Arial"/>
          <w:sz w:val="20"/>
          <w:szCs w:val="20"/>
          <w:u w:val="single" w:color="auto"/>
          <w:color w:val="auto"/>
        </w:rPr>
        <w:t>Revolving Commitments</w:t>
      </w:r>
      <w:r>
        <w:rPr>
          <w:rFonts w:ascii="Arial" w:cs="Arial" w:eastAsia="Arial" w:hAnsi="Arial"/>
          <w:sz w:val="20"/>
          <w:szCs w:val="20"/>
          <w:color w:val="auto"/>
        </w:rPr>
        <w:t>” means such commitments collectively.</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Exposure</w:t>
      </w:r>
      <w:r>
        <w:rPr>
          <w:rFonts w:ascii="Arial" w:cs="Arial" w:eastAsia="Arial" w:hAnsi="Arial"/>
          <w:sz w:val="20"/>
          <w:szCs w:val="20"/>
          <w:color w:val="auto"/>
        </w:rPr>
        <w:t>” means, with respect to a Revolving Lender, the sum of (i) the outstanding principal amount of the Revolving Loans made by such Revolving Lender, (ii) the Letter of Credit Exposure of such Revolving Lender and (iii) the Swing Line Exposure of such Revolving Lender.</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Facilities</w:t>
      </w:r>
      <w:r>
        <w:rPr>
          <w:rFonts w:ascii="Arial" w:cs="Arial" w:eastAsia="Arial" w:hAnsi="Arial"/>
          <w:sz w:val="20"/>
          <w:szCs w:val="20"/>
          <w:color w:val="auto"/>
        </w:rPr>
        <w:t>” means the Dollar Revolving Facility, the Multicurrency Revolving Facility, the Replacement Revolving Facility and the Canadian Revolving Facility.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any Lender which has a Revolving Commitment or is owed a Revolving Loan (or a portion thereof).</w:t>
      </w:r>
    </w:p>
    <w:p>
      <w:pPr>
        <w:spacing w:after="0" w:line="2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w:t>
      </w:r>
      <w:r>
        <w:rPr>
          <w:rFonts w:ascii="Arial" w:cs="Arial" w:eastAsia="Arial" w:hAnsi="Arial"/>
          <w:sz w:val="20"/>
          <w:szCs w:val="20"/>
          <w:color w:val="auto"/>
        </w:rPr>
        <w:t>” means a Dollar Revolving Loan, a Replacement Revolving Loan or a Multicurrency Revolving Loan as the case may be and “</w:t>
      </w:r>
      <w:r>
        <w:rPr>
          <w:rFonts w:ascii="Arial" w:cs="Arial" w:eastAsia="Arial" w:hAnsi="Arial"/>
          <w:sz w:val="20"/>
          <w:szCs w:val="20"/>
          <w:u w:val="single" w:color="auto"/>
          <w:color w:val="auto"/>
        </w:rPr>
        <w:t>Revolving Loans</w:t>
      </w:r>
      <w:r>
        <w:rPr>
          <w:rFonts w:ascii="Arial" w:cs="Arial" w:eastAsia="Arial" w:hAnsi="Arial"/>
          <w:sz w:val="20"/>
          <w:szCs w:val="20"/>
          <w:color w:val="auto"/>
        </w:rPr>
        <w:t>” means such Loans collectively.</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RFR Business Day</w:t>
      </w:r>
      <w:r>
        <w:rPr>
          <w:rFonts w:ascii="Arial" w:cs="Arial" w:eastAsia="Arial" w:hAnsi="Arial"/>
          <w:sz w:val="20"/>
          <w:szCs w:val="20"/>
          <w:color w:val="auto"/>
        </w:rPr>
        <w:t>” means, any day except for (i) a Saturday, (ii) a Sunday or (iii) a day on which banks are closed for general business in London.</w:t>
      </w:r>
    </w:p>
    <w:p>
      <w:pPr>
        <w:spacing w:after="0" w:line="20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Rating Service, a division of the McGraw-Hill Companies, Inc., or any successor to the rating agency business thereof.</w:t>
      </w:r>
    </w:p>
    <w:p>
      <w:pPr>
        <w:spacing w:after="0" w:line="204" w:lineRule="exact"/>
        <w:rPr>
          <w:sz w:val="20"/>
          <w:szCs w:val="20"/>
          <w:color w:val="auto"/>
        </w:rPr>
      </w:pPr>
    </w:p>
    <w:p>
      <w:pPr>
        <w:jc w:val="both"/>
        <w:ind w:right="20" w:firstLine="648"/>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the subject or target of any comprehensive Sanctions (which, as of the Incremental Amendment No. 2 and Third Amendment Effective Date, includes Crimea, Cuba, Iran, North Korea and Syria).</w:t>
      </w:r>
    </w:p>
    <w:p>
      <w:pPr>
        <w:sectPr>
          <w:pgSz w:w="11900" w:h="16838" w:orient="portrait"/>
          <w:cols w:equalWidth="0" w:num="1">
            <w:col w:w="11240"/>
          </w:cols>
          <w:pgMar w:left="320" w:top="1419" w:right="339" w:bottom="1440" w:gutter="0" w:footer="0" w:header="0"/>
        </w:sectPr>
      </w:pPr>
    </w:p>
    <w:bookmarkStart w:id="169" w:name="page170"/>
    <w:bookmarkEnd w:id="169"/>
    <w:p>
      <w:pPr>
        <w:jc w:val="both"/>
        <w:ind w:firstLine="648"/>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(a) any Person listed in any Sanctions-related list of designated Persons maintained by the Office of Foreign Assets Control of the U.S. Department of the Treasury, the U.S. Department of State, Her Majesty’s Treasury of the United Kingdom, by the United Nations Security Council, Canada, the European Union or any EU member state, (b) any Person operating, organized or resident in a Sanctioned Country or (c) any Person owned or controlled by any such Person.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6.21(a)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 I Bank</w:t>
      </w:r>
      <w:r>
        <w:rPr>
          <w:rFonts w:ascii="Arial" w:cs="Arial" w:eastAsia="Arial" w:hAnsi="Arial"/>
          <w:sz w:val="20"/>
          <w:szCs w:val="20"/>
          <w:color w:val="auto"/>
        </w:rPr>
        <w:t>” means a bank that is a Canadian chartered bank listed on Schedule I under the Bank Act (Canada).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 II Bank</w:t>
      </w:r>
      <w:r>
        <w:rPr>
          <w:rFonts w:ascii="Arial" w:cs="Arial" w:eastAsia="Arial" w:hAnsi="Arial"/>
          <w:sz w:val="20"/>
          <w:szCs w:val="20"/>
          <w:color w:val="auto"/>
        </w:rPr>
        <w:t>” means a bank that is a Canadian chartered bank listed on Schedule II under the Bank Act (Canada).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 III Bank</w:t>
      </w:r>
      <w:r>
        <w:rPr>
          <w:rFonts w:ascii="Arial" w:cs="Arial" w:eastAsia="Arial" w:hAnsi="Arial"/>
          <w:sz w:val="20"/>
          <w:szCs w:val="20"/>
          <w:color w:val="auto"/>
        </w:rPr>
        <w:t>” means an authorized foreign bank listed on Schedule III under the Bank Act (Canada).</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Scheduled Term Euro Loan Repayments</w:t>
      </w:r>
      <w:r>
        <w:rPr>
          <w:rFonts w:ascii="Arial" w:cs="Arial" w:eastAsia="Arial" w:hAnsi="Arial"/>
          <w:sz w:val="19"/>
          <w:szCs w:val="19"/>
          <w:color w:val="auto"/>
        </w:rPr>
        <w:t xml:space="preserve">” means, with respect to the principal payments on the Term Euro Loan, on the last Business Day of each March, June, September and December ending on or prior to each date set forth below (commencing on March 31, 2020), 0.25 times the percentage of the original aggregate principal amount of Term Euro Loans made on the Incremental Amendment No. 2 and Third Amendment Effective Date set forth opposite thereto, as reduced from time to time pursuant to </w:t>
      </w:r>
      <w:r>
        <w:rPr>
          <w:rFonts w:ascii="Arial" w:cs="Arial" w:eastAsia="Arial" w:hAnsi="Arial"/>
          <w:sz w:val="19"/>
          <w:szCs w:val="19"/>
          <w:u w:val="single" w:color="auto"/>
          <w:color w:val="auto"/>
        </w:rPr>
        <w:t>Sections 4.3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4.4</w:t>
      </w:r>
      <w:r>
        <w:rPr>
          <w:rFonts w:ascii="Arial" w:cs="Arial" w:eastAsia="Arial" w:hAnsi="Arial"/>
          <w:sz w:val="19"/>
          <w:szCs w:val="19"/>
          <w:color w:val="auto"/>
        </w:rPr>
        <w:t>, and on the Term Euro Loan Maturity Date, the remaining outstanding principal amount thereof:</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5580" w:type="dxa"/>
            <w:vAlign w:val="bottom"/>
          </w:tcPr>
          <w:p>
            <w:pPr>
              <w:ind w:left="660"/>
              <w:spacing w:after="0"/>
              <w:rPr>
                <w:sz w:val="20"/>
                <w:szCs w:val="20"/>
                <w:color w:val="auto"/>
              </w:rPr>
            </w:pPr>
            <w:r>
              <w:rPr>
                <w:rFonts w:ascii="Arial" w:cs="Arial" w:eastAsia="Arial" w:hAnsi="Arial"/>
                <w:sz w:val="20"/>
                <w:szCs w:val="20"/>
                <w:color w:val="auto"/>
              </w:rPr>
              <w:t>Date</w:t>
            </w:r>
          </w:p>
        </w:tc>
        <w:tc>
          <w:tcPr>
            <w:tcW w:w="2860" w:type="dxa"/>
            <w:vAlign w:val="bottom"/>
          </w:tcPr>
          <w:p>
            <w:pPr>
              <w:ind w:left="680"/>
              <w:spacing w:after="0"/>
              <w:rPr>
                <w:sz w:val="20"/>
                <w:szCs w:val="20"/>
                <w:color w:val="auto"/>
              </w:rPr>
            </w:pPr>
            <w:r>
              <w:rPr>
                <w:rFonts w:ascii="Arial" w:cs="Arial" w:eastAsia="Arial" w:hAnsi="Arial"/>
                <w:sz w:val="20"/>
                <w:szCs w:val="20"/>
                <w:color w:val="auto"/>
                <w:w w:val="88"/>
              </w:rPr>
              <w:t>Scheduled Term Euro Loan</w:t>
            </w:r>
          </w:p>
        </w:tc>
      </w:tr>
      <w:tr>
        <w:trPr>
          <w:trHeight w:val="250"/>
        </w:trPr>
        <w:tc>
          <w:tcPr>
            <w:tcW w:w="5580" w:type="dxa"/>
            <w:vAlign w:val="bottom"/>
          </w:tcPr>
          <w:p>
            <w:pPr>
              <w:spacing w:after="0"/>
              <w:rPr>
                <w:sz w:val="21"/>
                <w:szCs w:val="21"/>
                <w:color w:val="auto"/>
              </w:rPr>
            </w:pPr>
          </w:p>
        </w:tc>
        <w:tc>
          <w:tcPr>
            <w:tcW w:w="2860" w:type="dxa"/>
            <w:vAlign w:val="bottom"/>
          </w:tcPr>
          <w:p>
            <w:pPr>
              <w:ind w:left="40"/>
              <w:spacing w:after="0"/>
              <w:rPr>
                <w:sz w:val="20"/>
                <w:szCs w:val="20"/>
                <w:color w:val="auto"/>
              </w:rPr>
            </w:pPr>
            <w:r>
              <w:rPr>
                <w:rFonts w:ascii="Arial" w:cs="Arial" w:eastAsia="Arial" w:hAnsi="Arial"/>
                <w:sz w:val="20"/>
                <w:szCs w:val="20"/>
                <w:color w:val="auto"/>
              </w:rPr>
              <w:t>Repayment Percentage</w:t>
            </w:r>
          </w:p>
        </w:tc>
      </w:tr>
      <w:tr>
        <w:trPr>
          <w:trHeight w:val="219"/>
        </w:trPr>
        <w:tc>
          <w:tcPr>
            <w:tcW w:w="5580" w:type="dxa"/>
            <w:vAlign w:val="bottom"/>
          </w:tcPr>
          <w:p>
            <w:pPr>
              <w:ind w:left="660"/>
              <w:spacing w:after="0" w:line="219" w:lineRule="exact"/>
              <w:rPr>
                <w:sz w:val="20"/>
                <w:szCs w:val="20"/>
                <w:color w:val="auto"/>
              </w:rPr>
            </w:pPr>
            <w:r>
              <w:rPr>
                <w:rFonts w:ascii="Arial" w:cs="Arial" w:eastAsia="Arial" w:hAnsi="Arial"/>
                <w:sz w:val="20"/>
                <w:szCs w:val="20"/>
                <w:color w:val="auto"/>
                <w:w w:val="94"/>
              </w:rPr>
              <w:t>First anniversary of the Incremental Amendment No. 2 and</w:t>
            </w:r>
          </w:p>
        </w:tc>
        <w:tc>
          <w:tcPr>
            <w:tcW w:w="2860" w:type="dxa"/>
            <w:vAlign w:val="bottom"/>
          </w:tcPr>
          <w:p>
            <w:pPr>
              <w:ind w:left="680"/>
              <w:spacing w:after="0" w:line="219" w:lineRule="exact"/>
              <w:rPr>
                <w:sz w:val="20"/>
                <w:szCs w:val="20"/>
                <w:color w:val="auto"/>
              </w:rPr>
            </w:pPr>
            <w:r>
              <w:rPr>
                <w:rFonts w:ascii="Arial" w:cs="Arial" w:eastAsia="Arial" w:hAnsi="Arial"/>
                <w:sz w:val="20"/>
                <w:szCs w:val="20"/>
                <w:color w:val="auto"/>
              </w:rPr>
              <w:t>2.5%</w:t>
            </w:r>
          </w:p>
        </w:tc>
      </w:tr>
      <w:tr>
        <w:trPr>
          <w:trHeight w:val="250"/>
        </w:trPr>
        <w:tc>
          <w:tcPr>
            <w:tcW w:w="5580" w:type="dxa"/>
            <w:vAlign w:val="bottom"/>
          </w:tcPr>
          <w:p>
            <w:pPr>
              <w:spacing w:after="0"/>
              <w:rPr>
                <w:sz w:val="20"/>
                <w:szCs w:val="20"/>
                <w:color w:val="auto"/>
              </w:rPr>
            </w:pPr>
            <w:r>
              <w:rPr>
                <w:rFonts w:ascii="Arial" w:cs="Arial" w:eastAsia="Arial" w:hAnsi="Arial"/>
                <w:sz w:val="20"/>
                <w:szCs w:val="20"/>
                <w:color w:val="auto"/>
              </w:rPr>
              <w:t>Third Amendment Effective Date</w:t>
            </w:r>
          </w:p>
        </w:tc>
        <w:tc>
          <w:tcPr>
            <w:tcW w:w="2860" w:type="dxa"/>
            <w:vAlign w:val="bottom"/>
          </w:tcPr>
          <w:p>
            <w:pPr>
              <w:spacing w:after="0"/>
              <w:rPr>
                <w:sz w:val="21"/>
                <w:szCs w:val="21"/>
                <w:color w:val="auto"/>
              </w:rPr>
            </w:pPr>
          </w:p>
        </w:tc>
      </w:tr>
      <w:tr>
        <w:trPr>
          <w:trHeight w:val="236"/>
        </w:trPr>
        <w:tc>
          <w:tcPr>
            <w:tcW w:w="5580" w:type="dxa"/>
            <w:vAlign w:val="bottom"/>
          </w:tcPr>
          <w:p>
            <w:pPr>
              <w:ind w:left="660"/>
              <w:spacing w:after="0"/>
              <w:rPr>
                <w:sz w:val="20"/>
                <w:szCs w:val="20"/>
                <w:color w:val="auto"/>
              </w:rPr>
            </w:pPr>
            <w:r>
              <w:rPr>
                <w:rFonts w:ascii="Arial" w:cs="Arial" w:eastAsia="Arial" w:hAnsi="Arial"/>
                <w:sz w:val="20"/>
                <w:szCs w:val="20"/>
                <w:color w:val="auto"/>
                <w:w w:val="89"/>
              </w:rPr>
              <w:t>Second anniversary of the Incremental Amendment No. 2 and</w:t>
            </w:r>
          </w:p>
        </w:tc>
        <w:tc>
          <w:tcPr>
            <w:tcW w:w="2860" w:type="dxa"/>
            <w:vAlign w:val="bottom"/>
          </w:tcPr>
          <w:p>
            <w:pPr>
              <w:ind w:left="680"/>
              <w:spacing w:after="0"/>
              <w:rPr>
                <w:sz w:val="20"/>
                <w:szCs w:val="20"/>
                <w:color w:val="auto"/>
              </w:rPr>
            </w:pPr>
            <w:r>
              <w:rPr>
                <w:rFonts w:ascii="Arial" w:cs="Arial" w:eastAsia="Arial" w:hAnsi="Arial"/>
                <w:sz w:val="20"/>
                <w:szCs w:val="20"/>
                <w:color w:val="auto"/>
              </w:rPr>
              <w:t>2.5%</w:t>
            </w:r>
          </w:p>
        </w:tc>
      </w:tr>
      <w:tr>
        <w:trPr>
          <w:trHeight w:val="250"/>
        </w:trPr>
        <w:tc>
          <w:tcPr>
            <w:tcW w:w="5580" w:type="dxa"/>
            <w:vAlign w:val="bottom"/>
          </w:tcPr>
          <w:p>
            <w:pPr>
              <w:spacing w:after="0"/>
              <w:rPr>
                <w:sz w:val="20"/>
                <w:szCs w:val="20"/>
                <w:color w:val="auto"/>
              </w:rPr>
            </w:pPr>
            <w:r>
              <w:rPr>
                <w:rFonts w:ascii="Arial" w:cs="Arial" w:eastAsia="Arial" w:hAnsi="Arial"/>
                <w:sz w:val="20"/>
                <w:szCs w:val="20"/>
                <w:color w:val="auto"/>
              </w:rPr>
              <w:t>Third Amendment Effective Date</w:t>
            </w:r>
          </w:p>
        </w:tc>
        <w:tc>
          <w:tcPr>
            <w:tcW w:w="2860" w:type="dxa"/>
            <w:vAlign w:val="bottom"/>
          </w:tcPr>
          <w:p>
            <w:pPr>
              <w:spacing w:after="0"/>
              <w:rPr>
                <w:sz w:val="21"/>
                <w:szCs w:val="21"/>
                <w:color w:val="auto"/>
              </w:rPr>
            </w:pPr>
          </w:p>
        </w:tc>
      </w:tr>
      <w:tr>
        <w:trPr>
          <w:trHeight w:val="236"/>
        </w:trPr>
        <w:tc>
          <w:tcPr>
            <w:tcW w:w="5580" w:type="dxa"/>
            <w:vAlign w:val="bottom"/>
          </w:tcPr>
          <w:p>
            <w:pPr>
              <w:ind w:left="660"/>
              <w:spacing w:after="0"/>
              <w:rPr>
                <w:sz w:val="20"/>
                <w:szCs w:val="20"/>
                <w:color w:val="auto"/>
              </w:rPr>
            </w:pPr>
            <w:r>
              <w:rPr>
                <w:rFonts w:ascii="Arial" w:cs="Arial" w:eastAsia="Arial" w:hAnsi="Arial"/>
                <w:sz w:val="20"/>
                <w:szCs w:val="20"/>
                <w:color w:val="auto"/>
                <w:w w:val="93"/>
              </w:rPr>
              <w:t>Third anniversary of the Incremental Amendment No. 2 and</w:t>
            </w:r>
          </w:p>
        </w:tc>
        <w:tc>
          <w:tcPr>
            <w:tcW w:w="2860" w:type="dxa"/>
            <w:vAlign w:val="bottom"/>
          </w:tcPr>
          <w:p>
            <w:pPr>
              <w:ind w:left="680"/>
              <w:spacing w:after="0"/>
              <w:rPr>
                <w:sz w:val="20"/>
                <w:szCs w:val="20"/>
                <w:color w:val="auto"/>
              </w:rPr>
            </w:pPr>
            <w:r>
              <w:rPr>
                <w:rFonts w:ascii="Arial" w:cs="Arial" w:eastAsia="Arial" w:hAnsi="Arial"/>
                <w:sz w:val="20"/>
                <w:szCs w:val="20"/>
                <w:color w:val="auto"/>
              </w:rPr>
              <w:t>5%</w:t>
            </w:r>
          </w:p>
        </w:tc>
      </w:tr>
      <w:tr>
        <w:trPr>
          <w:trHeight w:val="250"/>
        </w:trPr>
        <w:tc>
          <w:tcPr>
            <w:tcW w:w="5580" w:type="dxa"/>
            <w:vAlign w:val="bottom"/>
          </w:tcPr>
          <w:p>
            <w:pPr>
              <w:spacing w:after="0"/>
              <w:rPr>
                <w:sz w:val="20"/>
                <w:szCs w:val="20"/>
                <w:color w:val="auto"/>
              </w:rPr>
            </w:pPr>
            <w:r>
              <w:rPr>
                <w:rFonts w:ascii="Arial" w:cs="Arial" w:eastAsia="Arial" w:hAnsi="Arial"/>
                <w:sz w:val="20"/>
                <w:szCs w:val="20"/>
                <w:color w:val="auto"/>
              </w:rPr>
              <w:t>Third Amendment Effective Date</w:t>
            </w:r>
          </w:p>
        </w:tc>
        <w:tc>
          <w:tcPr>
            <w:tcW w:w="2860" w:type="dxa"/>
            <w:vAlign w:val="bottom"/>
          </w:tcPr>
          <w:p>
            <w:pPr>
              <w:spacing w:after="0"/>
              <w:rPr>
                <w:sz w:val="21"/>
                <w:szCs w:val="21"/>
                <w:color w:val="auto"/>
              </w:rPr>
            </w:pPr>
          </w:p>
        </w:tc>
      </w:tr>
      <w:tr>
        <w:trPr>
          <w:trHeight w:val="236"/>
        </w:trPr>
        <w:tc>
          <w:tcPr>
            <w:tcW w:w="5580" w:type="dxa"/>
            <w:vAlign w:val="bottom"/>
          </w:tcPr>
          <w:p>
            <w:pPr>
              <w:ind w:left="660"/>
              <w:spacing w:after="0"/>
              <w:rPr>
                <w:sz w:val="20"/>
                <w:szCs w:val="20"/>
                <w:color w:val="auto"/>
              </w:rPr>
            </w:pPr>
            <w:r>
              <w:rPr>
                <w:rFonts w:ascii="Arial" w:cs="Arial" w:eastAsia="Arial" w:hAnsi="Arial"/>
                <w:sz w:val="20"/>
                <w:szCs w:val="20"/>
                <w:color w:val="auto"/>
                <w:w w:val="91"/>
              </w:rPr>
              <w:t>Fourth anniversary of the Incremental Amendment No. 2 and</w:t>
            </w:r>
          </w:p>
        </w:tc>
        <w:tc>
          <w:tcPr>
            <w:tcW w:w="2860" w:type="dxa"/>
            <w:vAlign w:val="bottom"/>
          </w:tcPr>
          <w:p>
            <w:pPr>
              <w:ind w:left="680"/>
              <w:spacing w:after="0"/>
              <w:rPr>
                <w:sz w:val="20"/>
                <w:szCs w:val="20"/>
                <w:color w:val="auto"/>
              </w:rPr>
            </w:pPr>
            <w:r>
              <w:rPr>
                <w:rFonts w:ascii="Arial" w:cs="Arial" w:eastAsia="Arial" w:hAnsi="Arial"/>
                <w:sz w:val="20"/>
                <w:szCs w:val="20"/>
                <w:color w:val="auto"/>
              </w:rPr>
              <w:t>5%</w:t>
            </w:r>
          </w:p>
        </w:tc>
      </w:tr>
      <w:tr>
        <w:trPr>
          <w:trHeight w:val="250"/>
        </w:trPr>
        <w:tc>
          <w:tcPr>
            <w:tcW w:w="5580" w:type="dxa"/>
            <w:vAlign w:val="bottom"/>
          </w:tcPr>
          <w:p>
            <w:pPr>
              <w:spacing w:after="0"/>
              <w:rPr>
                <w:sz w:val="20"/>
                <w:szCs w:val="20"/>
                <w:color w:val="auto"/>
              </w:rPr>
            </w:pPr>
            <w:r>
              <w:rPr>
                <w:rFonts w:ascii="Arial" w:cs="Arial" w:eastAsia="Arial" w:hAnsi="Arial"/>
                <w:sz w:val="20"/>
                <w:szCs w:val="20"/>
                <w:color w:val="auto"/>
              </w:rPr>
              <w:t>Third Amendment Effective Date</w:t>
            </w:r>
          </w:p>
        </w:tc>
        <w:tc>
          <w:tcPr>
            <w:tcW w:w="2860" w:type="dxa"/>
            <w:vAlign w:val="bottom"/>
          </w:tcPr>
          <w:p>
            <w:pPr>
              <w:spacing w:after="0"/>
              <w:rPr>
                <w:sz w:val="21"/>
                <w:szCs w:val="21"/>
                <w:color w:val="auto"/>
              </w:rPr>
            </w:pPr>
          </w:p>
        </w:tc>
      </w:tr>
      <w:tr>
        <w:trPr>
          <w:trHeight w:val="236"/>
        </w:trPr>
        <w:tc>
          <w:tcPr>
            <w:tcW w:w="5580" w:type="dxa"/>
            <w:vAlign w:val="bottom"/>
          </w:tcPr>
          <w:p>
            <w:pPr>
              <w:ind w:left="660"/>
              <w:spacing w:after="0"/>
              <w:rPr>
                <w:sz w:val="20"/>
                <w:szCs w:val="20"/>
                <w:color w:val="auto"/>
              </w:rPr>
            </w:pPr>
            <w:r>
              <w:rPr>
                <w:rFonts w:ascii="Arial" w:cs="Arial" w:eastAsia="Arial" w:hAnsi="Arial"/>
                <w:sz w:val="20"/>
                <w:szCs w:val="20"/>
                <w:color w:val="auto"/>
                <w:w w:val="94"/>
              </w:rPr>
              <w:t>Fifth anniversary of the Incremental Amendment No. 2 and</w:t>
            </w:r>
          </w:p>
        </w:tc>
        <w:tc>
          <w:tcPr>
            <w:tcW w:w="2860" w:type="dxa"/>
            <w:vAlign w:val="bottom"/>
          </w:tcPr>
          <w:p>
            <w:pPr>
              <w:ind w:left="680"/>
              <w:spacing w:after="0"/>
              <w:rPr>
                <w:sz w:val="20"/>
                <w:szCs w:val="20"/>
                <w:color w:val="auto"/>
              </w:rPr>
            </w:pPr>
            <w:r>
              <w:rPr>
                <w:rFonts w:ascii="Arial" w:cs="Arial" w:eastAsia="Arial" w:hAnsi="Arial"/>
                <w:sz w:val="20"/>
                <w:szCs w:val="20"/>
                <w:color w:val="auto"/>
              </w:rPr>
              <w:t>5%</w:t>
            </w:r>
          </w:p>
        </w:tc>
      </w:tr>
      <w:tr>
        <w:trPr>
          <w:trHeight w:val="250"/>
        </w:trPr>
        <w:tc>
          <w:tcPr>
            <w:tcW w:w="5580" w:type="dxa"/>
            <w:vAlign w:val="bottom"/>
          </w:tcPr>
          <w:p>
            <w:pPr>
              <w:spacing w:after="0"/>
              <w:rPr>
                <w:sz w:val="20"/>
                <w:szCs w:val="20"/>
                <w:color w:val="auto"/>
              </w:rPr>
            </w:pPr>
            <w:r>
              <w:rPr>
                <w:rFonts w:ascii="Arial" w:cs="Arial" w:eastAsia="Arial" w:hAnsi="Arial"/>
                <w:sz w:val="20"/>
                <w:szCs w:val="20"/>
                <w:color w:val="auto"/>
              </w:rPr>
              <w:t>Third Amendment Effective Date</w:t>
            </w:r>
          </w:p>
        </w:tc>
        <w:tc>
          <w:tcPr>
            <w:tcW w:w="2860" w:type="dxa"/>
            <w:vAlign w:val="bottom"/>
          </w:tcPr>
          <w:p>
            <w:pPr>
              <w:spacing w:after="0"/>
              <w:rPr>
                <w:sz w:val="21"/>
                <w:szCs w:val="21"/>
                <w:color w:val="auto"/>
              </w:rPr>
            </w:pPr>
          </w:p>
        </w:tc>
      </w:tr>
    </w:tbl>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Term Loan A Repayments</w:t>
      </w:r>
      <w:r>
        <w:rPr>
          <w:rFonts w:ascii="Arial" w:cs="Arial" w:eastAsia="Arial" w:hAnsi="Arial"/>
          <w:sz w:val="20"/>
          <w:szCs w:val="20"/>
          <w:color w:val="auto"/>
        </w:rPr>
        <w:t xml:space="preserve">” means, with respect to the principal payments on the Term A Loan, on the last Business Day of each March, June, September and December ending on or prior to each date set forth below (commencing on March 31, 2020), 0.25 times the percentage of the original aggregate principal amount of Term A Loans made on the Incremental Amendment No. 2 and Third Amendment Effective Date set forth opposite thereto, as reduced from time to time pursuant to </w:t>
      </w:r>
      <w:r>
        <w:rPr>
          <w:rFonts w:ascii="Arial" w:cs="Arial" w:eastAsia="Arial" w:hAnsi="Arial"/>
          <w:sz w:val="20"/>
          <w:szCs w:val="20"/>
          <w:u w:val="single" w:color="auto"/>
          <w:color w:val="auto"/>
        </w:rPr>
        <w:t>Sections 4.3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4.4</w:t>
      </w:r>
      <w:r>
        <w:rPr>
          <w:rFonts w:ascii="Arial" w:cs="Arial" w:eastAsia="Arial" w:hAnsi="Arial"/>
          <w:sz w:val="20"/>
          <w:szCs w:val="20"/>
          <w:color w:val="auto"/>
        </w:rPr>
        <w:t>, and on the Term Loan A Maturity Date, the remaining outstanding principal amount thereof:</w:t>
      </w:r>
    </w:p>
    <w:p>
      <w:pPr>
        <w:sectPr>
          <w:pgSz w:w="11900" w:h="16838" w:orient="portrait"/>
          <w:cols w:equalWidth="0" w:num="1">
            <w:col w:w="11240"/>
          </w:cols>
          <w:pgMar w:left="320" w:top="1419" w:right="339" w:bottom="1440" w:gutter="0" w:footer="0" w:header="0"/>
        </w:sectPr>
      </w:pPr>
    </w:p>
    <w:bookmarkStart w:id="170" w:name="page171"/>
    <w:bookmarkEnd w:id="170"/>
    <w:p>
      <w:pPr>
        <w:spacing w:after="0" w:line="20"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Arial" w:cs="Arial" w:eastAsia="Arial" w:hAnsi="Arial"/>
          <w:sz w:val="16"/>
          <w:szCs w:val="16"/>
          <w:color w:val="auto"/>
        </w:rPr>
        <w:t>Scheduled Term Loan A</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Repayment Percentage</w:t>
      </w:r>
    </w:p>
    <w:p>
      <w:pPr>
        <w:spacing w:after="0" w:line="117" w:lineRule="exact"/>
        <w:rPr>
          <w:sz w:val="20"/>
          <w:szCs w:val="20"/>
          <w:color w:val="auto"/>
        </w:rPr>
      </w:pPr>
    </w:p>
    <w:p>
      <w:pPr>
        <w:sectPr>
          <w:pgSz w:w="11900" w:h="16838" w:orient="portrait"/>
          <w:cols w:equalWidth="0" w:num="2">
            <w:col w:w="5560" w:space="720"/>
            <w:col w:w="4960"/>
          </w:cols>
          <w:pgMar w:left="320" w:top="1440" w:right="339" w:bottom="1440" w:gutter="0" w:footer="0" w:header="0"/>
        </w:sectPr>
      </w:pPr>
    </w:p>
    <w:tbl>
      <w:tblPr>
        <w:tblLayout w:type="fixed"/>
        <w:tblInd w:w="20" w:type="dxa"/>
        <w:tblCellMar>
          <w:top w:w="0" w:type="dxa"/>
          <w:left w:w="0" w:type="dxa"/>
          <w:bottom w:w="0" w:type="dxa"/>
          <w:right w:w="0" w:type="dxa"/>
        </w:tblCellMar>
      </w:tblPr>
      <w:tr>
        <w:trPr>
          <w:trHeight w:val="253"/>
        </w:trPr>
        <w:tc>
          <w:tcPr>
            <w:tcW w:w="5900" w:type="dxa"/>
            <w:vAlign w:val="bottom"/>
          </w:tcPr>
          <w:p>
            <w:pPr>
              <w:ind w:left="660"/>
              <w:spacing w:after="0"/>
              <w:rPr>
                <w:sz w:val="20"/>
                <w:szCs w:val="20"/>
                <w:color w:val="auto"/>
              </w:rPr>
            </w:pPr>
            <w:r>
              <w:rPr>
                <w:rFonts w:ascii="Arial" w:cs="Arial" w:eastAsia="Arial" w:hAnsi="Arial"/>
                <w:sz w:val="22"/>
                <w:szCs w:val="22"/>
                <w:color w:val="auto"/>
                <w:w w:val="98"/>
              </w:rPr>
              <w:t>First anniversary of the Incremental Amendment No. 2</w:t>
            </w:r>
          </w:p>
        </w:tc>
        <w:tc>
          <w:tcPr>
            <w:tcW w:w="760" w:type="dxa"/>
            <w:vAlign w:val="bottom"/>
          </w:tcPr>
          <w:p>
            <w:pPr>
              <w:ind w:left="360"/>
              <w:spacing w:after="0"/>
              <w:rPr>
                <w:sz w:val="20"/>
                <w:szCs w:val="20"/>
                <w:color w:val="auto"/>
              </w:rPr>
            </w:pPr>
            <w:r>
              <w:rPr>
                <w:rFonts w:ascii="Arial" w:cs="Arial" w:eastAsia="Arial" w:hAnsi="Arial"/>
                <w:sz w:val="20"/>
                <w:szCs w:val="20"/>
                <w:color w:val="auto"/>
                <w:w w:val="83"/>
              </w:rPr>
              <w:t>2.5%</w:t>
            </w:r>
          </w:p>
        </w:tc>
      </w:tr>
      <w:tr>
        <w:trPr>
          <w:trHeight w:val="274"/>
        </w:trPr>
        <w:tc>
          <w:tcPr>
            <w:tcW w:w="5900" w:type="dxa"/>
            <w:vAlign w:val="bottom"/>
          </w:tcPr>
          <w:p>
            <w:pPr>
              <w:spacing w:after="0"/>
              <w:rPr>
                <w:sz w:val="20"/>
                <w:szCs w:val="20"/>
                <w:color w:val="auto"/>
              </w:rPr>
            </w:pPr>
            <w:r>
              <w:rPr>
                <w:rFonts w:ascii="Arial" w:cs="Arial" w:eastAsia="Arial" w:hAnsi="Arial"/>
                <w:sz w:val="22"/>
                <w:szCs w:val="22"/>
                <w:color w:val="auto"/>
              </w:rPr>
              <w:t>and Third Amendment Effective Date</w:t>
            </w:r>
          </w:p>
        </w:tc>
        <w:tc>
          <w:tcPr>
            <w:tcW w:w="760" w:type="dxa"/>
            <w:vAlign w:val="bottom"/>
          </w:tcPr>
          <w:p>
            <w:pPr>
              <w:spacing w:after="0"/>
              <w:rPr>
                <w:sz w:val="23"/>
                <w:szCs w:val="23"/>
                <w:color w:val="auto"/>
              </w:rPr>
            </w:pPr>
          </w:p>
        </w:tc>
      </w:tr>
      <w:tr>
        <w:trPr>
          <w:trHeight w:val="243"/>
        </w:trPr>
        <w:tc>
          <w:tcPr>
            <w:tcW w:w="5900" w:type="dxa"/>
            <w:vAlign w:val="bottom"/>
          </w:tcPr>
          <w:p>
            <w:pPr>
              <w:ind w:left="660"/>
              <w:spacing w:after="0"/>
              <w:rPr>
                <w:sz w:val="20"/>
                <w:szCs w:val="20"/>
                <w:color w:val="auto"/>
              </w:rPr>
            </w:pPr>
            <w:r>
              <w:rPr>
                <w:rFonts w:ascii="Arial" w:cs="Arial" w:eastAsia="Arial" w:hAnsi="Arial"/>
                <w:sz w:val="20"/>
                <w:szCs w:val="20"/>
                <w:color w:val="auto"/>
                <w:w w:val="95"/>
              </w:rPr>
              <w:t>Second anniversary of the Incremental Amendment No. 2 and</w:t>
            </w:r>
          </w:p>
        </w:tc>
        <w:tc>
          <w:tcPr>
            <w:tcW w:w="760" w:type="dxa"/>
            <w:vAlign w:val="bottom"/>
          </w:tcPr>
          <w:p>
            <w:pPr>
              <w:ind w:left="360"/>
              <w:spacing w:after="0"/>
              <w:rPr>
                <w:sz w:val="20"/>
                <w:szCs w:val="20"/>
                <w:color w:val="auto"/>
              </w:rPr>
            </w:pPr>
            <w:r>
              <w:rPr>
                <w:rFonts w:ascii="Arial" w:cs="Arial" w:eastAsia="Arial" w:hAnsi="Arial"/>
                <w:sz w:val="20"/>
                <w:szCs w:val="20"/>
                <w:color w:val="auto"/>
                <w:w w:val="83"/>
              </w:rPr>
              <w:t>2.5%</w:t>
            </w:r>
          </w:p>
        </w:tc>
      </w:tr>
      <w:tr>
        <w:trPr>
          <w:trHeight w:val="250"/>
        </w:trPr>
        <w:tc>
          <w:tcPr>
            <w:tcW w:w="5900" w:type="dxa"/>
            <w:vAlign w:val="bottom"/>
          </w:tcPr>
          <w:p>
            <w:pPr>
              <w:spacing w:after="0"/>
              <w:rPr>
                <w:sz w:val="20"/>
                <w:szCs w:val="20"/>
                <w:color w:val="auto"/>
              </w:rPr>
            </w:pPr>
            <w:r>
              <w:rPr>
                <w:rFonts w:ascii="Arial" w:cs="Arial" w:eastAsia="Arial" w:hAnsi="Arial"/>
                <w:sz w:val="20"/>
                <w:szCs w:val="20"/>
                <w:color w:val="auto"/>
              </w:rPr>
              <w:t>Third Amendment Effective Date</w:t>
            </w:r>
          </w:p>
        </w:tc>
        <w:tc>
          <w:tcPr>
            <w:tcW w:w="760" w:type="dxa"/>
            <w:vAlign w:val="bottom"/>
          </w:tcPr>
          <w:p>
            <w:pPr>
              <w:spacing w:after="0"/>
              <w:rPr>
                <w:sz w:val="21"/>
                <w:szCs w:val="21"/>
                <w:color w:val="auto"/>
              </w:rPr>
            </w:pPr>
          </w:p>
        </w:tc>
      </w:tr>
      <w:tr>
        <w:trPr>
          <w:trHeight w:val="236"/>
        </w:trPr>
        <w:tc>
          <w:tcPr>
            <w:tcW w:w="5900" w:type="dxa"/>
            <w:vAlign w:val="bottom"/>
          </w:tcPr>
          <w:p>
            <w:pPr>
              <w:ind w:left="660"/>
              <w:spacing w:after="0"/>
              <w:rPr>
                <w:sz w:val="20"/>
                <w:szCs w:val="20"/>
                <w:color w:val="auto"/>
              </w:rPr>
            </w:pPr>
            <w:r>
              <w:rPr>
                <w:rFonts w:ascii="Arial" w:cs="Arial" w:eastAsia="Arial" w:hAnsi="Arial"/>
                <w:sz w:val="20"/>
                <w:szCs w:val="20"/>
                <w:color w:val="auto"/>
                <w:w w:val="99"/>
              </w:rPr>
              <w:t>Third anniversary of the Incremental Amendment No. 2 and</w:t>
            </w:r>
          </w:p>
        </w:tc>
        <w:tc>
          <w:tcPr>
            <w:tcW w:w="760" w:type="dxa"/>
            <w:vAlign w:val="bottom"/>
          </w:tcPr>
          <w:p>
            <w:pPr>
              <w:ind w:left="360"/>
              <w:spacing w:after="0"/>
              <w:rPr>
                <w:sz w:val="20"/>
                <w:szCs w:val="20"/>
                <w:color w:val="auto"/>
              </w:rPr>
            </w:pPr>
            <w:r>
              <w:rPr>
                <w:rFonts w:ascii="Arial" w:cs="Arial" w:eastAsia="Arial" w:hAnsi="Arial"/>
                <w:sz w:val="20"/>
                <w:szCs w:val="20"/>
                <w:color w:val="auto"/>
              </w:rPr>
              <w:t>5%</w:t>
            </w:r>
          </w:p>
        </w:tc>
      </w:tr>
      <w:tr>
        <w:trPr>
          <w:trHeight w:val="250"/>
        </w:trPr>
        <w:tc>
          <w:tcPr>
            <w:tcW w:w="5900" w:type="dxa"/>
            <w:vAlign w:val="bottom"/>
          </w:tcPr>
          <w:p>
            <w:pPr>
              <w:spacing w:after="0"/>
              <w:rPr>
                <w:sz w:val="20"/>
                <w:szCs w:val="20"/>
                <w:color w:val="auto"/>
              </w:rPr>
            </w:pPr>
            <w:r>
              <w:rPr>
                <w:rFonts w:ascii="Arial" w:cs="Arial" w:eastAsia="Arial" w:hAnsi="Arial"/>
                <w:sz w:val="20"/>
                <w:szCs w:val="20"/>
                <w:color w:val="auto"/>
              </w:rPr>
              <w:t>Third Amendment Effective Date</w:t>
            </w:r>
          </w:p>
        </w:tc>
        <w:tc>
          <w:tcPr>
            <w:tcW w:w="760" w:type="dxa"/>
            <w:vAlign w:val="bottom"/>
          </w:tcPr>
          <w:p>
            <w:pPr>
              <w:spacing w:after="0"/>
              <w:rPr>
                <w:sz w:val="21"/>
                <w:szCs w:val="21"/>
                <w:color w:val="auto"/>
              </w:rPr>
            </w:pPr>
          </w:p>
        </w:tc>
      </w:tr>
      <w:tr>
        <w:trPr>
          <w:trHeight w:val="236"/>
        </w:trPr>
        <w:tc>
          <w:tcPr>
            <w:tcW w:w="5900" w:type="dxa"/>
            <w:vAlign w:val="bottom"/>
          </w:tcPr>
          <w:p>
            <w:pPr>
              <w:ind w:left="660"/>
              <w:spacing w:after="0"/>
              <w:rPr>
                <w:sz w:val="20"/>
                <w:szCs w:val="20"/>
                <w:color w:val="auto"/>
              </w:rPr>
            </w:pPr>
            <w:r>
              <w:rPr>
                <w:rFonts w:ascii="Arial" w:cs="Arial" w:eastAsia="Arial" w:hAnsi="Arial"/>
                <w:sz w:val="20"/>
                <w:szCs w:val="20"/>
                <w:color w:val="auto"/>
                <w:w w:val="97"/>
              </w:rPr>
              <w:t>Fourth anniversary of the Incremental Amendment No. 2 and</w:t>
            </w:r>
          </w:p>
        </w:tc>
        <w:tc>
          <w:tcPr>
            <w:tcW w:w="760" w:type="dxa"/>
            <w:vAlign w:val="bottom"/>
          </w:tcPr>
          <w:p>
            <w:pPr>
              <w:ind w:left="360"/>
              <w:spacing w:after="0"/>
              <w:rPr>
                <w:sz w:val="20"/>
                <w:szCs w:val="20"/>
                <w:color w:val="auto"/>
              </w:rPr>
            </w:pPr>
            <w:r>
              <w:rPr>
                <w:rFonts w:ascii="Arial" w:cs="Arial" w:eastAsia="Arial" w:hAnsi="Arial"/>
                <w:sz w:val="20"/>
                <w:szCs w:val="20"/>
                <w:color w:val="auto"/>
              </w:rPr>
              <w:t>5%</w:t>
            </w:r>
          </w:p>
        </w:tc>
      </w:tr>
      <w:tr>
        <w:trPr>
          <w:trHeight w:val="250"/>
        </w:trPr>
        <w:tc>
          <w:tcPr>
            <w:tcW w:w="5900" w:type="dxa"/>
            <w:vAlign w:val="bottom"/>
          </w:tcPr>
          <w:p>
            <w:pPr>
              <w:spacing w:after="0"/>
              <w:rPr>
                <w:sz w:val="20"/>
                <w:szCs w:val="20"/>
                <w:color w:val="auto"/>
              </w:rPr>
            </w:pPr>
            <w:r>
              <w:rPr>
                <w:rFonts w:ascii="Arial" w:cs="Arial" w:eastAsia="Arial" w:hAnsi="Arial"/>
                <w:sz w:val="20"/>
                <w:szCs w:val="20"/>
                <w:color w:val="auto"/>
              </w:rPr>
              <w:t>Third Amendment Effective Date</w:t>
            </w:r>
          </w:p>
        </w:tc>
        <w:tc>
          <w:tcPr>
            <w:tcW w:w="760" w:type="dxa"/>
            <w:vAlign w:val="bottom"/>
          </w:tcPr>
          <w:p>
            <w:pPr>
              <w:spacing w:after="0"/>
              <w:rPr>
                <w:sz w:val="21"/>
                <w:szCs w:val="21"/>
                <w:color w:val="auto"/>
              </w:rPr>
            </w:pPr>
          </w:p>
        </w:tc>
      </w:tr>
      <w:tr>
        <w:trPr>
          <w:trHeight w:val="236"/>
        </w:trPr>
        <w:tc>
          <w:tcPr>
            <w:tcW w:w="5900" w:type="dxa"/>
            <w:vAlign w:val="bottom"/>
          </w:tcPr>
          <w:p>
            <w:pPr>
              <w:ind w:left="660"/>
              <w:spacing w:after="0"/>
              <w:rPr>
                <w:sz w:val="20"/>
                <w:szCs w:val="20"/>
                <w:color w:val="auto"/>
              </w:rPr>
            </w:pPr>
            <w:r>
              <w:rPr>
                <w:rFonts w:ascii="Arial" w:cs="Arial" w:eastAsia="Arial" w:hAnsi="Arial"/>
                <w:sz w:val="20"/>
                <w:szCs w:val="20"/>
                <w:color w:val="auto"/>
              </w:rPr>
              <w:t>Fifth anniversary of the Incremental Amendment No. 2 and</w:t>
            </w:r>
          </w:p>
        </w:tc>
        <w:tc>
          <w:tcPr>
            <w:tcW w:w="760" w:type="dxa"/>
            <w:vAlign w:val="bottom"/>
          </w:tcPr>
          <w:p>
            <w:pPr>
              <w:ind w:left="360"/>
              <w:spacing w:after="0"/>
              <w:rPr>
                <w:sz w:val="20"/>
                <w:szCs w:val="20"/>
                <w:color w:val="auto"/>
              </w:rPr>
            </w:pPr>
            <w:r>
              <w:rPr>
                <w:rFonts w:ascii="Arial" w:cs="Arial" w:eastAsia="Arial" w:hAnsi="Arial"/>
                <w:sz w:val="20"/>
                <w:szCs w:val="20"/>
                <w:color w:val="auto"/>
              </w:rPr>
              <w:t>5%</w:t>
            </w:r>
          </w:p>
        </w:tc>
      </w:tr>
      <w:tr>
        <w:trPr>
          <w:trHeight w:val="250"/>
        </w:trPr>
        <w:tc>
          <w:tcPr>
            <w:tcW w:w="5900" w:type="dxa"/>
            <w:vAlign w:val="bottom"/>
          </w:tcPr>
          <w:p>
            <w:pPr>
              <w:spacing w:after="0"/>
              <w:rPr>
                <w:sz w:val="20"/>
                <w:szCs w:val="20"/>
                <w:color w:val="auto"/>
              </w:rPr>
            </w:pPr>
            <w:r>
              <w:rPr>
                <w:rFonts w:ascii="Arial" w:cs="Arial" w:eastAsia="Arial" w:hAnsi="Arial"/>
                <w:sz w:val="20"/>
                <w:szCs w:val="20"/>
                <w:color w:val="auto"/>
              </w:rPr>
              <w:t>Third Amendment Effective Date</w:t>
            </w:r>
          </w:p>
        </w:tc>
        <w:tc>
          <w:tcPr>
            <w:tcW w:w="760" w:type="dxa"/>
            <w:vAlign w:val="bottom"/>
          </w:tcPr>
          <w:p>
            <w:pPr>
              <w:spacing w:after="0"/>
              <w:rPr>
                <w:sz w:val="21"/>
                <w:szCs w:val="21"/>
                <w:color w:val="auto"/>
              </w:rPr>
            </w:pPr>
          </w:p>
        </w:tc>
      </w:tr>
    </w:tbl>
    <w:p>
      <w:pPr>
        <w:spacing w:after="0" w:line="31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Term Repayments</w:t>
      </w:r>
      <w:r>
        <w:rPr>
          <w:rFonts w:ascii="Arial" w:cs="Arial" w:eastAsia="Arial" w:hAnsi="Arial"/>
          <w:sz w:val="20"/>
          <w:szCs w:val="20"/>
          <w:color w:val="auto"/>
        </w:rPr>
        <w:t>” means, for any Term Facility, the scheduled principal repayments set forth in the “Scheduled Term Repayments” definition applicable to such Term Facility.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Securities and Exchange Commission or any successor thereto.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Currency</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12.4(c)</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Creditors</w:t>
      </w:r>
      <w:r>
        <w:rPr>
          <w:rFonts w:ascii="Arial" w:cs="Arial" w:eastAsia="Arial" w:hAnsi="Arial"/>
          <w:sz w:val="20"/>
          <w:szCs w:val="20"/>
          <w:color w:val="auto"/>
        </w:rPr>
        <w:t>” has the meaning provided in the respective Security Documents to the extent defined therein and shall include any Person who is granted a Lien or security interest pursuant to any Loan Document.</w:t>
      </w:r>
    </w:p>
    <w:p>
      <w:pPr>
        <w:spacing w:after="0" w:line="20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w:t>
      </w:r>
      <w:r>
        <w:rPr>
          <w:rFonts w:ascii="Arial" w:cs="Arial" w:eastAsia="Arial" w:hAnsi="Arial"/>
          <w:sz w:val="20"/>
          <w:szCs w:val="20"/>
          <w:color w:val="auto"/>
        </w:rPr>
        <w:t>” means any stock, shares, voting trust certificates, bonds, debentures, options, warrants,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 as amended.</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Documents</w:t>
      </w:r>
      <w:r>
        <w:rPr>
          <w:rFonts w:ascii="Arial" w:cs="Arial" w:eastAsia="Arial" w:hAnsi="Arial"/>
          <w:sz w:val="19"/>
          <w:szCs w:val="19"/>
          <w:color w:val="auto"/>
        </w:rPr>
        <w:t>” means, collectively the Euro Security Documents, the U.S. Security Documents, and all other agreements, assignments, security agreements, instruments and documents executed in connection therewith, in each case as the same may at any time be amended, supplemented, restated or otherwise modified and in effect. For purposes of this Agreement, “Security Documents” shall also include all guaranties, security agreements, mortgages, pledge agreements, collateral assignments, subordination agreements and other collateral documents in the nature of any thereof entered into by Crown Holdings or any of its Subsidiaries after the date of this Agreement in favor of a Collateral Agent in satisfaction of the requirements of this Agreement, in each case as the same may at any time be amended, supplemented, restated or otherwise modified and in effect.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SEMs</w:t>
      </w:r>
      <w:r>
        <w:rPr>
          <w:rFonts w:ascii="Arial" w:cs="Arial" w:eastAsia="Arial" w:hAnsi="Arial"/>
          <w:sz w:val="19"/>
          <w:szCs w:val="19"/>
          <w:color w:val="auto"/>
        </w:rPr>
        <w:t>” means the US Environmental Protection Agency Superfund Enterprise Management System (SEMS) database.</w:t>
      </w:r>
    </w:p>
    <w:p>
      <w:pPr>
        <w:spacing w:after="0" w:line="24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w:t>
      </w:r>
      <w:r>
        <w:rPr>
          <w:rFonts w:ascii="Arial" w:cs="Arial" w:eastAsia="Arial" w:hAnsi="Arial"/>
          <w:sz w:val="18"/>
          <w:szCs w:val="18"/>
          <w:color w:val="auto"/>
        </w:rPr>
        <w:t>” means each of the following: (i) the Senior Notes 2022, (ii) the Senior Notes 2023, (iii) the Senior Notes 2024, (iv) the Senior Notes 2025, (v) the Senior Notes 2026, (vi) the Senior Notes 2023-2, (vii) the Senior Notes 2023-3, (viii) the Senior Notes 2026-2, (ix) the Senior Notes 2026-3 and (x) any exchange notes which are issued in a registered exchange offer for any of such notes.</w:t>
      </w:r>
    </w:p>
    <w:p>
      <w:pPr>
        <w:sectPr>
          <w:pgSz w:w="11900" w:h="16838" w:orient="portrait"/>
          <w:cols w:equalWidth="0" w:num="1">
            <w:col w:w="11240"/>
          </w:cols>
          <w:pgMar w:left="320" w:top="1440" w:right="339" w:bottom="1440" w:gutter="0" w:footer="0" w:header="0"/>
          <w:type w:val="continuous"/>
        </w:sectPr>
      </w:pPr>
    </w:p>
    <w:bookmarkStart w:id="171" w:name="page172"/>
    <w:bookmarkEnd w:id="17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2022</w:t>
      </w:r>
      <w:r>
        <w:rPr>
          <w:rFonts w:ascii="Arial" w:cs="Arial" w:eastAsia="Arial" w:hAnsi="Arial"/>
          <w:sz w:val="18"/>
          <w:szCs w:val="18"/>
          <w:color w:val="auto"/>
        </w:rPr>
        <w:t>” means the €650,000,000 in aggregate principal amount of 4.00% senior notes due 2022 of European Borrower.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2022 Indenture</w:t>
      </w:r>
      <w:r>
        <w:rPr>
          <w:rFonts w:ascii="Arial" w:cs="Arial" w:eastAsia="Arial" w:hAnsi="Arial"/>
          <w:sz w:val="20"/>
          <w:szCs w:val="20"/>
          <w:color w:val="auto"/>
        </w:rPr>
        <w:t>” means the Indenture governing the Senior Notes 2022.</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2023</w:t>
      </w:r>
      <w:r>
        <w:rPr>
          <w:rFonts w:ascii="Arial" w:cs="Arial" w:eastAsia="Arial" w:hAnsi="Arial"/>
          <w:sz w:val="20"/>
          <w:szCs w:val="20"/>
          <w:color w:val="auto"/>
        </w:rPr>
        <w:t>” means the $1,000,000,000 in aggregate principal amount of 4.50% senior notes due 2023 of U.S. Borrower and Crown Americas Capital Corp. IV.</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2023 Indenture</w:t>
      </w:r>
      <w:r>
        <w:rPr>
          <w:rFonts w:ascii="Arial" w:cs="Arial" w:eastAsia="Arial" w:hAnsi="Arial"/>
          <w:sz w:val="20"/>
          <w:szCs w:val="20"/>
          <w:color w:val="auto"/>
        </w:rPr>
        <w:t>” means the Indenture governing the Senior Notes 2023.</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2023-2</w:t>
      </w:r>
      <w:r>
        <w:rPr>
          <w:rFonts w:ascii="Arial" w:cs="Arial" w:eastAsia="Arial" w:hAnsi="Arial"/>
          <w:sz w:val="20"/>
          <w:szCs w:val="20"/>
          <w:color w:val="auto"/>
        </w:rPr>
        <w:t>” means the €335,000,000 in aggregate principal amount of 2.250% senior notes due 2023 of European Borrower.</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2023-2 Indenture</w:t>
      </w:r>
      <w:r>
        <w:rPr>
          <w:rFonts w:ascii="Arial" w:cs="Arial" w:eastAsia="Arial" w:hAnsi="Arial"/>
          <w:sz w:val="20"/>
          <w:szCs w:val="20"/>
          <w:color w:val="auto"/>
        </w:rPr>
        <w:t>” means the Indenture governing the Senior Notes 2023-2.</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2023-3</w:t>
      </w:r>
      <w:r>
        <w:rPr>
          <w:rFonts w:ascii="Arial" w:cs="Arial" w:eastAsia="Arial" w:hAnsi="Arial"/>
          <w:sz w:val="20"/>
          <w:szCs w:val="20"/>
          <w:color w:val="auto"/>
        </w:rPr>
        <w:t>” means the €550,000,000 in aggregate principal amount of 0.750% senior notes due 2023 of European Borrower.</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2023-3 Indenture</w:t>
      </w:r>
      <w:r>
        <w:rPr>
          <w:rFonts w:ascii="Arial" w:cs="Arial" w:eastAsia="Arial" w:hAnsi="Arial"/>
          <w:sz w:val="20"/>
          <w:szCs w:val="20"/>
          <w:color w:val="auto"/>
        </w:rPr>
        <w:t>” means the Indenture governing the Senior Notes 2023-3.</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Notes 2024</w:t>
      </w:r>
      <w:r>
        <w:rPr>
          <w:rFonts w:ascii="Arial" w:cs="Arial" w:eastAsia="Arial" w:hAnsi="Arial"/>
          <w:sz w:val="16"/>
          <w:szCs w:val="16"/>
          <w:color w:val="auto"/>
        </w:rPr>
        <w:t>” means the €600,000,000 in aggregate principal amount of 2.625% senior notes due 2024 of European Borrower.</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2024 Indenture</w:t>
      </w:r>
      <w:r>
        <w:rPr>
          <w:rFonts w:ascii="Arial" w:cs="Arial" w:eastAsia="Arial" w:hAnsi="Arial"/>
          <w:sz w:val="20"/>
          <w:szCs w:val="20"/>
          <w:color w:val="auto"/>
        </w:rPr>
        <w:t>” means the Indenture governing the Senior Notes 2024.</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Notes 2025</w:t>
      </w:r>
      <w:r>
        <w:rPr>
          <w:rFonts w:ascii="Arial" w:cs="Arial" w:eastAsia="Arial" w:hAnsi="Arial"/>
          <w:sz w:val="16"/>
          <w:szCs w:val="16"/>
          <w:color w:val="auto"/>
        </w:rPr>
        <w:t>” means the €600,000,000 in aggregate principal amount of 3.375% senior notes due 2025 of European Borrower.</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2025 Indenture</w:t>
      </w:r>
      <w:r>
        <w:rPr>
          <w:rFonts w:ascii="Arial" w:cs="Arial" w:eastAsia="Arial" w:hAnsi="Arial"/>
          <w:sz w:val="20"/>
          <w:szCs w:val="20"/>
          <w:color w:val="auto"/>
        </w:rPr>
        <w:t>” means the Indenture governing the Senior Notes 2025.</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2026</w:t>
      </w:r>
      <w:r>
        <w:rPr>
          <w:rFonts w:ascii="Arial" w:cs="Arial" w:eastAsia="Arial" w:hAnsi="Arial"/>
          <w:sz w:val="20"/>
          <w:szCs w:val="20"/>
          <w:color w:val="auto"/>
        </w:rPr>
        <w:t>” means the $400,000,000 in aggregate principal amount of 4.25% senior notes due 2026 of U.S. Borrower and Crown Americas Capital Corp. V.</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2026 Indenture</w:t>
      </w:r>
      <w:r>
        <w:rPr>
          <w:rFonts w:ascii="Arial" w:cs="Arial" w:eastAsia="Arial" w:hAnsi="Arial"/>
          <w:sz w:val="20"/>
          <w:szCs w:val="20"/>
          <w:color w:val="auto"/>
        </w:rPr>
        <w:t>” means the Indenture governing the Senior Notes 2026.</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2026-2</w:t>
      </w:r>
      <w:r>
        <w:rPr>
          <w:rFonts w:ascii="Arial" w:cs="Arial" w:eastAsia="Arial" w:hAnsi="Arial"/>
          <w:sz w:val="20"/>
          <w:szCs w:val="20"/>
          <w:color w:val="auto"/>
        </w:rPr>
        <w:t>” means the $875,000,000 in aggregate principal amount of 4.750% senior notes due 2026 of U.S. Borrower and Crown Americas Capital Corp. VI.</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2026-2 Indenture</w:t>
      </w:r>
      <w:r>
        <w:rPr>
          <w:rFonts w:ascii="Arial" w:cs="Arial" w:eastAsia="Arial" w:hAnsi="Arial"/>
          <w:sz w:val="20"/>
          <w:szCs w:val="20"/>
          <w:color w:val="auto"/>
        </w:rPr>
        <w:t>” means the Indenture governing the Senior Notes 2026-2.</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2026-3</w:t>
      </w:r>
      <w:r>
        <w:rPr>
          <w:rFonts w:ascii="Arial" w:cs="Arial" w:eastAsia="Arial" w:hAnsi="Arial"/>
          <w:sz w:val="20"/>
          <w:szCs w:val="20"/>
          <w:color w:val="auto"/>
        </w:rPr>
        <w:t>” means the €500,000,000 in aggregate principal amount of 2.875% senior notes due 2026 of European Borrower.</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2026-3 Indenture</w:t>
      </w:r>
      <w:r>
        <w:rPr>
          <w:rFonts w:ascii="Arial" w:cs="Arial" w:eastAsia="Arial" w:hAnsi="Arial"/>
          <w:sz w:val="20"/>
          <w:szCs w:val="20"/>
          <w:color w:val="auto"/>
        </w:rPr>
        <w:t>” means the Indenture governing the Senior Notes 2026-3.</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Documents</w:t>
      </w:r>
      <w:r>
        <w:rPr>
          <w:rFonts w:ascii="Arial" w:cs="Arial" w:eastAsia="Arial" w:hAnsi="Arial"/>
          <w:sz w:val="20"/>
          <w:szCs w:val="20"/>
          <w:color w:val="auto"/>
        </w:rPr>
        <w:t>” means the Senior Notes, the Senior Notes Indentures and all other documents evidencing, guaranteeing or otherwise governing the terms of any of the Senior Notes.</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Indentures</w:t>
      </w:r>
      <w:r>
        <w:rPr>
          <w:rFonts w:ascii="Arial" w:cs="Arial" w:eastAsia="Arial" w:hAnsi="Arial"/>
          <w:sz w:val="20"/>
          <w:szCs w:val="20"/>
          <w:color w:val="auto"/>
        </w:rPr>
        <w:t>” means the Senior Notes 2022 Indenture, the Senior Notes 2023 Indenture, the Senior Notes 2023-2 Indenture, the Senior Notes 2023-3 Indenture, the Senior Notes 2024 Indenture, the Senior Notes 2025 Indenture, the Senior Notes 2026 Indenture, the Senior Notes 2026-2 Indenture and the Senior Notes 2026-3 Indenture.</w:t>
      </w:r>
    </w:p>
    <w:p>
      <w:pPr>
        <w:sectPr>
          <w:pgSz w:w="11900" w:h="16838" w:orient="portrait"/>
          <w:cols w:equalWidth="0" w:num="1">
            <w:col w:w="11240"/>
          </w:cols>
          <w:pgMar w:left="320" w:top="1419" w:right="339" w:bottom="1440" w:gutter="0" w:footer="0" w:header="0"/>
        </w:sectPr>
      </w:pPr>
    </w:p>
    <w:bookmarkStart w:id="172" w:name="page173"/>
    <w:bookmarkEnd w:id="172"/>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Signode Acquisition</w:t>
      </w:r>
      <w:r>
        <w:rPr>
          <w:rFonts w:ascii="Arial" w:cs="Arial" w:eastAsia="Arial" w:hAnsi="Arial"/>
          <w:sz w:val="20"/>
          <w:szCs w:val="20"/>
          <w:color w:val="auto"/>
        </w:rPr>
        <w:t>” means the acquisition by Crown Holdings and/or one or more of its subsidiaries of Signode Industrial Group Holdings (Bermuda) Ltd., pursuant to the Signode Acquisition Agreement.</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Signode Acquisition Agreement</w:t>
      </w:r>
      <w:r>
        <w:rPr>
          <w:rFonts w:ascii="Arial" w:cs="Arial" w:eastAsia="Arial" w:hAnsi="Arial"/>
          <w:sz w:val="20"/>
          <w:szCs w:val="20"/>
          <w:color w:val="auto"/>
        </w:rPr>
        <w:t>” means the Agreement and Plan of Merger, dated as of December 19, 2017 (as amended, amended and restated, supplemented or otherwise modified from time to time), by and among Crown Holdings, Cobra Merger Sub, Ltd., Signode Industrial Group Holdings (Bermuda) Ltd. and TC Group VI, L.P.</w:t>
      </w:r>
    </w:p>
    <w:p>
      <w:pPr>
        <w:spacing w:after="0" w:line="21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SLB Subsidiary</w:t>
      </w:r>
      <w:r>
        <w:rPr>
          <w:rFonts w:ascii="Arial" w:cs="Arial" w:eastAsia="Arial" w:hAnsi="Arial"/>
          <w:sz w:val="20"/>
          <w:szCs w:val="20"/>
          <w:color w:val="auto"/>
        </w:rPr>
        <w:t>” means, any special purpose subsidiary which is created solely to enter into a sale and leaseback transaction otherwise permitted under this Agreement.</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w:t>
      </w:r>
      <w:r>
        <w:rPr>
          <w:rFonts w:ascii="Arial" w:cs="Arial" w:eastAsia="Arial" w:hAnsi="Arial"/>
          <w:sz w:val="20"/>
          <w:szCs w:val="20"/>
          <w:color w:val="auto"/>
        </w:rPr>
        <w:t>” means, with respect to any RFR Business Day, a rate per annum equal to the Sterling Overnight Index Average for such RFR Business Day published by the SONIA Administrator on the SONIA Administrator’s Website on the immediately succeeding RFR Business Day.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SONIA Administrator</w:t>
      </w:r>
      <w:r>
        <w:rPr>
          <w:rFonts w:ascii="Arial" w:cs="Arial" w:eastAsia="Arial" w:hAnsi="Arial"/>
          <w:sz w:val="19"/>
          <w:szCs w:val="19"/>
          <w:color w:val="auto"/>
        </w:rPr>
        <w:t>” means the Bank of England (or any successor administrator of the Sterling Overnight Index Average).</w:t>
      </w:r>
    </w:p>
    <w:p>
      <w:pPr>
        <w:spacing w:after="0" w:line="2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SONIA Administrator’s Website</w:t>
      </w:r>
      <w:r>
        <w:rPr>
          <w:rFonts w:ascii="Arial" w:cs="Arial" w:eastAsia="Arial" w:hAnsi="Arial"/>
          <w:sz w:val="19"/>
          <w:szCs w:val="19"/>
          <w:color w:val="auto"/>
        </w:rPr>
        <w:t>” means the Bank of England’s website, currently at http://www.bankofengland.co.uk, or any successor source for the Sterling Overnight Index Average identified as such by the SONIA Administrator from time to time.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Spanish Obligor</w:t>
      </w:r>
      <w:r>
        <w:rPr>
          <w:rFonts w:ascii="Arial" w:cs="Arial" w:eastAsia="Arial" w:hAnsi="Arial"/>
          <w:sz w:val="20"/>
          <w:szCs w:val="20"/>
          <w:color w:val="auto"/>
        </w:rPr>
        <w:t>” means any Subsidiary Credit Party incorporated under the Laws of Spain.</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Spanish Public Document</w:t>
      </w:r>
      <w:r>
        <w:rPr>
          <w:rFonts w:ascii="Arial" w:cs="Arial" w:eastAsia="Arial" w:hAnsi="Arial"/>
          <w:sz w:val="20"/>
          <w:szCs w:val="20"/>
          <w:color w:val="auto"/>
        </w:rPr>
        <w:t>” means a public document (</w:t>
      </w:r>
      <w:r>
        <w:rPr>
          <w:rFonts w:ascii="Arial" w:cs="Arial" w:eastAsia="Arial" w:hAnsi="Arial"/>
          <w:sz w:val="20"/>
          <w:szCs w:val="20"/>
          <w:i w:val="1"/>
          <w:iCs w:val="1"/>
          <w:color w:val="auto"/>
        </w:rPr>
        <w:t>documento público</w:t>
      </w:r>
      <w:r>
        <w:rPr>
          <w:rFonts w:ascii="Arial" w:cs="Arial" w:eastAsia="Arial" w:hAnsi="Arial"/>
          <w:sz w:val="20"/>
          <w:szCs w:val="20"/>
          <w:color w:val="auto"/>
        </w:rPr>
        <w:t xml:space="preserve">), being either an </w:t>
      </w:r>
      <w:r>
        <w:rPr>
          <w:rFonts w:ascii="Arial" w:cs="Arial" w:eastAsia="Arial" w:hAnsi="Arial"/>
          <w:sz w:val="20"/>
          <w:szCs w:val="20"/>
          <w:i w:val="1"/>
          <w:iCs w:val="1"/>
          <w:color w:val="auto"/>
        </w:rPr>
        <w:t>escritura pública</w:t>
      </w:r>
      <w:r>
        <w:rPr>
          <w:rFonts w:ascii="Arial" w:cs="Arial" w:eastAsia="Arial" w:hAnsi="Arial"/>
          <w:sz w:val="20"/>
          <w:szCs w:val="20"/>
          <w:color w:val="auto"/>
        </w:rPr>
        <w:t xml:space="preserve">, a </w:t>
      </w:r>
      <w:r>
        <w:rPr>
          <w:rFonts w:ascii="Arial" w:cs="Arial" w:eastAsia="Arial" w:hAnsi="Arial"/>
          <w:sz w:val="20"/>
          <w:szCs w:val="20"/>
          <w:i w:val="1"/>
          <w:iCs w:val="1"/>
          <w:color w:val="auto"/>
        </w:rPr>
        <w:t>póliza</w:t>
      </w:r>
      <w:r>
        <w:rPr>
          <w:rFonts w:ascii="Arial" w:cs="Arial" w:eastAsia="Arial" w:hAnsi="Arial"/>
          <w:sz w:val="20"/>
          <w:szCs w:val="20"/>
          <w:color w:val="auto"/>
        </w:rPr>
        <w:t xml:space="preserve"> or an </w:t>
      </w:r>
      <w:r>
        <w:rPr>
          <w:rFonts w:ascii="Arial" w:cs="Arial" w:eastAsia="Arial" w:hAnsi="Arial"/>
          <w:sz w:val="20"/>
          <w:szCs w:val="20"/>
          <w:i w:val="1"/>
          <w:iCs w:val="1"/>
          <w:color w:val="auto"/>
        </w:rPr>
        <w:t>efecto</w:t>
      </w:r>
      <w:r>
        <w:rPr>
          <w:rFonts w:ascii="Arial" w:cs="Arial" w:eastAsia="Arial" w:hAnsi="Arial"/>
          <w:sz w:val="20"/>
          <w:szCs w:val="20"/>
          <w:color w:val="auto"/>
        </w:rPr>
        <w:t xml:space="preserve"> </w:t>
      </w:r>
      <w:r>
        <w:rPr>
          <w:rFonts w:ascii="Arial" w:cs="Arial" w:eastAsia="Arial" w:hAnsi="Arial"/>
          <w:sz w:val="20"/>
          <w:szCs w:val="20"/>
          <w:i w:val="1"/>
          <w:iCs w:val="1"/>
          <w:color w:val="auto"/>
        </w:rPr>
        <w:t>intervenido por fedatario público.</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Credit Party</w:t>
      </w:r>
      <w:r>
        <w:rPr>
          <w:rFonts w:ascii="Arial" w:cs="Arial" w:eastAsia="Arial" w:hAnsi="Arial"/>
          <w:sz w:val="20"/>
          <w:szCs w:val="20"/>
          <w:color w:val="auto"/>
        </w:rPr>
        <w:t xml:space="preserve">” means any Credit Party incorporated in the United States that is not an “eligible contract participant” under the Commodity Exchange Act (determined prior to giving effect to </w:t>
      </w:r>
      <w:r>
        <w:rPr>
          <w:rFonts w:ascii="Arial" w:cs="Arial" w:eastAsia="Arial" w:hAnsi="Arial"/>
          <w:sz w:val="20"/>
          <w:szCs w:val="20"/>
          <w:u w:val="single" w:color="auto"/>
          <w:color w:val="auto"/>
        </w:rPr>
        <w:t>Section 14.13</w:t>
      </w:r>
      <w:r>
        <w:rPr>
          <w:rFonts w:ascii="Arial" w:cs="Arial" w:eastAsia="Arial" w:hAnsi="Arial"/>
          <w:sz w:val="20"/>
          <w:szCs w:val="20"/>
          <w:color w:val="auto"/>
        </w:rPr>
        <w:t>).</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Foreign Credit Party</w:t>
      </w:r>
      <w:r>
        <w:rPr>
          <w:rFonts w:ascii="Arial" w:cs="Arial" w:eastAsia="Arial" w:hAnsi="Arial"/>
          <w:sz w:val="20"/>
          <w:szCs w:val="20"/>
          <w:color w:val="auto"/>
        </w:rPr>
        <w:t>” means each Credit Party of Crown Holdings that is incorporated or formed in the United Kingdom or Canada.</w:t>
      </w:r>
    </w:p>
    <w:p>
      <w:pPr>
        <w:spacing w:after="0" w:line="20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Representations</w:t>
      </w:r>
      <w:r>
        <w:rPr>
          <w:rFonts w:ascii="Arial" w:cs="Arial" w:eastAsia="Arial" w:hAnsi="Arial"/>
          <w:sz w:val="20"/>
          <w:szCs w:val="20"/>
          <w:color w:val="auto"/>
        </w:rPr>
        <w:t xml:space="preserve">” means the representations and warranties made by the Borrower and Guarantors, in or pursuant to </w:t>
      </w:r>
      <w:r>
        <w:rPr>
          <w:rFonts w:ascii="Arial" w:cs="Arial" w:eastAsia="Arial" w:hAnsi="Arial"/>
          <w:sz w:val="20"/>
          <w:szCs w:val="20"/>
          <w:u w:val="single" w:color="auto"/>
          <w:color w:val="auto"/>
        </w:rPr>
        <w:t>Sections 6.1</w:t>
      </w:r>
      <w:r>
        <w:rPr>
          <w:rFonts w:ascii="Arial" w:cs="Arial" w:eastAsia="Arial" w:hAnsi="Arial"/>
          <w:sz w:val="20"/>
          <w:szCs w:val="20"/>
          <w:color w:val="auto"/>
        </w:rPr>
        <w:t xml:space="preserve">, </w:t>
      </w:r>
      <w:r>
        <w:rPr>
          <w:rFonts w:ascii="Arial" w:cs="Arial" w:eastAsia="Arial" w:hAnsi="Arial"/>
          <w:sz w:val="20"/>
          <w:szCs w:val="20"/>
          <w:u w:val="single" w:color="auto"/>
          <w:color w:val="auto"/>
        </w:rPr>
        <w:t>6.2</w:t>
      </w:r>
      <w:r>
        <w:rPr>
          <w:rFonts w:ascii="Arial" w:cs="Arial" w:eastAsia="Arial" w:hAnsi="Arial"/>
          <w:sz w:val="20"/>
          <w:szCs w:val="20"/>
          <w:color w:val="auto"/>
        </w:rPr>
        <w:t xml:space="preserve"> (solely as relates to entering into and performance of the relevant credit documentation by Crown Holdings and each other Credit Party), </w:t>
      </w:r>
      <w:r>
        <w:rPr>
          <w:rFonts w:ascii="Arial" w:cs="Arial" w:eastAsia="Arial" w:hAnsi="Arial"/>
          <w:sz w:val="20"/>
          <w:szCs w:val="20"/>
          <w:u w:val="single" w:color="auto"/>
          <w:color w:val="auto"/>
        </w:rPr>
        <w:t>6.3</w:t>
      </w:r>
      <w:r>
        <w:rPr>
          <w:rFonts w:ascii="Arial" w:cs="Arial" w:eastAsia="Arial" w:hAnsi="Arial"/>
          <w:sz w:val="20"/>
          <w:szCs w:val="20"/>
          <w:color w:val="auto"/>
        </w:rPr>
        <w:t xml:space="preserve"> (solely with respect to each Credit Party’s Organic Documents), </w:t>
      </w:r>
      <w:r>
        <w:rPr>
          <w:rFonts w:ascii="Arial" w:cs="Arial" w:eastAsia="Arial" w:hAnsi="Arial"/>
          <w:sz w:val="20"/>
          <w:szCs w:val="20"/>
          <w:u w:val="single" w:color="auto"/>
          <w:color w:val="auto"/>
        </w:rPr>
        <w:t>6.8(c)</w:t>
      </w:r>
      <w:r>
        <w:rPr>
          <w:rFonts w:ascii="Arial" w:cs="Arial" w:eastAsia="Arial" w:hAnsi="Arial"/>
          <w:sz w:val="20"/>
          <w:szCs w:val="20"/>
          <w:color w:val="auto"/>
        </w:rPr>
        <w:t xml:space="preserve">, </w:t>
      </w:r>
      <w:r>
        <w:rPr>
          <w:rFonts w:ascii="Arial" w:cs="Arial" w:eastAsia="Arial" w:hAnsi="Arial"/>
          <w:sz w:val="20"/>
          <w:szCs w:val="20"/>
          <w:u w:val="single" w:color="auto"/>
          <w:color w:val="auto"/>
        </w:rPr>
        <w:t>6.16</w:t>
      </w:r>
      <w:r>
        <w:rPr>
          <w:rFonts w:ascii="Arial" w:cs="Arial" w:eastAsia="Arial" w:hAnsi="Arial"/>
          <w:sz w:val="20"/>
          <w:szCs w:val="20"/>
          <w:color w:val="auto"/>
        </w:rPr>
        <w:t xml:space="preserve">, </w:t>
      </w:r>
      <w:r>
        <w:rPr>
          <w:rFonts w:ascii="Arial" w:cs="Arial" w:eastAsia="Arial" w:hAnsi="Arial"/>
          <w:sz w:val="20"/>
          <w:szCs w:val="20"/>
          <w:u w:val="single" w:color="auto"/>
          <w:color w:val="auto"/>
        </w:rPr>
        <w:t>6.21</w:t>
      </w:r>
      <w:r>
        <w:rPr>
          <w:rFonts w:ascii="Arial" w:cs="Arial" w:eastAsia="Arial" w:hAnsi="Arial"/>
          <w:sz w:val="20"/>
          <w:szCs w:val="20"/>
          <w:color w:val="auto"/>
        </w:rPr>
        <w:t xml:space="preserve">, </w:t>
      </w:r>
      <w:r>
        <w:rPr>
          <w:rFonts w:ascii="Arial" w:cs="Arial" w:eastAsia="Arial" w:hAnsi="Arial"/>
          <w:sz w:val="20"/>
          <w:szCs w:val="20"/>
          <w:u w:val="single" w:color="auto"/>
          <w:color w:val="auto"/>
        </w:rPr>
        <w:t>6.22</w:t>
      </w:r>
      <w:r>
        <w:rPr>
          <w:rFonts w:ascii="Arial" w:cs="Arial" w:eastAsia="Arial" w:hAnsi="Arial"/>
          <w:sz w:val="20"/>
          <w:szCs w:val="20"/>
          <w:color w:val="auto"/>
        </w:rPr>
        <w:t xml:space="preserve"> (solely as relates to use of proceeds) and </w:t>
      </w:r>
      <w:r>
        <w:rPr>
          <w:rFonts w:ascii="Arial" w:cs="Arial" w:eastAsia="Arial" w:hAnsi="Arial"/>
          <w:sz w:val="20"/>
          <w:szCs w:val="20"/>
          <w:u w:val="single" w:color="auto"/>
          <w:color w:val="auto"/>
        </w:rPr>
        <w:t>6.23</w:t>
      </w:r>
      <w:r>
        <w:rPr>
          <w:rFonts w:ascii="Arial" w:cs="Arial" w:eastAsia="Arial" w:hAnsi="Arial"/>
          <w:sz w:val="20"/>
          <w:szCs w:val="20"/>
          <w:color w:val="auto"/>
        </w:rPr>
        <w:t>.</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Spot Rate</w:t>
      </w:r>
      <w:r>
        <w:rPr>
          <w:rFonts w:ascii="Arial" w:cs="Arial" w:eastAsia="Arial" w:hAnsi="Arial"/>
          <w:sz w:val="20"/>
          <w:szCs w:val="20"/>
          <w:color w:val="auto"/>
        </w:rPr>
        <w:t>” means on any day, with respect to any Alternative Currency, the rate at which such Alternative Currency may be exchanged into Dollars based on the exchange rate on the immediately prior Business Day as determined by OANDA Corporation and made available on its website at http://www.oanda.com/convert/fxhistory.</w:t>
      </w:r>
    </w:p>
    <w:p>
      <w:pPr>
        <w:spacing w:after="0" w:line="21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Spread</w:t>
      </w:r>
      <w:r>
        <w:rPr>
          <w:rFonts w:ascii="Arial" w:cs="Arial" w:eastAsia="Arial" w:hAnsi="Arial"/>
          <w:sz w:val="20"/>
          <w:szCs w:val="20"/>
          <w:color w:val="auto"/>
        </w:rPr>
        <w:t>” means each of the Applicable B/A Margin and Applicable Eurocurrency Margin, as applicable, in each case, immediately prior to any adjustment pursuant to the Sustainability Rating Adjustment.</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Stated Amount</w:t>
      </w:r>
      <w:r>
        <w:rPr>
          <w:rFonts w:ascii="Arial" w:cs="Arial" w:eastAsia="Arial" w:hAnsi="Arial"/>
          <w:sz w:val="20"/>
          <w:szCs w:val="20"/>
          <w:color w:val="auto"/>
        </w:rPr>
        <w:t>” or “</w:t>
      </w:r>
      <w:r>
        <w:rPr>
          <w:rFonts w:ascii="Arial" w:cs="Arial" w:eastAsia="Arial" w:hAnsi="Arial"/>
          <w:sz w:val="20"/>
          <w:szCs w:val="20"/>
          <w:u w:val="single" w:color="auto"/>
          <w:color w:val="auto"/>
        </w:rPr>
        <w:t>Stated Amounts</w:t>
      </w:r>
      <w:r>
        <w:rPr>
          <w:rFonts w:ascii="Arial" w:cs="Arial" w:eastAsia="Arial" w:hAnsi="Arial"/>
          <w:sz w:val="20"/>
          <w:szCs w:val="20"/>
          <w:color w:val="auto"/>
        </w:rPr>
        <w:t>” means (i) with respect to any Multicurrency Letter of Credit issued in Dollars, the stated or face amount of such Letter of Credit (to the extent) available at the</w:t>
      </w:r>
    </w:p>
    <w:p>
      <w:pPr>
        <w:sectPr>
          <w:pgSz w:w="11900" w:h="16838" w:orient="portrait"/>
          <w:cols w:equalWidth="0" w:num="1">
            <w:col w:w="11240"/>
          </w:cols>
          <w:pgMar w:left="320" w:top="1419" w:right="339" w:bottom="1440" w:gutter="0" w:footer="0" w:header="0"/>
        </w:sectPr>
      </w:pPr>
    </w:p>
    <w:bookmarkStart w:id="173" w:name="page174"/>
    <w:bookmarkEnd w:id="173"/>
    <w:p>
      <w:pPr>
        <w:jc w:val="both"/>
        <w:spacing w:after="0" w:line="255" w:lineRule="auto"/>
        <w:rPr>
          <w:sz w:val="20"/>
          <w:szCs w:val="20"/>
          <w:color w:val="auto"/>
        </w:rPr>
      </w:pPr>
      <w:r>
        <w:rPr>
          <w:rFonts w:ascii="Arial" w:cs="Arial" w:eastAsia="Arial" w:hAnsi="Arial"/>
          <w:sz w:val="18"/>
          <w:szCs w:val="18"/>
          <w:color w:val="auto"/>
        </w:rPr>
        <w:t>time for drawing (subject to presentment of all requisite documents), and (ii) with respect to any Letter of Credit issued in any currency other than Dollars, the Dollar Equivalent of the stated or face amount of such Letter of Credit (to the extent) available at the time for drawing (subject to presentment of all requisite documents), in either case as the same may be increased or decreased from time to time in accordance with the terms of such Letter of Credit. For purposes of calculating the Stated Amount of any Letter of Credit at any time:</w:t>
      </w:r>
    </w:p>
    <w:p>
      <w:pPr>
        <w:jc w:val="both"/>
        <w:ind w:firstLine="648"/>
        <w:spacing w:after="0" w:line="225" w:lineRule="auto"/>
        <w:rPr>
          <w:sz w:val="20"/>
          <w:szCs w:val="20"/>
          <w:color w:val="auto"/>
        </w:rPr>
      </w:pPr>
      <w:r>
        <w:rPr>
          <w:rFonts w:ascii="Arial" w:cs="Arial" w:eastAsia="Arial" w:hAnsi="Arial"/>
          <w:sz w:val="20"/>
          <w:szCs w:val="20"/>
          <w:color w:val="auto"/>
        </w:rPr>
        <w:t>(i)any increase in the Stated Amount of any Letter of Credit by reason of any amendment to any Letter of Credit shall be deemed effective under this Agreement as of the date Facing Agent actually issues an amendment purporting to increase the Stated Amount of such Letter of Credit, whether or not Facing Agent receives the consent of the Letter of Credit beneficiary or beneficiaries to the amendment, except that if a Borrower has required that the increase in Stated Amount be given effect as of an earlier date and Facing Agent issues an amendment to that effect, then such increase in Stated Amount shall be deemed effective under this Agreement as of such earlier date requested by such Borrower; and</w:t>
      </w:r>
    </w:p>
    <w:p>
      <w:pPr>
        <w:spacing w:after="0" w:line="2" w:lineRule="exact"/>
        <w:rPr>
          <w:sz w:val="20"/>
          <w:szCs w:val="20"/>
          <w:color w:val="auto"/>
        </w:rPr>
      </w:pPr>
    </w:p>
    <w:p>
      <w:pPr>
        <w:jc w:val="both"/>
        <w:ind w:firstLine="656"/>
        <w:spacing w:after="0" w:line="256" w:lineRule="auto"/>
        <w:tabs>
          <w:tab w:leader="none" w:pos="946"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reduction in the Stated Amount of any Letter of Credit by reason of any amendment to any Letter of Credit shall be deemed effective under this Agreement as of the later of (x) the date Facing Agent actually issues an amendment purporting to reduce the Stated Amount of such Letter of Credit, whether or not the amendment provides that the reduction be given effect as of an earlier date, or (y) the date Facing Agent receives the written consent (including by authenticated telex, cable, SWIFT messages or facsimile transmission with, in the case of a facsimile transmission, a follow-up original hard copy) of the Letter of Credit beneficiary or beneficiaries to such reduction, whether written consent must be dated on or after the date of the amendment issued by Facing Agent purporting to effect such reduction.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Step-Up</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Article IX</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Sterling</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means the lawful currency of the United Kingdom.</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Equivalent</w:t>
      </w:r>
      <w:r>
        <w:rPr>
          <w:rFonts w:ascii="Arial" w:cs="Arial" w:eastAsia="Arial" w:hAnsi="Arial"/>
          <w:sz w:val="18"/>
          <w:szCs w:val="18"/>
          <w:color w:val="auto"/>
        </w:rPr>
        <w:t xml:space="preserve">” means at the time of determination thereof (a) with respect to Sterling, the amount in Sterling and (b) with respect to any amount in Dollars, the equivalent of such amount in Sterling determined by Administrative Agent at such time on the basis of the Exchange Rate for the purchase of Sterling with Dollars on the most recent Computation Date provided for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17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Transaction</w:t>
      </w:r>
      <w:r>
        <w:rPr>
          <w:rFonts w:ascii="Arial" w:cs="Arial" w:eastAsia="Arial" w:hAnsi="Arial"/>
          <w:sz w:val="18"/>
          <w:szCs w:val="18"/>
          <w:color w:val="auto"/>
        </w:rPr>
        <w:t xml:space="preserve">” means, with respect to any period, (a) the Transactions, (b) any Permitted Acquisition or the making of other third-party Investments by one or more of Crown Holdings and its Subsidiaries permitted by this Agreement, (c) any material Asset Disposition as determined in good faith by Crown Holdings, in each case permitted by this Agreement, (d) the incurrence, assumption or repayment of Indebtedness, (e) any Restricted Payment, (f) any Additional Term Loans, Additional Revolving Credit Commitments, Additional Revolving Facilities or Incremental Equivalent Debt, (g) the designation of a Subsidiary as an Unrestricted Entity or an Unrestricted Entity as a Subsidiary in accordance with </w:t>
      </w:r>
      <w:r>
        <w:rPr>
          <w:rFonts w:ascii="Arial" w:cs="Arial" w:eastAsia="Arial" w:hAnsi="Arial"/>
          <w:sz w:val="18"/>
          <w:szCs w:val="18"/>
          <w:u w:val="single" w:color="auto"/>
          <w:color w:val="auto"/>
        </w:rPr>
        <w:t>Section 12.21</w:t>
      </w:r>
      <w:r>
        <w:rPr>
          <w:rFonts w:ascii="Arial" w:cs="Arial" w:eastAsia="Arial" w:hAnsi="Arial"/>
          <w:sz w:val="18"/>
          <w:szCs w:val="18"/>
          <w:color w:val="auto"/>
        </w:rPr>
        <w:t xml:space="preserve"> and (h) any other event that by the terms of the Loan Documents requires pro forma compliance with a test or covenant hereunder or requires such test or covenant to be calculated on a Pro Forma Basis.</w:t>
      </w:r>
    </w:p>
    <w:p>
      <w:pPr>
        <w:spacing w:after="0" w:line="19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Indebtedness</w:t>
      </w:r>
      <w:r>
        <w:rPr>
          <w:rFonts w:ascii="Arial" w:cs="Arial" w:eastAsia="Arial" w:hAnsi="Arial"/>
          <w:sz w:val="20"/>
          <w:szCs w:val="20"/>
          <w:color w:val="auto"/>
        </w:rPr>
        <w:t>” means any Indebtedness of Crown Holdings or any of its Subsidiaries that is expressly subordinated in right of payment to the Obligations.</w:t>
      </w:r>
    </w:p>
    <w:p>
      <w:pPr>
        <w:spacing w:after="0" w:line="20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with respect to any Person, (i) any corporation of which more than 50% of the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is at the time directly or indirectly owned by such Person, by such Person and one or more other Subsidiaries of such Person, or by one or more other Subsidiaries of such Person; (ii) any partnership of which more than 50% of the outstanding partnership interests having the power to act as a general partner of such partnership</w:t>
      </w:r>
    </w:p>
    <w:p>
      <w:pPr>
        <w:sectPr>
          <w:pgSz w:w="11900" w:h="16838" w:orient="portrait"/>
          <w:cols w:equalWidth="0" w:num="1">
            <w:col w:w="11240"/>
          </w:cols>
          <w:pgMar w:left="320" w:top="1419" w:right="339" w:bottom="1440" w:gutter="0" w:footer="0" w:header="0"/>
        </w:sectPr>
      </w:pPr>
    </w:p>
    <w:bookmarkStart w:id="174" w:name="page175"/>
    <w:bookmarkEnd w:id="174"/>
    <w:p>
      <w:pPr>
        <w:jc w:val="both"/>
        <w:spacing w:after="0" w:line="244" w:lineRule="auto"/>
        <w:rPr>
          <w:sz w:val="20"/>
          <w:szCs w:val="20"/>
          <w:color w:val="auto"/>
        </w:rPr>
      </w:pPr>
      <w:r>
        <w:rPr>
          <w:rFonts w:ascii="Arial" w:cs="Arial" w:eastAsia="Arial" w:hAnsi="Arial"/>
          <w:sz w:val="19"/>
          <w:szCs w:val="19"/>
          <w:color w:val="auto"/>
        </w:rPr>
        <w:t>(irrespective of whether at the time any partnership interests other than general partnership interests of such partnership shall or might have voting power upon the occurrence of any contingency) are at the time directly or indirectly owned by such Person, by such Person and one or more other Subsidiaries of such Person, or by one or more other Subsidiaries of such Person; or (iii) any other legal entity the accounts of which would or should be consolidated with those of such Person on a consolidated balance sheet of such Person prepared in accordance with GAAP. Unless otherwise qualified, all references to a “Subsidiary” or to “Subsidiaries” in this Agreement (a) shall refer to a Subsidiary or Subsidiaries of Crown Holdings and (b) shall not include any Unrestricted Entity.</w:t>
      </w:r>
    </w:p>
    <w:p>
      <w:pPr>
        <w:spacing w:after="0" w:line="206"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Borrower</w:t>
      </w:r>
      <w:r>
        <w:rPr>
          <w:rFonts w:ascii="Arial" w:cs="Arial" w:eastAsia="Arial" w:hAnsi="Arial"/>
          <w:sz w:val="20"/>
          <w:szCs w:val="20"/>
          <w:color w:val="auto"/>
        </w:rPr>
        <w:t xml:space="preserve">” means each Non-U.S. Subsidiary listed as a Subsidiary Borrower on </w:t>
      </w:r>
      <w:r>
        <w:rPr>
          <w:rFonts w:ascii="Arial" w:cs="Arial" w:eastAsia="Arial" w:hAnsi="Arial"/>
          <w:sz w:val="20"/>
          <w:szCs w:val="20"/>
          <w:u w:val="single" w:color="auto"/>
          <w:color w:val="auto"/>
        </w:rPr>
        <w:t>Schedule 1.1(d)</w:t>
      </w:r>
      <w:r>
        <w:rPr>
          <w:rFonts w:ascii="Arial" w:cs="Arial" w:eastAsia="Arial" w:hAnsi="Arial"/>
          <w:sz w:val="20"/>
          <w:szCs w:val="20"/>
          <w:color w:val="auto"/>
        </w:rPr>
        <w:t xml:space="preserve">, as amended from time to time in accordance with </w:t>
      </w:r>
      <w:r>
        <w:rPr>
          <w:rFonts w:ascii="Arial" w:cs="Arial" w:eastAsia="Arial" w:hAnsi="Arial"/>
          <w:sz w:val="20"/>
          <w:szCs w:val="20"/>
          <w:u w:val="single" w:color="auto"/>
          <w:color w:val="auto"/>
        </w:rPr>
        <w:t>Section 12.1(c)</w:t>
      </w:r>
      <w:r>
        <w:rPr>
          <w:rFonts w:ascii="Arial" w:cs="Arial" w:eastAsia="Arial" w:hAnsi="Arial"/>
          <w:sz w:val="20"/>
          <w:szCs w:val="20"/>
          <w:color w:val="auto"/>
        </w:rPr>
        <w:t xml:space="preserve">, including each Dutch Borrower, each German Borrower and each U.K.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commencing on the Incremental Amendment No. 2 and Third Amendment Effective Date, each such new Subsidiary Borrower must be incorporated (or similarly organized) in a jurisdiction as to which all applicable Lenders have confirmed to the Administrative Agent their ability and willingness to make Loans into such jurisdiction; </w:t>
      </w:r>
      <w:r>
        <w:rPr>
          <w:rFonts w:ascii="Arial" w:cs="Arial" w:eastAsia="Arial" w:hAnsi="Arial"/>
          <w:sz w:val="20"/>
          <w:szCs w:val="20"/>
          <w:u w:val="single" w:color="auto"/>
          <w:color w:val="auto"/>
        </w:rPr>
        <w:t>provided</w:t>
      </w:r>
      <w:r>
        <w:rPr>
          <w:rFonts w:ascii="Arial" w:cs="Arial" w:eastAsia="Arial" w:hAnsi="Arial"/>
          <w:sz w:val="20"/>
          <w:szCs w:val="20"/>
          <w:color w:val="auto"/>
        </w:rPr>
        <w:t>, that no such Lender confirmation shall be required with respect to new Subsidiary Borrowers organized in a jurisdiction in which any Credit Party exists on the Incremental Amendment No. 2 and Third Amendment Effective Date.</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Borrower Obligations</w:t>
      </w:r>
      <w:r>
        <w:rPr>
          <w:rFonts w:ascii="Arial" w:cs="Arial" w:eastAsia="Arial" w:hAnsi="Arial"/>
          <w:sz w:val="18"/>
          <w:szCs w:val="18"/>
          <w:color w:val="auto"/>
        </w:rPr>
        <w:t>” means, with respect to each Subsidiary Borrower, the unpaid principal of and interest on (including interest accruing after the maturity of the Loans made to such Subsidiary Borrower and interest and fees accruing after the filing of any petition in bankruptcy, or the commencement of any insolvency, reorganization or like proceeding, relating to such Subsidiary Borrower, whether or not a claim for post-filing or post-petition interest and fees is allowed in such proceeding) the Loans made to or Unpaid Drawings pursuant to Multicurrency Letters of Credit issued for the account of such Subsidiary Borrower and all other obligations and liabilities of such Subsidiary Borrower or any of its Subsidiaries (including Bank Related Debt) to any Agent,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such Subsidiary Borrower or any of its Subsidiaries to any Agent, any Lender or any Hedge Bank pursuant to any Loan Document or any Bank Related Debt) or otherwise.</w:t>
      </w:r>
    </w:p>
    <w:p>
      <w:pPr>
        <w:spacing w:after="0" w:line="20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Credit Parties</w:t>
      </w:r>
      <w:r>
        <w:rPr>
          <w:rFonts w:ascii="Arial" w:cs="Arial" w:eastAsia="Arial" w:hAnsi="Arial"/>
          <w:sz w:val="20"/>
          <w:szCs w:val="20"/>
          <w:color w:val="auto"/>
        </w:rPr>
        <w:t xml:space="preserve">” means (i) each of U.S. Borrower’s U.S. Subsidiaries (other than any Excluded Subsidiary), (ii) each Subsidiary Borrower and (iii) each Subsidiary of European Borrower, and each other Subsidiary, designated on </w:t>
      </w:r>
      <w:r>
        <w:rPr>
          <w:rFonts w:ascii="Arial" w:cs="Arial" w:eastAsia="Arial" w:hAnsi="Arial"/>
          <w:sz w:val="20"/>
          <w:szCs w:val="20"/>
          <w:u w:val="single" w:color="auto"/>
          <w:color w:val="auto"/>
        </w:rPr>
        <w:t>Schedule 1.1(d)</w:t>
      </w:r>
      <w:r>
        <w:rPr>
          <w:rFonts w:ascii="Arial" w:cs="Arial" w:eastAsia="Arial" w:hAnsi="Arial"/>
          <w:sz w:val="20"/>
          <w:szCs w:val="20"/>
          <w:color w:val="auto"/>
        </w:rPr>
        <w:t xml:space="preserve"> as a subsidiary guarantor or which becomes a subsidiary guarantor pursuant to the provisions of </w:t>
      </w:r>
      <w:r>
        <w:rPr>
          <w:rFonts w:ascii="Arial" w:cs="Arial" w:eastAsia="Arial" w:hAnsi="Arial"/>
          <w:sz w:val="20"/>
          <w:szCs w:val="20"/>
          <w:u w:val="single" w:color="auto"/>
          <w:color w:val="auto"/>
        </w:rPr>
        <w:t>Section 7.14</w:t>
      </w:r>
      <w:r>
        <w:rPr>
          <w:rFonts w:ascii="Arial" w:cs="Arial" w:eastAsia="Arial" w:hAnsi="Arial"/>
          <w:sz w:val="20"/>
          <w:szCs w:val="20"/>
          <w:color w:val="auto"/>
        </w:rPr>
        <w:t>.</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Rating</w:t>
      </w:r>
      <w:r>
        <w:rPr>
          <w:rFonts w:ascii="Arial" w:cs="Arial" w:eastAsia="Arial" w:hAnsi="Arial"/>
          <w:sz w:val="20"/>
          <w:szCs w:val="20"/>
          <w:color w:val="auto"/>
        </w:rPr>
        <w:t>” means the “Management Score” in respect of environment, social and governance factors (the ESG Score), as calculated and assigned to Crown Holdings from time to time by Sustainalytics B.V. and published in the most recently released ESG Score report thereof, which ESG Score has been received by the Administrative Agent.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Rating Adjustment</w:t>
      </w:r>
      <w:r>
        <w:rPr>
          <w:rFonts w:ascii="Arial" w:cs="Arial" w:eastAsia="Arial" w:hAnsi="Arial"/>
          <w:sz w:val="20"/>
          <w:szCs w:val="20"/>
          <w:color w:val="auto"/>
        </w:rPr>
        <w:t>” means, with respect to the applicable Spread, an adjustment as follows:</w:t>
      </w:r>
    </w:p>
    <w:p>
      <w:pPr>
        <w:spacing w:after="0" w:line="229" w:lineRule="exact"/>
        <w:rPr>
          <w:sz w:val="20"/>
          <w:szCs w:val="20"/>
          <w:color w:val="auto"/>
        </w:rPr>
      </w:pPr>
    </w:p>
    <w:p>
      <w:pPr>
        <w:ind w:firstLine="1422"/>
        <w:spacing w:after="0" w:line="246" w:lineRule="auto"/>
        <w:tabs>
          <w:tab w:leader="none" w:pos="1650" w:val="left"/>
        </w:tabs>
        <w:numPr>
          <w:ilvl w:val="0"/>
          <w:numId w:val="71"/>
        </w:numPr>
        <w:rPr>
          <w:rFonts w:ascii="Arial" w:cs="Arial" w:eastAsia="Arial" w:hAnsi="Arial"/>
          <w:sz w:val="20"/>
          <w:szCs w:val="20"/>
          <w:color w:val="auto"/>
        </w:rPr>
      </w:pPr>
      <w:r>
        <w:rPr>
          <w:rFonts w:ascii="Arial" w:cs="Arial" w:eastAsia="Arial" w:hAnsi="Arial"/>
          <w:sz w:val="20"/>
          <w:szCs w:val="20"/>
          <w:color w:val="auto"/>
        </w:rPr>
        <w:t>At any time the most recently published Sustainability Rating is 45 or higher (subject to clause (ii) below), the Spread will be reduced by 0.025% at each Most Recent Total Leverage Ratio level;</w:t>
      </w:r>
    </w:p>
    <w:p>
      <w:pPr>
        <w:sectPr>
          <w:pgSz w:w="11900" w:h="16838" w:orient="portrait"/>
          <w:cols w:equalWidth="0" w:num="1">
            <w:col w:w="11240"/>
          </w:cols>
          <w:pgMar w:left="320" w:top="1419" w:right="339" w:bottom="1440" w:gutter="0" w:footer="0" w:header="0"/>
        </w:sectPr>
      </w:pPr>
    </w:p>
    <w:bookmarkStart w:id="175" w:name="page176"/>
    <w:bookmarkEnd w:id="175"/>
    <w:p>
      <w:pPr>
        <w:ind w:firstLine="1422"/>
        <w:spacing w:after="0" w:line="246" w:lineRule="auto"/>
        <w:tabs>
          <w:tab w:leader="none" w:pos="1705" w:val="left"/>
        </w:tabs>
        <w:numPr>
          <w:ilvl w:val="0"/>
          <w:numId w:val="72"/>
        </w:numPr>
        <w:rPr>
          <w:rFonts w:ascii="Arial" w:cs="Arial" w:eastAsia="Arial" w:hAnsi="Arial"/>
          <w:sz w:val="20"/>
          <w:szCs w:val="20"/>
          <w:color w:val="auto"/>
        </w:rPr>
      </w:pPr>
      <w:r>
        <w:rPr>
          <w:rFonts w:ascii="Arial" w:cs="Arial" w:eastAsia="Arial" w:hAnsi="Arial"/>
          <w:sz w:val="20"/>
          <w:szCs w:val="20"/>
          <w:color w:val="auto"/>
        </w:rPr>
        <w:t>At any time the most recently published Sustainability Rating is 50 or higher, the Spread will be reduced by 0.05% at each Most Recent Total Leverage Ratio level;</w:t>
      </w:r>
    </w:p>
    <w:p>
      <w:pPr>
        <w:spacing w:after="0" w:line="203" w:lineRule="exact"/>
        <w:rPr>
          <w:rFonts w:ascii="Arial" w:cs="Arial" w:eastAsia="Arial" w:hAnsi="Arial"/>
          <w:sz w:val="20"/>
          <w:szCs w:val="20"/>
          <w:color w:val="auto"/>
        </w:rPr>
      </w:pPr>
    </w:p>
    <w:p>
      <w:pPr>
        <w:ind w:firstLine="1422"/>
        <w:spacing w:after="0" w:line="246" w:lineRule="auto"/>
        <w:tabs>
          <w:tab w:leader="none" w:pos="1787" w:val="left"/>
        </w:tabs>
        <w:numPr>
          <w:ilvl w:val="0"/>
          <w:numId w:val="72"/>
        </w:numPr>
        <w:rPr>
          <w:rFonts w:ascii="Arial" w:cs="Arial" w:eastAsia="Arial" w:hAnsi="Arial"/>
          <w:sz w:val="20"/>
          <w:szCs w:val="20"/>
          <w:color w:val="auto"/>
        </w:rPr>
      </w:pPr>
      <w:r>
        <w:rPr>
          <w:rFonts w:ascii="Arial" w:cs="Arial" w:eastAsia="Arial" w:hAnsi="Arial"/>
          <w:sz w:val="20"/>
          <w:szCs w:val="20"/>
          <w:color w:val="auto"/>
        </w:rPr>
        <w:t>At any time the most recently published Sustainability Rating is lower than 30 (subject to clause (iv) below), the Spread will be increased by 0.025% at each Most Recent Total Leverage Ratio level; and</w:t>
      </w:r>
    </w:p>
    <w:p>
      <w:pPr>
        <w:spacing w:after="0" w:line="203" w:lineRule="exact"/>
        <w:rPr>
          <w:rFonts w:ascii="Arial" w:cs="Arial" w:eastAsia="Arial" w:hAnsi="Arial"/>
          <w:sz w:val="20"/>
          <w:szCs w:val="20"/>
          <w:color w:val="auto"/>
        </w:rPr>
      </w:pPr>
    </w:p>
    <w:p>
      <w:pPr>
        <w:ind w:firstLine="1422"/>
        <w:spacing w:after="0" w:line="246" w:lineRule="auto"/>
        <w:tabs>
          <w:tab w:leader="none" w:pos="1749" w:val="left"/>
        </w:tabs>
        <w:numPr>
          <w:ilvl w:val="0"/>
          <w:numId w:val="72"/>
        </w:numPr>
        <w:rPr>
          <w:rFonts w:ascii="Arial" w:cs="Arial" w:eastAsia="Arial" w:hAnsi="Arial"/>
          <w:sz w:val="20"/>
          <w:szCs w:val="20"/>
          <w:color w:val="auto"/>
        </w:rPr>
      </w:pPr>
      <w:r>
        <w:rPr>
          <w:rFonts w:ascii="Arial" w:cs="Arial" w:eastAsia="Arial" w:hAnsi="Arial"/>
          <w:sz w:val="20"/>
          <w:szCs w:val="20"/>
          <w:color w:val="auto"/>
        </w:rPr>
        <w:t>At any time the most recently published Sustainability Rating is 25 or lower, the Spread will be increased by 0.05% at each Most Recent Total Leverage Ratio level;</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adjustment shall be made to the Spread (x) from the Incremental Amendment No. 2 and Third Amendment Effective Date until the first date upon which the Administrative Agent receives the first Sustainability Rating published after the Incremental Amendment No. 2 and Third Amendment Effective Date, (y) if the Sustainability Rating is 30 or higher but lower than 45 or (z) if no Sustainability Rating is assigned to Crown Holdings.</w:t>
      </w:r>
    </w:p>
    <w:p>
      <w:pPr>
        <w:spacing w:after="0" w:line="21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Obligations</w:t>
      </w:r>
      <w:r>
        <w:rPr>
          <w:rFonts w:ascii="Arial" w:cs="Arial" w:eastAsia="Arial" w:hAnsi="Arial"/>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Commitment</w:t>
      </w:r>
      <w:r>
        <w:rPr>
          <w:rFonts w:ascii="Arial" w:cs="Arial" w:eastAsia="Arial" w:hAnsi="Arial"/>
          <w:sz w:val="20"/>
          <w:szCs w:val="20"/>
          <w:color w:val="auto"/>
        </w:rPr>
        <w:t xml:space="preserve">” means, at any date, the obligation of the Swing Line Lender to make Swing Line Loans pursuant to </w:t>
      </w:r>
      <w:r>
        <w:rPr>
          <w:rFonts w:ascii="Arial" w:cs="Arial" w:eastAsia="Arial" w:hAnsi="Arial"/>
          <w:sz w:val="20"/>
          <w:szCs w:val="20"/>
          <w:u w:val="single" w:color="auto"/>
          <w:color w:val="auto"/>
        </w:rPr>
        <w:t>Section 2.1(c)</w:t>
      </w:r>
      <w:r>
        <w:rPr>
          <w:rFonts w:ascii="Arial" w:cs="Arial" w:eastAsia="Arial" w:hAnsi="Arial"/>
          <w:sz w:val="20"/>
          <w:szCs w:val="20"/>
          <w:color w:val="auto"/>
        </w:rPr>
        <w:t xml:space="preserve"> in the amount referred to therein.</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Exposure</w:t>
      </w:r>
      <w:r>
        <w:rPr>
          <w:rFonts w:ascii="Arial" w:cs="Arial" w:eastAsia="Arial" w:hAnsi="Arial"/>
          <w:sz w:val="20"/>
          <w:szCs w:val="20"/>
          <w:color w:val="auto"/>
        </w:rPr>
        <w:t>” means, with respect to a Revolving Lender, such Lender’s Multicurrency Revolver Pro Rata Share of the then outstanding Swing Line Loans.</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Facility</w:t>
      </w:r>
      <w:r>
        <w:rPr>
          <w:rFonts w:ascii="Arial" w:cs="Arial" w:eastAsia="Arial" w:hAnsi="Arial"/>
          <w:sz w:val="20"/>
          <w:szCs w:val="20"/>
          <w:color w:val="auto"/>
        </w:rPr>
        <w:t>” means the sub-credit facility of the Revolving Facility under this Agreement evidenced by the Swing Line Commitment and the Swing Line Loans.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Lender</w:t>
      </w:r>
      <w:r>
        <w:rPr>
          <w:rFonts w:ascii="Arial" w:cs="Arial" w:eastAsia="Arial" w:hAnsi="Arial"/>
          <w:sz w:val="20"/>
          <w:szCs w:val="20"/>
          <w:color w:val="auto"/>
        </w:rPr>
        <w:t>” means DB, or an Affiliate of DB, as applicable.</w:t>
      </w:r>
    </w:p>
    <w:p>
      <w:pPr>
        <w:spacing w:after="0" w:line="22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 Participation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2.1(c)</w:t>
      </w:r>
      <w:r>
        <w:rPr>
          <w:rFonts w:ascii="Arial" w:cs="Arial" w:eastAsia="Arial" w:hAnsi="Arial"/>
          <w:sz w:val="20"/>
          <w:szCs w:val="20"/>
          <w:color w:val="auto"/>
        </w:rPr>
        <w:t xml:space="preserve"> (or such other form as mutually agreed by Crown Holdings and the Administrative Agent).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Loans</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2.1(c)(ii)</w:t>
      </w:r>
      <w:r>
        <w:rPr>
          <w:rFonts w:ascii="Arial" w:cs="Arial" w:eastAsia="Arial" w:hAnsi="Arial"/>
          <w:sz w:val="20"/>
          <w:szCs w:val="20"/>
          <w:color w:val="auto"/>
        </w:rPr>
        <w:t>.</w:t>
      </w:r>
    </w:p>
    <w:p>
      <w:pPr>
        <w:spacing w:after="0" w:line="21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and future taxes, duties, levies, imposts, deductions, assessments, withholdings (including backup withholding), fees or other charges imposed by any Governmental Authority, and any liabilities (including interest and penalties and other additions to taxes) with respect to the foregoing.</w:t>
      </w:r>
    </w:p>
    <w:p>
      <w:pPr>
        <w:spacing w:after="0" w:line="21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Commitment</w:t>
      </w:r>
      <w:r>
        <w:rPr>
          <w:rFonts w:ascii="Arial" w:cs="Arial" w:eastAsia="Arial" w:hAnsi="Arial"/>
          <w:sz w:val="20"/>
          <w:szCs w:val="20"/>
          <w:color w:val="auto"/>
        </w:rPr>
        <w:t>” means, (i) with respect to any Lender and the Term Euro Facility, the Term Euro Commitment, (ii) with respect to any Lender and the Term Loan A Facility, the Term Loan A Commitment and (iii) with respect to any Lender and any other Term Facility, the principal amount set forth opposite such Lender’s name in the Register or in any Assignment and Assumption Agreement under the caption for the amount of commitment to such Term Facility, as such commitments may be adjusted from time to time pursuant to this Agreement, and “</w:t>
      </w:r>
      <w:r>
        <w:rPr>
          <w:rFonts w:ascii="Arial" w:cs="Arial" w:eastAsia="Arial" w:hAnsi="Arial"/>
          <w:sz w:val="20"/>
          <w:szCs w:val="20"/>
          <w:u w:val="single" w:color="auto"/>
          <w:color w:val="auto"/>
        </w:rPr>
        <w:t>Term Commitments</w:t>
      </w:r>
      <w:r>
        <w:rPr>
          <w:rFonts w:ascii="Arial" w:cs="Arial" w:eastAsia="Arial" w:hAnsi="Arial"/>
          <w:sz w:val="20"/>
          <w:szCs w:val="20"/>
          <w:color w:val="auto"/>
        </w:rPr>
        <w:t>” means such commitments collectively.</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Euro Commitment</w:t>
      </w:r>
      <w:r>
        <w:rPr>
          <w:rFonts w:ascii="Arial" w:cs="Arial" w:eastAsia="Arial" w:hAnsi="Arial"/>
          <w:sz w:val="18"/>
          <w:szCs w:val="18"/>
          <w:color w:val="auto"/>
        </w:rPr>
        <w:t xml:space="preserve">” means, with respect to any Lender, the principal amount set forth opposite such Lender’s name in the Register or in any Assignment and Assumption Agreement under the caption “Amount of Term Euro Commitment,” which commitment as of the Incremental Amendment No. 2 and Third Amendment Effective Date is the amount set forth opposite such lender’s name on </w:t>
      </w:r>
      <w:r>
        <w:rPr>
          <w:rFonts w:ascii="Arial" w:cs="Arial" w:eastAsia="Arial" w:hAnsi="Arial"/>
          <w:sz w:val="18"/>
          <w:szCs w:val="18"/>
          <w:u w:val="single" w:color="auto"/>
          <w:color w:val="auto"/>
        </w:rPr>
        <w:t>Schedule</w:t>
      </w:r>
    </w:p>
    <w:p>
      <w:pPr>
        <w:sectPr>
          <w:pgSz w:w="11900" w:h="16838" w:orient="portrait"/>
          <w:cols w:equalWidth="0" w:num="1">
            <w:col w:w="11240"/>
          </w:cols>
          <w:pgMar w:left="320" w:top="1419" w:right="339" w:bottom="1440" w:gutter="0" w:footer="0" w:header="0"/>
        </w:sectPr>
      </w:pPr>
    </w:p>
    <w:bookmarkStart w:id="176" w:name="page177"/>
    <w:bookmarkEnd w:id="176"/>
    <w:p>
      <w:pPr>
        <w:jc w:val="both"/>
        <w:spacing w:after="0" w:line="256" w:lineRule="auto"/>
        <w:rPr>
          <w:sz w:val="20"/>
          <w:szCs w:val="20"/>
          <w:color w:val="auto"/>
        </w:rPr>
      </w:pPr>
      <w:r>
        <w:rPr>
          <w:rFonts w:ascii="Arial" w:cs="Arial" w:eastAsia="Arial" w:hAnsi="Arial"/>
          <w:sz w:val="18"/>
          <w:szCs w:val="18"/>
          <w:u w:val="single" w:color="auto"/>
          <w:color w:val="auto"/>
        </w:rPr>
        <w:t>1</w:t>
      </w:r>
      <w:r>
        <w:rPr>
          <w:rFonts w:ascii="Arial" w:cs="Arial" w:eastAsia="Arial" w:hAnsi="Arial"/>
          <w:sz w:val="18"/>
          <w:szCs w:val="18"/>
          <w:color w:val="auto"/>
        </w:rPr>
        <w:t xml:space="preserve"> to Incremental Amendment No. 2 and Third Amendment under the caption “Amount of Additional Term Euro Commitment” as the same may be adjusted from time to time pursuant to the terms hereof, and “</w:t>
      </w:r>
      <w:r>
        <w:rPr>
          <w:rFonts w:ascii="Arial" w:cs="Arial" w:eastAsia="Arial" w:hAnsi="Arial"/>
          <w:sz w:val="18"/>
          <w:szCs w:val="18"/>
          <w:u w:val="single" w:color="auto"/>
          <w:color w:val="auto"/>
        </w:rPr>
        <w:t>Term Euro Commitments</w:t>
      </w:r>
      <w:r>
        <w:rPr>
          <w:rFonts w:ascii="Arial" w:cs="Arial" w:eastAsia="Arial" w:hAnsi="Arial"/>
          <w:sz w:val="18"/>
          <w:szCs w:val="18"/>
          <w:color w:val="auto"/>
        </w:rPr>
        <w:t>” means such commitments collectively, which commitments equal €450,000,000 in the aggregate as of the Incremental Amendment No. 2 and Third Amendment Effective Date.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Euro Facility</w:t>
      </w:r>
      <w:r>
        <w:rPr>
          <w:rFonts w:ascii="Arial" w:cs="Arial" w:eastAsia="Arial" w:hAnsi="Arial"/>
          <w:sz w:val="18"/>
          <w:szCs w:val="18"/>
          <w:color w:val="auto"/>
        </w:rPr>
        <w:t>” means the credit facility under this Agreement evidenced by the Term Euro Commitments and the Term Euro</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Loans.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Euro Lender</w:t>
      </w:r>
      <w:r>
        <w:rPr>
          <w:rFonts w:ascii="Arial" w:cs="Arial" w:eastAsia="Arial" w:hAnsi="Arial"/>
          <w:sz w:val="18"/>
          <w:szCs w:val="18"/>
          <w:color w:val="auto"/>
        </w:rPr>
        <w:t>” means any Lender which has a Term Euro Commitment or is owed a Term Euro Loan (or a portion thereof).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Euro Loan</w:t>
      </w:r>
      <w:r>
        <w:rPr>
          <w:rFonts w:ascii="Arial" w:cs="Arial" w:eastAsia="Arial" w:hAnsi="Arial"/>
          <w:sz w:val="20"/>
          <w:szCs w:val="20"/>
          <w:color w:val="auto"/>
        </w:rPr>
        <w:t xml:space="preserve">” means a loan made pursuant to </w:t>
      </w:r>
      <w:r>
        <w:rPr>
          <w:rFonts w:ascii="Arial" w:cs="Arial" w:eastAsia="Arial" w:hAnsi="Arial"/>
          <w:sz w:val="20"/>
          <w:szCs w:val="20"/>
          <w:u w:val="single" w:color="auto"/>
          <w:color w:val="auto"/>
        </w:rPr>
        <w:t>Section 2.1(a)(ii)</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Euro Loan Maturity Date</w:t>
      </w:r>
      <w:r>
        <w:rPr>
          <w:rFonts w:ascii="Arial" w:cs="Arial" w:eastAsia="Arial" w:hAnsi="Arial"/>
          <w:sz w:val="20"/>
          <w:szCs w:val="20"/>
          <w:color w:val="auto"/>
        </w:rPr>
        <w:t>” means the date that is the fifth anniversary of the Incremental Amendment No. 2 and Third Amendment Effective Date.</w:t>
      </w:r>
    </w:p>
    <w:p>
      <w:pPr>
        <w:spacing w:after="0" w:line="20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Facilities</w:t>
      </w:r>
      <w:r>
        <w:rPr>
          <w:rFonts w:ascii="Arial" w:cs="Arial" w:eastAsia="Arial" w:hAnsi="Arial"/>
          <w:sz w:val="20"/>
          <w:szCs w:val="20"/>
          <w:color w:val="auto"/>
        </w:rPr>
        <w:t>” means the Facilities under the Agreement other than the Revolving Facilities and the Swing Line Facility, collectively.</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Lender</w:t>
      </w:r>
      <w:r>
        <w:rPr>
          <w:rFonts w:ascii="Arial" w:cs="Arial" w:eastAsia="Arial" w:hAnsi="Arial"/>
          <w:sz w:val="20"/>
          <w:szCs w:val="20"/>
          <w:color w:val="auto"/>
        </w:rPr>
        <w:t>” means, with respect to any Term Facility, any Lender which has a Term Commitment for such Term Facility or is owed a Term Loan (or portion thereof) under such Term Facility.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A</w:t>
      </w:r>
      <w:r>
        <w:rPr>
          <w:rFonts w:ascii="Arial" w:cs="Arial" w:eastAsia="Arial" w:hAnsi="Arial"/>
          <w:sz w:val="20"/>
          <w:szCs w:val="20"/>
          <w:color w:val="auto"/>
        </w:rPr>
        <w:t>” and “</w:t>
      </w:r>
      <w:r>
        <w:rPr>
          <w:rFonts w:ascii="Arial" w:cs="Arial" w:eastAsia="Arial" w:hAnsi="Arial"/>
          <w:sz w:val="20"/>
          <w:szCs w:val="20"/>
          <w:u w:val="single" w:color="auto"/>
          <w:color w:val="auto"/>
        </w:rPr>
        <w:t>Term A Loans</w:t>
      </w:r>
      <w:r>
        <w:rPr>
          <w:rFonts w:ascii="Arial" w:cs="Arial" w:eastAsia="Arial" w:hAnsi="Arial"/>
          <w:sz w:val="20"/>
          <w:szCs w:val="20"/>
          <w:color w:val="auto"/>
        </w:rPr>
        <w:t xml:space="preserve">” means a loan made pursuant to </w:t>
      </w:r>
      <w:r>
        <w:rPr>
          <w:rFonts w:ascii="Arial" w:cs="Arial" w:eastAsia="Arial" w:hAnsi="Arial"/>
          <w:sz w:val="20"/>
          <w:szCs w:val="20"/>
          <w:u w:val="single" w:color="auto"/>
          <w:color w:val="auto"/>
        </w:rPr>
        <w:t>Section 2.1(a)(i)</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A Commitment</w:t>
      </w:r>
      <w:r>
        <w:rPr>
          <w:rFonts w:ascii="Arial" w:cs="Arial" w:eastAsia="Arial" w:hAnsi="Arial"/>
          <w:sz w:val="20"/>
          <w:szCs w:val="20"/>
          <w:color w:val="auto"/>
        </w:rPr>
        <w:t xml:space="preserve">” means, with respect to any Lender, the principal amount set forth opposite such Lender’s name in the Register or in any Assignment and Assumption Agreement under the caption “Amount of Term Loan A Commitment,” which commitment as of the Incremental Amendment No. 2 and Third Amendment Effective Date is the amount set forth opposite such lender’s name on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to Incremental Amendment No. 2 and Third Amendment under the caption “Amount of Additional Term Loan A Commitment” as the same may be adjusted from time to time pursuant to the terms hereof, and “</w:t>
      </w:r>
      <w:r>
        <w:rPr>
          <w:rFonts w:ascii="Arial" w:cs="Arial" w:eastAsia="Arial" w:hAnsi="Arial"/>
          <w:sz w:val="20"/>
          <w:szCs w:val="20"/>
          <w:u w:val="single" w:color="auto"/>
          <w:color w:val="auto"/>
        </w:rPr>
        <w:t>Term Loan A Commitments</w:t>
      </w:r>
      <w:r>
        <w:rPr>
          <w:rFonts w:ascii="Arial" w:cs="Arial" w:eastAsia="Arial" w:hAnsi="Arial"/>
          <w:sz w:val="20"/>
          <w:szCs w:val="20"/>
          <w:color w:val="auto"/>
        </w:rPr>
        <w:t>” means all such commitments collectively, which commitments equal $1,100,000,000 in the aggregate as of the Incremental Amendment No. 2 and Third Amendment Effective Date.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 Facility</w:t>
      </w:r>
      <w:r>
        <w:rPr>
          <w:rFonts w:ascii="Arial" w:cs="Arial" w:eastAsia="Arial" w:hAnsi="Arial"/>
          <w:sz w:val="18"/>
          <w:szCs w:val="18"/>
          <w:color w:val="auto"/>
        </w:rPr>
        <w:t>” means the credit facility under this Agreement evidenced by the Term Loan A Commitments and the Term A</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Loans.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 Lender</w:t>
      </w:r>
      <w:r>
        <w:rPr>
          <w:rFonts w:ascii="Arial" w:cs="Arial" w:eastAsia="Arial" w:hAnsi="Arial"/>
          <w:sz w:val="18"/>
          <w:szCs w:val="18"/>
          <w:color w:val="auto"/>
        </w:rPr>
        <w:t>” means any Lender which has a Term Loan A Commitment or is owed a Term A Loan (or a portion thereof).</w:t>
      </w:r>
    </w:p>
    <w:p>
      <w:pPr>
        <w:spacing w:after="0" w:line="2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A Maturity Date</w:t>
      </w:r>
      <w:r>
        <w:rPr>
          <w:rFonts w:ascii="Arial" w:cs="Arial" w:eastAsia="Arial" w:hAnsi="Arial"/>
          <w:sz w:val="20"/>
          <w:szCs w:val="20"/>
          <w:color w:val="auto"/>
        </w:rPr>
        <w:t>” means the date that is the fifth anniversary of the Incremental Amendment No. 2 and Third Amendment Effective Date.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Loans</w:t>
      </w:r>
      <w:r>
        <w:rPr>
          <w:rFonts w:ascii="Arial" w:cs="Arial" w:eastAsia="Arial" w:hAnsi="Arial"/>
          <w:sz w:val="20"/>
          <w:szCs w:val="20"/>
          <w:color w:val="auto"/>
        </w:rPr>
        <w:t>” means the Loans under the Term Facilities, collectively.</w:t>
      </w:r>
    </w:p>
    <w:p>
      <w:pPr>
        <w:spacing w:after="0" w:line="22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Maturity Date</w:t>
      </w:r>
      <w:r>
        <w:rPr>
          <w:rFonts w:ascii="Arial" w:cs="Arial" w:eastAsia="Arial" w:hAnsi="Arial"/>
          <w:sz w:val="20"/>
          <w:szCs w:val="20"/>
          <w:color w:val="auto"/>
        </w:rPr>
        <w:t>” means, with respect to any Term Facility, the scheduled maturity date for such Term Facility under this Agreement, or in the applicable joinder, amendment or supplement to this Agreement setting forth the terms of any Additional Facility in respect of Additional Term Loans, tranche of Extended Additional Facility Commitments in respect of Additional Term Loans, or Extended Term Facility, as the context may require.</w:t>
      </w:r>
    </w:p>
    <w:p>
      <w:pPr>
        <w:sectPr>
          <w:pgSz w:w="11900" w:h="16838" w:orient="portrait"/>
          <w:cols w:equalWidth="0" w:num="1">
            <w:col w:w="11240"/>
          </w:cols>
          <w:pgMar w:left="320" w:top="1419" w:right="339" w:bottom="1440" w:gutter="0" w:footer="0" w:header="0"/>
        </w:sectPr>
      </w:pPr>
    </w:p>
    <w:bookmarkStart w:id="177" w:name="page178"/>
    <w:bookmarkEnd w:id="177"/>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Percentage</w:t>
      </w:r>
      <w:r>
        <w:rPr>
          <w:rFonts w:ascii="Arial" w:cs="Arial" w:eastAsia="Arial" w:hAnsi="Arial"/>
          <w:sz w:val="20"/>
          <w:szCs w:val="20"/>
          <w:color w:val="auto"/>
        </w:rPr>
        <w:t>” means, at any time with respect to any Term Facility, a fraction (expressed as a percentage) the numerator of which is equal to the aggregate Effective Amount of all Loans under such Term Facility outstanding at such time and the denominator of which is equal to the aggregate Effective Amount of all Term Loans outstanding at such time.</w:t>
      </w:r>
    </w:p>
    <w:p>
      <w:pPr>
        <w:spacing w:after="0" w:line="21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Pro Rata Share</w:t>
      </w:r>
      <w:r>
        <w:rPr>
          <w:rFonts w:ascii="Arial" w:cs="Arial" w:eastAsia="Arial" w:hAnsi="Arial"/>
          <w:sz w:val="20"/>
          <w:szCs w:val="20"/>
          <w:color w:val="auto"/>
        </w:rPr>
        <w:t>” means, with respect to any Term Facility, when used with reference to any Lender and any described aggregate or total amount, an amount equal to the result obtained by multiplying such described aggregate or total amount by a fraction the numerator of which shall be such Lender’s then outstanding Loans under such Facility and the denominator of which shall be the amount of all then outstanding Loans under such Facility.</w:t>
      </w:r>
    </w:p>
    <w:p>
      <w:pPr>
        <w:spacing w:after="0" w:line="21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w:t>
      </w:r>
      <w:r>
        <w:rPr>
          <w:rFonts w:ascii="Arial" w:cs="Arial" w:eastAsia="Arial" w:hAnsi="Arial"/>
          <w:sz w:val="18"/>
          <w:szCs w:val="18"/>
          <w:color w:val="auto"/>
        </w:rPr>
        <w:t>” means, other than in respect of a Canadian Defined Benefit Plan, (i) a Reportable Event with respect to any Pension Plan; (ii) the withdrawal of any Credit Party, any of its Subsidiaries or any of their ERISA Affiliates from a Pension Plan during a plan year in which such Credit Party, Subsidiary or ERISA Affiliate was a “substantial employer” as defined in Section 4001(a)(2) of ERISA;</w:t>
      </w:r>
    </w:p>
    <w:p>
      <w:pPr>
        <w:spacing w:after="0" w:line="2" w:lineRule="exact"/>
        <w:rPr>
          <w:sz w:val="20"/>
          <w:szCs w:val="20"/>
          <w:color w:val="auto"/>
        </w:rPr>
      </w:pPr>
    </w:p>
    <w:p>
      <w:pPr>
        <w:jc w:val="both"/>
        <w:ind w:firstLine="8"/>
        <w:spacing w:after="0" w:line="250" w:lineRule="auto"/>
        <w:tabs>
          <w:tab w:leader="none" w:pos="3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imposition of an obligation on any Credit Party, any of its Subsidiaries or any of their ERISA Affiliates under Section 4041 of ERISA to provide affected parties written notice of intent to terminate a Pension Plan in a standard termination or a distress termination described in Section 4041 of ERISA; (iv) the institution by the PBGC or any similar foreign governmental authority of proceedings to terminate a Pension Plan or Foreign Plan; (v) any event or condition which would constitute grounds under Section 4042 of ERISA (other than subparagraph (a)</w:t>
      </w:r>
    </w:p>
    <w:p>
      <w:pPr>
        <w:spacing w:after="0" w:line="1" w:lineRule="exact"/>
        <w:rPr>
          <w:rFonts w:ascii="Arial" w:cs="Arial" w:eastAsia="Arial" w:hAnsi="Arial"/>
          <w:sz w:val="18"/>
          <w:szCs w:val="18"/>
          <w:color w:val="auto"/>
        </w:rPr>
      </w:pPr>
    </w:p>
    <w:p>
      <w:pPr>
        <w:jc w:val="both"/>
        <w:spacing w:after="0" w:line="238" w:lineRule="auto"/>
        <w:rPr>
          <w:rFonts w:ascii="Arial" w:cs="Arial" w:eastAsia="Arial" w:hAnsi="Arial"/>
          <w:sz w:val="18"/>
          <w:szCs w:val="18"/>
          <w:color w:val="auto"/>
        </w:rPr>
      </w:pPr>
      <w:r>
        <w:rPr>
          <w:rFonts w:ascii="Arial" w:cs="Arial" w:eastAsia="Arial" w:hAnsi="Arial"/>
          <w:sz w:val="19"/>
          <w:szCs w:val="19"/>
          <w:color w:val="auto"/>
        </w:rPr>
        <w:t>(4) of such Section) for the termination of, or the appointment of a trustee to administer, any Pension Plan; (vi) the appointment by a foreign governmental authority of a trustee to administer any Foreign Plan in place of the existing administrator; (vii) the partial or complete withdrawal of any Credit Party, any of its Subsidiaries or any of their ERISA Affiliates from a Multiemployer Plan or Foreign Plan; (viii) receipt of a notice of reorganization or insolvency with respect to a Multiemployer Plan pursuant to Section 4242 or 4245 of ERISA; (ix) the termination of a Multiemployer Plan or a Multiple Employer Plan; (x) the failure of any Pension Plan to satisfy any applicable minimum funding standard (within the meaning of Section 412 of the Code or Section 302 of ERISA), whether or not waived, the failure to make by its due date a required installment under Section 430(j) of the Code with respect to any Pension Plan or the failure to make any required contribution to a Multiemployer Plan; (xi) the filing pursuant to Section 412 of the Code or Section 302 of ERISA of an application for a waiver of the minimum funding standard or an extension of any amortization period with respect to any Pension Plan; or (xii) a determination that any Pension Plan is in at risk status (within the meaning of Section 430 of the Code or Section 303 of ERISA), insolvent or in reorganization (within the meaning of Section 4245 or Section 4241 of ERISA) or in endangered or critical status (within the meaning of Section 432 of the Code or Section 305 of ERISA).</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Test Period</w:t>
      </w:r>
      <w:r>
        <w:rPr>
          <w:rFonts w:ascii="Arial" w:cs="Arial" w:eastAsia="Arial" w:hAnsi="Arial"/>
          <w:sz w:val="20"/>
          <w:szCs w:val="20"/>
          <w:color w:val="auto"/>
        </w:rPr>
        <w:t>” means the four consecutive Fiscal Quarters of Crown Holdings then last ended.</w:t>
      </w:r>
    </w:p>
    <w:p>
      <w:pPr>
        <w:spacing w:after="0" w:line="229"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Available Canadian Revolving Commitment</w:t>
      </w:r>
      <w:r>
        <w:rPr>
          <w:rFonts w:ascii="Arial" w:cs="Arial" w:eastAsia="Arial" w:hAnsi="Arial"/>
          <w:sz w:val="20"/>
          <w:szCs w:val="20"/>
          <w:color w:val="auto"/>
        </w:rPr>
        <w:t>” means, at the time any determination thereof is made, the sum of the respective Available Canadian Revolving Commitments of the Lenders at such time.</w:t>
      </w:r>
    </w:p>
    <w:p>
      <w:pPr>
        <w:spacing w:after="0" w:line="204"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Available Dollar Revolving Commitment</w:t>
      </w:r>
      <w:r>
        <w:rPr>
          <w:rFonts w:ascii="Arial" w:cs="Arial" w:eastAsia="Arial" w:hAnsi="Arial"/>
          <w:sz w:val="20"/>
          <w:szCs w:val="20"/>
          <w:color w:val="auto"/>
        </w:rPr>
        <w:t>” means, at the time any determination thereof is made, the sum of the respective Available Dollar Revolving Commitments of the Lenders at such time.</w:t>
      </w:r>
    </w:p>
    <w:p>
      <w:pPr>
        <w:spacing w:after="0" w:line="204"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Available Multicurrency Revolving Commitment</w:t>
      </w:r>
      <w:r>
        <w:rPr>
          <w:rFonts w:ascii="Arial" w:cs="Arial" w:eastAsia="Arial" w:hAnsi="Arial"/>
          <w:sz w:val="20"/>
          <w:szCs w:val="20"/>
          <w:color w:val="auto"/>
        </w:rPr>
        <w:t>” means, at the time any determination thereof is made, the sum of the respective Available Multicurrency Revolving Commitments of the Lenders at such time.</w:t>
      </w:r>
    </w:p>
    <w:p>
      <w:pPr>
        <w:spacing w:after="0" w:line="204"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Canadian Revolving Commitment</w:t>
      </w:r>
      <w:r>
        <w:rPr>
          <w:rFonts w:ascii="Arial" w:cs="Arial" w:eastAsia="Arial" w:hAnsi="Arial"/>
          <w:sz w:val="20"/>
          <w:szCs w:val="20"/>
          <w:color w:val="auto"/>
        </w:rPr>
        <w:t>” means, at any time, the sum of the Canadian Revolving Commitments of each of the Lenders at such time.</w:t>
      </w:r>
    </w:p>
    <w:p>
      <w:pPr>
        <w:sectPr>
          <w:pgSz w:w="11900" w:h="16838" w:orient="portrait"/>
          <w:cols w:equalWidth="0" w:num="1">
            <w:col w:w="11240"/>
          </w:cols>
          <w:pgMar w:left="320" w:top="1419" w:right="339" w:bottom="1440" w:gutter="0" w:footer="0" w:header="0"/>
        </w:sectPr>
      </w:pPr>
    </w:p>
    <w:bookmarkStart w:id="178" w:name="page179"/>
    <w:bookmarkEnd w:id="178"/>
    <w:p>
      <w:pPr>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Commitment</w:t>
      </w:r>
      <w:r>
        <w:rPr>
          <w:rFonts w:ascii="Arial" w:cs="Arial" w:eastAsia="Arial" w:hAnsi="Arial"/>
          <w:sz w:val="20"/>
          <w:szCs w:val="20"/>
          <w:color w:val="auto"/>
        </w:rPr>
        <w:t>” means, at the time any determination thereof is made, the sum of the Term Commitments, Canadian Revolving Commitments and the Revolving Commitments of each of the Lenders at such time.</w:t>
      </w:r>
    </w:p>
    <w:p>
      <w:pPr>
        <w:spacing w:after="0" w:line="204"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Dollar Revolving Commitment</w:t>
      </w:r>
      <w:r>
        <w:rPr>
          <w:rFonts w:ascii="Arial" w:cs="Arial" w:eastAsia="Arial" w:hAnsi="Arial"/>
          <w:sz w:val="20"/>
          <w:szCs w:val="20"/>
          <w:color w:val="auto"/>
        </w:rPr>
        <w:t>” means, at any time, the sum of the Dollar Revolving Commitments of each of the Lenders at such time.</w:t>
      </w:r>
    </w:p>
    <w:p>
      <w:pPr>
        <w:spacing w:after="0" w:line="20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First Lien Leverage Ratio</w:t>
      </w:r>
      <w:r>
        <w:rPr>
          <w:rFonts w:ascii="Arial" w:cs="Arial" w:eastAsia="Arial" w:hAnsi="Arial"/>
          <w:sz w:val="18"/>
          <w:szCs w:val="18"/>
          <w:color w:val="auto"/>
        </w:rPr>
        <w:t>” means, for any Test Period, the ratio of (a) Net Indebtedness of Crown Holdings and its Subsidiaries (exclusive of Indebtedness under any Permitted Receivables or Factoring Financing) as of the last day of such Test Period less</w:t>
      </w:r>
    </w:p>
    <w:p>
      <w:pPr>
        <w:spacing w:after="0" w:line="1" w:lineRule="exact"/>
        <w:rPr>
          <w:sz w:val="20"/>
          <w:szCs w:val="20"/>
          <w:color w:val="auto"/>
        </w:rPr>
      </w:pPr>
    </w:p>
    <w:p>
      <w:pPr>
        <w:jc w:val="both"/>
        <w:ind w:firstLine="8"/>
        <w:spacing w:after="0" w:line="245" w:lineRule="auto"/>
        <w:tabs>
          <w:tab w:leader="none" w:pos="3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unsecured Indebtedness of Crown Holdings and its Subsidiaries as of the last day of such Test Period and (y) Indebtedness of Crown Holdings and its Subsidiaries that is secured by a Lien that is junior to such Lien securing the Obligations as of the last day of such Test Period, to (b) Consolidated EBITDA of Crown Holdings and its Subsidiaries for such Test Period.</w:t>
      </w:r>
    </w:p>
    <w:p>
      <w:pPr>
        <w:spacing w:after="0" w:line="20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Leverage Ratio</w:t>
      </w:r>
      <w:r>
        <w:rPr>
          <w:rFonts w:ascii="Arial" w:cs="Arial" w:eastAsia="Arial" w:hAnsi="Arial"/>
          <w:sz w:val="20"/>
          <w:szCs w:val="20"/>
          <w:color w:val="auto"/>
        </w:rPr>
        <w:t>” means, for any Test Period, the ratio of (a) Net Indebtedness of Crown Holdings and its Subsidiaries (exclusive of Indebtedness under any Permitted Receivables or Factoring Financing) as of the last day of such Test Period, to (b) Consolidated EBITDA of Crown Holdings and its Subsidiaries for such Test Period.</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Multicurrency Revolving Commitment</w:t>
      </w:r>
      <w:r>
        <w:rPr>
          <w:rFonts w:ascii="Arial" w:cs="Arial" w:eastAsia="Arial" w:hAnsi="Arial"/>
          <w:sz w:val="20"/>
          <w:szCs w:val="20"/>
          <w:color w:val="auto"/>
        </w:rPr>
        <w:t>” means, at any time, the sum of the Multicurrency Revolving Commitment of each of the Lenders at such time.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Commitment</w:t>
      </w:r>
      <w:r>
        <w:rPr>
          <w:rFonts w:ascii="Arial" w:cs="Arial" w:eastAsia="Arial" w:hAnsi="Arial"/>
          <w:sz w:val="18"/>
          <w:szCs w:val="18"/>
          <w:color w:val="auto"/>
        </w:rPr>
        <w:t>” means, at any time, the sum of the Revolving Commitments of each of the Lenders at such time.</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Secured Leverage Ratio</w:t>
      </w:r>
      <w:r>
        <w:rPr>
          <w:rFonts w:ascii="Arial" w:cs="Arial" w:eastAsia="Arial" w:hAnsi="Arial"/>
          <w:sz w:val="18"/>
          <w:szCs w:val="18"/>
          <w:color w:val="auto"/>
        </w:rPr>
        <w:t>” means, for any Test Period, the ratio of (a) Net Indebtedness that is secured by a Lien on any asset or property of Crown Holdings and its Subsidiaries (exclusive of Indebtedness under any Permitted Receivables or Factoring Financing) as of the last day of such Test Period, to (b) Consolidated EBITDA of Crown Holdings and its Subsidiaries for such Test Period.</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means and includes (i) each of the Credit Events occurring on the Incremental Amendment No. 2 and Third Amendment Effective Date and (ii) the payment of fees and expenses in connection with the foregoing.</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Transferee</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12.8(f)</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any type of Loan, namely, a Base Rate Loan, Canadian Prime Rate Loan, B/A Loan or Eurocurrency Loan. For purposes hereof, the term “Rate” shall include the Eurocurrency Rate, the Base Rate, the Canadian Prime Rate, and the Discount Rate applicable to B/A and B/A Equivalent Loans.</w:t>
      </w:r>
    </w:p>
    <w:p>
      <w:pPr>
        <w:spacing w:after="0" w:line="21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from time to time in the relevant jurisdictions;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if attachment, perfection or priority or a security interest in any Collateral owned by a Canadian Credit Party are governed by the personal property security laws of any province or territory of Canada, UCC shall mean those personal property security laws in such jurisdiction for the purposes of the provisions hereof relating to such attachment, perfection or priority and for the definitions related to such provisions.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Administrative Agent</w:t>
      </w:r>
      <w:r>
        <w:rPr>
          <w:rFonts w:ascii="Arial" w:cs="Arial" w:eastAsia="Arial" w:hAnsi="Arial"/>
          <w:sz w:val="19"/>
          <w:szCs w:val="19"/>
          <w:color w:val="auto"/>
        </w:rPr>
        <w:t>” has the meaning assigned to that term in the preamble to this Agreement and any successor U.K.</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in such capacity and shall include, where the context requires, the Euro Collateral Agent.</w:t>
      </w:r>
    </w:p>
    <w:p>
      <w:pPr>
        <w:sectPr>
          <w:pgSz w:w="11900" w:h="16838" w:orient="portrait"/>
          <w:cols w:equalWidth="0" w:num="1">
            <w:col w:w="11240"/>
          </w:cols>
          <w:pgMar w:left="320" w:top="1419" w:right="339" w:bottom="1440" w:gutter="0" w:footer="0" w:header="0"/>
        </w:sectPr>
      </w:pPr>
    </w:p>
    <w:bookmarkStart w:id="179" w:name="page180"/>
    <w:bookmarkEnd w:id="179"/>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Borrowers</w:t>
      </w:r>
      <w:r>
        <w:rPr>
          <w:rFonts w:ascii="Arial" w:cs="Arial" w:eastAsia="Arial" w:hAnsi="Arial"/>
          <w:sz w:val="18"/>
          <w:szCs w:val="18"/>
          <w:color w:val="auto"/>
        </w:rPr>
        <w:t xml:space="preserve">” means each Non-U.S. Subsidiary of Crown Holdings organized under the laws of England, as designated as such on </w:t>
      </w:r>
      <w:r>
        <w:rPr>
          <w:rFonts w:ascii="Arial" w:cs="Arial" w:eastAsia="Arial" w:hAnsi="Arial"/>
          <w:sz w:val="18"/>
          <w:szCs w:val="18"/>
          <w:u w:val="single" w:color="auto"/>
          <w:color w:val="auto"/>
        </w:rPr>
        <w:t>Schedule 1.1(d)</w:t>
      </w:r>
      <w:r>
        <w:rPr>
          <w:rFonts w:ascii="Arial" w:cs="Arial" w:eastAsia="Arial" w:hAnsi="Arial"/>
          <w:sz w:val="18"/>
          <w:szCs w:val="18"/>
          <w:color w:val="auto"/>
        </w:rPr>
        <w:t>, and each other Non-U.S. Subsidiary of Crown Holdings organized under the laws of England and requested by Crown Holdings to be a U.K. Borrower, subject to the approval of Administrative Agent which shall not be unreasonably withheld or delayed.</w:t>
      </w:r>
    </w:p>
    <w:p>
      <w:pPr>
        <w:spacing w:after="0" w:line="17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Unasserted Contingent Obligations</w:t>
      </w:r>
      <w:r>
        <w:rPr>
          <w:rFonts w:ascii="Arial" w:cs="Arial" w:eastAsia="Arial" w:hAnsi="Arial"/>
          <w:sz w:val="20"/>
          <w:szCs w:val="20"/>
          <w:color w:val="auto"/>
        </w:rPr>
        <w:t>” means all (i) unasserted contingent indemnification obligations not then due and payable and (ii) unasserted expense reimbursement obligations not then due and payable.</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Uncommitted Short Term Lines of Credit</w:t>
      </w:r>
      <w:r>
        <w:rPr>
          <w:rFonts w:ascii="Arial" w:cs="Arial" w:eastAsia="Arial" w:hAnsi="Arial"/>
          <w:sz w:val="19"/>
          <w:szCs w:val="19"/>
          <w:color w:val="auto"/>
        </w:rPr>
        <w:t>” means overdraft facilities, lines of credit or similar facilities providing for uncommitted advances to Crown Holdings or any Subsidiary; provided that no Indebtedness incurred thereunder remains outstanding for more than one year and no Subsidiary grants any Lien (other than Permitted Liens) to secure such Indebtedness.</w:t>
      </w:r>
    </w:p>
    <w:p>
      <w:pPr>
        <w:spacing w:after="0" w:line="19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Unmatured Event of Default</w:t>
      </w:r>
      <w:r>
        <w:rPr>
          <w:rFonts w:ascii="Arial" w:cs="Arial" w:eastAsia="Arial" w:hAnsi="Arial"/>
          <w:sz w:val="20"/>
          <w:szCs w:val="20"/>
          <w:color w:val="auto"/>
        </w:rPr>
        <w:t>” means an event, act or occurrence which with the giving of notice or the lapse of time (or both) would become an Event of Default.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Unpaid Drawing</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2.10(d)</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Unreallocated Portion</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2.12(a)(ii)</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Entity</w:t>
      </w:r>
      <w:r>
        <w:rPr>
          <w:rFonts w:ascii="Arial" w:cs="Arial" w:eastAsia="Arial" w:hAnsi="Arial"/>
          <w:sz w:val="20"/>
          <w:szCs w:val="20"/>
          <w:color w:val="auto"/>
        </w:rPr>
        <w:t xml:space="preserve">” means (i) prior to a redesignation by Crown Holdings pursuant to </w:t>
      </w:r>
      <w:r>
        <w:rPr>
          <w:rFonts w:ascii="Arial" w:cs="Arial" w:eastAsia="Arial" w:hAnsi="Arial"/>
          <w:sz w:val="20"/>
          <w:szCs w:val="20"/>
          <w:u w:val="single" w:color="auto"/>
          <w:color w:val="auto"/>
        </w:rPr>
        <w:t>Section 12.21</w:t>
      </w:r>
      <w:r>
        <w:rPr>
          <w:rFonts w:ascii="Arial" w:cs="Arial" w:eastAsia="Arial" w:hAnsi="Arial"/>
          <w:sz w:val="20"/>
          <w:szCs w:val="20"/>
          <w:color w:val="auto"/>
        </w:rPr>
        <w:t xml:space="preserve">, each Person set forth on </w:t>
      </w:r>
      <w:r>
        <w:rPr>
          <w:rFonts w:ascii="Arial" w:cs="Arial" w:eastAsia="Arial" w:hAnsi="Arial"/>
          <w:sz w:val="20"/>
          <w:szCs w:val="20"/>
          <w:u w:val="single" w:color="auto"/>
          <w:color w:val="auto"/>
        </w:rPr>
        <w:t>Schedule 1.1(e)</w:t>
      </w:r>
      <w:r>
        <w:rPr>
          <w:rFonts w:ascii="Arial" w:cs="Arial" w:eastAsia="Arial" w:hAnsi="Arial"/>
          <w:sz w:val="20"/>
          <w:szCs w:val="20"/>
          <w:color w:val="auto"/>
        </w:rPr>
        <w:t xml:space="preserve"> hereto, (ii) prior to a redesignation by Crown Holdings pursuant to </w:t>
      </w:r>
      <w:r>
        <w:rPr>
          <w:rFonts w:ascii="Arial" w:cs="Arial" w:eastAsia="Arial" w:hAnsi="Arial"/>
          <w:sz w:val="20"/>
          <w:szCs w:val="20"/>
          <w:u w:val="single" w:color="auto"/>
          <w:color w:val="auto"/>
        </w:rPr>
        <w:t>Section 12.21</w:t>
      </w:r>
      <w:r>
        <w:rPr>
          <w:rFonts w:ascii="Arial" w:cs="Arial" w:eastAsia="Arial" w:hAnsi="Arial"/>
          <w:sz w:val="20"/>
          <w:szCs w:val="20"/>
          <w:color w:val="auto"/>
        </w:rPr>
        <w:t xml:space="preserve">, each Person from time to time designated as an Unrestricted Entity by Crown Holdings pursuant to a notice signed by a Responsible Officer identifying such Person to be designated as an Unrestricted Entity so long as (A) immediately before and immediately after the effectiveness of such designation, no Unmatured Event of Default or Event of Default exists or will exist (including, without limitation, the permissibility of any Investment, Indebtedness, Liens or other obligations existing at such Subsidiaries) and (B) after giving effect to such redesignation, Crown Holdings shall be in compliance with the financial covenant set forth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(calculated on a Pro Forma Basis) as of the end of the most recent Test Period and (iii) each successor of the foregoing.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w:t>
      </w:r>
      <w:r>
        <w:rPr>
          <w:rFonts w:ascii="Arial" w:cs="Arial" w:eastAsia="Arial" w:hAnsi="Arial"/>
          <w:sz w:val="20"/>
          <w:szCs w:val="20"/>
          <w:color w:val="auto"/>
        </w:rPr>
        <w:t>” means the United States of America.</w:t>
      </w: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Borrower</w:t>
      </w:r>
      <w:r>
        <w:rPr>
          <w:rFonts w:ascii="Arial" w:cs="Arial" w:eastAsia="Arial" w:hAnsi="Arial"/>
          <w:sz w:val="19"/>
          <w:szCs w:val="19"/>
          <w:color w:val="auto"/>
        </w:rPr>
        <w:t xml:space="preserve">” means collectively and individually, as the context may require, each of Crown Americas LLC and any additional U.S. Subsidiary that (A) executes a U.S. Borrower Joinder Agreement substantially in the form of </w:t>
      </w:r>
      <w:r>
        <w:rPr>
          <w:rFonts w:ascii="Arial" w:cs="Arial" w:eastAsia="Arial" w:hAnsi="Arial"/>
          <w:sz w:val="19"/>
          <w:szCs w:val="19"/>
          <w:u w:val="single" w:color="auto"/>
          <w:color w:val="auto"/>
        </w:rPr>
        <w:t>Exhibit 13</w:t>
      </w:r>
      <w:r>
        <w:rPr>
          <w:rFonts w:ascii="Arial" w:cs="Arial" w:eastAsia="Arial" w:hAnsi="Arial"/>
          <w:sz w:val="19"/>
          <w:szCs w:val="19"/>
          <w:color w:val="auto"/>
        </w:rPr>
        <w:t xml:space="preserve"> (or such other form as mutually agreed by Crown Holdings and the Administrative Agent) and (B) delivers to the Administrative Agent, to the extent not previously delivered, (1) the Additional Security Documents required pursuant to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(2) an opinion of counsel which covers matters reasonably satisfactory to Administrative Agent and (3) to the extent not previously delivered, all documentation and other information required under </w:t>
      </w:r>
      <w:r>
        <w:rPr>
          <w:rFonts w:ascii="Arial" w:cs="Arial" w:eastAsia="Arial" w:hAnsi="Arial"/>
          <w:sz w:val="19"/>
          <w:szCs w:val="19"/>
          <w:u w:val="single" w:color="auto"/>
          <w:color w:val="auto"/>
        </w:rPr>
        <w:t>Section 5.1(f)(ii)</w:t>
      </w:r>
      <w:r>
        <w:rPr>
          <w:rFonts w:ascii="Arial" w:cs="Arial" w:eastAsia="Arial" w:hAnsi="Arial"/>
          <w:sz w:val="19"/>
          <w:szCs w:val="19"/>
          <w:color w:val="auto"/>
        </w:rPr>
        <w:t xml:space="preserve">. Any additional U.S. Subsidiary (other than Crown Americas LLC) may be removed as a U.S. Borrower upon (i) execution and delivery by Crown Americas LLC of a written request providing for such removal and (ii) if not previously delivered, satisfaction of the conditions of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of the Credit Agreement, if applicable. For purposes of the definition of “Existing Non-U.S. Facilities”, the definition of “Parent Guarantor”, the definition of “Senior Notes 2023”, the definition of “Senior Notes 2026”, the definition of “Senior Notes 2026-2”, </w:t>
      </w:r>
      <w:r>
        <w:rPr>
          <w:rFonts w:ascii="Arial" w:cs="Arial" w:eastAsia="Arial" w:hAnsi="Arial"/>
          <w:sz w:val="19"/>
          <w:szCs w:val="19"/>
          <w:u w:val="single" w:color="auto"/>
          <w:color w:val="auto"/>
        </w:rPr>
        <w:t>Section 2.1(a)(i)</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8.1(a)(iii)</w:t>
      </w:r>
      <w:r>
        <w:rPr>
          <w:rFonts w:ascii="Arial" w:cs="Arial" w:eastAsia="Arial" w:hAnsi="Arial"/>
          <w:sz w:val="19"/>
          <w:szCs w:val="19"/>
          <w:color w:val="auto"/>
        </w:rPr>
        <w:t>, “U.S. Borrower” shall be defined to include only Crown Americas LLC and no other entity. Each reference to the “U.S. Borrower” in the Loan Documents shall be deemed to refer to this definition.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Collateral</w:t>
      </w:r>
      <w:r>
        <w:rPr>
          <w:rFonts w:ascii="Arial" w:cs="Arial" w:eastAsia="Arial" w:hAnsi="Arial"/>
          <w:sz w:val="20"/>
          <w:szCs w:val="20"/>
          <w:color w:val="auto"/>
        </w:rPr>
        <w:t>” means all Collateral securing the U.S. Obligations, the Canadian Obligations and the Euro Obligations.</w:t>
      </w:r>
    </w:p>
    <w:p>
      <w:pPr>
        <w:sectPr>
          <w:pgSz w:w="11900" w:h="16838" w:orient="portrait"/>
          <w:cols w:equalWidth="0" w:num="1">
            <w:col w:w="11240"/>
          </w:cols>
          <w:pgMar w:left="320" w:top="1419" w:right="339" w:bottom="1440" w:gutter="0" w:footer="0" w:header="0"/>
        </w:sectPr>
      </w:pPr>
    </w:p>
    <w:bookmarkStart w:id="180" w:name="page181"/>
    <w:bookmarkEnd w:id="18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Collateral Agent</w:t>
      </w:r>
      <w:r>
        <w:rPr>
          <w:rFonts w:ascii="Arial" w:cs="Arial" w:eastAsia="Arial" w:hAnsi="Arial"/>
          <w:sz w:val="20"/>
          <w:szCs w:val="20"/>
          <w:color w:val="auto"/>
        </w:rPr>
        <w:t>” means DB, in its capacity as collateral agent under the U.S. Security Documents.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Credit Parties</w:t>
      </w:r>
      <w:r>
        <w:rPr>
          <w:rFonts w:ascii="Arial" w:cs="Arial" w:eastAsia="Arial" w:hAnsi="Arial"/>
          <w:sz w:val="20"/>
          <w:szCs w:val="20"/>
          <w:color w:val="auto"/>
        </w:rPr>
        <w:t>” means Crown Holdings and its U.S. Subsidiaries (other than any Excluded Subsidiary).</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Guarantee Agreement</w:t>
      </w:r>
      <w:r>
        <w:rPr>
          <w:rFonts w:ascii="Arial" w:cs="Arial" w:eastAsia="Arial" w:hAnsi="Arial"/>
          <w:sz w:val="20"/>
          <w:szCs w:val="20"/>
          <w:color w:val="auto"/>
        </w:rPr>
        <w:t>” means that certain U.S. Guarantee Agreement, dated as of December 19, 2013 as amended, restated, amended and restated, supplemented or otherwise modified from time to time, among the Guarantors party thereto, U.S. Collateral Agent and the Administrative Agent.</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Indemnity, Subrogation and Contribution Agreement</w:t>
      </w:r>
      <w:r>
        <w:rPr>
          <w:rFonts w:ascii="Arial" w:cs="Arial" w:eastAsia="Arial" w:hAnsi="Arial"/>
          <w:sz w:val="20"/>
          <w:szCs w:val="20"/>
          <w:color w:val="auto"/>
        </w:rPr>
        <w:t>” means the U.S. Indemnity, Subrogation and Contribution Agreement, dated as of December 19, 2013, as amended, restated, amended and restated or otherwise modified from time to time, by and among Borrower, the Guarantors party thereto and Administrative Agent.</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Obligations</w:t>
      </w:r>
      <w:r>
        <w:rPr>
          <w:rFonts w:ascii="Arial" w:cs="Arial" w:eastAsia="Arial" w:hAnsi="Arial"/>
          <w:sz w:val="19"/>
          <w:szCs w:val="19"/>
          <w:color w:val="auto"/>
        </w:rPr>
        <w:t>” means, with respect to U.S. Borrower, the unpaid principal of and interest on (including interest accruing after the maturity of the Loans made to U.S. Borrower and interest and fees accruing after the filing of any petition in bankruptcy, or the commencement of any insolvency, reorganization or like proceeding, relating to U.S. Borrower, whether or not a claim for post-filing or post-petition interest and fees is allowed in such proceeding) the Loans made to or Unpaid Drawings pursuant to Letters of Credit issued for the account of U.S. Borrower and all other obligations and liabilities of U.S. Borrower or any of its U.S. Subsidiaries (including Bank Related Debt) to any Agent, any Facing Agent,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U.S. Borrower or any of its U.S. Subsidiaries to any Agent, any Facing Agent, any Lender or any Hedge Bank pursuant to any Loan Document or any Bank Related Debt) or otherwise.</w:t>
      </w:r>
    </w:p>
    <w:p>
      <w:pPr>
        <w:spacing w:after="0" w:line="21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Pledge Agreement</w:t>
      </w:r>
      <w:r>
        <w:rPr>
          <w:rFonts w:ascii="Arial" w:cs="Arial" w:eastAsia="Arial" w:hAnsi="Arial"/>
          <w:sz w:val="20"/>
          <w:szCs w:val="20"/>
          <w:color w:val="auto"/>
        </w:rPr>
        <w:t>” means the U.S. Pledge Agreement, dated as of December 19, 2013, as amended, restated, amended and restated or otherwise modified from time to time, among the U.S. Credit Parties and the U.S. Collateral Agent for the benefit of the Secured Creditors named therein.</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Security Agreement</w:t>
      </w:r>
      <w:r>
        <w:rPr>
          <w:rFonts w:ascii="Arial" w:cs="Arial" w:eastAsia="Arial" w:hAnsi="Arial"/>
          <w:sz w:val="20"/>
          <w:szCs w:val="20"/>
          <w:color w:val="auto"/>
        </w:rPr>
        <w:t>” means the U.S. Security Agreement, dated as of December 19, 2013, as amended, restated, amended and restated or otherwise modified from time to time, among the U.S. Credit Parties and the U.S. Collateral Agent for the benefit of the Secured Creditors named therein.</w:t>
      </w:r>
    </w:p>
    <w:p>
      <w:pPr>
        <w:spacing w:after="0" w:line="21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Security Documents</w:t>
      </w:r>
      <w:r>
        <w:rPr>
          <w:rFonts w:ascii="Arial" w:cs="Arial" w:eastAsia="Arial" w:hAnsi="Arial"/>
          <w:sz w:val="20"/>
          <w:szCs w:val="20"/>
          <w:color w:val="auto"/>
        </w:rPr>
        <w:t xml:space="preserve">” means the U.S. Security Agreement, the U.S. Pledge Agreement, each Receivables Intercreditor Agreement governed by U.S. law, the Perfection Certificate executed by the U.S. Credit Parties and each other security agreement or other instrument or document executed and delivered by any U.S. Borrower or U.S. Subsidiary pursuant to </w:t>
      </w:r>
      <w:r>
        <w:rPr>
          <w:rFonts w:ascii="Arial" w:cs="Arial" w:eastAsia="Arial" w:hAnsi="Arial"/>
          <w:sz w:val="20"/>
          <w:szCs w:val="20"/>
          <w:u w:val="single" w:color="auto"/>
          <w:color w:val="auto"/>
        </w:rPr>
        <w:t>Section 7.14</w:t>
      </w:r>
      <w:r>
        <w:rPr>
          <w:rFonts w:ascii="Arial" w:cs="Arial" w:eastAsia="Arial" w:hAnsi="Arial"/>
          <w:sz w:val="20"/>
          <w:szCs w:val="20"/>
          <w:color w:val="auto"/>
        </w:rPr>
        <w:t xml:space="preserve"> to secure any of the Obligations.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Subsidiary</w:t>
      </w:r>
      <w:r>
        <w:rPr>
          <w:rFonts w:ascii="Arial" w:cs="Arial" w:eastAsia="Arial" w:hAnsi="Arial"/>
          <w:sz w:val="20"/>
          <w:szCs w:val="20"/>
          <w:color w:val="auto"/>
        </w:rPr>
        <w:t>” means any Subsidiary of Crown Holdings that is not a Non-U.S. Subsidiary of Crown Holdings.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assigned to that term in </w:t>
      </w:r>
      <w:r>
        <w:rPr>
          <w:rFonts w:ascii="Arial" w:cs="Arial" w:eastAsia="Arial" w:hAnsi="Arial"/>
          <w:sz w:val="20"/>
          <w:szCs w:val="20"/>
          <w:u w:val="single" w:color="auto"/>
          <w:color w:val="auto"/>
        </w:rPr>
        <w:t>Section 4.7(d)(ii)(B)(III)</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181" w:name="page182"/>
    <w:bookmarkEnd w:id="181"/>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VAT</w:t>
      </w:r>
      <w:r>
        <w:rPr>
          <w:rFonts w:ascii="Arial" w:cs="Arial" w:eastAsia="Arial" w:hAnsi="Arial"/>
          <w:sz w:val="20"/>
          <w:szCs w:val="20"/>
          <w:color w:val="auto"/>
        </w:rPr>
        <w:t>” means any Tax imposed by EC Directive 2006/112/EC on the common system of value added tax, and any national legislation implementing that directive, together with any legislation supplemental thereto, and any other Tax of a similar nature imposed by any Governmental Authority and all interest, additions to tax or penalties related thereto.</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12.8(c)</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Participant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12.8(c)</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Securities</w:t>
      </w:r>
      <w:r>
        <w:rPr>
          <w:rFonts w:ascii="Arial" w:cs="Arial" w:eastAsia="Arial" w:hAnsi="Arial"/>
          <w:sz w:val="20"/>
          <w:szCs w:val="20"/>
          <w:color w:val="auto"/>
        </w:rPr>
        <w:t xml:space="preserve"> ” means any class of Capital Stock of a Person pursuant to which the holders thereof have, at the time of determination, the general voting power under ordinary circumstances to vote for the election of directors, managers, trustees or general partners of such Person (irrespective of whether or not at the time any other class or classes will have or might have voting power by reason of the happening of any contingency).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25" w:lineRule="exact"/>
        <w:rPr>
          <w:sz w:val="20"/>
          <w:szCs w:val="20"/>
          <w:color w:val="auto"/>
        </w:rPr>
      </w:pPr>
    </w:p>
    <w:p>
      <w:pPr>
        <w:jc w:val="both"/>
        <w:ind w:firstLine="8"/>
        <w:spacing w:after="0" w:line="230" w:lineRule="auto"/>
        <w:tabs>
          <w:tab w:leader="none" w:pos="286"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then outstanding principal amount of such Indebtedness into (b) the total of the product obtained by multiplying (x) the amount of each then remaining installment, sinking fund, serial maturity or other required payments of principal, including payment at final maturity, in respect thereof by (y) the number of years (calculated to the nearest one-twelfth) that will elapse between such date and the making of such payment.</w:t>
      </w:r>
    </w:p>
    <w:p>
      <w:pPr>
        <w:spacing w:after="0" w:line="20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Welfare Plan</w:t>
      </w:r>
      <w:r>
        <w:rPr>
          <w:rFonts w:ascii="Arial" w:cs="Arial" w:eastAsia="Arial" w:hAnsi="Arial"/>
          <w:sz w:val="20"/>
          <w:szCs w:val="20"/>
          <w:color w:val="auto"/>
        </w:rPr>
        <w:t>” means a “welfare plan,” as such term is defined in Section 3(1) of ERISA, that is maintained or contributed to by a Credit Party or any of its Subsidiaries or with respect to which a Credit Party or any of its Subsidiaries would reasonably be expected to incur liability and, for greater certainty, shall not include a Foreign Plan.</w:t>
      </w:r>
    </w:p>
    <w:p>
      <w:pPr>
        <w:spacing w:after="0" w:line="210"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Wholly-Owned Subsidiary</w:t>
      </w:r>
      <w:r>
        <w:rPr>
          <w:rFonts w:ascii="Arial" w:cs="Arial" w:eastAsia="Arial" w:hAnsi="Arial"/>
          <w:sz w:val="20"/>
          <w:szCs w:val="20"/>
          <w:color w:val="auto"/>
        </w:rPr>
        <w:t>” means, with respect to any Person, any Subsidiary of such Person, all of the outstanding shares of Capital Stock of which (other than qualifying shares required to be owned by directors) are at the time owned directly or indirectly by such Person and/or one or more Wholly-Owned Subsidiaries of such Person.</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written</w:t>
      </w:r>
      <w:r>
        <w:rPr>
          <w:rFonts w:ascii="Arial" w:cs="Arial" w:eastAsia="Arial" w:hAnsi="Arial"/>
          <w:sz w:val="20"/>
          <w:szCs w:val="20"/>
          <w:color w:val="auto"/>
        </w:rPr>
        <w:t>” or “</w:t>
      </w:r>
      <w:r>
        <w:rPr>
          <w:rFonts w:ascii="Arial" w:cs="Arial" w:eastAsia="Arial" w:hAnsi="Arial"/>
          <w:sz w:val="20"/>
          <w:szCs w:val="20"/>
          <w:u w:val="single" w:color="auto"/>
          <w:color w:val="auto"/>
        </w:rPr>
        <w:t>in writing</w:t>
      </w:r>
      <w:r>
        <w:rPr>
          <w:rFonts w:ascii="Arial" w:cs="Arial" w:eastAsia="Arial" w:hAnsi="Arial"/>
          <w:sz w:val="20"/>
          <w:szCs w:val="20"/>
          <w:color w:val="auto"/>
        </w:rPr>
        <w:t>” means any form of written communication or a communication by means of facsimile device or other electronic image scan transmission (e.g., “pdf” via email).</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WURA</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Winding-Up and Restructuring Act</w:t>
      </w:r>
      <w:r>
        <w:rPr>
          <w:rFonts w:ascii="Arial" w:cs="Arial" w:eastAsia="Arial" w:hAnsi="Arial"/>
          <w:sz w:val="20"/>
          <w:szCs w:val="20"/>
          <w:color w:val="auto"/>
        </w:rPr>
        <w:t xml:space="preserve"> (Canada), as amended.</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foregoing definitions shall be equally applicable to both the singular and plural forms of the defined terms. In the computation of periods of time from a specified date to a later specified date, the word “from” means “from and including” and the words “to” and “until” each mean “to but excluding.” The words “herein,” “hereof” and words of similar import as used in this Agreement shall refer to this Agreement as a whole and not to any particular provision in this Agreement. References to “Articles,” “Sections,” “paragraphs,” “Exhibits” and “Schedules” in this Agreement shall refer to Articles, Sections, paragraphs, Exhibits and Schedules of this Agreement unless otherwise expressly provided; references to Persons include their respective permitted successors and assigns or, in the case of governmental Persons, Persons succeeding to the relevant functions of such persons; and all references to statutes and related regulations shall include any amendments of same and any successor statutes and regulations. Unless</w:t>
      </w:r>
    </w:p>
    <w:p>
      <w:pPr>
        <w:sectPr>
          <w:pgSz w:w="11900" w:h="16838" w:orient="portrait"/>
          <w:cols w:equalWidth="0" w:num="1">
            <w:col w:w="11240"/>
          </w:cols>
          <w:pgMar w:left="320" w:top="1419" w:right="339" w:bottom="1440" w:gutter="0" w:footer="0" w:header="0"/>
        </w:sectPr>
      </w:pPr>
    </w:p>
    <w:bookmarkStart w:id="182" w:name="page183"/>
    <w:bookmarkEnd w:id="182"/>
    <w:p>
      <w:pPr>
        <w:jc w:val="both"/>
        <w:spacing w:after="0" w:line="234" w:lineRule="auto"/>
        <w:rPr>
          <w:sz w:val="20"/>
          <w:szCs w:val="20"/>
          <w:color w:val="auto"/>
        </w:rPr>
      </w:pPr>
      <w:r>
        <w:rPr>
          <w:rFonts w:ascii="Arial" w:cs="Arial" w:eastAsia="Arial" w:hAnsi="Arial"/>
          <w:sz w:val="20"/>
          <w:szCs w:val="20"/>
          <w:color w:val="auto"/>
        </w:rPr>
        <w:t>otherwise expressly provided herein, references to constitutive and Organic Documents and to agreements (including the Loan Documents) and other contractual instruments shall be deemed to include subsequent amendments, restatements, extensions, supplements and other modifications thereto, but only to the extent that such amendments, restatements, extensions, supplements and other modifications are not prohibited by any Loan Document.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1.2 Terms Generally; Financial Statements</w:t>
      </w:r>
    </w:p>
    <w:p>
      <w:pPr>
        <w:ind w:left="66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left="660" w:hanging="4"/>
        <w:spacing w:after="0" w:line="251" w:lineRule="auto"/>
        <w:tabs>
          <w:tab w:leader="none" w:pos="938"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herein, all accounting terms used herein but not expressly defined in this Agreement, all computations and determinations for purposes of determining compliance with the financial requirements of this Agreement shall have the respective meanings given to them or shall be made in accordance with GAAP. Except as expressly provided herein, the financial statements required to be delivered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shall be prepared in accordance with GAAP in the United States of America as in effect on the respective dates of their preparation. Unless otherwise provided for herein, wherever any computation is to be made with respect to any Person and its Subsidiaries, such computation shall be made so as to exclude all items of income, assets and liabilities attributable to any Person which is not a Subsidiary of such Person. For purposes of the financial terms set forth herein, including, without limitation, for all purposes under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whenever a reference is made to a determination which is required to be made on a consolidated basis (whether in accordance with GAAP or otherwise) for Crown Holdings and its Subsidiaries, such determination shall be made as if all Unrestricted Entities were wholly-owned by a Person not an Affiliate of Crown Holdings. In the event that any changes in generally accepted accounting principles in the U.S. occur after the Effective Date or the application thereof from that used in the preparation of the financial statements referred to in </w:t>
      </w:r>
      <w:r>
        <w:rPr>
          <w:rFonts w:ascii="Arial" w:cs="Arial" w:eastAsia="Arial" w:hAnsi="Arial"/>
          <w:sz w:val="18"/>
          <w:szCs w:val="18"/>
          <w:u w:val="single" w:color="auto"/>
          <w:color w:val="auto"/>
        </w:rPr>
        <w:t>Section 6.5(a)</w:t>
      </w:r>
      <w:r>
        <w:rPr>
          <w:rFonts w:ascii="Arial" w:cs="Arial" w:eastAsia="Arial" w:hAnsi="Arial"/>
          <w:sz w:val="18"/>
          <w:szCs w:val="18"/>
          <w:color w:val="auto"/>
        </w:rPr>
        <w:t xml:space="preserve"> hereof occur after the Effective Date and such changes or such application result in a material variation in the method of calculation of financial covenants or other terms of this Agreement, then Crown Holdings, Administrative Agent and the Lenders agree to enter into and diligently pursue negotiations in good faith in order to amend such provisions of this Agreement so as to equitably reflect such changes so that the criteria for evaluating Crown Holdings’ financial condition will be the same after such changes as if such changes had not occurred;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such financial covenants or other terms of this Agreement shall continue to be calculated in accordance with GAAP as in effect and applied immediately before such change shall have become effective. Notwithstanding anything to the contrary above or in the definitions of Capitalized Lease, Capitalized Lease Obligations, Consolidated Interest Expense or any other term or provision in this Agreement or any other Loan Document, in the event of a change under GAAP (or the application thereof) requiring all or certain Operating Leases to be capitalized, only those leases that would result in a Capitalized Lease or Capitalized Lease Obligation on December 15, 2018 (assuming for purposes hereof that they were in existence on December 15, 2018 and applying GAAP as in effect on such date) hereunder shall be considered Capitalized Leases or Capitalized Lease Obligations hereunder and all calculations and deliverables under this Agreement or any other Loan Document shall be made in accordance therewith.</w:t>
      </w:r>
    </w:p>
    <w:p>
      <w:pPr>
        <w:spacing w:after="0" w:line="215" w:lineRule="exact"/>
        <w:rPr>
          <w:rFonts w:ascii="Arial" w:cs="Arial" w:eastAsia="Arial" w:hAnsi="Arial"/>
          <w:sz w:val="18"/>
          <w:szCs w:val="18"/>
          <w:color w:val="auto"/>
        </w:rPr>
      </w:pPr>
    </w:p>
    <w:p>
      <w:pPr>
        <w:jc w:val="both"/>
        <w:ind w:left="660" w:hanging="4"/>
        <w:spacing w:after="0" w:line="246" w:lineRule="auto"/>
        <w:tabs>
          <w:tab w:leader="none" w:pos="945"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For purposes of computing ratios in the financial covenant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as of the end of any Test Period, all components of such ratios for the applicable Test Period shall include or exclude, as the case may be, without duplication, such components of such ratios attributable to any business or assets that have been acquired or disposed of by Crown Holdings or any Subsidiary of Crown Holdings (including through mergers, amalgamations or consolidations) after the first day of such Test Period and prior to the end of such Test Period on a Pro Forma Basis as determined in good faith by Crown Holdings.</w:t>
      </w:r>
    </w:p>
    <w:p>
      <w:pPr>
        <w:sectPr>
          <w:pgSz w:w="11900" w:h="16838" w:orient="portrait"/>
          <w:cols w:equalWidth="0" w:num="1">
            <w:col w:w="11240"/>
          </w:cols>
          <w:pgMar w:left="320" w:top="1419" w:right="339" w:bottom="1440" w:gutter="0" w:footer="0" w:header="0"/>
        </w:sectPr>
      </w:pPr>
    </w:p>
    <w:bookmarkStart w:id="183" w:name="page184"/>
    <w:bookmarkEnd w:id="183"/>
    <w:p>
      <w:pPr>
        <w:jc w:val="both"/>
        <w:ind w:left="660"/>
        <w:spacing w:after="0" w:line="237" w:lineRule="auto"/>
        <w:rPr>
          <w:sz w:val="20"/>
          <w:szCs w:val="20"/>
          <w:color w:val="auto"/>
        </w:rPr>
      </w:pPr>
      <w:r>
        <w:rPr>
          <w:rFonts w:ascii="Arial" w:cs="Arial" w:eastAsia="Arial" w:hAnsi="Arial"/>
          <w:sz w:val="20"/>
          <w:szCs w:val="20"/>
          <w:color w:val="auto"/>
        </w:rPr>
        <w:t xml:space="preserve">(c)For purposes of the limitations, levels and baskets in </w:t>
      </w:r>
      <w:r>
        <w:rPr>
          <w:rFonts w:ascii="Arial" w:cs="Arial" w:eastAsia="Arial" w:hAnsi="Arial"/>
          <w:sz w:val="20"/>
          <w:szCs w:val="20"/>
          <w:u w:val="single" w:color="auto"/>
          <w:color w:val="auto"/>
        </w:rPr>
        <w:t>Articles IV</w:t>
      </w:r>
      <w:r>
        <w:rPr>
          <w:rFonts w:ascii="Arial" w:cs="Arial" w:eastAsia="Arial" w:hAnsi="Arial"/>
          <w:sz w:val="20"/>
          <w:szCs w:val="20"/>
          <w:color w:val="auto"/>
        </w:rPr>
        <w:t xml:space="preserve">, </w:t>
      </w:r>
      <w:r>
        <w:rPr>
          <w:rFonts w:ascii="Arial" w:cs="Arial" w:eastAsia="Arial" w:hAnsi="Arial"/>
          <w:sz w:val="20"/>
          <w:szCs w:val="20"/>
          <w:u w:val="single" w:color="auto"/>
          <w:color w:val="auto"/>
        </w:rPr>
        <w:t>VII</w:t>
      </w:r>
      <w:r>
        <w:rPr>
          <w:rFonts w:ascii="Arial" w:cs="Arial" w:eastAsia="Arial" w:hAnsi="Arial"/>
          <w:sz w:val="20"/>
          <w:szCs w:val="20"/>
          <w:color w:val="auto"/>
        </w:rPr>
        <w:t xml:space="preserve">, </w:t>
      </w:r>
      <w:r>
        <w:rPr>
          <w:rFonts w:ascii="Arial" w:cs="Arial" w:eastAsia="Arial" w:hAnsi="Arial"/>
          <w:sz w:val="20"/>
          <w:szCs w:val="20"/>
          <w:u w:val="single" w:color="auto"/>
          <w:color w:val="auto"/>
        </w:rPr>
        <w:t>VIII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X</w:t>
      </w:r>
      <w:r>
        <w:rPr>
          <w:rFonts w:ascii="Arial" w:cs="Arial" w:eastAsia="Arial" w:hAnsi="Arial"/>
          <w:sz w:val="20"/>
          <w:szCs w:val="20"/>
          <w:color w:val="auto"/>
        </w:rPr>
        <w:t xml:space="preserve"> stated in Dollars, non-Dollar currencies will be converted into Dollars at the time of incurrence or receipt, as the case may be, using the methodology set forth in the definition of “Dollar Equivalent”.</w:t>
      </w:r>
    </w:p>
    <w:p>
      <w:pPr>
        <w:spacing w:after="0" w:line="210" w:lineRule="exact"/>
        <w:rPr>
          <w:sz w:val="20"/>
          <w:szCs w:val="20"/>
          <w:color w:val="auto"/>
        </w:rPr>
      </w:pPr>
    </w:p>
    <w:p>
      <w:pPr>
        <w:jc w:val="both"/>
        <w:ind w:left="660" w:hanging="4"/>
        <w:spacing w:after="0" w:line="232" w:lineRule="auto"/>
        <w:tabs>
          <w:tab w:leader="none" w:pos="945" w:val="left"/>
        </w:tabs>
        <w:numPr>
          <w:ilvl w:val="0"/>
          <w:numId w:val="77"/>
        </w:numPr>
        <w:rPr>
          <w:rFonts w:ascii="Arial" w:cs="Arial" w:eastAsia="Arial" w:hAnsi="Arial"/>
          <w:sz w:val="20"/>
          <w:szCs w:val="20"/>
          <w:color w:val="auto"/>
        </w:rPr>
      </w:pPr>
      <w:r>
        <w:rPr>
          <w:rFonts w:ascii="Arial" w:cs="Arial" w:eastAsia="Arial" w:hAnsi="Arial"/>
          <w:sz w:val="20"/>
          <w:szCs w:val="20"/>
          <w:color w:val="auto"/>
        </w:rPr>
        <w:t>Any reference in this Agreement to “Bank of America Merrill Lynch International Limited” is a reference to its successor in title Bank of America Merrill Lynch International Designated Activity Company (including, without limitation, its branches) pursuant to and with effect from the merger between Bank of America Merrill Lynch International Limited and Bank of America Merrill Lynch International Designated Activity Company that takes effect in accordance with the Cross-Border Mergers Directive (2005/56/EC) (as codified) as implemented in the United Kingdom and Ireland.</w:t>
      </w:r>
    </w:p>
    <w:p>
      <w:pPr>
        <w:spacing w:after="0" w:line="211" w:lineRule="exact"/>
        <w:rPr>
          <w:rFonts w:ascii="Arial" w:cs="Arial" w:eastAsia="Arial" w:hAnsi="Arial"/>
          <w:sz w:val="20"/>
          <w:szCs w:val="20"/>
          <w:color w:val="auto"/>
        </w:rPr>
      </w:pPr>
    </w:p>
    <w:p>
      <w:pPr>
        <w:jc w:val="both"/>
        <w:ind w:left="660" w:hanging="4"/>
        <w:spacing w:after="0" w:line="232" w:lineRule="auto"/>
        <w:tabs>
          <w:tab w:leader="none" w:pos="935" w:val="left"/>
        </w:tabs>
        <w:numPr>
          <w:ilvl w:val="0"/>
          <w:numId w:val="77"/>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herein, for purposes of the limitations, levels and baskets in </w:t>
      </w:r>
      <w:r>
        <w:rPr>
          <w:rFonts w:ascii="Arial" w:cs="Arial" w:eastAsia="Arial" w:hAnsi="Arial"/>
          <w:sz w:val="20"/>
          <w:szCs w:val="20"/>
          <w:u w:val="single" w:color="auto"/>
          <w:color w:val="auto"/>
        </w:rPr>
        <w:t>Articles IV</w:t>
      </w:r>
      <w:r>
        <w:rPr>
          <w:rFonts w:ascii="Arial" w:cs="Arial" w:eastAsia="Arial" w:hAnsi="Arial"/>
          <w:sz w:val="20"/>
          <w:szCs w:val="20"/>
          <w:color w:val="auto"/>
        </w:rPr>
        <w:t xml:space="preserve">, </w:t>
      </w:r>
      <w:r>
        <w:rPr>
          <w:rFonts w:ascii="Arial" w:cs="Arial" w:eastAsia="Arial" w:hAnsi="Arial"/>
          <w:sz w:val="20"/>
          <w:szCs w:val="20"/>
          <w:u w:val="single" w:color="auto"/>
          <w:color w:val="auto"/>
        </w:rPr>
        <w:t>VII</w:t>
      </w:r>
      <w:r>
        <w:rPr>
          <w:rFonts w:ascii="Arial" w:cs="Arial" w:eastAsia="Arial" w:hAnsi="Arial"/>
          <w:sz w:val="20"/>
          <w:szCs w:val="20"/>
          <w:color w:val="auto"/>
        </w:rPr>
        <w:t xml:space="preserve">, </w:t>
      </w:r>
      <w:r>
        <w:rPr>
          <w:rFonts w:ascii="Arial" w:cs="Arial" w:eastAsia="Arial" w:hAnsi="Arial"/>
          <w:sz w:val="20"/>
          <w:szCs w:val="20"/>
          <w:u w:val="single" w:color="auto"/>
          <w:color w:val="auto"/>
        </w:rPr>
        <w:t>VIII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X</w:t>
      </w:r>
      <w:r>
        <w:rPr>
          <w:rFonts w:ascii="Arial" w:cs="Arial" w:eastAsia="Arial" w:hAnsi="Arial"/>
          <w:sz w:val="20"/>
          <w:szCs w:val="20"/>
          <w:color w:val="auto"/>
        </w:rPr>
        <w:t>, no Unmatured Event of Default or Event of Default shall be deemed to have occurred with respect to any action taken in accordance with a limitation, level or basket measured as a percentage of Consolidated Tangible Assets or Consolidated Total Assets as a result of a subsequent change in Consolidated Tangible Assets or Consolidated Total Assets so long as, at the time of the taking of such action, such action was permitted to be taken.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1.3 Luxembourg terms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this Agreement, where it relates to a company incorporated under the laws of Luxembourg, a reference to:</w:t>
      </w:r>
    </w:p>
    <w:p>
      <w:pPr>
        <w:spacing w:after="0" w:line="2"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winding-up</w:t>
      </w:r>
      <w:r>
        <w:rPr>
          <w:rFonts w:ascii="Arial" w:cs="Arial" w:eastAsia="Arial" w:hAnsi="Arial"/>
          <w:sz w:val="20"/>
          <w:szCs w:val="20"/>
          <w:color w:val="auto"/>
        </w:rPr>
        <w:t xml:space="preserve">, </w:t>
      </w:r>
      <w:r>
        <w:rPr>
          <w:rFonts w:ascii="Arial" w:cs="Arial" w:eastAsia="Arial" w:hAnsi="Arial"/>
          <w:sz w:val="20"/>
          <w:szCs w:val="20"/>
          <w:b w:val="1"/>
          <w:bCs w:val="1"/>
          <w:color w:val="auto"/>
        </w:rPr>
        <w:t>administration</w:t>
      </w:r>
      <w:r>
        <w:rPr>
          <w:rFonts w:ascii="Arial" w:cs="Arial" w:eastAsia="Arial" w:hAnsi="Arial"/>
          <w:sz w:val="20"/>
          <w:szCs w:val="20"/>
          <w:color w:val="auto"/>
        </w:rPr>
        <w:t xml:space="preserve">, </w:t>
      </w:r>
      <w:r>
        <w:rPr>
          <w:rFonts w:ascii="Arial" w:cs="Arial" w:eastAsia="Arial" w:hAnsi="Arial"/>
          <w:sz w:val="20"/>
          <w:szCs w:val="20"/>
          <w:b w:val="1"/>
          <w:bCs w:val="1"/>
          <w:color w:val="auto"/>
        </w:rPr>
        <w:t>liquidation</w:t>
      </w:r>
      <w:r>
        <w:rPr>
          <w:rFonts w:ascii="Arial" w:cs="Arial" w:eastAsia="Arial" w:hAnsi="Arial"/>
          <w:sz w:val="20"/>
          <w:szCs w:val="20"/>
          <w:color w:val="auto"/>
        </w:rPr>
        <w:t xml:space="preserve"> or </w:t>
      </w:r>
      <w:r>
        <w:rPr>
          <w:rFonts w:ascii="Arial" w:cs="Arial" w:eastAsia="Arial" w:hAnsi="Arial"/>
          <w:sz w:val="20"/>
          <w:szCs w:val="20"/>
          <w:b w:val="1"/>
          <w:bCs w:val="1"/>
          <w:color w:val="auto"/>
        </w:rPr>
        <w:t>dissolution</w:t>
      </w:r>
      <w:r>
        <w:rPr>
          <w:rFonts w:ascii="Arial" w:cs="Arial" w:eastAsia="Arial" w:hAnsi="Arial"/>
          <w:sz w:val="20"/>
          <w:szCs w:val="20"/>
          <w:color w:val="auto"/>
        </w:rPr>
        <w:t xml:space="preserve"> includes, without limitation, bankruptcy (</w:t>
      </w:r>
      <w:r>
        <w:rPr>
          <w:rFonts w:ascii="Arial" w:cs="Arial" w:eastAsia="Arial" w:hAnsi="Arial"/>
          <w:sz w:val="20"/>
          <w:szCs w:val="20"/>
          <w:i w:val="1"/>
          <w:iCs w:val="1"/>
          <w:color w:val="auto"/>
        </w:rPr>
        <w:t>faillite</w:t>
      </w:r>
      <w:r>
        <w:rPr>
          <w:rFonts w:ascii="Arial" w:cs="Arial" w:eastAsia="Arial" w:hAnsi="Arial"/>
          <w:sz w:val="20"/>
          <w:szCs w:val="20"/>
          <w:color w:val="auto"/>
        </w:rPr>
        <w:t>), insolvency, voluntary or judicial liquidation (</w:t>
      </w:r>
      <w:r>
        <w:rPr>
          <w:rFonts w:ascii="Arial" w:cs="Arial" w:eastAsia="Arial" w:hAnsi="Arial"/>
          <w:sz w:val="20"/>
          <w:szCs w:val="20"/>
          <w:i w:val="1"/>
          <w:iCs w:val="1"/>
          <w:color w:val="auto"/>
        </w:rPr>
        <w:t>liquidation volontaire ou judiciaire</w:t>
      </w:r>
      <w:r>
        <w:rPr>
          <w:rFonts w:ascii="Arial" w:cs="Arial" w:eastAsia="Arial" w:hAnsi="Arial"/>
          <w:sz w:val="20"/>
          <w:szCs w:val="20"/>
          <w:color w:val="auto"/>
        </w:rPr>
        <w:t>), composition with creditors (</w:t>
      </w:r>
      <w:r>
        <w:rPr>
          <w:rFonts w:ascii="Arial" w:cs="Arial" w:eastAsia="Arial" w:hAnsi="Arial"/>
          <w:sz w:val="20"/>
          <w:szCs w:val="20"/>
          <w:i w:val="1"/>
          <w:iCs w:val="1"/>
          <w:color w:val="auto"/>
        </w:rPr>
        <w:t>concordat préventif de faillite</w:t>
      </w:r>
      <w:r>
        <w:rPr>
          <w:rFonts w:ascii="Arial" w:cs="Arial" w:eastAsia="Arial" w:hAnsi="Arial"/>
          <w:sz w:val="20"/>
          <w:szCs w:val="20"/>
          <w:color w:val="auto"/>
        </w:rPr>
        <w:t>), reprieve from payment (</w:t>
      </w:r>
      <w:r>
        <w:rPr>
          <w:rFonts w:ascii="Arial" w:cs="Arial" w:eastAsia="Arial" w:hAnsi="Arial"/>
          <w:sz w:val="20"/>
          <w:szCs w:val="20"/>
          <w:i w:val="1"/>
          <w:iCs w:val="1"/>
          <w:color w:val="auto"/>
        </w:rPr>
        <w:t>sursis de paiement</w:t>
      </w:r>
      <w:r>
        <w:rPr>
          <w:rFonts w:ascii="Arial" w:cs="Arial" w:eastAsia="Arial" w:hAnsi="Arial"/>
          <w:sz w:val="20"/>
          <w:szCs w:val="20"/>
          <w:color w:val="auto"/>
        </w:rPr>
        <w:t>), controlled management (</w:t>
      </w:r>
      <w:r>
        <w:rPr>
          <w:rFonts w:ascii="Arial" w:cs="Arial" w:eastAsia="Arial" w:hAnsi="Arial"/>
          <w:sz w:val="20"/>
          <w:szCs w:val="20"/>
          <w:i w:val="1"/>
          <w:iCs w:val="1"/>
          <w:color w:val="auto"/>
        </w:rPr>
        <w:t>gestion contrôlée</w:t>
      </w:r>
      <w:r>
        <w:rPr>
          <w:rFonts w:ascii="Arial" w:cs="Arial" w:eastAsia="Arial" w:hAnsi="Arial"/>
          <w:sz w:val="20"/>
          <w:szCs w:val="20"/>
          <w:color w:val="auto"/>
        </w:rPr>
        <w:t>), general settlement with creditors, reorganisation or similar laws affecting the rights of creditors generally;</w:t>
      </w:r>
    </w:p>
    <w:p>
      <w:pPr>
        <w:spacing w:after="0" w:line="203" w:lineRule="exact"/>
        <w:rPr>
          <w:sz w:val="20"/>
          <w:szCs w:val="20"/>
          <w:color w:val="auto"/>
        </w:rPr>
      </w:pPr>
    </w:p>
    <w:p>
      <w:pPr>
        <w:jc w:val="both"/>
        <w:ind w:right="20" w:firstLine="1296"/>
        <w:spacing w:after="0" w:line="252"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receiver</w:t>
      </w:r>
      <w:r>
        <w:rPr>
          <w:rFonts w:ascii="Arial" w:cs="Arial" w:eastAsia="Arial" w:hAnsi="Arial"/>
          <w:sz w:val="20"/>
          <w:szCs w:val="20"/>
          <w:color w:val="auto"/>
        </w:rPr>
        <w:t xml:space="preserve">, </w:t>
      </w:r>
      <w:r>
        <w:rPr>
          <w:rFonts w:ascii="Arial" w:cs="Arial" w:eastAsia="Arial" w:hAnsi="Arial"/>
          <w:sz w:val="20"/>
          <w:szCs w:val="20"/>
          <w:b w:val="1"/>
          <w:bCs w:val="1"/>
          <w:color w:val="auto"/>
        </w:rPr>
        <w:t>administrative receiver</w:t>
      </w:r>
      <w:r>
        <w:rPr>
          <w:rFonts w:ascii="Arial" w:cs="Arial" w:eastAsia="Arial" w:hAnsi="Arial"/>
          <w:sz w:val="20"/>
          <w:szCs w:val="20"/>
          <w:color w:val="auto"/>
        </w:rPr>
        <w:t xml:space="preserve">, </w:t>
      </w:r>
      <w:r>
        <w:rPr>
          <w:rFonts w:ascii="Arial" w:cs="Arial" w:eastAsia="Arial" w:hAnsi="Arial"/>
          <w:sz w:val="20"/>
          <w:szCs w:val="20"/>
          <w:b w:val="1"/>
          <w:bCs w:val="1"/>
          <w:color w:val="auto"/>
        </w:rPr>
        <w:t>liquidator</w:t>
      </w:r>
      <w:r>
        <w:rPr>
          <w:rFonts w:ascii="Arial" w:cs="Arial" w:eastAsia="Arial" w:hAnsi="Arial"/>
          <w:sz w:val="20"/>
          <w:szCs w:val="20"/>
          <w:color w:val="auto"/>
        </w:rPr>
        <w:t xml:space="preserve">, </w:t>
      </w:r>
      <w:r>
        <w:rPr>
          <w:rFonts w:ascii="Arial" w:cs="Arial" w:eastAsia="Arial" w:hAnsi="Arial"/>
          <w:sz w:val="20"/>
          <w:szCs w:val="20"/>
          <w:b w:val="1"/>
          <w:bCs w:val="1"/>
          <w:color w:val="auto"/>
        </w:rPr>
        <w:t>administrator</w:t>
      </w:r>
      <w:r>
        <w:rPr>
          <w:rFonts w:ascii="Arial" w:cs="Arial" w:eastAsia="Arial" w:hAnsi="Arial"/>
          <w:sz w:val="20"/>
          <w:szCs w:val="20"/>
          <w:color w:val="auto"/>
        </w:rPr>
        <w:t xml:space="preserve"> or the like includes, without limitation, a </w:t>
      </w:r>
      <w:r>
        <w:rPr>
          <w:rFonts w:ascii="Arial" w:cs="Arial" w:eastAsia="Arial" w:hAnsi="Arial"/>
          <w:sz w:val="20"/>
          <w:szCs w:val="20"/>
          <w:i w:val="1"/>
          <w:iCs w:val="1"/>
          <w:color w:val="auto"/>
        </w:rPr>
        <w:t>juge délégué</w:t>
      </w:r>
      <w:r>
        <w:rPr>
          <w:rFonts w:ascii="Arial" w:cs="Arial" w:eastAsia="Arial" w:hAnsi="Arial"/>
          <w:sz w:val="20"/>
          <w:szCs w:val="20"/>
          <w:color w:val="auto"/>
        </w:rPr>
        <w:t xml:space="preserve">, </w:t>
      </w:r>
      <w:r>
        <w:rPr>
          <w:rFonts w:ascii="Arial" w:cs="Arial" w:eastAsia="Arial" w:hAnsi="Arial"/>
          <w:sz w:val="20"/>
          <w:szCs w:val="20"/>
          <w:i w:val="1"/>
          <w:iCs w:val="1"/>
          <w:color w:val="auto"/>
        </w:rPr>
        <w:t>commissaire</w:t>
      </w:r>
      <w:r>
        <w:rPr>
          <w:rFonts w:ascii="Arial" w:cs="Arial" w:eastAsia="Arial" w:hAnsi="Arial"/>
          <w:sz w:val="20"/>
          <w:szCs w:val="20"/>
          <w:color w:val="auto"/>
        </w:rPr>
        <w:t>,</w:t>
      </w:r>
      <w:r>
        <w:rPr>
          <w:rFonts w:ascii="Arial" w:cs="Arial" w:eastAsia="Arial" w:hAnsi="Arial"/>
          <w:sz w:val="20"/>
          <w:szCs w:val="20"/>
          <w:i w:val="1"/>
          <w:iCs w:val="1"/>
          <w:color w:val="auto"/>
        </w:rPr>
        <w:t xml:space="preserve"> juge-commissaire</w:t>
      </w:r>
      <w:r>
        <w:rPr>
          <w:rFonts w:ascii="Arial" w:cs="Arial" w:eastAsia="Arial" w:hAnsi="Arial"/>
          <w:sz w:val="20"/>
          <w:szCs w:val="20"/>
          <w:color w:val="auto"/>
        </w:rPr>
        <w:t>,</w:t>
      </w:r>
      <w:r>
        <w:rPr>
          <w:rFonts w:ascii="Arial" w:cs="Arial" w:eastAsia="Arial" w:hAnsi="Arial"/>
          <w:sz w:val="20"/>
          <w:szCs w:val="20"/>
          <w:i w:val="1"/>
          <w:iCs w:val="1"/>
          <w:color w:val="auto"/>
        </w:rPr>
        <w:t xml:space="preserve"> liquidateur </w:t>
      </w:r>
      <w:r>
        <w:rPr>
          <w:rFonts w:ascii="Arial" w:cs="Arial" w:eastAsia="Arial" w:hAnsi="Arial"/>
          <w:sz w:val="20"/>
          <w:szCs w:val="20"/>
          <w:color w:val="auto"/>
        </w:rPr>
        <w:t>or</w:t>
      </w:r>
      <w:r>
        <w:rPr>
          <w:rFonts w:ascii="Arial" w:cs="Arial" w:eastAsia="Arial" w:hAnsi="Arial"/>
          <w:sz w:val="20"/>
          <w:szCs w:val="20"/>
          <w:i w:val="1"/>
          <w:iCs w:val="1"/>
          <w:color w:val="auto"/>
        </w:rPr>
        <w:t xml:space="preserve"> curateur</w:t>
      </w:r>
      <w:r>
        <w:rPr>
          <w:rFonts w:ascii="Arial" w:cs="Arial" w:eastAsia="Arial" w:hAnsi="Arial"/>
          <w:sz w:val="20"/>
          <w:szCs w:val="20"/>
          <w:color w:val="auto"/>
        </w:rPr>
        <w:t>;</w:t>
      </w:r>
    </w:p>
    <w:p>
      <w:pPr>
        <w:spacing w:after="0" w:line="192"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security interest</w:t>
      </w:r>
      <w:r>
        <w:rPr>
          <w:rFonts w:ascii="Arial" w:cs="Arial" w:eastAsia="Arial" w:hAnsi="Arial"/>
          <w:sz w:val="20"/>
          <w:szCs w:val="20"/>
          <w:color w:val="auto"/>
        </w:rPr>
        <w:t xml:space="preserve"> includes any </w:t>
      </w:r>
      <w:r>
        <w:rPr>
          <w:rFonts w:ascii="Arial" w:cs="Arial" w:eastAsia="Arial" w:hAnsi="Arial"/>
          <w:sz w:val="20"/>
          <w:szCs w:val="20"/>
          <w:i w:val="1"/>
          <w:iCs w:val="1"/>
          <w:color w:val="auto"/>
        </w:rPr>
        <w:t>hypothèque</w:t>
      </w:r>
      <w:r>
        <w:rPr>
          <w:rFonts w:ascii="Arial" w:cs="Arial" w:eastAsia="Arial" w:hAnsi="Arial"/>
          <w:sz w:val="20"/>
          <w:szCs w:val="20"/>
          <w:color w:val="auto"/>
        </w:rPr>
        <w:t xml:space="preserve">, </w:t>
      </w:r>
      <w:r>
        <w:rPr>
          <w:rFonts w:ascii="Arial" w:cs="Arial" w:eastAsia="Arial" w:hAnsi="Arial"/>
          <w:sz w:val="20"/>
          <w:szCs w:val="20"/>
          <w:i w:val="1"/>
          <w:iCs w:val="1"/>
          <w:color w:val="auto"/>
        </w:rPr>
        <w:t>nantissement</w:t>
      </w:r>
      <w:r>
        <w:rPr>
          <w:rFonts w:ascii="Arial" w:cs="Arial" w:eastAsia="Arial" w:hAnsi="Arial"/>
          <w:sz w:val="20"/>
          <w:szCs w:val="20"/>
          <w:color w:val="auto"/>
        </w:rPr>
        <w:t xml:space="preserve">, </w:t>
      </w:r>
      <w:r>
        <w:rPr>
          <w:rFonts w:ascii="Arial" w:cs="Arial" w:eastAsia="Arial" w:hAnsi="Arial"/>
          <w:sz w:val="20"/>
          <w:szCs w:val="20"/>
          <w:i w:val="1"/>
          <w:iCs w:val="1"/>
          <w:color w:val="auto"/>
        </w:rPr>
        <w:t>gage</w:t>
      </w:r>
      <w:r>
        <w:rPr>
          <w:rFonts w:ascii="Arial" w:cs="Arial" w:eastAsia="Arial" w:hAnsi="Arial"/>
          <w:sz w:val="20"/>
          <w:szCs w:val="20"/>
          <w:color w:val="auto"/>
        </w:rPr>
        <w:t xml:space="preserve">, </w:t>
      </w:r>
      <w:r>
        <w:rPr>
          <w:rFonts w:ascii="Arial" w:cs="Arial" w:eastAsia="Arial" w:hAnsi="Arial"/>
          <w:sz w:val="20"/>
          <w:szCs w:val="20"/>
          <w:i w:val="1"/>
          <w:iCs w:val="1"/>
          <w:color w:val="auto"/>
        </w:rPr>
        <w:t>privilège</w:t>
      </w:r>
      <w:r>
        <w:rPr>
          <w:rFonts w:ascii="Arial" w:cs="Arial" w:eastAsia="Arial" w:hAnsi="Arial"/>
          <w:sz w:val="20"/>
          <w:szCs w:val="20"/>
          <w:color w:val="auto"/>
        </w:rPr>
        <w:t xml:space="preserve">, </w:t>
      </w:r>
      <w:r>
        <w:rPr>
          <w:rFonts w:ascii="Arial" w:cs="Arial" w:eastAsia="Arial" w:hAnsi="Arial"/>
          <w:sz w:val="20"/>
          <w:szCs w:val="20"/>
          <w:i w:val="1"/>
          <w:iCs w:val="1"/>
          <w:color w:val="auto"/>
        </w:rPr>
        <w:t>sûreté réelle</w:t>
      </w:r>
      <w:r>
        <w:rPr>
          <w:rFonts w:ascii="Arial" w:cs="Arial" w:eastAsia="Arial" w:hAnsi="Arial"/>
          <w:sz w:val="20"/>
          <w:szCs w:val="20"/>
          <w:color w:val="auto"/>
        </w:rPr>
        <w:t xml:space="preserve">, </w:t>
      </w:r>
      <w:r>
        <w:rPr>
          <w:rFonts w:ascii="Arial" w:cs="Arial" w:eastAsia="Arial" w:hAnsi="Arial"/>
          <w:sz w:val="20"/>
          <w:szCs w:val="20"/>
          <w:i w:val="1"/>
          <w:iCs w:val="1"/>
          <w:color w:val="auto"/>
        </w:rPr>
        <w:t>droit de rétention</w:t>
      </w:r>
      <w:r>
        <w:rPr>
          <w:rFonts w:ascii="Arial" w:cs="Arial" w:eastAsia="Arial" w:hAnsi="Arial"/>
          <w:sz w:val="20"/>
          <w:szCs w:val="20"/>
          <w:color w:val="auto"/>
        </w:rPr>
        <w:t xml:space="preserve"> and any type of real security or agreement or arrangement having a similar effect and any transfer of title by way of security (</w:t>
      </w:r>
      <w:r>
        <w:rPr>
          <w:rFonts w:ascii="Arial" w:cs="Arial" w:eastAsia="Arial" w:hAnsi="Arial"/>
          <w:sz w:val="20"/>
          <w:szCs w:val="20"/>
          <w:i w:val="1"/>
          <w:iCs w:val="1"/>
          <w:color w:val="auto"/>
        </w:rPr>
        <w:t>transfert de propriété à titre de</w:t>
      </w:r>
      <w:r>
        <w:rPr>
          <w:rFonts w:ascii="Arial" w:cs="Arial" w:eastAsia="Arial" w:hAnsi="Arial"/>
          <w:sz w:val="20"/>
          <w:szCs w:val="20"/>
          <w:color w:val="auto"/>
        </w:rPr>
        <w:t xml:space="preserve"> </w:t>
      </w:r>
      <w:r>
        <w:rPr>
          <w:rFonts w:ascii="Arial" w:cs="Arial" w:eastAsia="Arial" w:hAnsi="Arial"/>
          <w:sz w:val="20"/>
          <w:szCs w:val="20"/>
          <w:i w:val="1"/>
          <w:iCs w:val="1"/>
          <w:color w:val="auto"/>
        </w:rPr>
        <w:t>garantie</w:t>
      </w:r>
      <w:r>
        <w:rPr>
          <w:rFonts w:ascii="Arial" w:cs="Arial" w:eastAsia="Arial" w:hAnsi="Arial"/>
          <w:sz w:val="20"/>
          <w:szCs w:val="20"/>
          <w:color w:val="auto"/>
        </w:rPr>
        <w:t>);</w:t>
      </w:r>
    </w:p>
    <w:p>
      <w:pPr>
        <w:spacing w:after="0" w:line="204"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guarantee</w:t>
      </w:r>
      <w:r>
        <w:rPr>
          <w:rFonts w:ascii="Arial" w:cs="Arial" w:eastAsia="Arial" w:hAnsi="Arial"/>
          <w:sz w:val="20"/>
          <w:szCs w:val="20"/>
          <w:color w:val="auto"/>
        </w:rPr>
        <w:t xml:space="preserve"> means, so far as a guarantee is given by a Credit Party incorporated under the laws of Luxembourg under this Agreement, a first demand independent guarantee and does not constitute a suretyship (</w:t>
      </w:r>
      <w:r>
        <w:rPr>
          <w:rFonts w:ascii="Arial" w:cs="Arial" w:eastAsia="Arial" w:hAnsi="Arial"/>
          <w:sz w:val="20"/>
          <w:szCs w:val="20"/>
          <w:i w:val="1"/>
          <w:iCs w:val="1"/>
          <w:color w:val="auto"/>
        </w:rPr>
        <w:t>cautionnement</w:t>
      </w:r>
      <w:r>
        <w:rPr>
          <w:rFonts w:ascii="Arial" w:cs="Arial" w:eastAsia="Arial" w:hAnsi="Arial"/>
          <w:sz w:val="20"/>
          <w:szCs w:val="20"/>
          <w:color w:val="auto"/>
        </w:rPr>
        <w:t xml:space="preserve">) in the sense of articles 2011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of the Luxembourg civil code; and</w:t>
      </w:r>
    </w:p>
    <w:p>
      <w:pPr>
        <w:spacing w:after="0" w:line="20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0"/>
          <w:szCs w:val="20"/>
          <w:color w:val="auto"/>
        </w:rPr>
        <w:t xml:space="preserve">a person </w:t>
      </w:r>
      <w:r>
        <w:rPr>
          <w:rFonts w:ascii="Arial" w:cs="Arial" w:eastAsia="Arial" w:hAnsi="Arial"/>
          <w:sz w:val="20"/>
          <w:szCs w:val="20"/>
          <w:b w:val="1"/>
          <w:bCs w:val="1"/>
          <w:color w:val="auto"/>
        </w:rPr>
        <w:t>being unable, or admitting inability, to pay its debts</w:t>
      </w:r>
      <w:r>
        <w:rPr>
          <w:rFonts w:ascii="Arial" w:cs="Arial" w:eastAsia="Arial" w:hAnsi="Arial"/>
          <w:sz w:val="20"/>
          <w:szCs w:val="20"/>
          <w:color w:val="auto"/>
        </w:rPr>
        <w:t xml:space="preserve"> includes that person being in a state of cessation of payments (</w:t>
      </w:r>
      <w:r>
        <w:rPr>
          <w:rFonts w:ascii="Arial" w:cs="Arial" w:eastAsia="Arial" w:hAnsi="Arial"/>
          <w:sz w:val="20"/>
          <w:szCs w:val="20"/>
          <w:i w:val="1"/>
          <w:iCs w:val="1"/>
          <w:color w:val="auto"/>
        </w:rPr>
        <w:t>cessation de paiements</w:t>
      </w:r>
      <w:r>
        <w:rPr>
          <w:rFonts w:ascii="Arial" w:cs="Arial" w:eastAsia="Arial" w:hAnsi="Arial"/>
          <w:sz w:val="20"/>
          <w:szCs w:val="20"/>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1.4 French terms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this Agreement, where it relates to a company incorporated under the laws of France, a reference to:</w:t>
      </w:r>
    </w:p>
    <w:p>
      <w:pPr>
        <w:sectPr>
          <w:pgSz w:w="11900" w:h="16838" w:orient="portrait"/>
          <w:cols w:equalWidth="0" w:num="1">
            <w:col w:w="11240"/>
          </w:cols>
          <w:pgMar w:left="320" w:top="1419" w:right="339" w:bottom="1440" w:gutter="0" w:footer="0" w:header="0"/>
        </w:sectPr>
      </w:pPr>
    </w:p>
    <w:bookmarkStart w:id="184" w:name="page185"/>
    <w:bookmarkEnd w:id="184"/>
    <w:p>
      <w:pPr>
        <w:jc w:val="both"/>
        <w:ind w:firstLine="1296"/>
        <w:spacing w:after="0" w:line="239"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winding-up</w:t>
      </w:r>
      <w:r>
        <w:rPr>
          <w:rFonts w:ascii="Arial" w:cs="Arial" w:eastAsia="Arial" w:hAnsi="Arial"/>
          <w:sz w:val="20"/>
          <w:szCs w:val="20"/>
          <w:color w:val="auto"/>
        </w:rPr>
        <w:t xml:space="preserve">, </w:t>
      </w:r>
      <w:r>
        <w:rPr>
          <w:rFonts w:ascii="Arial" w:cs="Arial" w:eastAsia="Arial" w:hAnsi="Arial"/>
          <w:sz w:val="20"/>
          <w:szCs w:val="20"/>
          <w:b w:val="1"/>
          <w:bCs w:val="1"/>
          <w:color w:val="auto"/>
        </w:rPr>
        <w:t>administration</w:t>
      </w:r>
      <w:r>
        <w:rPr>
          <w:rFonts w:ascii="Arial" w:cs="Arial" w:eastAsia="Arial" w:hAnsi="Arial"/>
          <w:sz w:val="20"/>
          <w:szCs w:val="20"/>
          <w:color w:val="auto"/>
        </w:rPr>
        <w:t xml:space="preserve"> or </w:t>
      </w:r>
      <w:r>
        <w:rPr>
          <w:rFonts w:ascii="Arial" w:cs="Arial" w:eastAsia="Arial" w:hAnsi="Arial"/>
          <w:sz w:val="20"/>
          <w:szCs w:val="20"/>
          <w:b w:val="1"/>
          <w:bCs w:val="1"/>
          <w:color w:val="auto"/>
        </w:rPr>
        <w:t>dissolution</w:t>
      </w:r>
      <w:r>
        <w:rPr>
          <w:rFonts w:ascii="Arial" w:cs="Arial" w:eastAsia="Arial" w:hAnsi="Arial"/>
          <w:sz w:val="20"/>
          <w:szCs w:val="20"/>
          <w:color w:val="auto"/>
        </w:rPr>
        <w:t xml:space="preserve"> includes a redressement judiciaire, a </w:t>
      </w:r>
      <w:r>
        <w:rPr>
          <w:rFonts w:ascii="Arial" w:cs="Arial" w:eastAsia="Arial" w:hAnsi="Arial"/>
          <w:sz w:val="20"/>
          <w:szCs w:val="20"/>
          <w:i w:val="1"/>
          <w:iCs w:val="1"/>
          <w:color w:val="auto"/>
        </w:rPr>
        <w:t>cession totale de l’entreprise</w:t>
      </w:r>
      <w:r>
        <w:rPr>
          <w:rFonts w:ascii="Arial" w:cs="Arial" w:eastAsia="Arial" w:hAnsi="Arial"/>
          <w:sz w:val="20"/>
          <w:szCs w:val="20"/>
          <w:color w:val="auto"/>
        </w:rPr>
        <w:t xml:space="preserve">, a </w:t>
      </w:r>
      <w:r>
        <w:rPr>
          <w:rFonts w:ascii="Arial" w:cs="Arial" w:eastAsia="Arial" w:hAnsi="Arial"/>
          <w:sz w:val="20"/>
          <w:szCs w:val="20"/>
          <w:i w:val="1"/>
          <w:iCs w:val="1"/>
          <w:color w:val="auto"/>
        </w:rPr>
        <w:t>liquidation judiciaire</w:t>
      </w:r>
      <w:r>
        <w:rPr>
          <w:rFonts w:ascii="Arial" w:cs="Arial" w:eastAsia="Arial" w:hAnsi="Arial"/>
          <w:sz w:val="20"/>
          <w:szCs w:val="20"/>
          <w:color w:val="auto"/>
        </w:rPr>
        <w:t>,</w:t>
      </w:r>
      <w:r>
        <w:rPr>
          <w:rFonts w:ascii="Arial" w:cs="Arial" w:eastAsia="Arial" w:hAnsi="Arial"/>
          <w:sz w:val="20"/>
          <w:szCs w:val="20"/>
          <w:i w:val="1"/>
          <w:iCs w:val="1"/>
          <w:color w:val="auto"/>
        </w:rPr>
        <w:t xml:space="preserve"> a sauvegarde</w:t>
      </w:r>
      <w:r>
        <w:rPr>
          <w:rFonts w:ascii="Arial" w:cs="Arial" w:eastAsia="Arial" w:hAnsi="Arial"/>
          <w:sz w:val="20"/>
          <w:szCs w:val="20"/>
          <w:color w:val="auto"/>
        </w:rPr>
        <w:t>, a</w:t>
      </w:r>
      <w:r>
        <w:rPr>
          <w:rFonts w:ascii="Arial" w:cs="Arial" w:eastAsia="Arial" w:hAnsi="Arial"/>
          <w:sz w:val="20"/>
          <w:szCs w:val="20"/>
          <w:i w:val="1"/>
          <w:iCs w:val="1"/>
          <w:color w:val="auto"/>
        </w:rPr>
        <w:t xml:space="preserve"> sauvegarde accélérée </w:t>
      </w:r>
      <w:r>
        <w:rPr>
          <w:rFonts w:ascii="Arial" w:cs="Arial" w:eastAsia="Arial" w:hAnsi="Arial"/>
          <w:sz w:val="20"/>
          <w:szCs w:val="20"/>
          <w:color w:val="auto"/>
        </w:rPr>
        <w:t>or</w:t>
      </w:r>
      <w:r>
        <w:rPr>
          <w:rFonts w:ascii="Arial" w:cs="Arial" w:eastAsia="Arial" w:hAnsi="Arial"/>
          <w:sz w:val="20"/>
          <w:szCs w:val="20"/>
          <w:i w:val="1"/>
          <w:iCs w:val="1"/>
          <w:color w:val="auto"/>
        </w:rPr>
        <w:t xml:space="preserve"> a sauvegarde financière accélérée </w:t>
      </w:r>
      <w:r>
        <w:rPr>
          <w:rFonts w:ascii="Arial" w:cs="Arial" w:eastAsia="Arial" w:hAnsi="Arial"/>
          <w:sz w:val="20"/>
          <w:szCs w:val="20"/>
          <w:color w:val="auto"/>
        </w:rPr>
        <w:t>under articles L. 620-1 to L. 670-8 of the</w:t>
      </w:r>
      <w:r>
        <w:rPr>
          <w:rFonts w:ascii="Arial" w:cs="Arial" w:eastAsia="Arial" w:hAnsi="Arial"/>
          <w:sz w:val="20"/>
          <w:szCs w:val="20"/>
          <w:i w:val="1"/>
          <w:iCs w:val="1"/>
          <w:color w:val="auto"/>
        </w:rPr>
        <w:t xml:space="preserve"> </w:t>
      </w:r>
      <w:r>
        <w:rPr>
          <w:rFonts w:ascii="Arial" w:cs="Arial" w:eastAsia="Arial" w:hAnsi="Arial"/>
          <w:sz w:val="20"/>
          <w:szCs w:val="20"/>
          <w:color w:val="auto"/>
        </w:rPr>
        <w:t>French Commercial Code;</w:t>
      </w:r>
    </w:p>
    <w:p>
      <w:pPr>
        <w:spacing w:after="0" w:line="20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composition</w:t>
      </w:r>
      <w:r>
        <w:rPr>
          <w:rFonts w:ascii="Arial" w:cs="Arial" w:eastAsia="Arial" w:hAnsi="Arial"/>
          <w:sz w:val="20"/>
          <w:szCs w:val="20"/>
          <w:color w:val="auto"/>
        </w:rPr>
        <w:t xml:space="preserve">, </w:t>
      </w:r>
      <w:r>
        <w:rPr>
          <w:rFonts w:ascii="Arial" w:cs="Arial" w:eastAsia="Arial" w:hAnsi="Arial"/>
          <w:sz w:val="20"/>
          <w:szCs w:val="20"/>
          <w:b w:val="1"/>
          <w:bCs w:val="1"/>
          <w:color w:val="auto"/>
        </w:rPr>
        <w:t>assignment</w:t>
      </w:r>
      <w:r>
        <w:rPr>
          <w:rFonts w:ascii="Arial" w:cs="Arial" w:eastAsia="Arial" w:hAnsi="Arial"/>
          <w:sz w:val="20"/>
          <w:szCs w:val="20"/>
          <w:color w:val="auto"/>
        </w:rPr>
        <w:t xml:space="preserve"> or </w:t>
      </w:r>
      <w:r>
        <w:rPr>
          <w:rFonts w:ascii="Arial" w:cs="Arial" w:eastAsia="Arial" w:hAnsi="Arial"/>
          <w:sz w:val="20"/>
          <w:szCs w:val="20"/>
          <w:b w:val="1"/>
          <w:bCs w:val="1"/>
          <w:color w:val="auto"/>
        </w:rPr>
        <w:t>similar arrangement</w:t>
      </w:r>
      <w:r>
        <w:rPr>
          <w:rFonts w:ascii="Arial" w:cs="Arial" w:eastAsia="Arial" w:hAnsi="Arial"/>
          <w:sz w:val="20"/>
          <w:szCs w:val="20"/>
          <w:color w:val="auto"/>
        </w:rPr>
        <w:t xml:space="preserve"> with any creditor includes a </w:t>
      </w:r>
      <w:r>
        <w:rPr>
          <w:rFonts w:ascii="Arial" w:cs="Arial" w:eastAsia="Arial" w:hAnsi="Arial"/>
          <w:sz w:val="20"/>
          <w:szCs w:val="20"/>
          <w:i w:val="1"/>
          <w:iCs w:val="1"/>
          <w:color w:val="auto"/>
        </w:rPr>
        <w:t>conciliation</w:t>
      </w:r>
      <w:r>
        <w:rPr>
          <w:rFonts w:ascii="Arial" w:cs="Arial" w:eastAsia="Arial" w:hAnsi="Arial"/>
          <w:sz w:val="20"/>
          <w:szCs w:val="20"/>
          <w:color w:val="auto"/>
        </w:rPr>
        <w:t xml:space="preserve"> or a </w:t>
      </w:r>
      <w:r>
        <w:rPr>
          <w:rFonts w:ascii="Arial" w:cs="Arial" w:eastAsia="Arial" w:hAnsi="Arial"/>
          <w:sz w:val="20"/>
          <w:szCs w:val="20"/>
          <w:i w:val="1"/>
          <w:iCs w:val="1"/>
          <w:color w:val="auto"/>
        </w:rPr>
        <w:t>mandat ad hoc</w:t>
      </w:r>
      <w:r>
        <w:rPr>
          <w:rFonts w:ascii="Arial" w:cs="Arial" w:eastAsia="Arial" w:hAnsi="Arial"/>
          <w:sz w:val="20"/>
          <w:szCs w:val="20"/>
          <w:color w:val="auto"/>
        </w:rPr>
        <w:t xml:space="preserve"> under articles L. 611-3 to L. 611-16 of the French Commercial Code;</w:t>
      </w:r>
    </w:p>
    <w:p>
      <w:pPr>
        <w:spacing w:after="0" w:line="192" w:lineRule="exact"/>
        <w:rPr>
          <w:sz w:val="20"/>
          <w:szCs w:val="20"/>
          <w:color w:val="auto"/>
        </w:rPr>
      </w:pPr>
    </w:p>
    <w:p>
      <w:pPr>
        <w:jc w:val="both"/>
        <w:ind w:firstLine="1296"/>
        <w:spacing w:after="0" w:line="37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compulsory manager</w:t>
      </w:r>
      <w:r>
        <w:rPr>
          <w:rFonts w:ascii="Arial" w:cs="Arial" w:eastAsia="Arial" w:hAnsi="Arial"/>
          <w:sz w:val="16"/>
          <w:szCs w:val="16"/>
          <w:color w:val="auto"/>
        </w:rPr>
        <w:t xml:space="preserve">, </w:t>
      </w:r>
      <w:r>
        <w:rPr>
          <w:rFonts w:ascii="Arial" w:cs="Arial" w:eastAsia="Arial" w:hAnsi="Arial"/>
          <w:sz w:val="16"/>
          <w:szCs w:val="16"/>
          <w:b w:val="1"/>
          <w:bCs w:val="1"/>
          <w:color w:val="auto"/>
        </w:rPr>
        <w:t>receiver</w:t>
      </w:r>
      <w:r>
        <w:rPr>
          <w:rFonts w:ascii="Arial" w:cs="Arial" w:eastAsia="Arial" w:hAnsi="Arial"/>
          <w:sz w:val="16"/>
          <w:szCs w:val="16"/>
          <w:color w:val="auto"/>
        </w:rPr>
        <w:t xml:space="preserve"> or </w:t>
      </w:r>
      <w:r>
        <w:rPr>
          <w:rFonts w:ascii="Arial" w:cs="Arial" w:eastAsia="Arial" w:hAnsi="Arial"/>
          <w:sz w:val="16"/>
          <w:szCs w:val="16"/>
          <w:b w:val="1"/>
          <w:bCs w:val="1"/>
          <w:color w:val="auto"/>
        </w:rPr>
        <w:t>administrator</w:t>
      </w:r>
      <w:r>
        <w:rPr>
          <w:rFonts w:ascii="Arial" w:cs="Arial" w:eastAsia="Arial" w:hAnsi="Arial"/>
          <w:sz w:val="16"/>
          <w:szCs w:val="16"/>
          <w:color w:val="auto"/>
        </w:rPr>
        <w:t xml:space="preserve"> includes an </w:t>
      </w:r>
      <w:r>
        <w:rPr>
          <w:rFonts w:ascii="Arial" w:cs="Arial" w:eastAsia="Arial" w:hAnsi="Arial"/>
          <w:sz w:val="16"/>
          <w:szCs w:val="16"/>
          <w:i w:val="1"/>
          <w:iCs w:val="1"/>
          <w:color w:val="auto"/>
        </w:rPr>
        <w:t>administrateur judiciaire</w:t>
      </w:r>
      <w:r>
        <w:rPr>
          <w:rFonts w:ascii="Arial" w:cs="Arial" w:eastAsia="Arial" w:hAnsi="Arial"/>
          <w:sz w:val="16"/>
          <w:szCs w:val="16"/>
          <w:color w:val="auto"/>
        </w:rPr>
        <w:t xml:space="preserve">, a </w:t>
      </w:r>
      <w:r>
        <w:rPr>
          <w:rFonts w:ascii="Arial" w:cs="Arial" w:eastAsia="Arial" w:hAnsi="Arial"/>
          <w:sz w:val="16"/>
          <w:szCs w:val="16"/>
          <w:i w:val="1"/>
          <w:iCs w:val="1"/>
          <w:color w:val="auto"/>
        </w:rPr>
        <w:t>mandataire ad hoc</w:t>
      </w:r>
      <w:r>
        <w:rPr>
          <w:rFonts w:ascii="Arial" w:cs="Arial" w:eastAsia="Arial" w:hAnsi="Arial"/>
          <w:sz w:val="16"/>
          <w:szCs w:val="16"/>
          <w:color w:val="auto"/>
        </w:rPr>
        <w:t xml:space="preserve">, a </w:t>
      </w:r>
      <w:r>
        <w:rPr>
          <w:rFonts w:ascii="Arial" w:cs="Arial" w:eastAsia="Arial" w:hAnsi="Arial"/>
          <w:sz w:val="16"/>
          <w:szCs w:val="16"/>
          <w:i w:val="1"/>
          <w:iCs w:val="1"/>
          <w:color w:val="auto"/>
        </w:rPr>
        <w:t>conciliateur</w:t>
      </w:r>
      <w:r>
        <w:rPr>
          <w:rFonts w:ascii="Arial" w:cs="Arial" w:eastAsia="Arial" w:hAnsi="Arial"/>
          <w:sz w:val="16"/>
          <w:szCs w:val="16"/>
          <w:color w:val="auto"/>
        </w:rPr>
        <w:t>, a</w:t>
      </w:r>
      <w:r>
        <w:rPr>
          <w:rFonts w:ascii="Arial" w:cs="Arial" w:eastAsia="Arial" w:hAnsi="Arial"/>
          <w:sz w:val="16"/>
          <w:szCs w:val="16"/>
          <w:i w:val="1"/>
          <w:iCs w:val="1"/>
          <w:color w:val="auto"/>
        </w:rPr>
        <w:t xml:space="preserve"> mandataire liquidateur </w:t>
      </w:r>
      <w:r>
        <w:rPr>
          <w:rFonts w:ascii="Arial" w:cs="Arial" w:eastAsia="Arial" w:hAnsi="Arial"/>
          <w:sz w:val="16"/>
          <w:szCs w:val="16"/>
          <w:color w:val="auto"/>
        </w:rPr>
        <w:t>or any other person appointed as a result of any proceedings described in paragraphs (a) and (b) above;</w:t>
      </w:r>
    </w:p>
    <w:p>
      <w:pPr>
        <w:spacing w:after="0" w:line="9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includes a </w:t>
      </w:r>
      <w:r>
        <w:rPr>
          <w:rFonts w:ascii="Arial" w:cs="Arial" w:eastAsia="Arial" w:hAnsi="Arial"/>
          <w:sz w:val="18"/>
          <w:szCs w:val="18"/>
          <w:i w:val="1"/>
          <w:iCs w:val="1"/>
          <w:color w:val="auto"/>
        </w:rPr>
        <w:t>cautionnement</w:t>
      </w:r>
      <w:r>
        <w:rPr>
          <w:rFonts w:ascii="Arial" w:cs="Arial" w:eastAsia="Arial" w:hAnsi="Arial"/>
          <w:sz w:val="18"/>
          <w:szCs w:val="18"/>
          <w:color w:val="auto"/>
        </w:rPr>
        <w:t xml:space="preserve">, an </w:t>
      </w:r>
      <w:r>
        <w:rPr>
          <w:rFonts w:ascii="Arial" w:cs="Arial" w:eastAsia="Arial" w:hAnsi="Arial"/>
          <w:sz w:val="18"/>
          <w:szCs w:val="18"/>
          <w:i w:val="1"/>
          <w:iCs w:val="1"/>
          <w:color w:val="auto"/>
        </w:rPr>
        <w:t>aval</w:t>
      </w:r>
      <w:r>
        <w:rPr>
          <w:rFonts w:ascii="Arial" w:cs="Arial" w:eastAsia="Arial" w:hAnsi="Arial"/>
          <w:sz w:val="18"/>
          <w:szCs w:val="18"/>
          <w:color w:val="auto"/>
        </w:rPr>
        <w:t xml:space="preserve"> and any </w:t>
      </w:r>
      <w:r>
        <w:rPr>
          <w:rFonts w:ascii="Arial" w:cs="Arial" w:eastAsia="Arial" w:hAnsi="Arial"/>
          <w:sz w:val="18"/>
          <w:szCs w:val="18"/>
          <w:i w:val="1"/>
          <w:iCs w:val="1"/>
          <w:color w:val="auto"/>
        </w:rPr>
        <w:t>garantie</w:t>
      </w:r>
      <w:r>
        <w:rPr>
          <w:rFonts w:ascii="Arial" w:cs="Arial" w:eastAsia="Arial" w:hAnsi="Arial"/>
          <w:sz w:val="18"/>
          <w:szCs w:val="18"/>
          <w:color w:val="auto"/>
        </w:rPr>
        <w:t xml:space="preserve"> which is independent from the debt to which it relates;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lease</w:t>
      </w:r>
      <w:r>
        <w:rPr>
          <w:rFonts w:ascii="Arial" w:cs="Arial" w:eastAsia="Arial" w:hAnsi="Arial"/>
          <w:sz w:val="20"/>
          <w:szCs w:val="20"/>
          <w:color w:val="auto"/>
        </w:rPr>
        <w:t xml:space="preserve"> includes an </w:t>
      </w:r>
      <w:r>
        <w:rPr>
          <w:rFonts w:ascii="Arial" w:cs="Arial" w:eastAsia="Arial" w:hAnsi="Arial"/>
          <w:sz w:val="20"/>
          <w:szCs w:val="20"/>
          <w:i w:val="1"/>
          <w:iCs w:val="1"/>
          <w:color w:val="auto"/>
        </w:rPr>
        <w:t>opération de crédit-bail</w:t>
      </w:r>
      <w:r>
        <w:rPr>
          <w:rFonts w:ascii="Arial" w:cs="Arial" w:eastAsia="Arial" w:hAnsi="Arial"/>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collateral</w:t>
      </w:r>
      <w:r>
        <w:rPr>
          <w:rFonts w:ascii="Arial" w:cs="Arial" w:eastAsia="Arial" w:hAnsi="Arial"/>
          <w:sz w:val="20"/>
          <w:szCs w:val="20"/>
          <w:color w:val="auto"/>
        </w:rPr>
        <w:t xml:space="preserve"> includes any type of security (</w:t>
      </w:r>
      <w:r>
        <w:rPr>
          <w:rFonts w:ascii="Arial" w:cs="Arial" w:eastAsia="Arial" w:hAnsi="Arial"/>
          <w:sz w:val="20"/>
          <w:szCs w:val="20"/>
          <w:i w:val="1"/>
          <w:iCs w:val="1"/>
          <w:color w:val="auto"/>
        </w:rPr>
        <w:t>sûreté réelle</w:t>
      </w:r>
      <w:r>
        <w:rPr>
          <w:rFonts w:ascii="Arial" w:cs="Arial" w:eastAsia="Arial" w:hAnsi="Arial"/>
          <w:sz w:val="20"/>
          <w:szCs w:val="20"/>
          <w:color w:val="auto"/>
        </w:rPr>
        <w:t>); and</w:t>
      </w:r>
    </w:p>
    <w:p>
      <w:pPr>
        <w:spacing w:after="0" w:line="229" w:lineRule="exact"/>
        <w:rPr>
          <w:sz w:val="20"/>
          <w:szCs w:val="20"/>
          <w:color w:val="auto"/>
        </w:rPr>
      </w:pPr>
    </w:p>
    <w:p>
      <w:pPr>
        <w:jc w:val="both"/>
        <w:ind w:right="20" w:firstLine="1296"/>
        <w:spacing w:after="0" w:line="252" w:lineRule="auto"/>
        <w:rPr>
          <w:sz w:val="20"/>
          <w:szCs w:val="20"/>
          <w:color w:val="auto"/>
        </w:rPr>
      </w:pPr>
      <w:r>
        <w:rPr>
          <w:rFonts w:ascii="Arial" w:cs="Arial" w:eastAsia="Arial" w:hAnsi="Arial"/>
          <w:sz w:val="20"/>
          <w:szCs w:val="20"/>
          <w:color w:val="auto"/>
        </w:rPr>
        <w:t xml:space="preserve">a person being </w:t>
      </w:r>
      <w:r>
        <w:rPr>
          <w:rFonts w:ascii="Arial" w:cs="Arial" w:eastAsia="Arial" w:hAnsi="Arial"/>
          <w:sz w:val="20"/>
          <w:szCs w:val="20"/>
          <w:b w:val="1"/>
          <w:bCs w:val="1"/>
          <w:color w:val="auto"/>
        </w:rPr>
        <w:t>unable to pay its debts</w:t>
      </w:r>
      <w:r>
        <w:rPr>
          <w:rFonts w:ascii="Arial" w:cs="Arial" w:eastAsia="Arial" w:hAnsi="Arial"/>
          <w:sz w:val="20"/>
          <w:szCs w:val="20"/>
          <w:color w:val="auto"/>
        </w:rPr>
        <w:t xml:space="preserve"> includes that person being in a state of </w:t>
      </w:r>
      <w:r>
        <w:rPr>
          <w:rFonts w:ascii="Arial" w:cs="Arial" w:eastAsia="Arial" w:hAnsi="Arial"/>
          <w:sz w:val="20"/>
          <w:szCs w:val="20"/>
          <w:i w:val="1"/>
          <w:iCs w:val="1"/>
          <w:color w:val="auto"/>
        </w:rPr>
        <w:t>cessation des paiements</w:t>
      </w:r>
      <w:r>
        <w:rPr>
          <w:rFonts w:ascii="Arial" w:cs="Arial" w:eastAsia="Arial" w:hAnsi="Arial"/>
          <w:sz w:val="20"/>
          <w:szCs w:val="20"/>
          <w:color w:val="auto"/>
        </w:rPr>
        <w:t xml:space="preserve"> as defined in article L. 631-1 of the French Commercial Code.</w:t>
      </w:r>
    </w:p>
    <w:p>
      <w:pPr>
        <w:spacing w:after="0" w:line="198"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u w:val="single" w:color="auto"/>
          <w:color w:val="auto"/>
        </w:rPr>
        <w:t>1.5 Calculation of Exchange Rate.</w:t>
      </w:r>
      <w:r>
        <w:rPr>
          <w:rFonts w:ascii="Arial" w:cs="Arial" w:eastAsia="Arial" w:hAnsi="Arial"/>
          <w:sz w:val="18"/>
          <w:szCs w:val="18"/>
          <w:color w:val="auto"/>
        </w:rPr>
        <w:t xml:space="preserve"> On each Exchange Rate Determination Date, Administrative Agent or Canadian Administrative Agent, as applicable, shall (a) determine the Exchange Rate as of such Exchange Rate Determination Date and (b) give notice thereof to each Borrower and to each Lender that shall have requested such information. The Exchange Rates so determined shall become effective on the first Business Day immediately following the relevant Exchange Rate Determination Date (each, a “</w:t>
      </w:r>
      <w:r>
        <w:rPr>
          <w:rFonts w:ascii="Arial" w:cs="Arial" w:eastAsia="Arial" w:hAnsi="Arial"/>
          <w:sz w:val="18"/>
          <w:szCs w:val="18"/>
          <w:u w:val="single" w:color="auto"/>
          <w:color w:val="auto"/>
        </w:rPr>
        <w:t>Reset Date</w:t>
      </w:r>
      <w:r>
        <w:rPr>
          <w:rFonts w:ascii="Arial" w:cs="Arial" w:eastAsia="Arial" w:hAnsi="Arial"/>
          <w:sz w:val="18"/>
          <w:szCs w:val="18"/>
          <w:color w:val="auto"/>
        </w:rPr>
        <w:t>”) and shall remain effective until the next succeeding Reset Date, and shall for all purposes of this Agreement (other than any provision expressly requiring the use of a current Exchange Rate) be the Exchange Rate employed in converting amounts between Dollars and Canadian Dollars or Alternative Currencies as applicable.</w:t>
      </w:r>
    </w:p>
    <w:p>
      <w:pPr>
        <w:spacing w:after="0" w:line="197" w:lineRule="exact"/>
        <w:rPr>
          <w:sz w:val="20"/>
          <w:szCs w:val="20"/>
          <w:color w:val="auto"/>
        </w:rPr>
      </w:pPr>
    </w:p>
    <w:p>
      <w:pPr>
        <w:jc w:val="both"/>
        <w:ind w:left="660" w:right="20"/>
        <w:spacing w:after="0" w:line="272" w:lineRule="auto"/>
        <w:rPr>
          <w:sz w:val="20"/>
          <w:szCs w:val="20"/>
          <w:color w:val="auto"/>
        </w:rPr>
      </w:pPr>
      <w:r>
        <w:rPr>
          <w:rFonts w:ascii="Arial" w:cs="Arial" w:eastAsia="Arial" w:hAnsi="Arial"/>
          <w:sz w:val="19"/>
          <w:szCs w:val="19"/>
          <w:u w:val="single" w:color="auto"/>
          <w:color w:val="auto"/>
        </w:rPr>
        <w:t>1.6 Limited Condition Transactions</w:t>
      </w:r>
      <w:r>
        <w:rPr>
          <w:rFonts w:ascii="Arial" w:cs="Arial" w:eastAsia="Arial" w:hAnsi="Arial"/>
          <w:sz w:val="19"/>
          <w:szCs w:val="19"/>
          <w:color w:val="auto"/>
        </w:rPr>
        <w:t>. Notwithstanding anything in this Agreement or any other Loan Document to the contrary, in connection with any action being taken solely in connection with a Limited Condition Transaction, for purposes of:</w:t>
      </w:r>
    </w:p>
    <w:p>
      <w:pPr>
        <w:spacing w:after="0" w:line="18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auto"/>
        </w:rPr>
        <w:t xml:space="preserve">determining compliance with any provision of this Agreement which requires the calculation of Consolidated EBITDA (including, without limitation, tests measured as a percentage of Consolidated EBITDA), the Total First Lien Leverage Ratio, the Total Leverage Ratio, the Total Secured Leverage Ratio, Incremental Cap or Available Amount (including, without limitation, </w:t>
      </w:r>
      <w:r>
        <w:rPr>
          <w:rFonts w:ascii="Arial" w:cs="Arial" w:eastAsia="Arial" w:hAnsi="Arial"/>
          <w:sz w:val="20"/>
          <w:szCs w:val="20"/>
          <w:u w:val="single" w:color="auto"/>
          <w:color w:val="auto"/>
        </w:rPr>
        <w:t>Section 2.9</w:t>
      </w:r>
      <w:r>
        <w:rPr>
          <w:rFonts w:ascii="Arial" w:cs="Arial" w:eastAsia="Arial" w:hAnsi="Arial"/>
          <w:sz w:val="20"/>
          <w:szCs w:val="20"/>
          <w:color w:val="auto"/>
        </w:rPr>
        <w:t>) (other than for purposes of any Applicable B/A Margin, Applicable Base Rate Margin, Applicable Canadian Prime Rate Margin, Applicable Eurocurrency Margin or Applicable Commitment Fee Percentage); or</w:t>
      </w:r>
    </w:p>
    <w:p>
      <w:pPr>
        <w:spacing w:after="0" w:line="21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testing availability under baskets set forth in this Agreement (including, without limitation, baskets measured as a percentage of Consolidated Tangible Assets or Consolidated Total Assets);</w:t>
      </w:r>
    </w:p>
    <w:p>
      <w:pPr>
        <w:spacing w:after="0" w:line="20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in each case, at the option of Crown Holdings (Crown Holdings’ election to exercise such option in connection with any Limited Condition Transaction, an “</w:t>
      </w:r>
      <w:r>
        <w:rPr>
          <w:rFonts w:ascii="Arial" w:cs="Arial" w:eastAsia="Arial" w:hAnsi="Arial"/>
          <w:sz w:val="20"/>
          <w:szCs w:val="20"/>
          <w:u w:val="single" w:color="auto"/>
          <w:color w:val="auto"/>
        </w:rPr>
        <w:t>LCT Election</w:t>
      </w:r>
      <w:r>
        <w:rPr>
          <w:rFonts w:ascii="Arial" w:cs="Arial" w:eastAsia="Arial" w:hAnsi="Arial"/>
          <w:sz w:val="20"/>
          <w:szCs w:val="20"/>
          <w:color w:val="auto"/>
        </w:rPr>
        <w:t>”), (x) the date of determination of whether any such action is permitted hereunder shall be deemed to be (i) in the case of a Limited Condition Acquisition, the date the definitive agreements for such Limited Condition Acquisition are entered into, (ii) in the case of any transaction described in clause (b) of the definition of “Limited Condition Transaction,” the date of such irrevocable advance notice and (iii) in the case of any transaction</w:t>
      </w:r>
    </w:p>
    <w:p>
      <w:pPr>
        <w:sectPr>
          <w:pgSz w:w="11900" w:h="16838" w:orient="portrait"/>
          <w:cols w:equalWidth="0" w:num="1">
            <w:col w:w="11240"/>
          </w:cols>
          <w:pgMar w:left="320" w:top="1413" w:right="339" w:bottom="1440" w:gutter="0" w:footer="0" w:header="0"/>
        </w:sectPr>
      </w:pPr>
    </w:p>
    <w:bookmarkStart w:id="185" w:name="page186"/>
    <w:bookmarkEnd w:id="185"/>
    <w:p>
      <w:pPr>
        <w:jc w:val="both"/>
        <w:spacing w:after="0" w:line="253" w:lineRule="auto"/>
        <w:rPr>
          <w:sz w:val="20"/>
          <w:szCs w:val="20"/>
          <w:color w:val="auto"/>
        </w:rPr>
      </w:pPr>
      <w:r>
        <w:rPr>
          <w:rFonts w:ascii="Arial" w:cs="Arial" w:eastAsia="Arial" w:hAnsi="Arial"/>
          <w:sz w:val="18"/>
          <w:szCs w:val="18"/>
          <w:color w:val="auto"/>
        </w:rPr>
        <w:t>described in clause (c) of the definition of “Limited Condition Transaction,” the date of such declaration, irrevocable advance notice or irrevocable offer (each, an “</w:t>
      </w:r>
      <w:r>
        <w:rPr>
          <w:rFonts w:ascii="Arial" w:cs="Arial" w:eastAsia="Arial" w:hAnsi="Arial"/>
          <w:sz w:val="18"/>
          <w:szCs w:val="18"/>
          <w:u w:val="single" w:color="auto"/>
          <w:color w:val="auto"/>
        </w:rPr>
        <w:t>LCT Test Date</w:t>
      </w:r>
      <w:r>
        <w:rPr>
          <w:rFonts w:ascii="Arial" w:cs="Arial" w:eastAsia="Arial" w:hAnsi="Arial"/>
          <w:sz w:val="18"/>
          <w:szCs w:val="18"/>
          <w:color w:val="auto"/>
        </w:rPr>
        <w:t>”), and if, after giving pro forma effect to the Limited Condition Transaction and the other transactions to be entered into or consummated in connection therewith (including any incurrence of Indebtedness and the use of proceeds thereof) as if they had occurred at the beginning of the most recent Test Period ended prior to the LCT Test Date, Crown Holdings could have taken such action on the relevant LCT Test Date in compliance with such test, ratio or basket, such test, ratio or basket shall be deemed to have been complied with and (y) such tests, ratios and baskets shall not be tested at the time of consummation of such Limited Condition Transaction and all related transactions to be entered into or consummated in connection therewith. If Crown Holdings has made an LCT Election and any of the tests, ratios or baskets for which compliance was determined or tested as of the LCT Test Date are exceeded as a result of fluctuations in any such test, ratio or basket, including due to fluctuations in Consolidated EBITDA, Consolidated Total Assets or Consolidated Tangible Assets of Crown Holdings and its Subsidiaries, at or prior to the consummation of the Limited Condition Transaction, such tests, baskets or ratios will be deemed not to have been exceeded as a result of such fluctuations solely for purposes of determining whether the relevant Limited Condition Transaction is permitted to be consummated or taken. If Crown Holdings has made an LCT Election for any Limited Condition Transaction, then in connection with any subsequent calculation of any test, ratio or basket availability with respect to such Limited Condition Transaction on or following the relevant LCT Test Date and prior to the earlier of the date on which such Limited Condition Transaction is consummated or the definitive agreement (or, if applicable, the irrevocable notice or similar event) for such Limited Condition Transaction is terminated or expires without consummation of such Limited Condition Transaction, any such test, ratio or basket shall be tested by calculating the availability under such test, ratio or basket on a Pro Forma Basis assuming such Limited Condition Transaction and other transactions in connection therewith have been consummated (including any incurrence of Indebtedness and any associated Lien and the use of proceeds thereof).</w:t>
      </w:r>
    </w:p>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In connection with any action being taken in connection with a Limited Condition Acquisition, for purposes of determining compliance with the representations and warranties and/or any provision of this Agreement which requires that no Unmatured Event of Default, Event of Default or specified Event of Default, as applicable, has occurred, is continuing or would result from any such action, as applicable, such condition shall, at the option of Crown Holdings, be deemed satisfied, so long as no representation or warranty would be breached and no Unmatured Event of Default, Event of Default, or specified Event of Default, as applicable, exists on the date the definitive agreements for such Limited Condition Acquisition are entered into. If Crown Holdings has exercised its option under this </w:t>
      </w:r>
      <w:r>
        <w:rPr>
          <w:rFonts w:ascii="Arial" w:cs="Arial" w:eastAsia="Arial" w:hAnsi="Arial"/>
          <w:sz w:val="19"/>
          <w:szCs w:val="19"/>
          <w:u w:val="single" w:color="auto"/>
          <w:color w:val="auto"/>
        </w:rPr>
        <w:t>Section 1.6</w:t>
      </w:r>
      <w:r>
        <w:rPr>
          <w:rFonts w:ascii="Arial" w:cs="Arial" w:eastAsia="Arial" w:hAnsi="Arial"/>
          <w:sz w:val="19"/>
          <w:szCs w:val="19"/>
          <w:color w:val="auto"/>
        </w:rPr>
        <w:t>, and any representation or warranty is breached or any Unmatured Event of Default, Event of Default or specified Event of Default occurs following the date the definitive agreements for the applicable Limited Condition Acquisition were entered into and prior to the consummation of such Limited Condition Acquisition, any such representation or warranty breach or Unmatured Event of Default, Event of Default or specified Event of Default shall be deemed to not have occurred or be continuing for purposes of determining whether any action being taken in connection with such Limited Condition Acquisition is permitted hereunder.</w:t>
      </w:r>
    </w:p>
    <w:p>
      <w:pPr>
        <w:spacing w:after="0" w:line="216"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u w:val="single" w:color="auto"/>
          <w:color w:val="auto"/>
        </w:rPr>
        <w:t>1.7 Sanctions Limitations</w:t>
      </w:r>
      <w:r>
        <w:rPr>
          <w:rFonts w:ascii="Arial" w:cs="Arial" w:eastAsia="Arial" w:hAnsi="Arial"/>
          <w:sz w:val="20"/>
          <w:szCs w:val="20"/>
          <w:color w:val="auto"/>
        </w:rPr>
        <w:t xml:space="preserve">. The representations and warranties contained in </w:t>
      </w:r>
      <w:r>
        <w:rPr>
          <w:rFonts w:ascii="Arial" w:cs="Arial" w:eastAsia="Arial" w:hAnsi="Arial"/>
          <w:sz w:val="20"/>
          <w:szCs w:val="20"/>
          <w:u w:val="single" w:color="auto"/>
          <w:color w:val="auto"/>
        </w:rPr>
        <w:t>Section 6.21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6.22</w:t>
      </w:r>
      <w:r>
        <w:rPr>
          <w:rFonts w:ascii="Arial" w:cs="Arial" w:eastAsia="Arial" w:hAnsi="Arial"/>
          <w:sz w:val="20"/>
          <w:szCs w:val="20"/>
          <w:color w:val="auto"/>
        </w:rPr>
        <w:t xml:space="preserve"> and the covenants contained in </w:t>
      </w:r>
      <w:r>
        <w:rPr>
          <w:rFonts w:ascii="Arial" w:cs="Arial" w:eastAsia="Arial" w:hAnsi="Arial"/>
          <w:sz w:val="20"/>
          <w:szCs w:val="20"/>
          <w:u w:val="single" w:color="auto"/>
          <w:color w:val="auto"/>
        </w:rPr>
        <w:t>Section 8.13</w:t>
      </w:r>
      <w:r>
        <w:rPr>
          <w:rFonts w:ascii="Arial" w:cs="Arial" w:eastAsia="Arial" w:hAnsi="Arial"/>
          <w:sz w:val="20"/>
          <w:szCs w:val="20"/>
          <w:color w:val="auto"/>
        </w:rPr>
        <w:t>:</w:t>
      </w:r>
    </w:p>
    <w:p>
      <w:pPr>
        <w:spacing w:after="0" w:line="204" w:lineRule="exact"/>
        <w:rPr>
          <w:sz w:val="20"/>
          <w:szCs w:val="20"/>
          <w:color w:val="auto"/>
        </w:rPr>
      </w:pPr>
    </w:p>
    <w:p>
      <w:pPr>
        <w:jc w:val="both"/>
        <w:ind w:left="1300" w:firstLine="4"/>
        <w:spacing w:after="0" w:line="232" w:lineRule="auto"/>
        <w:tabs>
          <w:tab w:leader="none" w:pos="1600" w:val="left"/>
        </w:tabs>
        <w:numPr>
          <w:ilvl w:val="0"/>
          <w:numId w:val="78"/>
        </w:numPr>
        <w:rPr>
          <w:rFonts w:ascii="Arial" w:cs="Arial" w:eastAsia="Arial" w:hAnsi="Arial"/>
          <w:sz w:val="20"/>
          <w:szCs w:val="20"/>
          <w:color w:val="auto"/>
        </w:rPr>
      </w:pPr>
      <w:r>
        <w:rPr>
          <w:rFonts w:ascii="Arial" w:cs="Arial" w:eastAsia="Arial" w:hAnsi="Arial"/>
          <w:sz w:val="20"/>
          <w:szCs w:val="20"/>
          <w:color w:val="auto"/>
        </w:rPr>
        <w:t>are made or given by, and shall apply to, any Credit Party or any of their Affiliates that qualify as a resident party domiciled, incorporated or established in Germany (</w:t>
      </w:r>
      <w:r>
        <w:rPr>
          <w:rFonts w:ascii="Arial" w:cs="Arial" w:eastAsia="Arial" w:hAnsi="Arial"/>
          <w:sz w:val="20"/>
          <w:szCs w:val="20"/>
          <w:i w:val="1"/>
          <w:iCs w:val="1"/>
          <w:color w:val="auto"/>
        </w:rPr>
        <w:t>Inländer</w:t>
      </w:r>
      <w:r>
        <w:rPr>
          <w:rFonts w:ascii="Arial" w:cs="Arial" w:eastAsia="Arial" w:hAnsi="Arial"/>
          <w:sz w:val="20"/>
          <w:szCs w:val="20"/>
          <w:color w:val="auto"/>
        </w:rPr>
        <w:t>) within the meaning of Section 2 paragraph 15 of the German Foreign Trade Act (</w:t>
      </w:r>
      <w:r>
        <w:rPr>
          <w:rFonts w:ascii="Arial" w:cs="Arial" w:eastAsia="Arial" w:hAnsi="Arial"/>
          <w:sz w:val="20"/>
          <w:szCs w:val="20"/>
          <w:i w:val="1"/>
          <w:iCs w:val="1"/>
          <w:color w:val="auto"/>
        </w:rPr>
        <w:t>Außenwirtschaftsgesetz</w:t>
      </w:r>
      <w:r>
        <w:rPr>
          <w:rFonts w:ascii="Arial" w:cs="Arial" w:eastAsia="Arial" w:hAnsi="Arial"/>
          <w:sz w:val="20"/>
          <w:szCs w:val="20"/>
          <w:color w:val="auto"/>
        </w:rPr>
        <w:t>) (“</w:t>
      </w:r>
      <w:r>
        <w:rPr>
          <w:rFonts w:ascii="Arial" w:cs="Arial" w:eastAsia="Arial" w:hAnsi="Arial"/>
          <w:sz w:val="20"/>
          <w:szCs w:val="20"/>
          <w:u w:val="single" w:color="auto"/>
          <w:color w:val="auto"/>
        </w:rPr>
        <w:t>AWG</w:t>
      </w:r>
      <w:r>
        <w:rPr>
          <w:rFonts w:ascii="Arial" w:cs="Arial" w:eastAsia="Arial" w:hAnsi="Arial"/>
          <w:sz w:val="20"/>
          <w:szCs w:val="20"/>
          <w:color w:val="auto"/>
        </w:rPr>
        <w:t>”) only to the extent that the making or giving of, and compliance with, such representations and warranties and covenants do not result in any violation of or conflict with, Section 7 of the German Foreign Trade Ordinance</w:t>
      </w:r>
    </w:p>
    <w:p>
      <w:pPr>
        <w:sectPr>
          <w:pgSz w:w="11900" w:h="16838" w:orient="portrait"/>
          <w:cols w:equalWidth="0" w:num="1">
            <w:col w:w="11240"/>
          </w:cols>
          <w:pgMar w:left="320" w:top="1419" w:right="339" w:bottom="1440" w:gutter="0" w:footer="0" w:header="0"/>
        </w:sectPr>
      </w:pPr>
    </w:p>
    <w:bookmarkStart w:id="186" w:name="page187"/>
    <w:bookmarkEnd w:id="186"/>
    <w:p>
      <w:pPr>
        <w:ind w:left="1300" w:right="2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Außenwirtschaftsverordnung</w:t>
      </w:r>
      <w:r>
        <w:rPr>
          <w:rFonts w:ascii="Arial" w:cs="Arial" w:eastAsia="Arial" w:hAnsi="Arial"/>
          <w:sz w:val="20"/>
          <w:szCs w:val="20"/>
          <w:color w:val="auto"/>
        </w:rPr>
        <w:t>) (“</w:t>
      </w:r>
      <w:r>
        <w:rPr>
          <w:rFonts w:ascii="Arial" w:cs="Arial" w:eastAsia="Arial" w:hAnsi="Arial"/>
          <w:sz w:val="20"/>
          <w:szCs w:val="20"/>
          <w:u w:val="single" w:color="auto"/>
          <w:color w:val="auto"/>
        </w:rPr>
        <w:t>AWV</w:t>
      </w:r>
      <w:r>
        <w:rPr>
          <w:rFonts w:ascii="Arial" w:cs="Arial" w:eastAsia="Arial" w:hAnsi="Arial"/>
          <w:sz w:val="20"/>
          <w:szCs w:val="20"/>
          <w:color w:val="auto"/>
        </w:rPr>
        <w:t>”), the Canadian Foreign Extraterritorial Measures Act (“</w:t>
      </w:r>
      <w:r>
        <w:rPr>
          <w:rFonts w:ascii="Arial" w:cs="Arial" w:eastAsia="Arial" w:hAnsi="Arial"/>
          <w:sz w:val="20"/>
          <w:szCs w:val="20"/>
          <w:u w:val="single" w:color="auto"/>
          <w:color w:val="auto"/>
        </w:rPr>
        <w:t>FEMA</w:t>
      </w:r>
      <w:r>
        <w:rPr>
          <w:rFonts w:ascii="Arial" w:cs="Arial" w:eastAsia="Arial" w:hAnsi="Arial"/>
          <w:sz w:val="20"/>
          <w:szCs w:val="20"/>
          <w:color w:val="auto"/>
        </w:rPr>
        <w:t>”), or any other applicable anti-blocking laws or regulations; and</w:t>
      </w:r>
    </w:p>
    <w:p>
      <w:pPr>
        <w:spacing w:after="0" w:line="204" w:lineRule="exact"/>
        <w:rPr>
          <w:sz w:val="20"/>
          <w:szCs w:val="20"/>
          <w:color w:val="auto"/>
        </w:rPr>
      </w:pPr>
    </w:p>
    <w:p>
      <w:pPr>
        <w:jc w:val="both"/>
        <w:ind w:left="1300" w:firstLine="4"/>
        <w:spacing w:after="0" w:line="256" w:lineRule="auto"/>
        <w:tabs>
          <w:tab w:leader="none" w:pos="1594"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shall, with respect to any Lender which qualifies as a resident party domiciled, incorporated or established in Germany (</w:t>
      </w:r>
      <w:r>
        <w:rPr>
          <w:rFonts w:ascii="Arial" w:cs="Arial" w:eastAsia="Arial" w:hAnsi="Arial"/>
          <w:sz w:val="18"/>
          <w:szCs w:val="18"/>
          <w:i w:val="1"/>
          <w:iCs w:val="1"/>
          <w:color w:val="auto"/>
        </w:rPr>
        <w:t>Inländer</w:t>
      </w:r>
      <w:r>
        <w:rPr>
          <w:rFonts w:ascii="Arial" w:cs="Arial" w:eastAsia="Arial" w:hAnsi="Arial"/>
          <w:sz w:val="18"/>
          <w:szCs w:val="18"/>
          <w:color w:val="auto"/>
        </w:rPr>
        <w:t>) within the meaning of Section 2 paragraph 15 AWG or which notifies the Administrative Agent in writing that it does not wish to receive the benefit of those representations and warranties and covenants (a “</w:t>
      </w:r>
      <w:r>
        <w:rPr>
          <w:rFonts w:ascii="Arial" w:cs="Arial" w:eastAsia="Arial" w:hAnsi="Arial"/>
          <w:sz w:val="18"/>
          <w:szCs w:val="18"/>
          <w:u w:val="single" w:color="auto"/>
          <w:color w:val="auto"/>
        </w:rPr>
        <w:t>Restricted Lender</w:t>
      </w:r>
      <w:r>
        <w:rPr>
          <w:rFonts w:ascii="Arial" w:cs="Arial" w:eastAsia="Arial" w:hAnsi="Arial"/>
          <w:sz w:val="18"/>
          <w:szCs w:val="18"/>
          <w:color w:val="auto"/>
        </w:rPr>
        <w:t xml:space="preserve">”), apply for the benefit of such Restricted Lender only to the extent that receipt of such benefit would not result in any violation of, conflict with, or liability under, Section 7 AWV, FEMA, or any similar anti-boycott laws or regulations. In connection with any amendment, waiver, determination or direction relating to any part of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6.21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of which a Restricted Lender does not have the benefit pursuant to this Section, the Commitments of that Restricted Lender will be excluded from the numerator and denominator for the purposes of determining whether the consent of the Required Lenders or any other majority of Lenders has been obtained or whether the determination or direction of the Required Lenders or any other majority of Lenders has been made.</w:t>
      </w:r>
    </w:p>
    <w:p>
      <w:pPr>
        <w:spacing w:after="0" w:line="195" w:lineRule="exact"/>
        <w:rPr>
          <w:sz w:val="20"/>
          <w:szCs w:val="20"/>
          <w:color w:val="auto"/>
        </w:rPr>
      </w:pPr>
    </w:p>
    <w:p>
      <w:pPr>
        <w:jc w:val="both"/>
        <w:ind w:left="660"/>
        <w:spacing w:after="0" w:line="239" w:lineRule="auto"/>
        <w:rPr>
          <w:sz w:val="20"/>
          <w:szCs w:val="20"/>
          <w:color w:val="auto"/>
        </w:rPr>
      </w:pPr>
      <w:r>
        <w:rPr>
          <w:rFonts w:ascii="Arial" w:cs="Arial" w:eastAsia="Arial" w:hAnsi="Arial"/>
          <w:sz w:val="19"/>
          <w:szCs w:val="19"/>
          <w:u w:val="single" w:color="auto"/>
          <w:color w:val="auto"/>
        </w:rPr>
        <w:t>1.8 Effect of Amendment and Restatement of the Existing Credit Agreement</w:t>
      </w:r>
      <w:r>
        <w:rPr>
          <w:rFonts w:ascii="Arial" w:cs="Arial" w:eastAsia="Arial" w:hAnsi="Arial"/>
          <w:sz w:val="19"/>
          <w:szCs w:val="19"/>
          <w:color w:val="auto"/>
        </w:rPr>
        <w:t xml:space="preserve">. On the Effective Date, the Loans (as defined in the Existing Credit Agreement) shall be repaid with proceeds of the Loans borrowed on the Effective Date and the Revolving Commitments (as defined in the Existing Credit Agreement) shall be amended and restated in their entirety as Revolving Commitments hereunder as set forth on </w:t>
      </w:r>
      <w:r>
        <w:rPr>
          <w:rFonts w:ascii="Arial" w:cs="Arial" w:eastAsia="Arial" w:hAnsi="Arial"/>
          <w:sz w:val="19"/>
          <w:szCs w:val="19"/>
          <w:u w:val="single" w:color="auto"/>
          <w:color w:val="auto"/>
        </w:rPr>
        <w:t>Schedule 1.1(a).</w:t>
      </w:r>
      <w:r>
        <w:rPr>
          <w:rFonts w:ascii="Arial" w:cs="Arial" w:eastAsia="Arial" w:hAnsi="Arial"/>
          <w:sz w:val="19"/>
          <w:szCs w:val="19"/>
          <w:color w:val="auto"/>
        </w:rPr>
        <w:t xml:space="preserve"> The parties acknowledge and agree that this Agreement and the other Loan Documents do not constitute a novation, payment and reborrowing or termination of the obligations under the Existing Credit Agreement and that all such obligations are in all respects continued and outstanding as Obligations under this Agreement except to the extent such Obligations are modified from and after the Effective Date as provided in this Agreement and the other Loan Documents. Each Lender that was a Lender (as defined in the Existing Credit Agreement) party to the Existing Credit Agreement hereby agrees that this Agreement amends and restates the Existing Credit Agreement in its entirety effective as of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each Borrower hereby reaffirms that (a) all Letters of Credit under and as defined in the Existing Credit Agreement shall continue as Letters of Credit under this Agreement and (b) the Collateral and the Loan Documents shall continue to secure, guarantee, support and otherwise benefit the Obligations on the same terms as prior to the effectiveness hereof. Upon the effectiveness of this Agreement, each Loan Document (other than the Existing Credit Agreement) that was in effect immediately prior to the date of this Agreement shall continue to be effective on its terms unless otherwise expressly stated herein.</w:t>
      </w:r>
    </w:p>
    <w:p>
      <w:pPr>
        <w:spacing w:after="0" w:line="219" w:lineRule="exact"/>
        <w:rPr>
          <w:sz w:val="20"/>
          <w:szCs w:val="20"/>
          <w:color w:val="auto"/>
        </w:rPr>
      </w:pPr>
    </w:p>
    <w:p>
      <w:pPr>
        <w:jc w:val="both"/>
        <w:ind w:left="660"/>
        <w:spacing w:after="0" w:line="246" w:lineRule="auto"/>
        <w:rPr>
          <w:sz w:val="20"/>
          <w:szCs w:val="20"/>
          <w:color w:val="auto"/>
        </w:rPr>
      </w:pPr>
      <w:r>
        <w:rPr>
          <w:rFonts w:ascii="Arial" w:cs="Arial" w:eastAsia="Arial" w:hAnsi="Arial"/>
          <w:sz w:val="19"/>
          <w:szCs w:val="19"/>
          <w:u w:val="single" w:color="auto"/>
          <w:color w:val="auto"/>
        </w:rPr>
        <w:t>1.9 Divisions</w:t>
      </w:r>
      <w:r>
        <w:rPr>
          <w:rFonts w:ascii="Arial" w:cs="Arial" w:eastAsia="Arial" w:hAnsi="Arial"/>
          <w:sz w:val="19"/>
          <w:szCs w:val="19"/>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203"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ARTICLE II</w:t>
      </w:r>
    </w:p>
    <w:p>
      <w:pPr>
        <w:spacing w:after="0" w:line="2" w:lineRule="exact"/>
        <w:rPr>
          <w:sz w:val="20"/>
          <w:szCs w:val="20"/>
          <w:color w:val="auto"/>
        </w:rPr>
      </w:pPr>
    </w:p>
    <w:p>
      <w:pPr>
        <w:ind w:left="2320"/>
        <w:spacing w:after="0"/>
        <w:rPr>
          <w:sz w:val="20"/>
          <w:szCs w:val="20"/>
          <w:color w:val="auto"/>
        </w:rPr>
      </w:pPr>
      <w:r>
        <w:rPr>
          <w:rFonts w:ascii="Arial" w:cs="Arial" w:eastAsia="Arial" w:hAnsi="Arial"/>
          <w:sz w:val="20"/>
          <w:szCs w:val="20"/>
          <w:u w:val="single" w:color="auto"/>
          <w:color w:val="auto"/>
        </w:rPr>
        <w:t>AMOUNT AND TERMS OF U.S. DOLLAR, STERLING AND EURO CREDITS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2.1 The Commitments</w:t>
      </w:r>
    </w:p>
    <w:p>
      <w:pPr>
        <w:ind w:left="66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(a) Term Loans</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187" w:name="page188"/>
    <w:bookmarkEnd w:id="187"/>
    <w:p>
      <w:pPr>
        <w:jc w:val="both"/>
        <w:spacing w:after="0" w:line="256" w:lineRule="auto"/>
        <w:rPr>
          <w:sz w:val="20"/>
          <w:szCs w:val="20"/>
          <w:color w:val="auto"/>
        </w:rPr>
      </w:pPr>
      <w:r>
        <w:rPr>
          <w:rFonts w:ascii="Arial" w:cs="Arial" w:eastAsia="Arial" w:hAnsi="Arial"/>
          <w:sz w:val="18"/>
          <w:szCs w:val="18"/>
          <w:u w:val="single" w:color="auto"/>
          <w:color w:val="auto"/>
        </w:rPr>
        <w:t>Term Loan A Facility</w:t>
      </w:r>
      <w:r>
        <w:rPr>
          <w:rFonts w:ascii="Arial" w:cs="Arial" w:eastAsia="Arial" w:hAnsi="Arial"/>
          <w:sz w:val="18"/>
          <w:szCs w:val="18"/>
          <w:color w:val="auto"/>
        </w:rPr>
        <w:t>. Each Term Loan A Lender, severally and for itself alone, hereby agrees, on the terms and subject to the terms and conditions set forth herein and in the Incremental Amendment No. 2 and Third Amendment and in reliance upon the representations and warranties set forth herein and in the Incremental Amendment No. 2 and Third Amendment and in the other Loan Documents to make a loan (each such loan, a “</w:t>
      </w:r>
      <w:r>
        <w:rPr>
          <w:rFonts w:ascii="Arial" w:cs="Arial" w:eastAsia="Arial" w:hAnsi="Arial"/>
          <w:sz w:val="18"/>
          <w:szCs w:val="18"/>
          <w:u w:val="single" w:color="auto"/>
          <w:color w:val="auto"/>
        </w:rPr>
        <w:t>Term Loan A</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Term A Loans</w:t>
      </w:r>
      <w:r>
        <w:rPr>
          <w:rFonts w:ascii="Arial" w:cs="Arial" w:eastAsia="Arial" w:hAnsi="Arial"/>
          <w:sz w:val="18"/>
          <w:szCs w:val="18"/>
          <w:color w:val="auto"/>
        </w:rPr>
        <w:t>”) to U.S. Borrower on the Incremental Amendment No. 2 and Third Amendment Effective Date in an aggregate principal amount equal to the Term Loan A Commitment of such Lender. The Term A Loans (i) shall be incurred by U.S. Borrower pursuant to a single drawing, (ii) shall be denominated in Dollars and (iii) shall not exceed for any Lender at the time of incurrence thereof on the Incremental Amendment No. 2 and Third Amendment Effective Date that aggregate principal amount which equals the Term Loan A Commitment, if any, of such Lender at such time. Each Lender’s Term Loan A Commitment shall expire immediately and without further action on the Incremental Amendment No. 2 and Third Amendment Effective Date, after giving effect to the Term A Loans made thereon. No amount of any Term A Loan which is repaid or prepaid by U.S. Borrower may be reborrowed hereunder.</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9"/>
          <w:szCs w:val="19"/>
          <w:u w:val="single" w:color="auto"/>
          <w:color w:val="auto"/>
        </w:rPr>
        <w:t>Term Euro Facility</w:t>
      </w:r>
      <w:r>
        <w:rPr>
          <w:rFonts w:ascii="Arial" w:cs="Arial" w:eastAsia="Arial" w:hAnsi="Arial"/>
          <w:sz w:val="19"/>
          <w:szCs w:val="19"/>
          <w:color w:val="auto"/>
        </w:rPr>
        <w:t>. Each Term Euro Lender, severally and for itself alone, hereby agrees, on the terms and subject to conditions set forth herein and in the Incremental Amendment No. 2 and Third Amendment and in reliance upon the representations and warranties set forth herein and in the Incremental Amendment No. 2 and Third Amendment and in the other Loan Documents to make a loan (each such loan, a “</w:t>
      </w:r>
      <w:r>
        <w:rPr>
          <w:rFonts w:ascii="Arial" w:cs="Arial" w:eastAsia="Arial" w:hAnsi="Arial"/>
          <w:sz w:val="19"/>
          <w:szCs w:val="19"/>
          <w:u w:val="single" w:color="auto"/>
          <w:color w:val="auto"/>
        </w:rPr>
        <w:t>Term Euro Loan</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Term Euro Loans</w:t>
      </w:r>
      <w:r>
        <w:rPr>
          <w:rFonts w:ascii="Arial" w:cs="Arial" w:eastAsia="Arial" w:hAnsi="Arial"/>
          <w:sz w:val="19"/>
          <w:szCs w:val="19"/>
          <w:color w:val="auto"/>
        </w:rPr>
        <w:t>”) to European Borrower on the Incremental Amendment No. 2 and Third Amendment Effective Date in an aggregate principal amount equal to the Term Euro Commitment of such Lender. The Term Euro Loans (i) shall be incurred by European Borrower pursuant to a single drawing, (ii) shall be denominated in Euros, (iii) shall not exceed for any Lender at the time of incurrence thereof on the Incremental Amendment No. 2 and Third Amendment Effective Date that aggregate principal amount which equals the Term Euro Commitment, if any, of such Lender at such time. Each Term Euro Lender’s Term Euro Commitment shall expire immediately and without further action on the Incremental Amendment No. 2 and Third Amendment Effective Date, after giving effect to the Term Euro Loans made thereon. No amount of a Term Euro Loan which is repaid or prepaid by European Borrower may be reborrowed hereunder.</w:t>
      </w:r>
    </w:p>
    <w:p>
      <w:pPr>
        <w:spacing w:after="0" w:line="216" w:lineRule="exact"/>
        <w:rPr>
          <w:sz w:val="20"/>
          <w:szCs w:val="20"/>
          <w:color w:val="auto"/>
        </w:rPr>
      </w:pPr>
    </w:p>
    <w:p>
      <w:pPr>
        <w:ind w:left="360" w:hanging="352"/>
        <w:spacing w:after="0"/>
        <w:tabs>
          <w:tab w:leader="none" w:pos="36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(b) Revolving Loans</w:t>
      </w:r>
      <w:r>
        <w:rPr>
          <w:rFonts w:ascii="Arial" w:cs="Arial" w:eastAsia="Arial" w:hAnsi="Arial"/>
          <w:sz w:val="20"/>
          <w:szCs w:val="20"/>
          <w:color w:val="auto"/>
        </w:rPr>
        <w:t>.</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auto"/>
        </w:rPr>
        <w:t>Dollar Revolving Loan Facility</w:t>
      </w:r>
      <w:r>
        <w:rPr>
          <w:rFonts w:ascii="Arial" w:cs="Arial" w:eastAsia="Arial" w:hAnsi="Arial"/>
          <w:sz w:val="18"/>
          <w:szCs w:val="18"/>
          <w:color w:val="auto"/>
        </w:rPr>
        <w:t>. Each Dollar Revolving Lender, severally and for itself alone, hereby agrees, on the terms and subject to the conditions hereinafter set forth and in reliance upon the representations and warranties set forth herein and in the other Loan Documents, to make loans to U.S. Borrower denominated in Dollars on a revolving basis from time to time during the Commitment Period, in an amount not to exceed its Dollar Revolver Pro Rata Share of the Total Available Dollar Revolving Commitment (each such loan by any Lender, a “</w:t>
      </w:r>
      <w:r>
        <w:rPr>
          <w:rFonts w:ascii="Arial" w:cs="Arial" w:eastAsia="Arial" w:hAnsi="Arial"/>
          <w:sz w:val="18"/>
          <w:szCs w:val="18"/>
          <w:u w:val="single" w:color="auto"/>
          <w:color w:val="auto"/>
        </w:rPr>
        <w:t>Dollar Revolving Loan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Dollar Revolving Loans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Dollar Revolving Loan shall be made if after giving effect thereto, the Total Available Dollar Revolving Commitments would equal less than zero. All Dollar Revolving Loans comprising the same Borrowing hereunder shall be made by the Dollar Revolving Lenders simultaneously and in proportion to their respective Dollar Revolving Commitments. Prior to the Revolver Termination Date for the Dollar Revolving Facility, Dollar Revolving Loans may be repaid and reborrowed by U.S. Borrower in accordance with the provisions hereof and, except as otherwise specifically provided in </w:t>
      </w:r>
      <w:r>
        <w:rPr>
          <w:rFonts w:ascii="Arial" w:cs="Arial" w:eastAsia="Arial" w:hAnsi="Arial"/>
          <w:sz w:val="18"/>
          <w:szCs w:val="18"/>
          <w:u w:val="single" w:color="auto"/>
          <w:color w:val="auto"/>
        </w:rPr>
        <w:t>Section 3.6</w:t>
      </w:r>
      <w:r>
        <w:rPr>
          <w:rFonts w:ascii="Arial" w:cs="Arial" w:eastAsia="Arial" w:hAnsi="Arial"/>
          <w:sz w:val="18"/>
          <w:szCs w:val="18"/>
          <w:color w:val="auto"/>
        </w:rPr>
        <w:t>, all Dollar Revolving Loans comprising the same Borrowing shall at all times be of the same Type.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[Reserved].</w:t>
      </w:r>
    </w:p>
    <w:p>
      <w:pPr>
        <w:sectPr>
          <w:pgSz w:w="11900" w:h="16838" w:orient="portrait"/>
          <w:cols w:equalWidth="0" w:num="1">
            <w:col w:w="11240"/>
          </w:cols>
          <w:pgMar w:left="320" w:top="1419" w:right="339" w:bottom="1440" w:gutter="0" w:footer="0" w:header="0"/>
        </w:sectPr>
      </w:pPr>
    </w:p>
    <w:bookmarkStart w:id="188" w:name="page189"/>
    <w:bookmarkEnd w:id="188"/>
    <w:p>
      <w:pPr>
        <w:jc w:val="both"/>
        <w:ind w:firstLine="648"/>
        <w:spacing w:after="0" w:line="239" w:lineRule="auto"/>
        <w:rPr>
          <w:sz w:val="20"/>
          <w:szCs w:val="20"/>
          <w:color w:val="auto"/>
        </w:rPr>
      </w:pPr>
      <w:r>
        <w:rPr>
          <w:rFonts w:ascii="Arial" w:cs="Arial" w:eastAsia="Arial" w:hAnsi="Arial"/>
          <w:sz w:val="19"/>
          <w:szCs w:val="19"/>
          <w:u w:val="single" w:color="auto"/>
          <w:color w:val="auto"/>
        </w:rPr>
        <w:t>Multicurrency Revolving Loan Facility</w:t>
      </w:r>
      <w:r>
        <w:rPr>
          <w:rFonts w:ascii="Arial" w:cs="Arial" w:eastAsia="Arial" w:hAnsi="Arial"/>
          <w:sz w:val="19"/>
          <w:szCs w:val="19"/>
          <w:color w:val="auto"/>
        </w:rPr>
        <w:t>. Each Multicurrency Revolving Lender, severally and for itself alone, hereby agrees, on the terms and subject to the conditions hereinafter set forth and in reliance upon the representations and warranties set forth herein and in the other Loan Documents, to make loans to U.S. Borrower, European Borrower and the Subsidiary Borrowers denominated in Dollars or an Alternative Currency on a revolving basis from time to time during the Commitment Period for the Multicurrency Revolving Facility, in an amount not to exceed its Multicurrency Revolver Pro Rata Share of (a) with respect to all Borrowers the Total Available Multicurrency Revolving Commitment and (b) with respect to any applicable Borrower, such Borrower’s Available Multicurrency Revolving Sublimit (each such loan by any Lender, a “</w:t>
      </w:r>
      <w:r>
        <w:rPr>
          <w:rFonts w:ascii="Arial" w:cs="Arial" w:eastAsia="Arial" w:hAnsi="Arial"/>
          <w:sz w:val="19"/>
          <w:szCs w:val="19"/>
          <w:u w:val="single" w:color="auto"/>
          <w:color w:val="auto"/>
        </w:rPr>
        <w:t>Multicurrency Revolving Loan</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Multicurrency Revolving Loans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 such Multicurrency Revolving Loan shall be made if after giving effect thereto, the Total Available Multicurrency Revolving Commitments would equal less than zero and (b) the aggregate principal amount of all Multicurrency Revolving Loans denominated in Sterling shall not exceed the Sterling Equivalent of $250,000,000. All Multicurrency Revolving Loans comprising the same Borrowing hereunder shall be made by the Multicurrency Revolving Lenders simultaneously and in proportion to their respective Multicurrency Revolving Commitments. Prior to the Revolver Termination Date for the Multicurrency Revolving Commitment, Multicurrency Revolving Loans may be repaid and reborrowed by U.S. Borrower, European Borrower and the Subsidiary Borrowers in accordance with the provisions hereof and, except as otherwise specifically provided in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all Multicurrency Revolving Loans comprising the same Borrowing shall at all times be of the same Type.</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(c)Swing Line Loans</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[Reserved].</w:t>
      </w:r>
    </w:p>
    <w:p>
      <w:pPr>
        <w:spacing w:after="0" w:line="229" w:lineRule="exact"/>
        <w:rPr>
          <w:sz w:val="20"/>
          <w:szCs w:val="20"/>
          <w:color w:val="auto"/>
        </w:rPr>
      </w:pPr>
    </w:p>
    <w:p>
      <w:pPr>
        <w:jc w:val="both"/>
        <w:ind w:firstLine="252"/>
        <w:spacing w:after="0" w:line="253" w:lineRule="auto"/>
        <w:rPr>
          <w:sz w:val="20"/>
          <w:szCs w:val="20"/>
          <w:color w:val="auto"/>
        </w:rPr>
      </w:pPr>
      <w:r>
        <w:rPr>
          <w:rFonts w:ascii="Arial" w:cs="Arial" w:eastAsia="Arial" w:hAnsi="Arial"/>
          <w:sz w:val="18"/>
          <w:szCs w:val="18"/>
          <w:u w:val="single" w:color="auto"/>
          <w:color w:val="auto"/>
        </w:rPr>
        <w:t>Multicurrency Swing Line</w:t>
      </w:r>
      <w:r>
        <w:rPr>
          <w:rFonts w:ascii="Arial" w:cs="Arial" w:eastAsia="Arial" w:hAnsi="Arial"/>
          <w:sz w:val="18"/>
          <w:szCs w:val="18"/>
          <w:color w:val="auto"/>
        </w:rPr>
        <w:t>. Subject to the terms and conditions hereof, the Swing Line Lender in its individual capacity agrees to make swing line loans in Dollars or Alternative Currencies (“</w:t>
      </w:r>
      <w:r>
        <w:rPr>
          <w:rFonts w:ascii="Arial" w:cs="Arial" w:eastAsia="Arial" w:hAnsi="Arial"/>
          <w:sz w:val="18"/>
          <w:szCs w:val="18"/>
          <w:u w:val="single" w:color="auto"/>
          <w:color w:val="auto"/>
        </w:rPr>
        <w:t>Swing Line Loans</w:t>
      </w:r>
      <w:r>
        <w:rPr>
          <w:rFonts w:ascii="Arial" w:cs="Arial" w:eastAsia="Arial" w:hAnsi="Arial"/>
          <w:sz w:val="18"/>
          <w:szCs w:val="18"/>
          <w:color w:val="auto"/>
        </w:rPr>
        <w:t xml:space="preserve">”) to U.S. Borrower, European Borrower or any Subsidiary Borrower on any Business Day from time to time during the Commitment Period in an aggregate principal amount at any one time outstanding that do not to exceed the Dollar Equivalent of $75,000,000;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no event may the amount of any Borrowing of Swing Line Loans (A) exceed the Total Available Multicurrency Revolving Commitment immediately prior to such Borrowing (after giving effect to the use of proceeds thereof), (B) exceed the Available Multicurrency Revolving Sublimit for such Borrower immediately prior to such Borrowing or (C) cause the outstanding Multicurrency Revolving Loans of any Lender, when added to such Lender’s Multicurrency Revolver Pro Rata Share of the then outstanding Swing Line Loans and Multicurrency Revolver Pro Rata Share of the aggregate Multicurrency LC Obligations (exclusive of Unpaid Drawings relating to Multicurrency LC Obligations which are repaid with the proceeds of, and simultaneously with the incurrence of, Multicurrency Revolving Loans or Swing Line Loans) to exceed such Lender’s Multicurrency Revolving Commitment. Amounts borrowed under this </w:t>
      </w:r>
      <w:r>
        <w:rPr>
          <w:rFonts w:ascii="Arial" w:cs="Arial" w:eastAsia="Arial" w:hAnsi="Arial"/>
          <w:sz w:val="18"/>
          <w:szCs w:val="18"/>
          <w:u w:val="single" w:color="auto"/>
          <w:color w:val="auto"/>
        </w:rPr>
        <w:t>Section 2.1(c)(ii)</w:t>
      </w:r>
      <w:r>
        <w:rPr>
          <w:rFonts w:ascii="Arial" w:cs="Arial" w:eastAsia="Arial" w:hAnsi="Arial"/>
          <w:sz w:val="18"/>
          <w:szCs w:val="18"/>
          <w:color w:val="auto"/>
        </w:rPr>
        <w:t xml:space="preserve"> may be repaid and, to but excluding the Revolver Termination Date for the Multicurrency Revolving Facility, reborrowed. Swing Line Loans shall be made in Dollars or Alternative Currencies and maintained as Base Rate Loans, with respect to Swing Line Loans made in Dollars, and Overnight Rate Loans with respect to Swing Line Loans made in Alternative Currencies and, notwithstanding </w:t>
      </w:r>
      <w:r>
        <w:rPr>
          <w:rFonts w:ascii="Arial" w:cs="Arial" w:eastAsia="Arial" w:hAnsi="Arial"/>
          <w:sz w:val="18"/>
          <w:szCs w:val="18"/>
          <w:u w:val="single" w:color="auto"/>
          <w:color w:val="auto"/>
        </w:rPr>
        <w:t>Section 2.6</w:t>
      </w:r>
      <w:r>
        <w:rPr>
          <w:rFonts w:ascii="Arial" w:cs="Arial" w:eastAsia="Arial" w:hAnsi="Arial"/>
          <w:sz w:val="18"/>
          <w:szCs w:val="18"/>
          <w:color w:val="auto"/>
        </w:rPr>
        <w:t>, shall not be entitled to be converted into any other Type of Loan. Notwithstanding the foregoing, in the event there is a Defaulting Lender, Swing Line Lender shall not be required to make any Swing Line Loans unless Swing Line Lender has entered into arrangements reasonably satisfactory to it and Crown Holdings to eliminate the Swing Line Lender’s risk with respect to the refunding or participation in such Swing Line Loans of the Defaulting Lender or Lenders, including by cash collateralizing such Defaulting Lender or Lenders’ applicable Multicurrency Revolver Pro Rata Share of the applicable Swing Line Loans, which arrangements shall be deemed to be consented to by the Lenders.</w:t>
      </w:r>
    </w:p>
    <w:p>
      <w:pPr>
        <w:sectPr>
          <w:pgSz w:w="11900" w:h="16838" w:orient="portrait"/>
          <w:cols w:equalWidth="0" w:num="1">
            <w:col w:w="11240"/>
          </w:cols>
          <w:pgMar w:left="320" w:top="1419" w:right="339" w:bottom="1440" w:gutter="0" w:footer="0" w:header="0"/>
        </w:sectPr>
      </w:pPr>
    </w:p>
    <w:bookmarkStart w:id="189" w:name="page190"/>
    <w:bookmarkEnd w:id="189"/>
    <w:p>
      <w:pPr>
        <w:jc w:val="both"/>
        <w:spacing w:after="0"/>
        <w:rPr>
          <w:sz w:val="20"/>
          <w:szCs w:val="20"/>
          <w:color w:val="auto"/>
        </w:rPr>
      </w:pPr>
      <w:r>
        <w:rPr>
          <w:rFonts w:ascii="Arial" w:cs="Arial" w:eastAsia="Arial" w:hAnsi="Arial"/>
          <w:sz w:val="19"/>
          <w:szCs w:val="19"/>
          <w:u w:val="single" w:color="auto"/>
          <w:color w:val="auto"/>
        </w:rPr>
        <w:t>Refunding of Swing Line Loans</w:t>
      </w:r>
      <w:r>
        <w:rPr>
          <w:rFonts w:ascii="Arial" w:cs="Arial" w:eastAsia="Arial" w:hAnsi="Arial"/>
          <w:sz w:val="19"/>
          <w:szCs w:val="19"/>
          <w:color w:val="auto"/>
        </w:rPr>
        <w:t>. Swing Line Lender, at any time in its sole and absolute discretion, may on behalf of the applicable Borrower (which hereby irrevocably directs Swing Line Lender to so act on its behalf) notify each Multicurrency Revolving Lender (including Swing Line Lender) to make a Multicurrency Revolving Loan in the Applicable Currency, as the case may be, an amount equal to such Lender’s Multicurrency Revolver Pro Rata Share of the principal amount of the applicable Swing Line Loans (the “</w:t>
      </w:r>
      <w:r>
        <w:rPr>
          <w:rFonts w:ascii="Arial" w:cs="Arial" w:eastAsia="Arial" w:hAnsi="Arial"/>
          <w:sz w:val="19"/>
          <w:szCs w:val="19"/>
          <w:u w:val="single" w:color="auto"/>
          <w:color w:val="auto"/>
        </w:rPr>
        <w:t>Refunded Swing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Line Loans</w:t>
      </w:r>
      <w:r>
        <w:rPr>
          <w:rFonts w:ascii="Arial" w:cs="Arial" w:eastAsia="Arial" w:hAnsi="Arial"/>
          <w:sz w:val="19"/>
          <w:szCs w:val="19"/>
          <w:color w:val="auto"/>
        </w:rPr>
        <w:t xml:space="preserve">”) outstanding on the date such notice is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notice shall be deemed to have automatically been given upon the occurrence of an Event of Default under </w:t>
      </w:r>
      <w:r>
        <w:rPr>
          <w:rFonts w:ascii="Arial" w:cs="Arial" w:eastAsia="Arial" w:hAnsi="Arial"/>
          <w:sz w:val="19"/>
          <w:szCs w:val="19"/>
          <w:u w:val="single" w:color="auto"/>
          <w:color w:val="auto"/>
        </w:rPr>
        <w:t>Section 10.1(i)</w:t>
      </w:r>
      <w:r>
        <w:rPr>
          <w:rFonts w:ascii="Arial" w:cs="Arial" w:eastAsia="Arial" w:hAnsi="Arial"/>
          <w:sz w:val="19"/>
          <w:szCs w:val="19"/>
          <w:color w:val="auto"/>
        </w:rPr>
        <w:t xml:space="preserve">. Unless any of the events described in </w:t>
      </w:r>
      <w:r>
        <w:rPr>
          <w:rFonts w:ascii="Arial" w:cs="Arial" w:eastAsia="Arial" w:hAnsi="Arial"/>
          <w:sz w:val="19"/>
          <w:szCs w:val="19"/>
          <w:u w:val="single" w:color="auto"/>
          <w:color w:val="auto"/>
        </w:rPr>
        <w:t>Section 10.1(i)</w:t>
      </w:r>
      <w:r>
        <w:rPr>
          <w:rFonts w:ascii="Arial" w:cs="Arial" w:eastAsia="Arial" w:hAnsi="Arial"/>
          <w:sz w:val="19"/>
          <w:szCs w:val="19"/>
          <w:color w:val="auto"/>
        </w:rPr>
        <w:t xml:space="preserve"> shall have occurred (in which event the procedures of this </w:t>
      </w:r>
      <w:r>
        <w:rPr>
          <w:rFonts w:ascii="Arial" w:cs="Arial" w:eastAsia="Arial" w:hAnsi="Arial"/>
          <w:sz w:val="19"/>
          <w:szCs w:val="19"/>
          <w:u w:val="single" w:color="auto"/>
          <w:color w:val="auto"/>
        </w:rPr>
        <w:t>Section 2.1(c)(iii)</w:t>
      </w:r>
      <w:r>
        <w:rPr>
          <w:rFonts w:ascii="Arial" w:cs="Arial" w:eastAsia="Arial" w:hAnsi="Arial"/>
          <w:sz w:val="19"/>
          <w:szCs w:val="19"/>
          <w:color w:val="auto"/>
        </w:rPr>
        <w:t xml:space="preserve"> shall apply) and regardless of whether the conditions precedent set forth in this Agreement to the making of a Revolving Loan are then satisfied, each applicable Revolving Lender shall make the proceeds of its Revolving Loan available to Swing Line Lender at the Payment Office prior to 11:00 a.m., local time in the place of funding, in funds immediately available on the Business Day next succeeding the date such notice is given. The proceeds of such Revolving Loans shall be immediately applied to repay the Refunded Swing Line Loans.</w:t>
      </w:r>
    </w:p>
    <w:p>
      <w:pPr>
        <w:spacing w:after="0" w:line="21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u w:val="single" w:color="auto"/>
          <w:color w:val="auto"/>
        </w:rPr>
        <w:t>Participation in Swing Line Loans</w:t>
      </w:r>
      <w:r>
        <w:rPr>
          <w:rFonts w:ascii="Arial" w:cs="Arial" w:eastAsia="Arial" w:hAnsi="Arial"/>
          <w:sz w:val="20"/>
          <w:szCs w:val="20"/>
          <w:color w:val="auto"/>
        </w:rPr>
        <w:t xml:space="preserve">. If, prior to refunding a Swing Line Loan with a Revolving Loan pursuant to </w:t>
      </w:r>
      <w:r>
        <w:rPr>
          <w:rFonts w:ascii="Arial" w:cs="Arial" w:eastAsia="Arial" w:hAnsi="Arial"/>
          <w:sz w:val="20"/>
          <w:szCs w:val="20"/>
          <w:u w:val="single" w:color="auto"/>
          <w:color w:val="auto"/>
        </w:rPr>
        <w:t>Section 2.1(c)(iii)</w:t>
      </w:r>
      <w:r>
        <w:rPr>
          <w:rFonts w:ascii="Arial" w:cs="Arial" w:eastAsia="Arial" w:hAnsi="Arial"/>
          <w:sz w:val="20"/>
          <w:szCs w:val="20"/>
          <w:color w:val="auto"/>
        </w:rPr>
        <w:t xml:space="preserve">, an Event of Default under </w:t>
      </w:r>
      <w:r>
        <w:rPr>
          <w:rFonts w:ascii="Arial" w:cs="Arial" w:eastAsia="Arial" w:hAnsi="Arial"/>
          <w:sz w:val="20"/>
          <w:szCs w:val="20"/>
          <w:u w:val="single" w:color="auto"/>
          <w:color w:val="auto"/>
        </w:rPr>
        <w:t>Section 10.1(i)</w:t>
      </w:r>
      <w:r>
        <w:rPr>
          <w:rFonts w:ascii="Arial" w:cs="Arial" w:eastAsia="Arial" w:hAnsi="Arial"/>
          <w:sz w:val="20"/>
          <w:szCs w:val="20"/>
          <w:color w:val="auto"/>
        </w:rPr>
        <w:t xml:space="preserve"> shall have occurred, or if for any other reason a Revolving Loan cannot be made pursuant to </w:t>
      </w:r>
      <w:r>
        <w:rPr>
          <w:rFonts w:ascii="Arial" w:cs="Arial" w:eastAsia="Arial" w:hAnsi="Arial"/>
          <w:sz w:val="20"/>
          <w:szCs w:val="20"/>
          <w:u w:val="single" w:color="auto"/>
          <w:color w:val="auto"/>
        </w:rPr>
        <w:t>Section 2.1(c)</w:t>
      </w:r>
      <w:r>
        <w:rPr>
          <w:rFonts w:ascii="Arial" w:cs="Arial" w:eastAsia="Arial" w:hAnsi="Arial"/>
          <w:sz w:val="20"/>
          <w:szCs w:val="20"/>
          <w:color w:val="auto"/>
        </w:rPr>
        <w:t xml:space="preserve">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then, subject to the provisions of </w:t>
      </w:r>
      <w:r>
        <w:rPr>
          <w:rFonts w:ascii="Arial" w:cs="Arial" w:eastAsia="Arial" w:hAnsi="Arial"/>
          <w:sz w:val="20"/>
          <w:szCs w:val="20"/>
          <w:u w:val="single" w:color="auto"/>
          <w:color w:val="auto"/>
        </w:rPr>
        <w:t>Section 2.1(c)(v)</w:t>
      </w:r>
      <w:r>
        <w:rPr>
          <w:rFonts w:ascii="Arial" w:cs="Arial" w:eastAsia="Arial" w:hAnsi="Arial"/>
          <w:sz w:val="20"/>
          <w:szCs w:val="20"/>
          <w:color w:val="auto"/>
        </w:rPr>
        <w:t xml:space="preserve"> below, each Multicurrency Revolving Lender will, on the date such Revolving Loan was to have been made, purchase (without recourse or warranty) from Swing Line Lender an undivided participation interest in the Swing Line Loan in an amount equal to its Multicurrency Revolver Pro Rata Share of such Swing Line Loan. Upon request, each such Revolving Lender will immediately transfer to Swing Line Lender, in immediately available funds, the amount of its participation and upon receipt thereof Swing Line Lender will deliver to such Revolving Lender a Swing Line Loan Participation Certificate dated the date of receipt of such funds and in such amount.</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Lenders’ Obligations Unconditional</w:t>
      </w:r>
      <w:r>
        <w:rPr>
          <w:rFonts w:ascii="Arial" w:cs="Arial" w:eastAsia="Arial" w:hAnsi="Arial"/>
          <w:sz w:val="18"/>
          <w:szCs w:val="18"/>
          <w:color w:val="auto"/>
        </w:rPr>
        <w:t xml:space="preserve">. Each Lender’s obligation to make Revolving Loans in accordance with </w:t>
      </w:r>
      <w:r>
        <w:rPr>
          <w:rFonts w:ascii="Arial" w:cs="Arial" w:eastAsia="Arial" w:hAnsi="Arial"/>
          <w:sz w:val="18"/>
          <w:szCs w:val="18"/>
          <w:u w:val="single" w:color="auto"/>
          <w:color w:val="auto"/>
        </w:rPr>
        <w:t>Section 2.1(c)(iii)</w:t>
      </w:r>
      <w:r>
        <w:rPr>
          <w:rFonts w:ascii="Arial" w:cs="Arial" w:eastAsia="Arial" w:hAnsi="Arial"/>
          <w:sz w:val="18"/>
          <w:szCs w:val="18"/>
          <w:color w:val="auto"/>
        </w:rPr>
        <w:t xml:space="preserve"> above and to purchase participating interests in accordance with </w:t>
      </w:r>
      <w:r>
        <w:rPr>
          <w:rFonts w:ascii="Arial" w:cs="Arial" w:eastAsia="Arial" w:hAnsi="Arial"/>
          <w:sz w:val="18"/>
          <w:szCs w:val="18"/>
          <w:u w:val="single" w:color="auto"/>
          <w:color w:val="auto"/>
        </w:rPr>
        <w:t>Section 2.1(c)(iv)</w:t>
      </w:r>
      <w:r>
        <w:rPr>
          <w:rFonts w:ascii="Arial" w:cs="Arial" w:eastAsia="Arial" w:hAnsi="Arial"/>
          <w:sz w:val="18"/>
          <w:szCs w:val="18"/>
          <w:color w:val="auto"/>
        </w:rPr>
        <w:t xml:space="preserve"> above shall be absolute and unconditional and shall not be affected by any circumstance, including, without limitation, (A) any set-off, counterclaim, recoupment, defense or other right which such Lender may have against Swing Line Lender, any Borrower or any other Person for any reason whatsoever; (B) the occurrence or continuance of any Event of Default or Unmatured Event of Default; (C) any adverse change in the condition (financial or otherwise) of any Borrower or any other Person; (D) any breach of this Agreement by any Borrower or any other Person; (E) any inability of any Borrower to satisfy the conditions precedent to borrowing set forth in this Agreement on the date upon which such participating interest is to be purchased or (F) any other circumstance, happening or event whatsoever, whether or not similar to any of the foregoing. If any Lender does not make available to Swing Line Lender the amount required pursuant to </w:t>
      </w:r>
      <w:r>
        <w:rPr>
          <w:rFonts w:ascii="Arial" w:cs="Arial" w:eastAsia="Arial" w:hAnsi="Arial"/>
          <w:sz w:val="18"/>
          <w:szCs w:val="18"/>
          <w:u w:val="single" w:color="auto"/>
          <w:color w:val="auto"/>
        </w:rPr>
        <w:t>Section 2.1(c)(iii)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as the case may be, Swing Line Lender shall be entitled to recover such amount on demand from such Lender, together with interest thereon for each day from the date of non-payment until such amount is paid in full at the Federal Funds Rate for the first two Business Days and at the Base Rate thereafter. Notwithstanding the foregoing provisions of this </w:t>
      </w:r>
      <w:r>
        <w:rPr>
          <w:rFonts w:ascii="Arial" w:cs="Arial" w:eastAsia="Arial" w:hAnsi="Arial"/>
          <w:sz w:val="18"/>
          <w:szCs w:val="18"/>
          <w:u w:val="single" w:color="auto"/>
          <w:color w:val="auto"/>
        </w:rPr>
        <w:t>Section 2.1(c)(v)</w:t>
      </w:r>
      <w:r>
        <w:rPr>
          <w:rFonts w:ascii="Arial" w:cs="Arial" w:eastAsia="Arial" w:hAnsi="Arial"/>
          <w:sz w:val="18"/>
          <w:szCs w:val="18"/>
          <w:color w:val="auto"/>
        </w:rPr>
        <w:t xml:space="preserve">, no Lender shall be required to make a Revolving Loan to any Borrower for the purpose of refunding a Swing Line Loan pursuant to </w:t>
      </w:r>
      <w:r>
        <w:rPr>
          <w:rFonts w:ascii="Arial" w:cs="Arial" w:eastAsia="Arial" w:hAnsi="Arial"/>
          <w:sz w:val="18"/>
          <w:szCs w:val="18"/>
          <w:u w:val="single" w:color="auto"/>
          <w:color w:val="auto"/>
        </w:rPr>
        <w:t>Section 2.1(c)(iii)</w:t>
      </w:r>
      <w:r>
        <w:rPr>
          <w:rFonts w:ascii="Arial" w:cs="Arial" w:eastAsia="Arial" w:hAnsi="Arial"/>
          <w:sz w:val="18"/>
          <w:szCs w:val="18"/>
          <w:color w:val="auto"/>
        </w:rPr>
        <w:t xml:space="preserve"> above or to purchase a participating interest in a Swing Line Loan pursuant to </w:t>
      </w:r>
      <w:r>
        <w:rPr>
          <w:rFonts w:ascii="Arial" w:cs="Arial" w:eastAsia="Arial" w:hAnsi="Arial"/>
          <w:sz w:val="18"/>
          <w:szCs w:val="18"/>
          <w:u w:val="single" w:color="auto"/>
          <w:color w:val="auto"/>
        </w:rPr>
        <w:t>Section 2.1(c)(iv)</w:t>
      </w:r>
      <w:r>
        <w:rPr>
          <w:rFonts w:ascii="Arial" w:cs="Arial" w:eastAsia="Arial" w:hAnsi="Arial"/>
          <w:sz w:val="18"/>
          <w:szCs w:val="18"/>
          <w:color w:val="auto"/>
        </w:rPr>
        <w:t xml:space="preserve"> above, if an Event of Default or Unmatured Event of Default has occurred and is continuing and, prior to the making by Swing Line Lender of such Swing Line Loan, the applicable Swing Line Lender has received written notice from such Lender specifying that such Event of Default or Unmatured Event of Default has occurred and is continuing, describing the nature thereof and stating that, as a result thereof, such Lender shall cease to make such Refunded Swing Line Loans and purchase such participating interests,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obligation of such Lender to make such Refunded Swing Line Loans and to purchase such participating interests shall be reinstated upon the earlier to occur of (y) the date upon</w:t>
      </w:r>
    </w:p>
    <w:p>
      <w:pPr>
        <w:sectPr>
          <w:pgSz w:w="11900" w:h="16838" w:orient="portrait"/>
          <w:cols w:equalWidth="0" w:num="1">
            <w:col w:w="11240"/>
          </w:cols>
          <w:pgMar w:left="320" w:top="1419" w:right="339" w:bottom="1440" w:gutter="0" w:footer="0" w:header="0"/>
        </w:sectPr>
      </w:pPr>
    </w:p>
    <w:bookmarkStart w:id="190" w:name="page191"/>
    <w:bookmarkEnd w:id="190"/>
    <w:p>
      <w:pPr>
        <w:ind w:right="20"/>
        <w:spacing w:after="0" w:line="246" w:lineRule="auto"/>
        <w:rPr>
          <w:sz w:val="20"/>
          <w:szCs w:val="20"/>
          <w:color w:val="auto"/>
        </w:rPr>
      </w:pPr>
      <w:r>
        <w:rPr>
          <w:rFonts w:ascii="Arial" w:cs="Arial" w:eastAsia="Arial" w:hAnsi="Arial"/>
          <w:sz w:val="20"/>
          <w:szCs w:val="20"/>
          <w:color w:val="auto"/>
        </w:rPr>
        <w:t>which such Lender notifies Swing Line Lender that its prior notice has been withdrawn and (z) the date upon which the Event of Default or Unmatured Event of Default specified in such notice no longer is continuing.</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2.2 Evidence of Indebtedness; Repayment of Loans</w:t>
      </w:r>
    </w:p>
    <w:p>
      <w:pPr>
        <w:ind w:left="66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left="1300" w:firstLine="4"/>
        <w:spacing w:after="0" w:line="255" w:lineRule="auto"/>
        <w:tabs>
          <w:tab w:leader="none" w:pos="1592" w:val="left"/>
        </w:tabs>
        <w:numPr>
          <w:ilvl w:val="0"/>
          <w:numId w:val="8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Evidence of Indebtedness</w:t>
      </w:r>
      <w:r>
        <w:rPr>
          <w:rFonts w:ascii="Arial" w:cs="Arial" w:eastAsia="Arial" w:hAnsi="Arial"/>
          <w:sz w:val="18"/>
          <w:szCs w:val="18"/>
          <w:color w:val="auto"/>
        </w:rPr>
        <w:t xml:space="preserve">. At the request of any Lender (which request shall be made to Administrative Agent), each respective Borrower’s obligation to pay the principal of and interest on all the Loans made to it by such Lender shall be evidenced, (1) if Term Loans, by a promissory note duly executed and delivered by such Borrower substantially in the form of </w:t>
      </w:r>
      <w:r>
        <w:rPr>
          <w:rFonts w:ascii="Arial" w:cs="Arial" w:eastAsia="Arial" w:hAnsi="Arial"/>
          <w:sz w:val="18"/>
          <w:szCs w:val="18"/>
          <w:u w:val="single" w:color="auto"/>
          <w:color w:val="auto"/>
        </w:rPr>
        <w:t>Exhibit 2.2(a)(1)</w:t>
      </w:r>
      <w:r>
        <w:rPr>
          <w:rFonts w:ascii="Arial" w:cs="Arial" w:eastAsia="Arial" w:hAnsi="Arial"/>
          <w:sz w:val="18"/>
          <w:szCs w:val="18"/>
          <w:color w:val="auto"/>
        </w:rPr>
        <w:t xml:space="preserve"> hereto (or such other form as mutually agreed by Crown Holdings and the Administrative Agent), with blanks appropriately completed in conformity herewith and (2) if Revolving Loans, by a promissory note duly executed and delivered by such Borrower substantially in the form of </w:t>
      </w:r>
      <w:r>
        <w:rPr>
          <w:rFonts w:ascii="Arial" w:cs="Arial" w:eastAsia="Arial" w:hAnsi="Arial"/>
          <w:sz w:val="18"/>
          <w:szCs w:val="18"/>
          <w:u w:val="single" w:color="auto"/>
          <w:color w:val="auto"/>
        </w:rPr>
        <w:t>Exhibit 2.2(a)(2)</w:t>
      </w:r>
      <w:r>
        <w:rPr>
          <w:rFonts w:ascii="Arial" w:cs="Arial" w:eastAsia="Arial" w:hAnsi="Arial"/>
          <w:sz w:val="18"/>
          <w:szCs w:val="18"/>
          <w:color w:val="auto"/>
        </w:rPr>
        <w:t xml:space="preserve"> hereto (or such other form as mutually agreed by Crown Holdings and the Administrative Agent), with blanks appropriately completed in conformity herewith.</w:t>
      </w:r>
    </w:p>
    <w:p>
      <w:pPr>
        <w:spacing w:after="0" w:line="199" w:lineRule="exact"/>
        <w:rPr>
          <w:rFonts w:ascii="Arial" w:cs="Arial" w:eastAsia="Arial" w:hAnsi="Arial"/>
          <w:sz w:val="18"/>
          <w:szCs w:val="18"/>
          <w:u w:val="single" w:color="auto"/>
          <w:color w:val="auto"/>
        </w:rPr>
      </w:pPr>
    </w:p>
    <w:p>
      <w:pPr>
        <w:jc w:val="both"/>
        <w:ind w:left="1300" w:firstLine="4"/>
        <w:spacing w:after="0" w:line="232" w:lineRule="auto"/>
        <w:tabs>
          <w:tab w:leader="none" w:pos="1585" w:val="left"/>
        </w:tabs>
        <w:numPr>
          <w:ilvl w:val="0"/>
          <w:numId w:val="81"/>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Notation of Payments</w:t>
      </w:r>
      <w:r>
        <w:rPr>
          <w:rFonts w:ascii="Arial" w:cs="Arial" w:eastAsia="Arial" w:hAnsi="Arial"/>
          <w:sz w:val="20"/>
          <w:szCs w:val="20"/>
          <w:color w:val="auto"/>
        </w:rPr>
        <w:t>. Each Lender will note on its internal records the amount of each Loan made by it, the Applicable Currency of such Loan and each payment in respect thereof and will, prior to any transfer of any of its Notes, endorse on the reverse side thereof the outstanding principal amount of Loans evidenced thereby. Failure to make any such notation shall not affect any Borrower’s or any guarantor’s obligations hereunder or under the other applicable Loan Documents in respect of such Loans.</w:t>
      </w:r>
    </w:p>
    <w:p>
      <w:pPr>
        <w:spacing w:after="0" w:line="211" w:lineRule="exact"/>
        <w:rPr>
          <w:sz w:val="20"/>
          <w:szCs w:val="20"/>
          <w:color w:val="auto"/>
        </w:rPr>
      </w:pPr>
    </w:p>
    <w:p>
      <w:pPr>
        <w:jc w:val="both"/>
        <w:ind w:left="1300"/>
        <w:spacing w:after="0" w:line="256" w:lineRule="auto"/>
        <w:rPr>
          <w:sz w:val="20"/>
          <w:szCs w:val="20"/>
          <w:color w:val="auto"/>
        </w:rPr>
      </w:pPr>
      <w:r>
        <w:rPr>
          <w:rFonts w:ascii="Arial" w:cs="Arial" w:eastAsia="Arial" w:hAnsi="Arial"/>
          <w:sz w:val="18"/>
          <w:szCs w:val="18"/>
          <w:u w:val="single" w:color="auto"/>
          <w:color w:val="auto"/>
        </w:rPr>
        <w:t>(c)Repayment of Loans</w:t>
      </w:r>
      <w:r>
        <w:rPr>
          <w:rFonts w:ascii="Arial" w:cs="Arial" w:eastAsia="Arial" w:hAnsi="Arial"/>
          <w:sz w:val="18"/>
          <w:szCs w:val="18"/>
          <w:color w:val="auto"/>
        </w:rPr>
        <w:t xml:space="preserve">. Each Borrower hereby unconditionally promises to pay to Administrative Agent for the account of the relevant Lenders (i) in respect of Revolving Loans of such Borrower, on the applicable Revolver Termination Date (or such earlier date as, and to the extent that, such Revolving Loan becomes due and payable pursuant to the terms of this Agreement), the unpaid principal amount of each Revolving Loan made to it by each such Revolving Lender, in the Applicable Currency and (ii) in respect of Term Loans of such Borrower, on the applicable Term Maturity Date (or such earlier date as, and to the extent that, such Term Loan becomes due and payable pursuant to the terms of this Agreement), the unpaid principal amount of each Term Loan made to it by each such Term Lender, in the Applicable Currency. Each Borrower hereby further agrees to pay interest in immediately available funds (in the Applicable Currency) at the applicable Payment Office on the unpaid principal amount of the Revolving Loans and Term Loans made to it from time to time from the Effective Date until payment in full thereof at the rates per annum, and on the dates,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2.3 Minimum Amount of Each Borrowing; Maximum Number of Borrowings</w:t>
      </w:r>
      <w:r>
        <w:rPr>
          <w:rFonts w:ascii="Arial" w:cs="Arial" w:eastAsia="Arial" w:hAnsi="Arial"/>
          <w:sz w:val="18"/>
          <w:szCs w:val="18"/>
          <w:color w:val="auto"/>
        </w:rPr>
        <w:t xml:space="preserve">. The aggregate principal amount of each Borrowing by any Borrower hereunder shall be not less than the Minimum Borrowing Amount and, if greater, shall be in Minimum Borrowing Multiples above such minimum (or, if less, the then Total Available Dollar Revolving Commitment or the Total Available Multicurrency Revolving Commitment). More than one Borrowing may be incurred on any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no time shall there be outstanding more than (i) three</w:t>
      </w:r>
    </w:p>
    <w:p>
      <w:pPr>
        <w:jc w:val="both"/>
        <w:ind w:firstLine="8"/>
        <w:spacing w:after="0" w:line="231" w:lineRule="auto"/>
        <w:tabs>
          <w:tab w:leader="none" w:pos="294" w:val="left"/>
        </w:tabs>
        <w:numPr>
          <w:ilvl w:val="0"/>
          <w:numId w:val="82"/>
        </w:numPr>
        <w:rPr>
          <w:rFonts w:ascii="Arial" w:cs="Arial" w:eastAsia="Arial" w:hAnsi="Arial"/>
          <w:sz w:val="20"/>
          <w:szCs w:val="20"/>
          <w:color w:val="auto"/>
        </w:rPr>
      </w:pPr>
      <w:r>
        <w:rPr>
          <w:rFonts w:ascii="Arial" w:cs="Arial" w:eastAsia="Arial" w:hAnsi="Arial"/>
          <w:sz w:val="20"/>
          <w:szCs w:val="20"/>
          <w:color w:val="auto"/>
        </w:rPr>
        <w:t>Borrowings of Eurocurrency Loans with weekly Interest Periods in the aggregate by European Borrower and the Subsidiary Borrowers nor more than one (1) Borrowing of Eurocurrency Loans with a weekly Interest Period by U.S. Borrower nor (ii) unless approved by Administrative Agent in its reasonable discretion, ten (10) Borrowings of Eurocurrency Loans at any time.</w:t>
      </w:r>
    </w:p>
    <w:p>
      <w:pPr>
        <w:spacing w:after="0" w:line="211" w:lineRule="exact"/>
        <w:rPr>
          <w:sz w:val="20"/>
          <w:szCs w:val="20"/>
          <w:color w:val="auto"/>
        </w:rPr>
      </w:pPr>
    </w:p>
    <w:p>
      <w:pPr>
        <w:ind w:left="660" w:right="80"/>
        <w:spacing w:after="0" w:line="246" w:lineRule="auto"/>
        <w:rPr>
          <w:sz w:val="20"/>
          <w:szCs w:val="20"/>
          <w:color w:val="auto"/>
        </w:rPr>
      </w:pPr>
      <w:r>
        <w:rPr>
          <w:rFonts w:ascii="Arial" w:cs="Arial" w:eastAsia="Arial" w:hAnsi="Arial"/>
          <w:sz w:val="20"/>
          <w:szCs w:val="20"/>
          <w:u w:val="single" w:color="auto"/>
          <w:color w:val="auto"/>
        </w:rPr>
        <w:t>2.4Borrowing Options</w:t>
      </w:r>
      <w:r>
        <w:rPr>
          <w:rFonts w:ascii="Arial" w:cs="Arial" w:eastAsia="Arial" w:hAnsi="Arial"/>
          <w:sz w:val="20"/>
          <w:szCs w:val="20"/>
          <w:color w:val="auto"/>
        </w:rPr>
        <w:t>. The Term Loans and the Revolving Loans shall, at the option of the applicable Borrower except as otherwise provided in this Agreement, be (i) Base Rate Loans, (ii)</w:t>
      </w:r>
    </w:p>
    <w:p>
      <w:pPr>
        <w:sectPr>
          <w:pgSz w:w="11900" w:h="16838" w:orient="portrait"/>
          <w:cols w:equalWidth="0" w:num="1">
            <w:col w:w="11240"/>
          </w:cols>
          <w:pgMar w:left="320" w:top="1419" w:right="339" w:bottom="1440" w:gutter="0" w:footer="0" w:header="0"/>
        </w:sectPr>
      </w:pPr>
    </w:p>
    <w:bookmarkStart w:id="191" w:name="page192"/>
    <w:bookmarkEnd w:id="191"/>
    <w:p>
      <w:pPr>
        <w:spacing w:after="0" w:line="230" w:lineRule="auto"/>
        <w:rPr>
          <w:sz w:val="20"/>
          <w:szCs w:val="20"/>
          <w:color w:val="auto"/>
        </w:rPr>
      </w:pPr>
      <w:r>
        <w:rPr>
          <w:rFonts w:ascii="Arial" w:cs="Arial" w:eastAsia="Arial" w:hAnsi="Arial"/>
          <w:sz w:val="20"/>
          <w:szCs w:val="20"/>
          <w:color w:val="auto"/>
        </w:rPr>
        <w:t xml:space="preserve">Eurocurrency Loans, or (iii) part Base Rate Loans and part Eurocurrency Loans. The Term Loans and Revolving Loans denominated in Alternative Currencies shall be Eurocurrency Loans. As to any Eurocurrency Loan, any Lender may, if it so elects, fulfill its commitment by causing a foreign branch or affiliate with reasonable and appropriate capacities to fund such currency and without any increased cost to Borrowers to make or continue such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such event the funding of that Lender’s Loan shall, for the purposes of this Agreement, be considered to be the obligations of or to have been made by that Lender and the obligation of the applicable Borrower to repay that Lender’s Loan shall nevertheless be to that Lender and shall be deemed held by that Lender, for the account of such branch or affiliate.</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2.5 Notice of Borrowing</w:t>
      </w:r>
      <w:r>
        <w:rPr>
          <w:rFonts w:ascii="Arial" w:cs="Arial" w:eastAsia="Arial" w:hAnsi="Arial"/>
          <w:sz w:val="18"/>
          <w:szCs w:val="18"/>
          <w:color w:val="auto"/>
        </w:rPr>
        <w:t xml:space="preserve">. Whenever any Borrower desires to make a Borrowing of any Loan (other than a Swing Line Loan) hereunder, it shall give Administrative Agent at its Notice Address (i) in the case of Dollar denominated Loans, at least one Business Day’s prior written notice (or telephonic notice promptly confirmed in writing), given not later than 12:00 p.m. (New York City time), of each Base Rate Loan, and at least three Business Days’ prior written notice (or telephonic notice promptly confirmed in writing) given not later than 12:00 p.m. (New York City time), of each Eurocurrency Loan to be made hereunder and (ii) in the case of Alternative Currency Loans, at least three Business Days’ (one Business Day in the case of Alternative Currency Loans denominated in Sterling) prior written notice (or telephonic notice promptly confirmed in writing) given not later than 12:00 p.m. (London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Notice of Borrowing with respect to Borrowings to be made on the Incremental Amendment No. 2 and Third Amendment Effective Date may be delivered later than the time specified above but no later than (x) in the case of Dollar denominated Loans, 10:00 a.m. (New York City time) and (y) in the case of Alternative Currency Loans, 12:00 p.m. (London time), in each case, on the Business Day prior to the Incremental Amendment No. 2 and Third Amendment Effective Date. Whenever U.S. Borrower desires that Swing Line Lender make a Swing Line Loan in Dollars under </w:t>
      </w:r>
      <w:r>
        <w:rPr>
          <w:rFonts w:ascii="Arial" w:cs="Arial" w:eastAsia="Arial" w:hAnsi="Arial"/>
          <w:sz w:val="18"/>
          <w:szCs w:val="18"/>
          <w:u w:val="single" w:color="auto"/>
          <w:color w:val="auto"/>
        </w:rPr>
        <w:t>Section 2.1(c)(ii)</w:t>
      </w:r>
      <w:r>
        <w:rPr>
          <w:rFonts w:ascii="Arial" w:cs="Arial" w:eastAsia="Arial" w:hAnsi="Arial"/>
          <w:sz w:val="18"/>
          <w:szCs w:val="18"/>
          <w:color w:val="auto"/>
        </w:rPr>
        <w:t xml:space="preserve">, it shall deliver to Swing Line Lender and Administrative Agent prior to 11:00 a.m. (New York City time) on the date of Borrowing written notice (or telephonic notice promptly confirmed in writing). Whenever any Borrower (other than Canadian Borrower) desires that Swing Line Lender make a Swing Line Loan in any Alternative Currency under </w:t>
      </w:r>
      <w:r>
        <w:rPr>
          <w:rFonts w:ascii="Arial" w:cs="Arial" w:eastAsia="Arial" w:hAnsi="Arial"/>
          <w:sz w:val="18"/>
          <w:szCs w:val="18"/>
          <w:u w:val="single" w:color="auto"/>
          <w:color w:val="auto"/>
        </w:rPr>
        <w:t>Section 2.1(c)(ii)</w:t>
      </w:r>
      <w:r>
        <w:rPr>
          <w:rFonts w:ascii="Arial" w:cs="Arial" w:eastAsia="Arial" w:hAnsi="Arial"/>
          <w:sz w:val="18"/>
          <w:szCs w:val="18"/>
          <w:color w:val="auto"/>
        </w:rPr>
        <w:t>, the applicable Borrower shall deliver written notice (or telephone notice promptly confirmed in writing) to Swing Line Lender and U.K. Administrative Agent with a copy to the Administrative Agent prior to 9:30 a.m. (London time) on (i) with respect to Swing Line Loans denominated in Sterling, the date of such Borrowing and (ii) with respect to Swing Line Loans denominated in Euro, the date that is two Business Days prior to such Borrowing. Each such notice (each a “</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which shall be in the form of </w:t>
      </w:r>
      <w:r>
        <w:rPr>
          <w:rFonts w:ascii="Arial" w:cs="Arial" w:eastAsia="Arial" w:hAnsi="Arial"/>
          <w:sz w:val="18"/>
          <w:szCs w:val="18"/>
          <w:u w:val="single" w:color="auto"/>
          <w:color w:val="auto"/>
        </w:rPr>
        <w:t>Exhibit 2.5</w:t>
      </w:r>
      <w:r>
        <w:rPr>
          <w:rFonts w:ascii="Arial" w:cs="Arial" w:eastAsia="Arial" w:hAnsi="Arial"/>
          <w:sz w:val="18"/>
          <w:szCs w:val="18"/>
          <w:color w:val="auto"/>
        </w:rPr>
        <w:t xml:space="preserve"> hereto (or such other form as mutually agreed by Crown Holdings and the Administrative Agent), shall be irrevocable, shall be deemed a representation by such Borrower that all conditions precedent to such Borrowing have been satisfied and shall specify (i) the aggregate principal amount of the Loans to be made pursuant to such Borrowing stated in the relevant currency, (ii) the date of Borrowing (which shall be a Business Day), (iii) whether the Loans being made pursuant to such Borrowing are to be Swing Line Loans, and (iv) whether the Loans being made pursuant to such Borrowing are to be Dollar Revolving Loans or Multicurrency Revolving Loans, and, as applicable, whether such Loans are to be Base Rate Loans or Eurocurrency Loans and, with respect to Eurocurrency Loans, the Interest Period (other than with respect to Daily Simple RFR Loans) and Applicable Currency to be applicable thereto. Administrative Agent shall as promptly as practicable give each Lender that would be required to fund a portion of a proposed Borrowing written or telephonic notice (promptly confirmed in writing) of such proposed Borrowing, such Lender’s Revolver Pro Rata Share thereof and of the other matters covered by the Notice of Borrowing. Without in any way limiting any Borrower’s obligation to confirm in writing any telephonic notice, Administrative Agent or the Swing Line Lender (in the case of Swing Line Loans) or the respective Facing Agent (in the case of Letters of Credit) may act without liability</w:t>
      </w:r>
    </w:p>
    <w:p>
      <w:pPr>
        <w:sectPr>
          <w:pgSz w:w="11900" w:h="16838" w:orient="portrait"/>
          <w:cols w:equalWidth="0" w:num="1">
            <w:col w:w="10580"/>
          </w:cols>
          <w:pgMar w:left="980" w:top="1419" w:right="339" w:bottom="1440" w:gutter="0" w:footer="0" w:header="0"/>
        </w:sectPr>
      </w:pPr>
    </w:p>
    <w:bookmarkStart w:id="192" w:name="page193"/>
    <w:bookmarkEnd w:id="192"/>
    <w:p>
      <w:pPr>
        <w:jc w:val="both"/>
        <w:spacing w:after="0" w:line="248" w:lineRule="auto"/>
        <w:rPr>
          <w:sz w:val="20"/>
          <w:szCs w:val="20"/>
          <w:color w:val="auto"/>
        </w:rPr>
      </w:pPr>
      <w:r>
        <w:rPr>
          <w:rFonts w:ascii="Arial" w:cs="Arial" w:eastAsia="Arial" w:hAnsi="Arial"/>
          <w:sz w:val="19"/>
          <w:szCs w:val="19"/>
          <w:color w:val="auto"/>
        </w:rPr>
        <w:t>upon the basis of telephonic notice believed by Administrative Agent in good faith to be from a Responsible Officer of such Borrower prior to receipt of written confirmation. Administrative Agent’s records shall, absent manifest error, be final, conclusive and binding on each Borrower with respect to evidence of the terms of such telephonic Notice of Borrowing. Each Borrower hereby agrees not to dispute Administrative Agent’s or such Facing Agent’s record of the time of telephonic notice.</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2.6 Conversion or Continuation</w:t>
      </w:r>
      <w:r>
        <w:rPr>
          <w:rFonts w:ascii="Arial" w:cs="Arial" w:eastAsia="Arial" w:hAnsi="Arial"/>
          <w:sz w:val="18"/>
          <w:szCs w:val="18"/>
          <w:color w:val="auto"/>
        </w:rPr>
        <w:t xml:space="preserve">. Any Borrower may elect (i) on any Business Day to convert Base Rate Loans or any portion thereof to Eurocurrency Loans, (ii) at the end of any Interest Period with respect thereto, to convert Loans denominated in Dollars that are Eurocurrency Loans or any portion thereof into Base Rate Loans or to continue such Eurocurrency Loans or any portion thereof for an additional Interest Period and (iii) at the end of any Interest Period with respect thereto, to continue Loans (other than Daily Simple RFR Loans) denominated in an Alternative Currency for an additional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aggregate principal amount of the Eurocurrency Loans for each Interest Period therefor must be in an aggregate principal amount equal to the Minimum Borrowing Amount for Eurocurrency Loans or Minimum Borrowing Multiples in excess thereof. Each conversion or continuation of Loans of a Facility shall be allocated among the Loans of the Lenders in such Facility in accordance with their respective Pro Rata Shares. Each such election shall be in substantially the form of </w:t>
      </w:r>
      <w:r>
        <w:rPr>
          <w:rFonts w:ascii="Arial" w:cs="Arial" w:eastAsia="Arial" w:hAnsi="Arial"/>
          <w:sz w:val="18"/>
          <w:szCs w:val="18"/>
          <w:u w:val="single" w:color="auto"/>
          <w:color w:val="auto"/>
        </w:rPr>
        <w:t>Exhibit 2.6</w:t>
      </w:r>
      <w:r>
        <w:rPr>
          <w:rFonts w:ascii="Arial" w:cs="Arial" w:eastAsia="Arial" w:hAnsi="Arial"/>
          <w:sz w:val="18"/>
          <w:szCs w:val="18"/>
          <w:color w:val="auto"/>
        </w:rPr>
        <w:t xml:space="preserve"> hereto (or such other form as mutually agreed by Crown Holdings and the Administrative Agent) (a “</w:t>
      </w:r>
      <w:r>
        <w:rPr>
          <w:rFonts w:ascii="Arial" w:cs="Arial" w:eastAsia="Arial" w:hAnsi="Arial"/>
          <w:sz w:val="18"/>
          <w:szCs w:val="18"/>
          <w:u w:val="single" w:color="auto"/>
          <w:color w:val="auto"/>
        </w:rPr>
        <w:t>Notice of Conversion or Continuation</w:t>
      </w:r>
      <w:r>
        <w:rPr>
          <w:rFonts w:ascii="Arial" w:cs="Arial" w:eastAsia="Arial" w:hAnsi="Arial"/>
          <w:sz w:val="18"/>
          <w:szCs w:val="18"/>
          <w:color w:val="auto"/>
        </w:rPr>
        <w:t xml:space="preserve">”) and shall be made by giving Administrative Agent at least three Business Days’ (or one Business Day in the case of a continuation of Alternative Currency Loans denominated in Sterling or one Business Day in the case of a conversion into Base Rate Loans) prior written notice thereof to the Notice Address given not later than 12:00 p.m. (New York City time) (12:00 p.m. London time in the case of a continuation of an Alternative Currency Loan) specifying (i) the amount and type of conversion or continuation, (ii) in the case of a conversion to or a continuation of Eurocurrency Loans (other than Daily Simple RFR Loans), the Interest Period therefor, and (iii) in the case of a conversion, the date of conversion (which date shall be a Business Day). Notwithstanding the foregoing, no conversion in whole or in part of Base Rate Loans to Eurocurrency Loans, and no continuation in whole or in part of Eurocurrency Loans other than Loans denominated in Alternative Currencies, shall be permitted at any time at which an Event of Default shall have occurred and be continuing. If, within the time period required under the terms of this </w:t>
      </w:r>
      <w:r>
        <w:rPr>
          <w:rFonts w:ascii="Arial" w:cs="Arial" w:eastAsia="Arial" w:hAnsi="Arial"/>
          <w:sz w:val="18"/>
          <w:szCs w:val="18"/>
          <w:u w:val="single" w:color="auto"/>
          <w:color w:val="auto"/>
        </w:rPr>
        <w:t>Section 2.6</w:t>
      </w:r>
      <w:r>
        <w:rPr>
          <w:rFonts w:ascii="Arial" w:cs="Arial" w:eastAsia="Arial" w:hAnsi="Arial"/>
          <w:sz w:val="18"/>
          <w:szCs w:val="18"/>
          <w:color w:val="auto"/>
        </w:rPr>
        <w:t>, Administrative Agent does not receive a Notice of Conversion or Continuation from the applicable Borrower containing a permitted election to continue any Eurocurrency Loans (other than Daily Simple RFR Loans) for an additional Interest Period or to convert any such Loans, then, upon the expiration of the Interest Period therefor, such Loans will be automatically converted to Base Rate Loans or, in the case of an Alternative Currency Loan, Eurocurrency Loans in the same Applicable Currency with an Interest Period of one month. Each Notice of Conversion or Continuation shall be irrevocable.</w:t>
      </w:r>
    </w:p>
    <w:p>
      <w:pPr>
        <w:spacing w:after="0" w:line="21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u w:val="single" w:color="auto"/>
          <w:color w:val="auto"/>
        </w:rPr>
        <w:t>2.7 Disbursement of Funds</w:t>
      </w:r>
      <w:r>
        <w:rPr>
          <w:rFonts w:ascii="Arial" w:cs="Arial" w:eastAsia="Arial" w:hAnsi="Arial"/>
          <w:sz w:val="20"/>
          <w:szCs w:val="20"/>
          <w:color w:val="auto"/>
        </w:rPr>
        <w:t>. No later than 9:00 a.m. (local time at the place of funding) on the date specified in each Notice of Borrowing (3:30 p.m. local time at the place of funding in the case of Swing Line Loans), each applicable Lender will make available its Pro Rata Share of Loans, of the Borrowing requested to be made on such date in the Applicable Currency and in immediately available funds, at the Payment Office (for the account of such non-U.S. office of Administrative Agent as Administrative Agent may direct in the case of Eurocurrency Loans) and Administrative Agent will make available to the applicable Borrower at its Payment Office the aggregate of the amounts so made available by the Lenders not later than 10:00 a.m. (local time at the place of funding), or in the case of Swing Line Loans, 4:30 p.m. (local time in the place of funding). Unless Administrative Agent shall have been notified by any Lender at least one (1) Business Day prior to the date of Borrowing that such Lender does not intend to make available</w:t>
      </w:r>
    </w:p>
    <w:p>
      <w:pPr>
        <w:sectPr>
          <w:pgSz w:w="11900" w:h="16838" w:orient="portrait"/>
          <w:cols w:equalWidth="0" w:num="1">
            <w:col w:w="10580"/>
          </w:cols>
          <w:pgMar w:left="980" w:top="1419" w:right="339" w:bottom="1440" w:gutter="0" w:footer="0" w:header="0"/>
        </w:sectPr>
      </w:pPr>
    </w:p>
    <w:bookmarkStart w:id="193" w:name="page194"/>
    <w:bookmarkEnd w:id="193"/>
    <w:p>
      <w:pPr>
        <w:jc w:val="both"/>
        <w:spacing w:after="0" w:line="252" w:lineRule="auto"/>
        <w:rPr>
          <w:sz w:val="20"/>
          <w:szCs w:val="20"/>
          <w:color w:val="auto"/>
        </w:rPr>
      </w:pPr>
      <w:r>
        <w:rPr>
          <w:rFonts w:ascii="Arial" w:cs="Arial" w:eastAsia="Arial" w:hAnsi="Arial"/>
          <w:sz w:val="18"/>
          <w:szCs w:val="18"/>
          <w:color w:val="auto"/>
        </w:rPr>
        <w:t xml:space="preserve">to Administrative Agent such Lender’s portion of the Borrowing to be made on such date, Administrative Agent may assume that such Lender has made such amount available to Administrative Agent on such date of Borrowing and Administrative Agent may, but shall not be required to, in reliance upon such assumption, make available to the applicable Borrower a corresponding amount. If such corresponding amount is not in fact made available to Administrative Agent by such Lender on the date of Borrowing, Administrative Agent shall be entitled to recover such corresponding amount on demand from such Lender. If such Lender does not pay such corresponding amount forthwith upon Administrative Agent’s demand therefor, Administrative Agent shall promptly notify the applicable Borrower and, if so notified, the applicable Borrower shall immediately pay such corresponding amount to Administrative Agent. Administrative Agent shall also be entitled to recover from the applicable Borrower interest on such corresponding amount in respect of each day from the date such corresponding amount was made available by Administrative Agent to the applicable Borrower to the date such corresponding amount is recovered by Administrative Agent, at a rate per annum equal to the rate for Base Rate Loans or Eurocurrency Loans, as the case may be, applicable during the period in question;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interest paid to Administrative Agent in respect of such corresponding amount shall be credited against interest payable by Borrower to such Lender under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in respect of such corresponding amount. Any amount due hereunder to Administrative Agent from any Lender which is not paid when due shall bear interest payable by such Lender, from the date due until the date paid, at the Federal Funds Rate for amounts in Dollars (and, at Administrative Agent’s cost of funds for amounts in any Alternative Currency) for the first three days after the date such amount is due and thereafter at the Federal Funds Rate (or such cost of funds rate) plus 1%, together with Administrative Agent’s standard interbank processing fee. Further, such Lender shall be deemed to have assigned any and all payments made of principal and interest on its Loans, amounts due with respect to its Letters of Credit (or its participations therein) and any other amounts due to it hereunder first to Administrative Agent to fund any outstanding Loans made available on behalf of such Lender by Administrative Agent pursuant to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until such Loans have been funded (as a result of such assignment or otherwise) and then to fund Loans of all Lenders other than such Lender until each Lender has outstanding Loans equal to its Pro Rata Share of all Loans (as a result of such assignment or otherwise). Such Lender shall not have recourse against such Borrower with respect to any amounts paid to Administrative Agent or any Lender with respect to the preceding sentence,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have full recourse against such Borrower to the extent of the amount of such Loans it has so been deemed to have made. Nothing herein shall be deemed to relieve any Lender from its obligation to fulfill its Commitment hereunder or to prejudice any rights which such Borrower may have against the Lender as a result of any default by such Lender hereunder.</w:t>
      </w:r>
    </w:p>
    <w:p>
      <w:pPr>
        <w:spacing w:after="0" w:line="207" w:lineRule="exact"/>
        <w:rPr>
          <w:sz w:val="20"/>
          <w:szCs w:val="20"/>
          <w:color w:val="auto"/>
        </w:rPr>
      </w:pPr>
    </w:p>
    <w:p>
      <w:pPr>
        <w:ind w:right="5020"/>
        <w:spacing w:after="0" w:line="233" w:lineRule="auto"/>
        <w:rPr>
          <w:sz w:val="20"/>
          <w:szCs w:val="20"/>
          <w:color w:val="auto"/>
        </w:rPr>
      </w:pPr>
      <w:r>
        <w:rPr>
          <w:rFonts w:ascii="Arial" w:cs="Arial" w:eastAsia="Arial" w:hAnsi="Arial"/>
          <w:sz w:val="20"/>
          <w:szCs w:val="20"/>
          <w:u w:val="single" w:color="auto"/>
          <w:color w:val="auto"/>
        </w:rPr>
        <w:t xml:space="preserve">2.8 Utilization of Revolving Commitments in an Alternative Currency </w:t>
      </w:r>
      <w:r>
        <w:rPr>
          <w:rFonts w:ascii="Arial" w:cs="Arial" w:eastAsia="Arial" w:hAnsi="Arial"/>
          <w:sz w:val="20"/>
          <w:szCs w:val="20"/>
          <w:color w:val="auto"/>
        </w:rPr>
        <w:t>.</w:t>
      </w:r>
    </w:p>
    <w:p>
      <w:pPr>
        <w:spacing w:after="0" w:line="1" w:lineRule="exact"/>
        <w:rPr>
          <w:sz w:val="20"/>
          <w:szCs w:val="20"/>
          <w:color w:val="auto"/>
        </w:rPr>
      </w:pPr>
    </w:p>
    <w:p>
      <w:pPr>
        <w:jc w:val="both"/>
        <w:ind w:left="640" w:firstLine="4"/>
        <w:spacing w:after="0" w:line="239" w:lineRule="auto"/>
        <w:tabs>
          <w:tab w:leader="none" w:pos="922" w:val="left"/>
        </w:tabs>
        <w:numPr>
          <w:ilvl w:val="0"/>
          <w:numId w:val="83"/>
        </w:numPr>
        <w:rPr>
          <w:rFonts w:ascii="Arial" w:cs="Arial" w:eastAsia="Arial" w:hAnsi="Arial"/>
          <w:sz w:val="19"/>
          <w:szCs w:val="19"/>
          <w:color w:val="auto"/>
        </w:rPr>
      </w:pPr>
      <w:r>
        <w:rPr>
          <w:rFonts w:ascii="Arial" w:cs="Arial" w:eastAsia="Arial" w:hAnsi="Arial"/>
          <w:sz w:val="19"/>
          <w:szCs w:val="19"/>
          <w:color w:val="auto"/>
        </w:rPr>
        <w:t>Administrative Agent will determine the Dollar Equivalent amount with respect to any (i) Credit Event comprised of a borrowing of Revolving Loans denominated in an Alternative Currency as of the requested Credit Event date, (ii) outstanding Revolving Loans denominated in an Alternative Currency Loans as of the last Business Day of each Interest Period or Interest Payment Date, as applicable, for such Loan, (iii) Multicurrency Letter of Credit denominated in an Alternative Currency, each Determination Date and (iv) outstanding Revolving Loans and Unpaid Drawings denominated in an Alternative Currency as of any redenomination date pursuant to this Agreement (each such date under clauses (i) through (iv), a “</w:t>
      </w:r>
      <w:r>
        <w:rPr>
          <w:rFonts w:ascii="Arial" w:cs="Arial" w:eastAsia="Arial" w:hAnsi="Arial"/>
          <w:sz w:val="19"/>
          <w:szCs w:val="19"/>
          <w:u w:val="single" w:color="auto"/>
          <w:color w:val="auto"/>
        </w:rPr>
        <w:t>Computation Date</w:t>
      </w:r>
      <w:r>
        <w:rPr>
          <w:rFonts w:ascii="Arial" w:cs="Arial" w:eastAsia="Arial" w:hAnsi="Arial"/>
          <w:sz w:val="19"/>
          <w:szCs w:val="19"/>
          <w:color w:val="auto"/>
        </w:rPr>
        <w:t>”). Upon receipt of any Notice of Borrowing, Administrative Agent shall, as promptly as practicable, notify each applicable Revolving Lender thereof and of the amount of such Lender’s Revolver Pro Rata Share of the Borrowing. In the case of a Borrowing comprised of Revolving Loans</w:t>
      </w:r>
    </w:p>
    <w:p>
      <w:pPr>
        <w:sectPr>
          <w:pgSz w:w="11900" w:h="16838" w:orient="portrait"/>
          <w:cols w:equalWidth="0" w:num="1">
            <w:col w:w="10580"/>
          </w:cols>
          <w:pgMar w:left="980" w:top="1419" w:right="339" w:bottom="1440" w:gutter="0" w:footer="0" w:header="0"/>
        </w:sectPr>
      </w:pPr>
    </w:p>
    <w:bookmarkStart w:id="194" w:name="page195"/>
    <w:bookmarkEnd w:id="194"/>
    <w:p>
      <w:pPr>
        <w:jc w:val="both"/>
        <w:ind w:left="180"/>
        <w:spacing w:after="0" w:line="234" w:lineRule="auto"/>
        <w:rPr>
          <w:sz w:val="20"/>
          <w:szCs w:val="20"/>
          <w:color w:val="auto"/>
        </w:rPr>
      </w:pPr>
      <w:r>
        <w:rPr>
          <w:rFonts w:ascii="Arial" w:cs="Arial" w:eastAsia="Arial" w:hAnsi="Arial"/>
          <w:sz w:val="20"/>
          <w:szCs w:val="20"/>
          <w:color w:val="auto"/>
        </w:rPr>
        <w:t>denominated in an Alternative Currency, such notice will provide the approximate amount of each Lender’s Revolver Pro Rata Share of the Borrowing, and Administrative Agent will, upon the determination of the Dollar Equivalent amount of the Borrowing as specified in the Notice of Borrowing, promptly notify each Lender of the exact amount of such Lender’s Revolver Pro Rata Share of the Borrowing.</w:t>
      </w:r>
    </w:p>
    <w:p>
      <w:pPr>
        <w:spacing w:after="0" w:line="210" w:lineRule="exact"/>
        <w:rPr>
          <w:sz w:val="20"/>
          <w:szCs w:val="20"/>
          <w:color w:val="auto"/>
        </w:rPr>
      </w:pPr>
    </w:p>
    <w:p>
      <w:pPr>
        <w:jc w:val="both"/>
        <w:ind w:left="180" w:firstLine="4"/>
        <w:spacing w:after="0" w:line="255" w:lineRule="auto"/>
        <w:tabs>
          <w:tab w:leader="none" w:pos="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European Borrower shall be entitled to request that Multicurrency Revolving Loans hereunder also be permitted to be made in any other lawful currency constituting a eurocurrency (other than Dollars), in addition to the eurocurrencies specified in the definition of “Alternative Currency” herein, that in the reasonable opinion of each of the Multicurrency Revolving Lenders is at such time freely traded in the offshore interbank foreign exchange markets and is freely transferable and freely convertible into Dollars (an “</w:t>
      </w:r>
      <w:r>
        <w:rPr>
          <w:rFonts w:ascii="Arial" w:cs="Arial" w:eastAsia="Arial" w:hAnsi="Arial"/>
          <w:sz w:val="18"/>
          <w:szCs w:val="18"/>
          <w:u w:val="single" w:color="auto"/>
          <w:color w:val="auto"/>
        </w:rPr>
        <w:t>Agreed Alternative Currency</w:t>
      </w:r>
      <w:r>
        <w:rPr>
          <w:rFonts w:ascii="Arial" w:cs="Arial" w:eastAsia="Arial" w:hAnsi="Arial"/>
          <w:sz w:val="18"/>
          <w:szCs w:val="18"/>
          <w:color w:val="auto"/>
        </w:rPr>
        <w:t xml:space="preserve">”). European Borrower shall deliver to Administrative Agent any request for designation of an Agreed Alternative Currency in accordance with </w:t>
      </w:r>
      <w:r>
        <w:rPr>
          <w:rFonts w:ascii="Arial" w:cs="Arial" w:eastAsia="Arial" w:hAnsi="Arial"/>
          <w:sz w:val="18"/>
          <w:szCs w:val="18"/>
          <w:u w:val="single" w:color="auto"/>
          <w:color w:val="auto"/>
        </w:rPr>
        <w:t>Section 12.3</w:t>
      </w:r>
      <w:r>
        <w:rPr>
          <w:rFonts w:ascii="Arial" w:cs="Arial" w:eastAsia="Arial" w:hAnsi="Arial"/>
          <w:sz w:val="18"/>
          <w:szCs w:val="18"/>
          <w:color w:val="auto"/>
        </w:rPr>
        <w:t>, to be received by Administrative Agent not later than 11:00 a.m. (New York City time) at least ten (10) Business Days in advance of the date of any Borrowing hereunder proposed to be made in such Agreed Alternative Currency. Upon receipt of any such request Administrative Agent will promptly notify the applicable Multicurrency Revolving Lenders thereof, and each applicable Multicurrency Revolving Lender will use its best efforts to respond to such request within two (2) Business Days of receipt thereof. Each Multicurrency Revolving Lender may grant or accept such request in its sole discretion. Administrative Agent will promptly notify European Borrower of the acceptance or rejection of any such request.</w:t>
      </w:r>
    </w:p>
    <w:p>
      <w:pPr>
        <w:spacing w:after="0" w:line="196" w:lineRule="exact"/>
        <w:rPr>
          <w:sz w:val="20"/>
          <w:szCs w:val="20"/>
          <w:color w:val="auto"/>
        </w:rPr>
      </w:pPr>
    </w:p>
    <w:p>
      <w:pPr>
        <w:jc w:val="both"/>
        <w:ind w:left="180"/>
        <w:spacing w:after="0" w:line="253" w:lineRule="auto"/>
        <w:rPr>
          <w:sz w:val="20"/>
          <w:szCs w:val="20"/>
          <w:color w:val="auto"/>
        </w:rPr>
      </w:pPr>
      <w:r>
        <w:rPr>
          <w:rFonts w:ascii="Arial" w:cs="Arial" w:eastAsia="Arial" w:hAnsi="Arial"/>
          <w:sz w:val="18"/>
          <w:szCs w:val="18"/>
          <w:color w:val="auto"/>
        </w:rPr>
        <w:t>(c)In the case of a proposed Borrowing comprised of Multicurrency Revolving Loans denominated in an Agreed Alternative Currency, the Multicurrency Revolving Lenders shall be under no obligation to make such Loans in the requested Agreed Alternative Currency as part of such Borrowing if Administrative Agent has received notice from any of the Multicurrency Revolving Lenders by 3:00 p.m. (New York City time) three (3) Business Days prior to the day of such Borrowing that such Lender cannot provide Loans in the requested Agreed Alternative Currency, in which event Administrative Agent will give notice to Crown Holdings no later than 9:00 a.m. (London time) on the second Business Day prior to the requested date of such Borrowing that the Borrowing in the requested Agreed Alternative Currency is not then available, and notice thereof also will be given promptly by Administrative Agent to the Multicurrency Revolving Lenders. If Administrative Agent shall have so notified Crown Holdings that any such Borrowing in a requested Agreed Alternative Currency is not then available, the applicable Borrower may, by notice to Administrative Agent not later than 2:00 p.m. (London time) two (2) Business Days prior to the requested date of such Borrowing, withdraw the Notice of Borrowing relating to such requested Borrowing. If a Borrower does so withdraw such Notice of Borrowing, the Borrowing requested therein shall not occur and Administrative Agent will promptly so notify each Multicurrency Revolving Lender. If such Borrower does not so withdraw such Notice of Borrowing, Administrative Agent will promptly so notify each Multicurrency Revolving Lender and such Notice of Borrowing shall be deemed to be a Notice of Borrowing that requests a Borrowing comprised of Base Rate Loans in an aggregate amount equal to the Dollar Equivalent of the originally requested Borrowing in the Notice of Borrowing; and in such notice by Administrative Agent to each Lender will state such aggregate amount of such Borrowing in Dollars and such Lender’s Pro Rata Share thereof.</w:t>
      </w:r>
    </w:p>
    <w:p>
      <w:pPr>
        <w:spacing w:after="0" w:line="203" w:lineRule="exact"/>
        <w:rPr>
          <w:sz w:val="20"/>
          <w:szCs w:val="20"/>
          <w:color w:val="auto"/>
        </w:rPr>
      </w:pPr>
    </w:p>
    <w:p>
      <w:pPr>
        <w:ind w:left="180" w:firstLine="4"/>
        <w:spacing w:after="0" w:line="246" w:lineRule="auto"/>
        <w:tabs>
          <w:tab w:leader="none" w:pos="495"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In the case of a proposed continuation of Revolving Loans denominated in an Agreed Alternative Currency for an additional Interest Period pursuant to </w:t>
      </w:r>
      <w:r>
        <w:rPr>
          <w:rFonts w:ascii="Arial" w:cs="Arial" w:eastAsia="Arial" w:hAnsi="Arial"/>
          <w:sz w:val="20"/>
          <w:szCs w:val="20"/>
          <w:u w:val="single" w:color="auto"/>
          <w:color w:val="auto"/>
        </w:rPr>
        <w:t>Section 2.6</w:t>
      </w:r>
      <w:r>
        <w:rPr>
          <w:rFonts w:ascii="Arial" w:cs="Arial" w:eastAsia="Arial" w:hAnsi="Arial"/>
          <w:sz w:val="20"/>
          <w:szCs w:val="20"/>
          <w:color w:val="auto"/>
        </w:rPr>
        <w:t>, the</w:t>
      </w:r>
    </w:p>
    <w:p>
      <w:pPr>
        <w:sectPr>
          <w:pgSz w:w="11900" w:h="16838" w:orient="portrait"/>
          <w:cols w:equalWidth="0" w:num="1">
            <w:col w:w="10120"/>
          </w:cols>
          <w:pgMar w:left="1440" w:top="1419" w:right="339" w:bottom="1440" w:gutter="0" w:footer="0" w:header="0"/>
        </w:sectPr>
      </w:pPr>
    </w:p>
    <w:bookmarkStart w:id="195" w:name="page196"/>
    <w:bookmarkEnd w:id="195"/>
    <w:p>
      <w:pPr>
        <w:jc w:val="both"/>
        <w:ind w:left="640"/>
        <w:spacing w:after="0" w:line="254" w:lineRule="auto"/>
        <w:rPr>
          <w:sz w:val="20"/>
          <w:szCs w:val="20"/>
          <w:color w:val="auto"/>
        </w:rPr>
      </w:pPr>
      <w:r>
        <w:rPr>
          <w:rFonts w:ascii="Arial" w:cs="Arial" w:eastAsia="Arial" w:hAnsi="Arial"/>
          <w:sz w:val="18"/>
          <w:szCs w:val="18"/>
          <w:color w:val="auto"/>
        </w:rPr>
        <w:t>Multicurrency Revolving Lenders shall be under no obligation to continue such Loans if Administrative Agent has received notice from any of the Multicurrency Revolving Lenders by 4:00 p.m. (New York City time) four (4) Business Days prior to the day of such continuation that such Lender cannot continue to provide Loans in the Agreed Alternative Currency, in which event Administrative Agent will give notice to Crown Holdings not later than 9:00 a.m. (New York City time) on the third Business Day prior to the requested date of such continuation that the continuation of such Loans in the Agreed Alternative Currency is not then available, and notice thereof also will be given promptly by Administrative Agent to the Multicurrency Revolving Lenders. If Administrative Agent shall have so notified Crown Holdings that any such continuation of Loans is not then available, any Notice of Conversion or Continuation with respect thereto shall be deemed withdrawn and such Loans shall be redenominated into Base Rate Loans in Dollars with effect from the last day of the Interest Period with respect to any such Loans. Administrative Agent will promptly notify Crown Holdings and the Multicurrency Revolving Lenders of any such redenomination and in such notice by Administrative Agent to each Lender will state the aggregate Dollar Equivalent amount of the redenominated Alternative Currency Loans as of the Computation Date with respect thereto and such Lender’s Revolver Pro Rata Share thereof.</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2.9 Additional Facility</w:t>
      </w:r>
    </w:p>
    <w:p>
      <w:pPr>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left="640" w:firstLine="4"/>
        <w:spacing w:after="0" w:line="251" w:lineRule="auto"/>
        <w:tabs>
          <w:tab w:leader="none" w:pos="943"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U.S. Borrower and European Borrower shall have the right at any time (subject to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with respect to any Additional Facility the proceeds of which are being used to finance a Limited Condition Transaction, so long as no Event of Default then exists) and from time to time after the Incremental Amendment No. 2 and Third Amendment Effective Date to obtain and incur from one or more existing Lenders and/or other Persons that are Eligible Assignees and which, in each case, agree to make such commitments and loans to such Borrower, loans and commitments to make loans in an aggregate principal amount not to exceed the Incremental Cap, which loans and commitments may be incurred as (i) commitments to increase any tranche of Revolving Commitments (“</w:t>
      </w:r>
      <w:r>
        <w:rPr>
          <w:rFonts w:ascii="Arial" w:cs="Arial" w:eastAsia="Arial" w:hAnsi="Arial"/>
          <w:sz w:val="18"/>
          <w:szCs w:val="18"/>
          <w:u w:val="single" w:color="auto"/>
          <w:color w:val="auto"/>
        </w:rPr>
        <w:t>Additional Revolving Credit Commitments</w:t>
      </w:r>
      <w:r>
        <w:rPr>
          <w:rFonts w:ascii="Arial" w:cs="Arial" w:eastAsia="Arial" w:hAnsi="Arial"/>
          <w:sz w:val="18"/>
          <w:szCs w:val="18"/>
          <w:color w:val="auto"/>
        </w:rPr>
        <w:t>”), (ii) one or more additional tranches of revolving commitments (“</w:t>
      </w:r>
      <w:r>
        <w:rPr>
          <w:rFonts w:ascii="Arial" w:cs="Arial" w:eastAsia="Arial" w:hAnsi="Arial"/>
          <w:sz w:val="18"/>
          <w:szCs w:val="18"/>
          <w:u w:val="single" w:color="auto"/>
          <w:color w:val="auto"/>
        </w:rPr>
        <w:t>Additional Revolving Facility</w:t>
      </w:r>
      <w:r>
        <w:rPr>
          <w:rFonts w:ascii="Arial" w:cs="Arial" w:eastAsia="Arial" w:hAnsi="Arial"/>
          <w:sz w:val="18"/>
          <w:szCs w:val="18"/>
          <w:color w:val="auto"/>
        </w:rPr>
        <w:t xml:space="preserve">”) as allocated by Crown Holdings and the Lenders providing commitments in respect of such Additional Revolving Facility under a facility that would provide that such Additional Revolving Facility would have a final maturity no earlier than the latest existing Revolver Termination Date (except Additional Revolving Facilities in an aggregate principal amount not to exceed the Inside Maturity Date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terms and conditions of any Additional Revolving Facility, taken as a whole, shall be no more restrictive than those applicable to the existing Revolving Facilities (other than as to pricing, interest rate margins, interest rate floors, discounts, fees, premiums, other economic terms and maturity), except for covenants and other provisions applicable only to periods after the latest Revolver Termination Date at the time such Additional Revolving Facility is obtained (without regard to the maturity date of such Additional Revolving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to the extent the terms and conditions of such Additional Revolving Facility are not consistent with one or more of the existing Revolving Facilities (except to the extent permitted pursuant to the immediately preceding proviso or clause (Y) below), such terms and conditions may differ if reasonably satisfactory to Crown Holdings and the Administrative Agent or (Y) in the event such terms are more favorable (taken as a whole) to the Lenders providing such Additional Revolving Facilities, (A) the applicable Borrowers shall have the right to unilaterally provide the Lenders under the existing Revolving Facilities with additional rights and benefits and the “no more restrictive than” requirement of the preceding</w:t>
      </w:r>
    </w:p>
    <w:p>
      <w:pPr>
        <w:sectPr>
          <w:pgSz w:w="11900" w:h="16838" w:orient="portrait"/>
          <w:cols w:equalWidth="0" w:num="1">
            <w:col w:w="10580"/>
          </w:cols>
          <w:pgMar w:left="980" w:top="1419" w:right="339" w:bottom="1440" w:gutter="0" w:footer="0" w:header="0"/>
        </w:sectPr>
      </w:pPr>
    </w:p>
    <w:bookmarkStart w:id="196" w:name="page197"/>
    <w:bookmarkEnd w:id="196"/>
    <w:p>
      <w:pPr>
        <w:jc w:val="both"/>
        <w:ind w:left="180"/>
        <w:spacing w:after="0" w:line="251" w:lineRule="auto"/>
        <w:rPr>
          <w:sz w:val="20"/>
          <w:szCs w:val="20"/>
          <w:color w:val="auto"/>
        </w:rPr>
      </w:pPr>
      <w:r>
        <w:rPr>
          <w:rFonts w:ascii="Arial" w:cs="Arial" w:eastAsia="Arial" w:hAnsi="Arial"/>
          <w:sz w:val="18"/>
          <w:szCs w:val="18"/>
          <w:color w:val="auto"/>
        </w:rPr>
        <w:t>proviso and compliance therewith shall be determined after giving effect to such additional rights and benefits and (B) to the extent any financial maintenance covenant is added for the benefit of the Lenders under such Additional Revolving Facility, no consent shall be required from the Administrative Agent or any Lender to the extent that such financial maintenance covenant is also added for the benefit of the Revolving Facilities that remain outstanding after the commitments under such Additional Revolving Facility (to the extent not already benefitting from any similar financial maintenance covenant and to the extent that such financial maintenance covenant would be effective prior to the latest Revolving Termination Date for such Revolving Facilities) (it being understood and agreed that Crown Holdings may, at its option, deliver a certificate to the Administrative Agent certifying that the requirements of the provisos to this clause (ii)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(iii) one or more tranches of additional term loans (“</w:t>
      </w:r>
      <w:r>
        <w:rPr>
          <w:rFonts w:ascii="Arial" w:cs="Arial" w:eastAsia="Arial" w:hAnsi="Arial"/>
          <w:sz w:val="18"/>
          <w:szCs w:val="18"/>
          <w:u w:val="single" w:color="auto"/>
          <w:color w:val="auto"/>
        </w:rPr>
        <w:t>Additional Term Loans</w:t>
      </w:r>
      <w:r>
        <w:rPr>
          <w:rFonts w:ascii="Arial" w:cs="Arial" w:eastAsia="Arial" w:hAnsi="Arial"/>
          <w:sz w:val="18"/>
          <w:szCs w:val="18"/>
          <w:color w:val="auto"/>
        </w:rPr>
        <w:t xml:space="preserve">”) allocated by Crown Holdings and the Lenders providing such Additional Term Loans under a facility that would provide that the Additional Term Loans would have a Weighted Average Life to Maturity of not less than the existing Term Loans with the then longest Weighted Average Life to Maturity and a final maturity no earlier than the latest Term Loan A Maturity Date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Weighted Average Life to Maturity and final maturity limitations set forth in this clause (iii) shall not apply to Additional Term Loans in an aggregate principal amount not to exceed the Inside Maturity Date Amount and/or (iv) increases to one or more existing Term Facilities (collectively, the increases and tranches referred to in clauses (i)-(iv), the “</w:t>
      </w:r>
      <w:r>
        <w:rPr>
          <w:rFonts w:ascii="Arial" w:cs="Arial" w:eastAsia="Arial" w:hAnsi="Arial"/>
          <w:sz w:val="18"/>
          <w:szCs w:val="18"/>
          <w:u w:val="single" w:color="auto"/>
          <w:color w:val="auto"/>
        </w:rPr>
        <w:t>Additional Facilities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terms and conditions of any Additional Term Loans, taken as a whole, shall be no more restrictive than those applicable to the existing Term Facilities (other than as to pricing, interest rate margins, interest rate floors, discounts, fees, premiums, other economic terms, maturity and prepayment or redemption terms (provided that such Additional Facilities shall not include more favorable prepayment treatment than the other tranches of Term Loans)), except for covenants and other provisions applicable only to periods after the earlier to occur of the date that all other Term Loans are paid in full (other than Unasserted Contingent Obligations) and the latest Term Maturity Date at the time such Additional Term Loans are incurred (without regard to the maturity date of such Additional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to the extent the terms and conditions of such Additional Term Loans are not consistent with one or more of the existing Term Facilities (except to the extent permitted pursuant to the immediately preceding proviso or clause (Y) below), such terms and conditions may differ if reasonably satisfactory to Crown Holdings and the Administrative Agent or (Y) in the event such terms are more favorable (taken as a whole) to the Lenders providing such Additional Term Loans, (A) the applicable Borrowers shall have the right to unilaterally provide the existing Term Lenders with additional rights and benefits and the “no more restrictive than” requirement of the preceding proviso and compliance therewith shall be determined after giving effect to such additional rights and benefits and (B) to the extent any financial maintenance covenant is added for the benefit of the Lenders under such Additional Term Loans, no consent shall be required from the Administrative Agent or any Lender to the extent that such financial maintenance covenant is also added for the benefit of the Term Loans that remain outstanding after the issuance or incurrence of such Additional Term Loans (to the extent not already benefitting from any similar financial maintenance covenant and to the extent that such financial maintenance covenant would be effective prior to the latest Term Maturity Date for such Term Facilities) (it being understood and agreed that Crown Holdings may, at its</w:t>
      </w:r>
    </w:p>
    <w:p>
      <w:pPr>
        <w:sectPr>
          <w:pgSz w:w="11900" w:h="16838" w:orient="portrait"/>
          <w:cols w:equalWidth="0" w:num="1">
            <w:col w:w="10120"/>
          </w:cols>
          <w:pgMar w:left="1440" w:top="1419" w:right="339" w:bottom="1440" w:gutter="0" w:footer="0" w:header="0"/>
        </w:sectPr>
      </w:pPr>
    </w:p>
    <w:bookmarkStart w:id="197" w:name="page198"/>
    <w:bookmarkEnd w:id="197"/>
    <w:p>
      <w:pPr>
        <w:jc w:val="both"/>
        <w:ind w:left="180"/>
        <w:spacing w:after="0" w:line="252" w:lineRule="auto"/>
        <w:rPr>
          <w:sz w:val="20"/>
          <w:szCs w:val="20"/>
          <w:color w:val="auto"/>
        </w:rPr>
      </w:pPr>
      <w:r>
        <w:rPr>
          <w:rFonts w:ascii="Arial" w:cs="Arial" w:eastAsia="Arial" w:hAnsi="Arial"/>
          <w:sz w:val="18"/>
          <w:szCs w:val="18"/>
          <w:color w:val="auto"/>
        </w:rPr>
        <w:t xml:space="preserve">option, deliver a certificate to the Administrative Agent certifying that the requirements of the provisos to this clause (iii)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existing Lender approached to provide all or a portion of the Additional Facilities may elect or decline, in its sole discretion, to provide such Additional Facilities. Any Additional Facility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then-existing tranche of Loans and/or Revolving Commitments and/or Additional Facility Commitments in right of payment and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then-existing tranche of Loans incurred by and/or Revolving Commitments and/or Additional Facility Commitments made available to the same Borrower in right of guarantees and security. No Additional Facility may be (x) guaranteed by any Person which is not a Credit Party or (y) secured by any assets other than, to the extent secured on the same terms as the Obligations (including with respect to Collateral release), the Collateral. Each New Lender that becomes a Lender with respect to a tranche of Additional Facilities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hereby acknowledges and agrees that the term of each Term Facility, each Revolving Facility and each sub-facility thereof may be extended or replaced and that each New Lender, solely with respect to the Additional Facilities held by such New Lender, agrees in advance to any changes made to this Agreement and the other Loan Documents in order to implement such extension or replacement (including changes with respect to pricing, fees and other economic terms relating solely to such extended or replaced facility or facilities) as may be reasonably proposed to be made by Borrowers (Borrowers’ signatures to be conclusive evidence of such reasonability);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extension of an Additional Facility to which a New Lender is a party shall apply to such New Lender without its consent. Each New Lender hereby agrees to take such actions and execute and deliver such amendments, agreements, instruments or documents as the Administrative Agent may reasonably request to give effect to the preceding sentence;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provision shall not be construed to require a New Lender to execute any amendment, agreement, instrument or document which contains changes other than those relating solely to such extended or replaced facility or facilities.</w:t>
      </w:r>
    </w:p>
    <w:p>
      <w:pPr>
        <w:spacing w:after="0" w:line="212" w:lineRule="exact"/>
        <w:rPr>
          <w:sz w:val="20"/>
          <w:szCs w:val="20"/>
          <w:color w:val="auto"/>
        </w:rPr>
      </w:pPr>
    </w:p>
    <w:p>
      <w:pPr>
        <w:jc w:val="both"/>
        <w:ind w:left="180" w:firstLine="4"/>
        <w:spacing w:after="0"/>
        <w:tabs>
          <w:tab w:leader="none" w:pos="469"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In the event that U.S. Borrower or European Borrower desires to create an Additional Facility, such Borrower will enter into an amendment to this Agreement with the lenders providing such Additional Facility (who shall by execution thereof become Lenders hereunder if not theretofore Lenders) to provide for such Additional Facility, which amendment shall set forth any terms and conditions of the Additional Facility not covered by this Agreement as agreed by the applicable Borrower and such Lenders, and shall provide for the issuance of promissory notes to evidence the Additional Facility if requested by the Lenders making advances under the Additional Facility (which notes shall constitute Notes for purposes of this Agreement), with such amendment to be in form and substance reasonably acceptable to Administrative Agent and consistent with the terms of this </w:t>
      </w:r>
      <w:r>
        <w:rPr>
          <w:rFonts w:ascii="Arial" w:cs="Arial" w:eastAsia="Arial" w:hAnsi="Arial"/>
          <w:sz w:val="19"/>
          <w:szCs w:val="19"/>
          <w:u w:val="single" w:color="auto"/>
          <w:color w:val="auto"/>
        </w:rPr>
        <w:t>Section 2.9(b)</w:t>
      </w:r>
      <w:r>
        <w:rPr>
          <w:rFonts w:ascii="Arial" w:cs="Arial" w:eastAsia="Arial" w:hAnsi="Arial"/>
          <w:sz w:val="19"/>
          <w:szCs w:val="19"/>
          <w:color w:val="auto"/>
        </w:rPr>
        <w:t xml:space="preserve"> and of the other provisions of this Agreement. Notwithstanding anything herein to the contrary, no consent of any Lender (other than any Lender making loans or whose commitment is increased under such Additional Facility) is required to permit the Loans or commitments contemplated by this </w:t>
      </w:r>
      <w:r>
        <w:rPr>
          <w:rFonts w:ascii="Arial" w:cs="Arial" w:eastAsia="Arial" w:hAnsi="Arial"/>
          <w:sz w:val="19"/>
          <w:szCs w:val="19"/>
          <w:u w:val="single" w:color="auto"/>
          <w:color w:val="auto"/>
        </w:rPr>
        <w:t>Section 2.9(b)</w:t>
      </w:r>
      <w:r>
        <w:rPr>
          <w:rFonts w:ascii="Arial" w:cs="Arial" w:eastAsia="Arial" w:hAnsi="Arial"/>
          <w:sz w:val="19"/>
          <w:szCs w:val="19"/>
          <w:color w:val="auto"/>
        </w:rPr>
        <w:t xml:space="preserve"> or the aforesaid amendment to effectuate such Additional Facility.</w:t>
      </w:r>
    </w:p>
    <w:p>
      <w:pPr>
        <w:spacing w:after="0" w:line="216" w:lineRule="exact"/>
        <w:rPr>
          <w:sz w:val="20"/>
          <w:szCs w:val="20"/>
          <w:color w:val="auto"/>
        </w:rPr>
      </w:pPr>
    </w:p>
    <w:p>
      <w:pPr>
        <w:jc w:val="both"/>
        <w:ind w:left="180"/>
        <w:spacing w:after="0" w:line="237" w:lineRule="auto"/>
        <w:rPr>
          <w:sz w:val="20"/>
          <w:szCs w:val="20"/>
          <w:color w:val="auto"/>
        </w:rPr>
      </w:pPr>
      <w:r>
        <w:rPr>
          <w:rFonts w:ascii="Arial" w:cs="Arial" w:eastAsia="Arial" w:hAnsi="Arial"/>
          <w:sz w:val="20"/>
          <w:szCs w:val="20"/>
          <w:color w:val="auto"/>
        </w:rPr>
        <w:t>(c)Upon implementation of any Additional Revolving Credit Commitments or any new Additional Revolving Facility, (i) if such Additional Revolving Credit Commitments or Additional Revolving Facility, as applicable, is implemented either by increasing the</w:t>
      </w:r>
    </w:p>
    <w:p>
      <w:pPr>
        <w:sectPr>
          <w:pgSz w:w="11900" w:h="16838" w:orient="portrait"/>
          <w:cols w:equalWidth="0" w:num="1">
            <w:col w:w="10120"/>
          </w:cols>
          <w:pgMar w:left="1440" w:top="1419" w:right="339" w:bottom="1440" w:gutter="0" w:footer="0" w:header="0"/>
        </w:sectPr>
      </w:pPr>
    </w:p>
    <w:bookmarkStart w:id="198" w:name="page199"/>
    <w:bookmarkEnd w:id="198"/>
    <w:p>
      <w:pPr>
        <w:jc w:val="both"/>
        <w:ind w:left="180"/>
        <w:spacing w:after="0" w:line="251" w:lineRule="auto"/>
        <w:rPr>
          <w:sz w:val="20"/>
          <w:szCs w:val="20"/>
          <w:color w:val="auto"/>
        </w:rPr>
      </w:pPr>
      <w:r>
        <w:rPr>
          <w:rFonts w:ascii="Arial" w:cs="Arial" w:eastAsia="Arial" w:hAnsi="Arial"/>
          <w:sz w:val="18"/>
          <w:szCs w:val="18"/>
          <w:color w:val="auto"/>
        </w:rPr>
        <w:t xml:space="preserve">amount of then-existing Revolving Commitments under an existing Revolving Facility, or by increasing the amount of then-existing Additional Facility Commitments in respect of an Additional Revolving Facility (rather than by implementing a new Additional Revolving Facility tranche), (1) each Lender under such existing Facility immediately prior to such increase will automatically and without further act be deemed to have assigned to each relevant New Lender, and each relevant New Lender will automatically and without further act be deemed to have assumed, a portion of such Lender’s participations hereunder in outstanding Letters of Credit issued under such Facility such that, after giving effect to each deemed assignment and assumption of participations, all of the Lenders’ (including each New Lender’s) participations hereunder in Letters of Credit under such Facility shall be held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on the basis of their respective Revolving Commitments in respect of such Revolving Facility or Additional Facility Commitments in respect of such Additional Revolving Facility (after giving effect to any increase in such Commitments pursuant to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and (2) each existing Lender under the applicable Revolving Facility or Additional Revolving Facility shall assign Loans made by them under that Facility to certain other Lenders under that Facility (including the New Lenders providing the relevant new Additional Revolving Facility), and such other Lenders under that Facility (including the New Lenders providing the relevant new Additional Revolving Facility) shall purchase such Loans, in each case to the extent necessary so that all of the Lenders under that Facility participate in each outstanding borrowing of Loans under that Facility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on the basis of their respective Revolving Commitments in respect of such Revolving Facility or Additional Facility Commitments in respect of such Additional Revolving Facility (after giving effect to any increase in such Commitments pursuant to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it being understood and agreed that the minimum borrowing,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borrowing and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payment requirements contained elsewhere in this Agreement shall not apply to the transactions effected pursuant to this </w:t>
      </w:r>
      <w:r>
        <w:rPr>
          <w:rFonts w:ascii="Arial" w:cs="Arial" w:eastAsia="Arial" w:hAnsi="Arial"/>
          <w:sz w:val="18"/>
          <w:szCs w:val="18"/>
          <w:u w:val="single" w:color="auto"/>
          <w:color w:val="auto"/>
        </w:rPr>
        <w:t>clause (d)</w:t>
      </w:r>
      <w:r>
        <w:rPr>
          <w:rFonts w:ascii="Arial" w:cs="Arial" w:eastAsia="Arial" w:hAnsi="Arial"/>
          <w:sz w:val="18"/>
          <w:szCs w:val="18"/>
          <w:color w:val="auto"/>
        </w:rPr>
        <w:t>; and (ii) if such Additional Revolving Facility is implemented pursuant to a request to add one or more new Additional Revolving Facility tranches, (1) the borrowing and repayment (except for (A) payments of interest and fees at different rates on any then-existing Revolving Facility having the same Borrowers as such Additional Revolving Facility (any such existing Revolving Facility, a “</w:t>
      </w:r>
      <w:r>
        <w:rPr>
          <w:rFonts w:ascii="Arial" w:cs="Arial" w:eastAsia="Arial" w:hAnsi="Arial"/>
          <w:sz w:val="18"/>
          <w:szCs w:val="18"/>
          <w:u w:val="single" w:color="auto"/>
          <w:color w:val="auto"/>
        </w:rPr>
        <w:t>Comparable Revolving Facility</w:t>
      </w:r>
      <w:r>
        <w:rPr>
          <w:rFonts w:ascii="Arial" w:cs="Arial" w:eastAsia="Arial" w:hAnsi="Arial"/>
          <w:sz w:val="18"/>
          <w:szCs w:val="18"/>
          <w:color w:val="auto"/>
        </w:rPr>
        <w:t xml:space="preserve">”) and such new Additional Revolving Facility, (B) repayments required upon the Maturity Date of the then-existing Comparable Revolving Facility and such new Additional Comparable Revolving Facility and (C) repayments made in connection with any permanent repayment and termination of commitments (subject to clause (3) below)) after the effective date of Additional Facility Commitments in respect of such Additional Revolving Facility shall be made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between the then-outstanding Comparable Revolving Facility (if any) and the new Additional Revolving Facility, (2) any swing line loans made, or letters of credit issued, as applicable, after the effective date of Additional Facility Commitments in respect of such Additional Revolving Facility, shall be made or issued to the extent reasonably practicable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between the then-outstanding Comparable Revolving Facility (if any) and the new Additional Revolving Facility and (3) the permanent repayment of Loans with respect to, and termination of commitments under, such new Additional Revolving Facility shall be made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between the then-outstanding Comparable Revolving Facility and the new Additional Revolving Facility, except that the Borrowers under such new Additional Revolving Facility shall be permitted to permanently repay and terminate commitments under such Additional Revolving Facility on a greater than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than any other Comparable Revolving Facility that has a later Maturity Date than such Additional Revolving Facility either at the time of incurrence of such Additional Revolving Facility or on the date that such</w:t>
      </w:r>
    </w:p>
    <w:p>
      <w:pPr>
        <w:sectPr>
          <w:pgSz w:w="11900" w:h="16838" w:orient="portrait"/>
          <w:cols w:equalWidth="0" w:num="1">
            <w:col w:w="10120"/>
          </w:cols>
          <w:pgMar w:left="1440" w:top="1419" w:right="339" w:bottom="1440" w:gutter="0" w:footer="0" w:header="0"/>
        </w:sectPr>
      </w:pPr>
    </w:p>
    <w:bookmarkStart w:id="199" w:name="page200"/>
    <w:bookmarkEnd w:id="199"/>
    <w:p>
      <w:pPr>
        <w:ind w:left="180"/>
        <w:spacing w:after="0"/>
        <w:rPr>
          <w:sz w:val="20"/>
          <w:szCs w:val="20"/>
          <w:color w:val="auto"/>
        </w:rPr>
      </w:pPr>
      <w:r>
        <w:rPr>
          <w:rFonts w:ascii="Arial" w:cs="Arial" w:eastAsia="Arial" w:hAnsi="Arial"/>
          <w:sz w:val="20"/>
          <w:szCs w:val="20"/>
          <w:color w:val="auto"/>
        </w:rPr>
        <w:t>Revolving Facility is subsequently incurred after the incurrence of such new Additional Revolving Facility.</w:t>
      </w:r>
    </w:p>
    <w:p>
      <w:pPr>
        <w:spacing w:after="0" w:line="229" w:lineRule="exact"/>
        <w:rPr>
          <w:sz w:val="20"/>
          <w:szCs w:val="20"/>
          <w:color w:val="auto"/>
        </w:rPr>
      </w:pPr>
    </w:p>
    <w:p>
      <w:pPr>
        <w:jc w:val="both"/>
        <w:ind w:left="180" w:firstLine="4"/>
        <w:spacing w:after="0" w:line="251" w:lineRule="auto"/>
        <w:tabs>
          <w:tab w:leader="none" w:pos="466"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In addition, U.S. Borrower and European Borrower may utilize any portion of the Incremental Cap in effect at such time (subject to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with respect to any Incremental Equivalent Debt the proceeds of which are being used to finance a Limited Condition Transaction, so long as no Event of Default then exists) to issue or incur Indebtedness consisting of senior secured first lien term loans or notes in lieu of an Additional Term Facility (“</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(1) such Incremental Equivalent Debt shall have a Weighted Average Life to Maturity of not less than the existing Term Loans with the then longest Weighted Average Life to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Weighted Average Life to Maturity and final maturity limitations set forth in this clause (1) shall not apply to Incremental Equivalent Debt in an aggregate principal amount not to exceed the Inside Maturity Date Amount and (2) that the terms and conditions of such Incremental Equivalent Debt, taken as a whole, shall be no more restrictive than those applicable to the existing Term Facilities (other than as to pricing, interest rate margins, interest rate floors, discounts, fees, premiums, other economic terms, maturity and prepayment or redemption terms (provided that such Incremental Equivalent Debt shall not include more favorable prepayment treatment than the other tranches of Term Loans)), except for covenants and other provisions applicable only to periods after the earlier to occur of the date that all other Term Loans are paid in full (other than Unasserted Contingent Obligations) and the latest Term Maturity Date at the time such Incremental Equivalent Debt is incurred (without regard to the maturity date of such Incremental Equivalent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to the extent the terms and conditions of such Incremental Equivalent Debt are not consistent with one or more of the existing Term Facilities (except to the extent permitted pursuant to the immediately preceding proviso or clause (Y) below), such terms and conditions may differ if reasonably satisfactory to Crown Holdings and the Administrative Agent or (Y) in the event such terms are more favorable (taken as a whole) to the Lenders providing such Incremental Equivalent Debt, (A) the applicable Borrowers shall have the right to unilaterally provide the existing Term Lenders with additional rights and benefits and the “no more restrictive than” requirement of the preceding proviso and compliance therewith shall be determined after giving effect to such additional rights and benefits and</w:t>
      </w:r>
    </w:p>
    <w:p>
      <w:pPr>
        <w:spacing w:after="0" w:line="6" w:lineRule="exact"/>
        <w:rPr>
          <w:rFonts w:ascii="Arial" w:cs="Arial" w:eastAsia="Arial" w:hAnsi="Arial"/>
          <w:sz w:val="18"/>
          <w:szCs w:val="18"/>
          <w:color w:val="auto"/>
        </w:rPr>
      </w:pPr>
    </w:p>
    <w:p>
      <w:pPr>
        <w:jc w:val="both"/>
        <w:ind w:left="18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(B) to the extent any financial maintenance covenant is added for the benefit of the Lenders under such Incremental Equivalent Debt, no consent shall be required from the Administrative Agent or any Lender to the extent that such financial maintenance covenant is also added for the benefit of the Term Loans that remain outstanding after the issuance or incurrence of such Incremental Equivalent Debt (to the extent not already benefitting from any similar financial maintenance covenant and to the extent that such financial maintenance covenant would be effective prior to the latest Term Maturity Date for such Term Facilities) (it being understood and agreed that Crown Holdings may, at its option, deliver a certificate to the Administrative Agent certifying that the requirements of the provisos to this clause (iii) have been satisfied at least 5 Business Days prior to the incurrence of such Incremental Equivalent Debt,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Any Incremental Equivalent Debt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then-existing tranche of Loans and/or Revolving Commitments and/or Additional Facility Commitments in right of payment and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then-existing tranche of Loans incurred by and/or Revolving Commitments and/or Additional Facility Commitments made available to the same Borrower in right of guarantees and security and the holders of such</w:t>
      </w:r>
    </w:p>
    <w:p>
      <w:pPr>
        <w:sectPr>
          <w:pgSz w:w="11900" w:h="16838" w:orient="portrait"/>
          <w:cols w:equalWidth="0" w:num="1">
            <w:col w:w="10120"/>
          </w:cols>
          <w:pgMar w:left="1440" w:top="1419" w:right="339" w:bottom="1440" w:gutter="0" w:footer="0" w:header="0"/>
        </w:sectPr>
      </w:pPr>
    </w:p>
    <w:bookmarkStart w:id="200" w:name="page201"/>
    <w:bookmarkEnd w:id="200"/>
    <w:p>
      <w:pPr>
        <w:jc w:val="both"/>
        <w:ind w:left="1300"/>
        <w:spacing w:after="0" w:line="232" w:lineRule="auto"/>
        <w:rPr>
          <w:sz w:val="20"/>
          <w:szCs w:val="20"/>
          <w:color w:val="auto"/>
        </w:rPr>
      </w:pPr>
      <w:r>
        <w:rPr>
          <w:rFonts w:ascii="Arial" w:cs="Arial" w:eastAsia="Arial" w:hAnsi="Arial"/>
          <w:sz w:val="20"/>
          <w:szCs w:val="20"/>
          <w:color w:val="auto"/>
        </w:rPr>
        <w:t>Incremental Equivalent Debt (or their representative) and the Administrative Agent shall be party to a customary intercreditor agreement in form and substance reasonably acceptable to the Administrative Agent. No Incremental Equivalent Debt may be (x) incurred or guaranteed by any Person which is not a Credit Party or (y) secured by any assets other than, to the extent secured on the same terms as the Obligations (including with respect to Collateral release), the Collateral.</w:t>
      </w:r>
    </w:p>
    <w:p>
      <w:pPr>
        <w:spacing w:after="0" w:line="211" w:lineRule="exact"/>
        <w:rPr>
          <w:sz w:val="20"/>
          <w:szCs w:val="20"/>
          <w:color w:val="auto"/>
        </w:rPr>
      </w:pPr>
    </w:p>
    <w:p>
      <w:pPr>
        <w:jc w:val="both"/>
        <w:ind w:left="1300" w:firstLine="4"/>
        <w:spacing w:after="0" w:line="241" w:lineRule="auto"/>
        <w:tabs>
          <w:tab w:leader="none" w:pos="1573"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Notwithstanding anything contained herein, in the event the tranche of Additional Term Loans or Incremental Equivalent Debt is used to finance a Permitted Acquisition (including the Signode Acquisition) and to the extent the Lenders participating in such tranche of Additional Term Loans or Incremental Equivalent Debt, as applicable, agree, (x) only the Specified Representations and those representations of the seller or the target company (as applicable) included in the acquisition agreement related to such Permitted Acquisition that are material to the interests of the Lenders and only to the extent Crown Holdings or the Borrowers have the right to terminate its obligations under such acquisition agreement as a result of a breach of such representation shall be required to be true and correct in all material respects (other than to the extent qualified by materiality or “Material Adverse Effect”, in which case, such representations and warranties shall be true and correct) and (y) there shall only be a requirement that no Event of Default pursuant to </w:t>
      </w:r>
      <w:r>
        <w:rPr>
          <w:rFonts w:ascii="Arial" w:cs="Arial" w:eastAsia="Arial" w:hAnsi="Arial"/>
          <w:sz w:val="19"/>
          <w:szCs w:val="19"/>
          <w:u w:val="single" w:color="auto"/>
          <w:color w:val="auto"/>
        </w:rPr>
        <w:t>Sections 10.1(a)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w:t>
      </w:r>
      <w:r>
        <w:rPr>
          <w:rFonts w:ascii="Arial" w:cs="Arial" w:eastAsia="Arial" w:hAnsi="Arial"/>
          <w:sz w:val="19"/>
          <w:szCs w:val="19"/>
          <w:color w:val="auto"/>
        </w:rPr>
        <w:t xml:space="preserve"> shall have occurred and be continuing.</w:t>
      </w:r>
    </w:p>
    <w:p>
      <w:pPr>
        <w:spacing w:after="0" w:line="209" w:lineRule="exact"/>
        <w:rPr>
          <w:rFonts w:ascii="Arial" w:cs="Arial" w:eastAsia="Arial" w:hAnsi="Arial"/>
          <w:sz w:val="19"/>
          <w:szCs w:val="19"/>
          <w:color w:val="auto"/>
        </w:rPr>
      </w:pPr>
    </w:p>
    <w:p>
      <w:pPr>
        <w:ind w:left="1300" w:firstLine="4"/>
        <w:spacing w:after="0" w:line="246" w:lineRule="auto"/>
        <w:tabs>
          <w:tab w:leader="none" w:pos="1567"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4.5(a)</w:t>
      </w:r>
      <w:r>
        <w:rPr>
          <w:rFonts w:ascii="Arial" w:cs="Arial" w:eastAsia="Arial" w:hAnsi="Arial"/>
          <w:sz w:val="20"/>
          <w:szCs w:val="20"/>
          <w:color w:val="auto"/>
        </w:rPr>
        <w:t xml:space="preserve">, </w:t>
      </w:r>
      <w:r>
        <w:rPr>
          <w:rFonts w:ascii="Arial" w:cs="Arial" w:eastAsia="Arial" w:hAnsi="Arial"/>
          <w:sz w:val="20"/>
          <w:szCs w:val="20"/>
          <w:u w:val="single" w:color="auto"/>
          <w:color w:val="auto"/>
        </w:rPr>
        <w:t>10.5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12.1</w:t>
      </w:r>
      <w:r>
        <w:rPr>
          <w:rFonts w:ascii="Arial" w:cs="Arial" w:eastAsia="Arial" w:hAnsi="Arial"/>
          <w:sz w:val="20"/>
          <w:szCs w:val="20"/>
          <w:color w:val="auto"/>
        </w:rPr>
        <w:t xml:space="preserve"> to the contrary and shall be subject to </w:t>
      </w:r>
      <w:r>
        <w:rPr>
          <w:rFonts w:ascii="Arial" w:cs="Arial" w:eastAsia="Arial" w:hAnsi="Arial"/>
          <w:sz w:val="20"/>
          <w:szCs w:val="20"/>
          <w:u w:val="single" w:color="auto"/>
          <w:color w:val="auto"/>
        </w:rPr>
        <w:t>Section 1.6</w:t>
      </w:r>
      <w:r>
        <w:rPr>
          <w:rFonts w:ascii="Arial" w:cs="Arial" w:eastAsia="Arial" w:hAnsi="Arial"/>
          <w:sz w:val="20"/>
          <w:szCs w:val="20"/>
          <w:color w:val="auto"/>
        </w:rPr>
        <w: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2.10 Letters of Credit</w:t>
      </w:r>
    </w:p>
    <w:p>
      <w:pPr>
        <w:ind w:left="66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(a) Letter of Credit Commitments</w:t>
      </w:r>
      <w:r>
        <w:rPr>
          <w:rFonts w:ascii="Arial" w:cs="Arial" w:eastAsia="Arial" w:hAnsi="Arial"/>
          <w:sz w:val="20"/>
          <w:szCs w:val="20"/>
          <w:color w:val="auto"/>
        </w:rPr>
        <w:t>.</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Multicurrency Letters of Credit</w:t>
      </w:r>
      <w:r>
        <w:rPr>
          <w:rFonts w:ascii="Arial" w:cs="Arial" w:eastAsia="Arial" w:hAnsi="Arial"/>
          <w:sz w:val="18"/>
          <w:szCs w:val="18"/>
          <w:color w:val="auto"/>
        </w:rPr>
        <w:t xml:space="preserve">. Subject to and upon the terms and conditions herein set forth, U.S. Borrower or European Borrower may request, on behalf of itself or any Subsidiary or Unrestricted Entity, that any Facing Agent (other than the Canadian Facing Agent or the Dollar Facing Agent) issue, at any time and from time to time on and after the Incremental Amendment No. 2 and Third Amendment Effective Date, and prior to the 5th Business Day preceding the Revolver Termination Date for the Multicurrency Revolving Facility, for the account of such Borrower and for the benefit of any holder (or any trustee, agent or other similar representative for any such holder) of obligations of such Borrower, any of its Subsidiaries and any Unrestricted Entities (in the case of Unrestricted Entities, subject to the limitation on Investments in Unrestricted Entities set forth in </w:t>
      </w:r>
      <w:r>
        <w:rPr>
          <w:rFonts w:ascii="Arial" w:cs="Arial" w:eastAsia="Arial" w:hAnsi="Arial"/>
          <w:sz w:val="18"/>
          <w:szCs w:val="18"/>
          <w:u w:val="single" w:color="auto"/>
          <w:color w:val="auto"/>
        </w:rPr>
        <w:t>Section 8.4(m)</w:t>
      </w:r>
      <w:r>
        <w:rPr>
          <w:rFonts w:ascii="Arial" w:cs="Arial" w:eastAsia="Arial" w:hAnsi="Arial"/>
          <w:sz w:val="18"/>
          <w:szCs w:val="18"/>
          <w:color w:val="auto"/>
        </w:rPr>
        <w:t>), a letter of credit in Dollars or an Alternative Currency (other than Canadian Dollars), in a form customarily used by such Facing Agent, or in such other form as has been approved by such Facing Agent (the “</w:t>
      </w:r>
      <w:r>
        <w:rPr>
          <w:rFonts w:ascii="Arial" w:cs="Arial" w:eastAsia="Arial" w:hAnsi="Arial"/>
          <w:sz w:val="18"/>
          <w:szCs w:val="18"/>
          <w:u w:val="single" w:color="auto"/>
          <w:color w:val="auto"/>
        </w:rPr>
        <w:t>Multicurrency Letters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no Multicurrency Letter of Credit shall be issued the Dollar Equivalent of the Stated Amount of which, (i) when added to the Effective Amount of all Multicurrency LC Obligations (exclusive of Unpaid Drawings relating to Multicurrency Letters of Credit which are repaid on or prior to the date of, and prior to the issuance of, the respective Multicurrency Letter of Credit at such time), would exceed either (x) $275,000,000 or (y) when added to the Dollar Equivalent of the aggregate principal amount of all Multicurrency Revolving Loans, Swing Line Loans and Multicurrency LC Obligations then outstanding with respect to all Borrowers, the Total Multicurrency Revolving Commitment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aggregate face amount of all Multicurrency Letters of Credit issued and outstanding by any Facing Agent shall not exceed such Facing Agent’s Applicable LC Sublimit or (ii) when added to the Dollar Equivalent of the aggregate principal amount of all Multicurrency Revolving Loans, Multicurrency LC Obligations and Swing Line Loans of such Borrower, such Borrower’s Multicurrency Revolving Sublimit. Notwithstanding anything to the contrary in this </w:t>
      </w:r>
      <w:r>
        <w:rPr>
          <w:rFonts w:ascii="Arial" w:cs="Arial" w:eastAsia="Arial" w:hAnsi="Arial"/>
          <w:sz w:val="18"/>
          <w:szCs w:val="18"/>
          <w:u w:val="single" w:color="auto"/>
          <w:color w:val="auto"/>
        </w:rPr>
        <w:t>Section 2.10</w:t>
      </w:r>
      <w:r>
        <w:rPr>
          <w:rFonts w:ascii="Arial" w:cs="Arial" w:eastAsia="Arial" w:hAnsi="Arial"/>
          <w:sz w:val="18"/>
          <w:szCs w:val="18"/>
          <w:color w:val="auto"/>
        </w:rPr>
        <w:t>, at the request of the applicable requesting Borrower, any Multicurrency Letter of Credit</w:t>
      </w:r>
    </w:p>
    <w:p>
      <w:pPr>
        <w:sectPr>
          <w:pgSz w:w="11900" w:h="16838" w:orient="portrait"/>
          <w:cols w:equalWidth="0" w:num="1">
            <w:col w:w="11240"/>
          </w:cols>
          <w:pgMar w:left="320" w:top="1419" w:right="339" w:bottom="1440" w:gutter="0" w:footer="0" w:header="0"/>
        </w:sectPr>
      </w:pPr>
    </w:p>
    <w:bookmarkStart w:id="201" w:name="page202"/>
    <w:bookmarkEnd w:id="201"/>
    <w:p>
      <w:pPr>
        <w:jc w:val="both"/>
        <w:spacing w:after="0" w:line="248" w:lineRule="auto"/>
        <w:rPr>
          <w:sz w:val="20"/>
          <w:szCs w:val="20"/>
          <w:color w:val="auto"/>
        </w:rPr>
      </w:pPr>
      <w:r>
        <w:rPr>
          <w:rFonts w:ascii="Arial" w:cs="Arial" w:eastAsia="Arial" w:hAnsi="Arial"/>
          <w:sz w:val="19"/>
          <w:szCs w:val="19"/>
          <w:color w:val="auto"/>
        </w:rPr>
        <w:t xml:space="preserve">may contain a statement to the effect that such Multicurrency Letter of Credit is issued for the account of Crown Holdings, any of its Subsidiaries or any Unrestricted Entity;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such statement, such requesting Borrower shall be the actual account party for all purposes of the Loan Documents for such Multicurrency Letter of Credit and such statement shall not affect such requesting Borrower’s reimbursement obligations hereunder with respect to such Multicurrency Letter of Credit.</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Canadian Letters of Credit</w:t>
      </w:r>
      <w:r>
        <w:rPr>
          <w:rFonts w:ascii="Arial" w:cs="Arial" w:eastAsia="Arial" w:hAnsi="Arial"/>
          <w:sz w:val="18"/>
          <w:szCs w:val="18"/>
          <w:color w:val="auto"/>
        </w:rPr>
        <w:t>. Subject to and upon the terms and conditions herein set forth, Canadian Borrower may request, on behalf of itself, that the Canadian Facing Agent issue, at any time and from time to time on and after the Incremental Amendment No. 2 and Third Amendment Effective Date, and prior to the 5th Business Day preceding the Canadian Revolver Termination Date, for the account of such Borrower and for the benefit of any holder (or any trustee, agent or other similar representative for any such holder) of obligations of Canadian Borrower or any of its Subsidiaries, a letter of credit or letter of guarantee in Canadian Dollars, in a form customarily used by such Facing Agent, or in such other form as has been approved by such Facing Agent (a “</w:t>
      </w:r>
      <w:r>
        <w:rPr>
          <w:rFonts w:ascii="Arial" w:cs="Arial" w:eastAsia="Arial" w:hAnsi="Arial"/>
          <w:sz w:val="18"/>
          <w:szCs w:val="18"/>
          <w:u w:val="single" w:color="auto"/>
          <w:color w:val="auto"/>
        </w:rPr>
        <w:t>Canadian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 Canadian Letter of Credit shall be issued the Dollar Equivalent of the Stated Amount of which, when added to the Effective Amount of all Canadian LC Obligations (exclusive of Unpaid Drawings relating to Canadian Letters of Credit which are repaid on or prior to the date of, and prior to the issuance of, the respective Canadian Letter of Credit at such time), would exceed either (i) $10,000,000 or (ii) when added to the Dollar Equivalent of the aggregate principal amount of all Canadian Revolving Loans and Canadian LC Obligations then outstanding with respect to Canadian Borrower, the Total Canadian Revolving Commitment at such time.</w:t>
      </w:r>
    </w:p>
    <w:p>
      <w:pPr>
        <w:spacing w:after="0" w:line="20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u w:val="single" w:color="auto"/>
          <w:color w:val="auto"/>
        </w:rPr>
        <w:t>Dollar Letters of Credit</w:t>
      </w:r>
      <w:r>
        <w:rPr>
          <w:rFonts w:ascii="Arial" w:cs="Arial" w:eastAsia="Arial" w:hAnsi="Arial"/>
          <w:sz w:val="20"/>
          <w:szCs w:val="20"/>
          <w:color w:val="auto"/>
        </w:rPr>
        <w:t>. Subject to and upon the terms and conditions herein set forth, U.S. Borrower may request, on behalf of itself, that the Dollar Facing Agent issue, at any time and from time to time on and after the Incremental Amendment No. 2 and Third Amendment Effective Date, and prior to the 5th Business Day preceding the Revolver Termination Date for the Dollar Revolving Facility, for the account of such Borrower and for the benefit of any holder (or any trustee, agent or other similar representative for any such holder) of obligations of such U.S. Borrower or any of its Subsidiaries, a letter of credit in Dollars, in a form customarily used by such Facing Agent, or in such other form as has been approved by such Facing Agent (the “</w:t>
      </w:r>
      <w:r>
        <w:rPr>
          <w:rFonts w:ascii="Arial" w:cs="Arial" w:eastAsia="Arial" w:hAnsi="Arial"/>
          <w:sz w:val="20"/>
          <w:szCs w:val="20"/>
          <w:u w:val="single" w:color="auto"/>
          <w:color w:val="auto"/>
        </w:rPr>
        <w:t>Dollar Letters of 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no Dollar Letter of Credit shall be issued the Stated Amount of which, when added to the Effective Amount of all Dollar LC Obligations (exclusive of Unpaid Drawings relating to Dollar Letters of Credit which are repaid on or prior to the date of, and prior to the issuance of, the respective Dollar Letter of Credit at such time), would exceed either (i) $25,000,000 or (ii) when added to the Dollar Equivalent of the aggregate principal amount of all Dollar Revolving Loans and Dollar LC Obligations then outstanding with respect to the U.S. Borrower, the Total Dollar Revolving Commitment at such time.</w:t>
      </w:r>
    </w:p>
    <w:p>
      <w:pPr>
        <w:spacing w:after="0" w:line="216" w:lineRule="exact"/>
        <w:rPr>
          <w:sz w:val="20"/>
          <w:szCs w:val="20"/>
          <w:color w:val="auto"/>
        </w:rPr>
      </w:pPr>
    </w:p>
    <w:p>
      <w:pPr>
        <w:jc w:val="both"/>
        <w:ind w:left="660" w:hanging="4"/>
        <w:spacing w:after="0" w:line="241" w:lineRule="auto"/>
        <w:tabs>
          <w:tab w:leader="none" w:pos="949" w:val="left"/>
        </w:tabs>
        <w:numPr>
          <w:ilvl w:val="0"/>
          <w:numId w:val="9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Obligation of Facing Agent to Issue Letter of Credit</w:t>
      </w:r>
      <w:r>
        <w:rPr>
          <w:rFonts w:ascii="Arial" w:cs="Arial" w:eastAsia="Arial" w:hAnsi="Arial"/>
          <w:sz w:val="19"/>
          <w:szCs w:val="19"/>
          <w:color w:val="auto"/>
        </w:rPr>
        <w:t xml:space="preserve">. Each Facing Agent may agree, in its sole discretion, that it will (subject to the terms and conditions contained herein), at any time and from time to time on or after the Incremental Amendment No. 2 and Third Amendment Effective Date and prior to the Revolver Termination Date for the Multicurrency Revolving Facility with respect to Multicurrency Letters of Credit, the Revolver Termination Date for the Dollar Revolving Facility with respect to the Dollar Letters of Credit and the Canadian Revolver Termination Date with respect to Canadian Letters of Credit, following its receipt of the respective Notice of Issuance, issue for the account of the applicable Borrower but subject to the last sentence of </w:t>
      </w:r>
      <w:r>
        <w:rPr>
          <w:rFonts w:ascii="Arial" w:cs="Arial" w:eastAsia="Arial" w:hAnsi="Arial"/>
          <w:sz w:val="19"/>
          <w:szCs w:val="19"/>
          <w:u w:val="single" w:color="auto"/>
          <w:color w:val="auto"/>
        </w:rPr>
        <w:t>Section 2.10(a)(i)</w:t>
      </w:r>
      <w:r>
        <w:rPr>
          <w:rFonts w:ascii="Arial" w:cs="Arial" w:eastAsia="Arial" w:hAnsi="Arial"/>
          <w:sz w:val="19"/>
          <w:szCs w:val="19"/>
          <w:color w:val="auto"/>
        </w:rPr>
        <w:t xml:space="preserve">, one or more Letters of Credit in support of the obligations of the applicable Borrower, any of its Subsidiaries or any Unrestricted Entities, </w:t>
      </w:r>
      <w:r>
        <w:rPr>
          <w:rFonts w:ascii="Arial" w:cs="Arial" w:eastAsia="Arial" w:hAnsi="Arial"/>
          <w:sz w:val="19"/>
          <w:szCs w:val="19"/>
          <w:u w:val="single" w:color="auto"/>
          <w:color w:val="auto"/>
        </w:rPr>
        <w:t>provided</w:t>
      </w:r>
      <w:r>
        <w:rPr>
          <w:rFonts w:ascii="Arial" w:cs="Arial" w:eastAsia="Arial" w:hAnsi="Arial"/>
          <w:sz w:val="19"/>
          <w:szCs w:val="19"/>
          <w:color w:val="auto"/>
        </w:rPr>
        <w:t>, that the respective Facing Agent shall be under no obligation to issue any Letter of Credit of the types described above if at the time of such issuance:</w:t>
      </w:r>
    </w:p>
    <w:p>
      <w:pPr>
        <w:sectPr>
          <w:pgSz w:w="11900" w:h="16838" w:orient="portrait"/>
          <w:cols w:equalWidth="0" w:num="1">
            <w:col w:w="11240"/>
          </w:cols>
          <w:pgMar w:left="320" w:top="1419" w:right="339" w:bottom="1440" w:gutter="0" w:footer="0" w:header="0"/>
        </w:sectPr>
      </w:pPr>
    </w:p>
    <w:bookmarkStart w:id="202" w:name="page203"/>
    <w:bookmarkEnd w:id="202"/>
    <w:p>
      <w:pPr>
        <w:jc w:val="both"/>
        <w:ind w:left="180" w:firstLine="4"/>
        <w:spacing w:after="0" w:line="257" w:lineRule="auto"/>
        <w:tabs>
          <w:tab w:leader="none" w:pos="423"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purport by its terms to enjoin or restrain such Facing Agent from issuing such Letter of Credit or any Requirement of Law applicable to such Facing Agent from any Governmental Authority with jurisdiction over such Facing Agent shall prohibit, or request that such Facing Agent refrain from, the issuance of letters of credit generally or such Letter of Credit in particular or shall impose upon such Facing Agent with respect to such Letter of Credit any restriction or reserve or capital requirement (for which such Facing Agent is not otherwise compensated) not in effect on the Incremental Amendment No. 2 and Third Amendment Effective Date, or any unreimbursed loss, cost or expense which was not applicable, in effect or known to such Facing Agent as of the Incremental Amendment No. 2 and Third Amendment Effective Date and which such Facing Agent in good faith deems material to it;</w:t>
      </w:r>
    </w:p>
    <w:p>
      <w:pPr>
        <w:spacing w:after="0" w:line="197" w:lineRule="exact"/>
        <w:rPr>
          <w:rFonts w:ascii="Arial" w:cs="Arial" w:eastAsia="Arial" w:hAnsi="Arial"/>
          <w:sz w:val="18"/>
          <w:szCs w:val="18"/>
          <w:color w:val="auto"/>
        </w:rPr>
      </w:pPr>
    </w:p>
    <w:p>
      <w:pPr>
        <w:ind w:left="180" w:firstLine="4"/>
        <w:spacing w:after="0" w:line="246" w:lineRule="auto"/>
        <w:tabs>
          <w:tab w:leader="none" w:pos="482" w:val="left"/>
        </w:tabs>
        <w:numPr>
          <w:ilvl w:val="0"/>
          <w:numId w:val="91"/>
        </w:numPr>
        <w:rPr>
          <w:rFonts w:ascii="Arial" w:cs="Arial" w:eastAsia="Arial" w:hAnsi="Arial"/>
          <w:sz w:val="20"/>
          <w:szCs w:val="20"/>
          <w:color w:val="auto"/>
        </w:rPr>
      </w:pPr>
      <w:r>
        <w:rPr>
          <w:rFonts w:ascii="Arial" w:cs="Arial" w:eastAsia="Arial" w:hAnsi="Arial"/>
          <w:sz w:val="20"/>
          <w:szCs w:val="20"/>
          <w:color w:val="auto"/>
        </w:rPr>
        <w:t xml:space="preserve">such Facing Agent shall have received notice from any Lender prior to the issuance of such Letter of Credit of the type described in </w:t>
      </w:r>
      <w:r>
        <w:rPr>
          <w:rFonts w:ascii="Arial" w:cs="Arial" w:eastAsia="Arial" w:hAnsi="Arial"/>
          <w:sz w:val="20"/>
          <w:szCs w:val="20"/>
          <w:u w:val="single" w:color="auto"/>
          <w:color w:val="auto"/>
        </w:rPr>
        <w:t>Section 2.10(b)(iii)(A)(v)</w:t>
      </w:r>
      <w:r>
        <w:rPr>
          <w:rFonts w:ascii="Arial" w:cs="Arial" w:eastAsia="Arial" w:hAnsi="Arial"/>
          <w:sz w:val="20"/>
          <w:szCs w:val="20"/>
          <w:color w:val="auto"/>
        </w:rPr>
        <w:t>; or</w:t>
      </w:r>
    </w:p>
    <w:p>
      <w:pPr>
        <w:spacing w:after="0" w:line="203" w:lineRule="exact"/>
        <w:rPr>
          <w:rFonts w:ascii="Arial" w:cs="Arial" w:eastAsia="Arial" w:hAnsi="Arial"/>
          <w:sz w:val="20"/>
          <w:szCs w:val="20"/>
          <w:color w:val="auto"/>
        </w:rPr>
      </w:pPr>
    </w:p>
    <w:p>
      <w:pPr>
        <w:ind w:left="540" w:hanging="356"/>
        <w:spacing w:after="0"/>
        <w:tabs>
          <w:tab w:leader="none" w:pos="5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issuance of such Letter of Credit would violate one or more policies of such Facing Agent.</w:t>
      </w:r>
    </w:p>
    <w:p>
      <w:pPr>
        <w:spacing w:after="0" w:line="229" w:lineRule="exact"/>
        <w:rPr>
          <w:rFonts w:ascii="Arial" w:cs="Arial" w:eastAsia="Arial" w:hAnsi="Arial"/>
          <w:sz w:val="20"/>
          <w:szCs w:val="20"/>
          <w:color w:val="auto"/>
        </w:rPr>
      </w:pPr>
    </w:p>
    <w:p>
      <w:pPr>
        <w:jc w:val="right"/>
        <w:ind w:left="1480" w:hanging="324"/>
        <w:spacing w:after="0" w:line="251" w:lineRule="auto"/>
        <w:rPr>
          <w:rFonts w:ascii="Arial" w:cs="Arial" w:eastAsia="Arial" w:hAnsi="Arial"/>
          <w:sz w:val="20"/>
          <w:szCs w:val="20"/>
          <w:color w:val="auto"/>
        </w:rPr>
      </w:pPr>
      <w:r>
        <w:rPr>
          <w:rFonts w:ascii="Arial" w:cs="Arial" w:eastAsia="Arial" w:hAnsi="Arial"/>
          <w:sz w:val="18"/>
          <w:szCs w:val="18"/>
          <w:color w:val="auto"/>
        </w:rPr>
        <w:t xml:space="preserve">A. Notwithstanding the foregoing, (i) each Multicurrency Letter of Credit, Dollar Letter of Credit and Canadian Letter of Credit shall have an expiry date occurring not later than one year after such Letter of Credit’s date of issuance, </w:t>
      </w:r>
      <w:r>
        <w:rPr>
          <w:rFonts w:ascii="Arial" w:cs="Arial" w:eastAsia="Arial" w:hAnsi="Arial"/>
          <w:sz w:val="18"/>
          <w:szCs w:val="18"/>
          <w:u w:val="single" w:color="auto"/>
          <w:color w:val="auto"/>
        </w:rPr>
        <w:t>provided</w:t>
      </w:r>
      <w:r>
        <w:rPr>
          <w:rFonts w:ascii="Arial" w:cs="Arial" w:eastAsia="Arial" w:hAnsi="Arial"/>
          <w:sz w:val="18"/>
          <w:szCs w:val="18"/>
          <w:color w:val="auto"/>
        </w:rPr>
        <w:t>, that any Multicurrency Letter of Credit, Dollar Letter of Credit or Canadian Letter of Credit may be automatically extendable for periods of up to one year so long as such Letter of Credit provides that the respective Facing Agent retains an option, satisfactory to such Facing Agent, to terminate such Letter of Credit within a specified period of time prior to each scheduled extension date; (ii) (x) no Multicurrency Letter of Credit shall have an expiry date occurring later than 10 days prior to the Revolver Termination Date for the Multicurrency Revolving Facility, (y) no Dollar Letter of Credit shall have an expiry date occurring later than 10 days prior to the Revolver Termination Date for the Dollar Revolving Facility and (z) no Canadian Letter of Credit shall have an expiry date occurring later than 10 days prior to the Canadian Revolver Termination Date; (iii) each Multicurrency Letter of Credit shall be denominated in Dollars, or in the respective Facing Agent’s sole discretion, an Alternative Currency, and be payable on a sight basis, each Dollar Letter of Credit shall be denominated in Dollars and be payable on a sight basis and each Canadian Letter of Credit shall be denominated in Canadian Dollars and be payable on a sight basis;</w:t>
      </w:r>
    </w:p>
    <w:p>
      <w:pPr>
        <w:spacing w:after="0" w:line="9" w:lineRule="exact"/>
        <w:rPr>
          <w:rFonts w:ascii="Arial" w:cs="Arial" w:eastAsia="Arial" w:hAnsi="Arial"/>
          <w:sz w:val="20"/>
          <w:szCs w:val="20"/>
          <w:color w:val="auto"/>
        </w:rPr>
      </w:pPr>
    </w:p>
    <w:p>
      <w:pPr>
        <w:jc w:val="both"/>
        <w:ind w:left="1480"/>
        <w:spacing w:after="0"/>
        <w:tabs>
          <w:tab w:leader="none" w:pos="1828" w:val="left"/>
        </w:tabs>
        <w:numPr>
          <w:ilvl w:val="2"/>
          <w:numId w:val="91"/>
        </w:numPr>
        <w:rPr>
          <w:rFonts w:ascii="Arial" w:cs="Arial" w:eastAsia="Arial" w:hAnsi="Arial"/>
          <w:sz w:val="19"/>
          <w:szCs w:val="19"/>
          <w:color w:val="auto"/>
        </w:rPr>
      </w:pPr>
      <w:r>
        <w:rPr>
          <w:rFonts w:ascii="Arial" w:cs="Arial" w:eastAsia="Arial" w:hAnsi="Arial"/>
          <w:sz w:val="19"/>
          <w:szCs w:val="19"/>
          <w:color w:val="auto"/>
        </w:rPr>
        <w:t xml:space="preserve">the Stated Amount of each Letter of Credit shall not be less than the Dollar Equivalent of $100,000 or such lesser amount as is acceptable to the respective Facing Agent; and (v) no Facing Agent will issue any Letter of Credit after it has received written notice from the applicable Borrower or the Required Lenders stating that an Event of Default or Unmatured Event of Default exists until such time as such Facing Agent shall have received a written notice of (x) rescission of such notice from the party or parties originally delivering the same or (y) a waiver of such Event of Default or Unmatured Event of Default by the Required Lenders (or all the Lenders to the extent required by </w:t>
      </w:r>
      <w:r>
        <w:rPr>
          <w:rFonts w:ascii="Arial" w:cs="Arial" w:eastAsia="Arial" w:hAnsi="Arial"/>
          <w:sz w:val="19"/>
          <w:szCs w:val="19"/>
          <w:u w:val="single" w:color="auto"/>
          <w:color w:val="auto"/>
        </w:rPr>
        <w:t>Section 12.1</w:t>
      </w:r>
      <w:r>
        <w:rPr>
          <w:rFonts w:ascii="Arial" w:cs="Arial" w:eastAsia="Arial" w:hAnsi="Arial"/>
          <w:sz w:val="19"/>
          <w:szCs w:val="19"/>
          <w:color w:val="auto"/>
        </w:rPr>
        <w:t>).</w:t>
      </w:r>
    </w:p>
    <w:p>
      <w:pPr>
        <w:sectPr>
          <w:pgSz w:w="11900" w:h="16838" w:orient="portrait"/>
          <w:cols w:equalWidth="0" w:num="1">
            <w:col w:w="10120"/>
          </w:cols>
          <w:pgMar w:left="1440" w:top="1419" w:right="339" w:bottom="1440" w:gutter="0" w:footer="0" w:header="0"/>
        </w:sectPr>
      </w:pPr>
    </w:p>
    <w:bookmarkStart w:id="203" w:name="page204"/>
    <w:bookmarkEnd w:id="203"/>
    <w:p>
      <w:pPr>
        <w:jc w:val="both"/>
        <w:ind w:left="1940" w:hanging="324"/>
        <w:spacing w:after="0"/>
        <w:tabs>
          <w:tab w:leader="none" w:pos="1932"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Notwithstanding the foregoing, in the event there is a Defaulting Lender, no Facing Agent shall be required to issue any Letter of Credit unless the respective Facing Agent is satisfied that the related exposure and the Defaulting Lender’s then outstanding Letter of Credit Exposure will be 100% covered by the Revolving Commitments and Canadian Revolving Commitments of the Non-Defaulting Lenders and/or cash collateral will be provided by the Borrowers in a manner satisfactory to it and Crown Holdings to eliminate such Facing Agent’s risk with respect to the participation in Letters of Credit of the Defaulting Lender or Lenders, including by cash collateralizing such Defaulting Lender or Lenders’ applicable Multicurrency Revolver Pro Rata Share or Canadian Revolver Pro Rata Share, as the case may be, of the applicable LC Obligations, and participating interests in any newly issued or increased Letter of Credit shall be allocated among Non-Defaulting Lenders in a manner consistent with </w:t>
      </w:r>
      <w:r>
        <w:rPr>
          <w:rFonts w:ascii="Arial" w:cs="Arial" w:eastAsia="Arial" w:hAnsi="Arial"/>
          <w:sz w:val="19"/>
          <w:szCs w:val="19"/>
          <w:u w:val="single" w:color="auto"/>
          <w:color w:val="auto"/>
        </w:rPr>
        <w:t>Section 2.12(a)(i)</w:t>
      </w:r>
      <w:r>
        <w:rPr>
          <w:rFonts w:ascii="Arial" w:cs="Arial" w:eastAsia="Arial" w:hAnsi="Arial"/>
          <w:sz w:val="19"/>
          <w:szCs w:val="19"/>
          <w:color w:val="auto"/>
        </w:rPr>
        <w:t xml:space="preserve"> (and such Defaulting Lender shall not participate therein).</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(c)Procedures for Issuance and Amendments of Letter of Credit</w:t>
      </w:r>
      <w:r>
        <w:rPr>
          <w:rFonts w:ascii="Arial" w:cs="Arial" w:eastAsia="Arial" w:hAnsi="Arial"/>
          <w:sz w:val="18"/>
          <w:szCs w:val="18"/>
          <w:color w:val="auto"/>
        </w:rPr>
        <w:t xml:space="preserve">. Whenever U.S. Borrower, European Borrower, any Subsidiary Borrower or Canadian Borrower desires that a Letter of Credit be issued, such Borrower shall give Administrative Agent and the respective Facing Agent written notice thereof prior to 1:00 p.m. (New York City time) at least five (5) Business Days (or such shorter period as may be acceptable to such Facing Agent) prior to the proposed date of issuance (which shall be a Business Day) which written notice shall be in the form of </w:t>
      </w:r>
      <w:r>
        <w:rPr>
          <w:rFonts w:ascii="Arial" w:cs="Arial" w:eastAsia="Arial" w:hAnsi="Arial"/>
          <w:sz w:val="18"/>
          <w:szCs w:val="18"/>
          <w:u w:val="single" w:color="auto"/>
          <w:color w:val="auto"/>
        </w:rPr>
        <w:t>Exhibit 2.10(c)</w:t>
      </w:r>
      <w:r>
        <w:rPr>
          <w:rFonts w:ascii="Arial" w:cs="Arial" w:eastAsia="Arial" w:hAnsi="Arial"/>
          <w:sz w:val="18"/>
          <w:szCs w:val="18"/>
          <w:color w:val="auto"/>
        </w:rPr>
        <w:t xml:space="preserve"> (or such other form as mutually agreed by Crown Holdings, the applicable Facing Agent and the Administrative Agent) (each, a “</w:t>
      </w:r>
      <w:r>
        <w:rPr>
          <w:rFonts w:ascii="Arial" w:cs="Arial" w:eastAsia="Arial" w:hAnsi="Arial"/>
          <w:sz w:val="18"/>
          <w:szCs w:val="18"/>
          <w:u w:val="single" w:color="auto"/>
          <w:color w:val="auto"/>
        </w:rPr>
        <w:t>Notice of Issuance</w:t>
      </w:r>
      <w:r>
        <w:rPr>
          <w:rFonts w:ascii="Arial" w:cs="Arial" w:eastAsia="Arial" w:hAnsi="Arial"/>
          <w:sz w:val="18"/>
          <w:szCs w:val="18"/>
          <w:color w:val="auto"/>
        </w:rPr>
        <w:t>”) and may be submitted via facsimile to the respective Facing Agent (who may rely upon such facsimile if it were an original thereof). Each such notice shall specify (A) the proposed issuance date and expiration date, (B) the name(s) of each obligor with respect to such Letter of Credit, (C) the applicable Borrower as the account party, (D) the name and address of the beneficiary (which Person shall be acceptable to the applicable Facing Agent), (E) the Stated Amount in Dollars, Canadian Dollars or, if applicable, the Alternative Currency, of such proposed Letter of Credit, (F) whether such Letter of Credit is to be a Multicurrency Letter of Credit, Dollar Letter of Credit or Canadian Letter of Credit and (G) the purpose of such Letter of Credit (which shall be acceptable to Administrative Agent and the applicable Facing Agent) and such other information as such Facing Agent may reasonably request. In addition, each Notice of Issuance shall contain a general description of the terms and conditions to be included in such proposed Letter of Credit (all of which terms and conditions shall be acceptable to the respective Facing Agent). Unless otherwise specified, all Letters of Credit will be governed by the Uniform Customs and Practices for Documentary Credit Operations as in effect on the date of issuance of such Letter of Credit. Each Notice of Issuance shall include any other documents as the respective Facing Agent customarily requires in connection therewith. From time to time while a Letter of Credit is outstanding and prior to the Revolver Termination Date for the Multicurrency Revolving Facility with respect to Multicurrency Letters of Credit, the Revolver Termination Date for the Dollar Revolving Facility with respect to Dollar Letters of Credit and the Canadian Revolver Termination Date with respect to Canadian Letters of Credit, the applicable Facing Agent will, upon written request received by the Facing Agent (with a copy sent by Borrower to Administrative Agent) at least three (3) Business Days (or such shorter time as the Facing Agent and Administrative Agent may agree in a particular instance in their sole discretion) prior to the proposed date of amendment, amend any Letter of Credit issued by it. Each such request for amendment of a Letter of Credit shall be made by facsimile, confirmed promptly in an original writing (each a “</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Request</w:t>
      </w:r>
      <w:r>
        <w:rPr>
          <w:rFonts w:ascii="Arial" w:cs="Arial" w:eastAsia="Arial" w:hAnsi="Arial"/>
          <w:sz w:val="18"/>
          <w:szCs w:val="18"/>
          <w:color w:val="auto"/>
        </w:rPr>
        <w:t>”) and shall specify in form and detail reasonably satisfactory to the Facing Agent: (i) the Letter of Credit to be amended; (ii) the proposed date of amendment of the Letter</w:t>
      </w:r>
    </w:p>
    <w:p>
      <w:pPr>
        <w:sectPr>
          <w:pgSz w:w="11900" w:h="16838" w:orient="portrait"/>
          <w:cols w:equalWidth="0" w:num="1">
            <w:col w:w="10580"/>
          </w:cols>
          <w:pgMar w:left="980" w:top="1419" w:right="339" w:bottom="1440" w:gutter="0" w:footer="0" w:header="0"/>
        </w:sectPr>
      </w:pPr>
    </w:p>
    <w:bookmarkStart w:id="204" w:name="page205"/>
    <w:bookmarkEnd w:id="204"/>
    <w:p>
      <w:pPr>
        <w:jc w:val="both"/>
        <w:ind w:left="660"/>
        <w:spacing w:after="0" w:line="256" w:lineRule="auto"/>
        <w:rPr>
          <w:sz w:val="20"/>
          <w:szCs w:val="20"/>
          <w:color w:val="auto"/>
        </w:rPr>
      </w:pPr>
      <w:r>
        <w:rPr>
          <w:rFonts w:ascii="Arial" w:cs="Arial" w:eastAsia="Arial" w:hAnsi="Arial"/>
          <w:sz w:val="18"/>
          <w:szCs w:val="18"/>
          <w:color w:val="auto"/>
        </w:rPr>
        <w:t>of Credit (which shall be a Business Day); (iii) the nature of the proposed amendment; and (iv) such other matters as the Facing Agent may require. The Facing Agent shall be under no obligation to amend any Letter of Credit if: (A) the Facing Agent would have no obligation at such time to issue such Letter of Credit in its amended form under the terms of this Agreement, or (B) the beneficiary of any such Letter of Credit does not accept the proposed amendment to the Letter of Credit. In the case of Multicurrency Letters of Credit, Dollar Letters of Credit and Canadian Letters of Credit, each Facing Agent shall, promptly after the issuance of or amendment or modification to such a Letter of Credit, give Administrative Agent and the applicable Borrower written notice of the issuance, amendment or modification of such Letter of Credit, accompanied by a copy of such issuance, amendment or modification. Promptly upon receipt of such notice, Administrative Agent shall give each Multicurrency Revolving Lender or Canadian Revolving Lender, as applicable, written notice of such issuance, amendment or modification, and if so requested by any such Lender, Administrative Agent shall provide such Lender with copies of such issuance, amendment or modification.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(d) Agreement to Repay Letter of Credit Payments</w:t>
      </w:r>
      <w:r>
        <w:rPr>
          <w:rFonts w:ascii="Arial" w:cs="Arial" w:eastAsia="Arial" w:hAnsi="Arial"/>
          <w:sz w:val="20"/>
          <w:szCs w:val="20"/>
          <w:color w:val="auto"/>
        </w:rPr>
        <w:t>.</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U.S. Borrower, European Borrower or Canadian Borrower, as the case may be, hereby agrees to reimburse (or to cause the applicable Subsidiary Borrower to reimburse) the respective Facing Agent, by making payment to Administrative Agent or the Canadian Administrative Agent, as the case may be, in immediately available funds in Dollars or Canadian Dollars, as the case may be at the Payment Office, for the Dollar Equivalent (or Canadian Dollar amount with respect to Canadian Dollar Letters of Credit) of any payment or disbursement made by such Facing Agent under and in accordance with any Letter of Credit (each such amount so paid or disbursed until reimbursed, an “</w:t>
      </w:r>
      <w:r>
        <w:rPr>
          <w:rFonts w:ascii="Arial" w:cs="Arial" w:eastAsia="Arial" w:hAnsi="Arial"/>
          <w:sz w:val="18"/>
          <w:szCs w:val="18"/>
          <w:u w:val="single" w:color="auto"/>
          <w:color w:val="auto"/>
        </w:rPr>
        <w:t>Unpaid</w:t>
      </w:r>
      <w:r>
        <w:rPr>
          <w:rFonts w:ascii="Arial" w:cs="Arial" w:eastAsia="Arial" w:hAnsi="Arial"/>
          <w:sz w:val="18"/>
          <w:szCs w:val="18"/>
          <w:color w:val="auto"/>
        </w:rPr>
        <w:t xml:space="preserve"> </w:t>
      </w:r>
      <w:r>
        <w:rPr>
          <w:rFonts w:ascii="Arial" w:cs="Arial" w:eastAsia="Arial" w:hAnsi="Arial"/>
          <w:sz w:val="18"/>
          <w:szCs w:val="18"/>
          <w:u w:val="single" w:color="auto"/>
          <w:color w:val="auto"/>
        </w:rPr>
        <w:t>Drawing</w:t>
      </w:r>
      <w:r>
        <w:rPr>
          <w:rFonts w:ascii="Arial" w:cs="Arial" w:eastAsia="Arial" w:hAnsi="Arial"/>
          <w:sz w:val="18"/>
          <w:szCs w:val="18"/>
          <w:color w:val="auto"/>
        </w:rPr>
        <w:t xml:space="preserve">”), no later than one Business Day after the date on which such Borrower receives notice of such payment or disbursement (if such Unpaid Drawing was in an Alternative Currency other than Canadian Dollars, then in the Dollar Equivalent amount of such Unpaid Drawing), with interest on the amount so paid or disbursed by such Facing Agent, to the extent not reimbursed prior to 12:00 Noon (New York City time) on the date of such payment or disbursement, from and including the date paid or disbursed to but excluding the date such Facing Agent is reimbursed therefor by such Borrower at a rate per annum which shall be the (A) Base Rate in effect from time to time plus the Applicable Base Rate Margin for Revolving Loans with respect to Multicurrency Letters of Credit in Dollars and Dollar Letters of Credit and (B) the Canadian Prime Rate plus the Applicable Canadian Prime Rate Margin for Canadian Letters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anything contained in this Agreement to the contrary notwithstanding, (i) unless such Borrower shall have notified Administrative Agent or the Canadian Administrative Agent, as the case may be and the applicable Facing Agent prior to 10:00 a.m. (New York City time) on the Business Day following receipt of such notice that the applicable Facing Agent will be reimbursed for the amount of such Unpaid Drawing with funds other than the proceeds of Revolving Loans or Canadian Revolving Loans, as the case may be, such Borrower shall be deemed to have timely given a Notice of Borrowing or Notice of Canadian Borrowing, as the case may be, to Administrative Agent or the Canadian Administrative Agent, as the case may be, requesting each Multicurrency Revolving Lender or Canadian Revolving Lender, as applicable, to make Revolving Loans or Canadian Revolving Loans, as applicable, which are Base Rate Loans or Canadian Prime Rate Loans, as the case may be on the date on which such Unpaid Drawing is honored in an amount equal to the Dollar Equivalent of the amount of such Unpaid Drawing and Administrative Agent or the Canadian Administrative Agent, as the case may be, shall, if such Notice of Borrowing is deemed given, promptly notify the Lenders thereof and (ii) unless any Event of Default shall have occurred and be continuing (in which event the procedures of </w:t>
      </w:r>
      <w:r>
        <w:rPr>
          <w:rFonts w:ascii="Arial" w:cs="Arial" w:eastAsia="Arial" w:hAnsi="Arial"/>
          <w:sz w:val="18"/>
          <w:szCs w:val="18"/>
          <w:u w:val="single" w:color="auto"/>
          <w:color w:val="auto"/>
        </w:rPr>
        <w:t>Section 2.10(e)</w:t>
      </w:r>
      <w:r>
        <w:rPr>
          <w:rFonts w:ascii="Arial" w:cs="Arial" w:eastAsia="Arial" w:hAnsi="Arial"/>
          <w:sz w:val="18"/>
          <w:szCs w:val="18"/>
          <w:color w:val="auto"/>
        </w:rPr>
        <w:t xml:space="preserve"> shall apply), each such Multicurrency Revolving Lender or Canadian Revolving Lender, as applicable, shall, on the date such drawing is honored, make Multicurrency Revolving Loans or Canadian Revolving Loans, as applicable, which are Base Rate Loans or Canadian Prime Rate Loans in the amount of its Multicurrency Revolver Pro Rata Share or Canadian Revolver Pro Rata Share of the Dollar Equivalent of such Unpaid Drawing, the proceeds of which shall be applied directly by</w:t>
      </w:r>
    </w:p>
    <w:p>
      <w:pPr>
        <w:sectPr>
          <w:pgSz w:w="11900" w:h="16838" w:orient="portrait"/>
          <w:cols w:equalWidth="0" w:num="1">
            <w:col w:w="11240"/>
          </w:cols>
          <w:pgMar w:left="320" w:top="1419" w:right="339" w:bottom="1440" w:gutter="0" w:footer="0" w:header="0"/>
        </w:sectPr>
      </w:pPr>
    </w:p>
    <w:bookmarkStart w:id="205" w:name="page206"/>
    <w:bookmarkEnd w:id="205"/>
    <w:p>
      <w:pPr>
        <w:jc w:val="both"/>
        <w:spacing w:after="0" w:line="254" w:lineRule="auto"/>
        <w:rPr>
          <w:sz w:val="20"/>
          <w:szCs w:val="20"/>
          <w:color w:val="auto"/>
        </w:rPr>
      </w:pPr>
      <w:r>
        <w:rPr>
          <w:rFonts w:ascii="Arial" w:cs="Arial" w:eastAsia="Arial" w:hAnsi="Arial"/>
          <w:sz w:val="18"/>
          <w:szCs w:val="18"/>
          <w:color w:val="auto"/>
        </w:rPr>
        <w:t xml:space="preserve">Administrative Agent or the Canadian Administrative Agent, as the case may be, to reimburse the applicable Facing Agent for the amount of such Unpaid Drawing;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for any reason, proceeds of Multicurrency Revolving Loans or Canadian Revolving Loans are not received by the applicable Facing Agent on such date in an amount equal to the amount of the Dollar Equivalent of such drawing, the applicable Borrower shall reimburse the applicable Facing Agent, on the Business Day immediately following the date such drawing is honored, in an amount in same day funds equal to the excess of the amount of the Dollar Equivalent of such drawing over the Dollar Equivalent of the amount of such Multicurrency Revolving Loans or Canadian Revolving Loans, if any, which are so received, plus accrued interest on such amount at the rate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to the extent such amounts are not reimbursed prior to 12:00 Noon (New York City time) on the fifth Business Day following such payment or disbursement, interest shall thereafter accrue on the amounts so paid or disbursed by such Facing Agent (and until reimbursed by the applicable Borrower) at a rate per annum which shall be the Base Rate in effect from time to time plus the Applicable Base Rate Margin for Revolving Loans for Multicurrency Letters of Credit and Dollar Letters of Credit, and the Canadian Prime Rate plus the Applicable Canadian Prime Rate Margin for Canadian Letters of Credit (in each case, plus an additional 2% per annum), such interest also to be payable on demand. The respective Facing Agent shall give the applicable Borrower prompt notice of each Drawing under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any such notice shall in no way affect, impair or diminish any Credit Party’s obligations hereunder.</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obligations of each Borrower under this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to reimburse the respective Facing Agent with respect to drawings on Letters of Credit (each, a “</w:t>
      </w:r>
      <w:r>
        <w:rPr>
          <w:rFonts w:ascii="Arial" w:cs="Arial" w:eastAsia="Arial" w:hAnsi="Arial"/>
          <w:sz w:val="18"/>
          <w:szCs w:val="18"/>
          <w:u w:val="single" w:color="auto"/>
          <w:color w:val="auto"/>
        </w:rPr>
        <w:t>Drawing</w:t>
      </w:r>
      <w:r>
        <w:rPr>
          <w:rFonts w:ascii="Arial" w:cs="Arial" w:eastAsia="Arial" w:hAnsi="Arial"/>
          <w:sz w:val="18"/>
          <w:szCs w:val="18"/>
          <w:color w:val="auto"/>
        </w:rPr>
        <w:t>”) (including, in each case, interest thereon) shall be absolute and unconditional under any and all circumstances and irrespective of any setoff, counterclaim or defense to payment which such Borrower may have or have had against any Facing Agent, Agent or any Lender (including in its capacity as issuer of the Letter of Credit or as LC Participant), or any non-application or misapplication by the beneficiary of the proceeds of such Drawing, the respective Facing Agent’s only obligation to Borrowers being to confirm that any documents required to be delivered under such Letter of Credit appear to have been delivered and that they appear to comply on their face with the requirements of such Letter of Credit. Any action taken or omitted to be taken by any Facing Agent under or in connection with any Letter of Credit if taken or omitted in the absence of gross negligence or willful misconduct as determined by a final and non-appealable judgment rendered by a court of competent jurisdiction, shall not create for such Facing Agent any resulting liability to any Borrower.</w:t>
      </w:r>
    </w:p>
    <w:p>
      <w:pPr>
        <w:spacing w:after="0" w:line="200" w:lineRule="exact"/>
        <w:rPr>
          <w:sz w:val="20"/>
          <w:szCs w:val="20"/>
          <w:color w:val="auto"/>
        </w:rPr>
      </w:pPr>
    </w:p>
    <w:p>
      <w:pPr>
        <w:jc w:val="both"/>
        <w:ind w:left="660" w:hanging="4"/>
        <w:spacing w:after="0" w:line="239" w:lineRule="auto"/>
        <w:tabs>
          <w:tab w:leader="none" w:pos="943" w:val="left"/>
        </w:tabs>
        <w:numPr>
          <w:ilvl w:val="0"/>
          <w:numId w:val="9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Letter of Credit Participations</w:t>
      </w:r>
      <w:r>
        <w:rPr>
          <w:rFonts w:ascii="Arial" w:cs="Arial" w:eastAsia="Arial" w:hAnsi="Arial"/>
          <w:sz w:val="19"/>
          <w:szCs w:val="19"/>
          <w:color w:val="auto"/>
        </w:rPr>
        <w:t xml:space="preserve">. Immediately upon the issuance by any Facing Agent of any Letter of Credit, such Facing Agent shall be deemed to have sold and transferred to (i) each Multicurrency Revolving Lender with respect to each Multicurrency Letter of Credit, (ii) each Dollar Revolving Lender with respect to each Dollar Letter of Credit and (iii) each Canadian Revolving Lender with respect to each Canadian Letter of Credit, in each case, other than such Facing Agent (each such Lender, in its capacity under this </w:t>
      </w:r>
      <w:r>
        <w:rPr>
          <w:rFonts w:ascii="Arial" w:cs="Arial" w:eastAsia="Arial" w:hAnsi="Arial"/>
          <w:sz w:val="19"/>
          <w:szCs w:val="19"/>
          <w:u w:val="single" w:color="auto"/>
          <w:color w:val="auto"/>
        </w:rPr>
        <w:t>Section 2.10(e)</w:t>
      </w:r>
      <w:r>
        <w:rPr>
          <w:rFonts w:ascii="Arial" w:cs="Arial" w:eastAsia="Arial" w:hAnsi="Arial"/>
          <w:sz w:val="19"/>
          <w:szCs w:val="19"/>
          <w:color w:val="auto"/>
        </w:rPr>
        <w:t>, an “</w:t>
      </w:r>
      <w:r>
        <w:rPr>
          <w:rFonts w:ascii="Arial" w:cs="Arial" w:eastAsia="Arial" w:hAnsi="Arial"/>
          <w:sz w:val="19"/>
          <w:szCs w:val="19"/>
          <w:u w:val="single" w:color="auto"/>
          <w:color w:val="auto"/>
        </w:rPr>
        <w:t>LC Participant</w:t>
      </w:r>
      <w:r>
        <w:rPr>
          <w:rFonts w:ascii="Arial" w:cs="Arial" w:eastAsia="Arial" w:hAnsi="Arial"/>
          <w:sz w:val="19"/>
          <w:szCs w:val="19"/>
          <w:color w:val="auto"/>
        </w:rPr>
        <w:t xml:space="preserve">”), and each such LC Participant shall be deemed irrevocably and unconditionally to have purchased and received from such Facing Agent, without recourse or warranty, an undivided interest and participation, to the extent of such Revolving Lender’s Multicurrency Revolver Pro Rata Share (with respect to Multicurrency Letters of Credit), such Dollar Revolving Lender’s Dollar Revolver Pro Rata Share (with respect to Dollar Letters of Credit) and such Canadian Revolving Lender’s Canadian Revolver Pro Rata Share (with respect to Canadian Letters of Credit), as the case may be, in such Letter of Credit, each substitute Letter of Credit, each Drawing made thereunder and the obligations of the Borrowers under this Agreement with respect thereto (although Letter of Credit fees shall be payable directly to Administrative Agent for the account of the LC Participant as provided in </w:t>
      </w:r>
      <w:r>
        <w:rPr>
          <w:rFonts w:ascii="Arial" w:cs="Arial" w:eastAsia="Arial" w:hAnsi="Arial"/>
          <w:sz w:val="19"/>
          <w:szCs w:val="19"/>
          <w:u w:val="single" w:color="auto"/>
          <w:color w:val="auto"/>
        </w:rPr>
        <w:t>Section 2.10(g)</w:t>
      </w:r>
      <w:r>
        <w:rPr>
          <w:rFonts w:ascii="Arial" w:cs="Arial" w:eastAsia="Arial" w:hAnsi="Arial"/>
          <w:sz w:val="19"/>
          <w:szCs w:val="19"/>
          <w:color w:val="auto"/>
        </w:rPr>
        <w:t xml:space="preserve"> and the LC Participants shall have no right to receive any portion of the facing fees), and any security therefor or guaranty pertaining thereto. Upon any change in the Multicurrency Revolving Commitments of the Multicurrency Revolving</w:t>
      </w:r>
    </w:p>
    <w:p>
      <w:pPr>
        <w:sectPr>
          <w:pgSz w:w="11900" w:h="16838" w:orient="portrait"/>
          <w:cols w:equalWidth="0" w:num="1">
            <w:col w:w="11240"/>
          </w:cols>
          <w:pgMar w:left="320" w:top="1419" w:right="339" w:bottom="1440" w:gutter="0" w:footer="0" w:header="0"/>
        </w:sectPr>
      </w:pPr>
    </w:p>
    <w:bookmarkStart w:id="206" w:name="page207"/>
    <w:bookmarkEnd w:id="206"/>
    <w:p>
      <w:pPr>
        <w:jc w:val="both"/>
        <w:ind w:left="4"/>
        <w:spacing w:after="0" w:line="256" w:lineRule="auto"/>
        <w:rPr>
          <w:sz w:val="20"/>
          <w:szCs w:val="20"/>
          <w:color w:val="auto"/>
        </w:rPr>
      </w:pPr>
      <w:r>
        <w:rPr>
          <w:rFonts w:ascii="Arial" w:cs="Arial" w:eastAsia="Arial" w:hAnsi="Arial"/>
          <w:sz w:val="18"/>
          <w:szCs w:val="18"/>
          <w:color w:val="auto"/>
        </w:rPr>
        <w:t xml:space="preserve">Lenders or the Canadian Revolving Commitments of the Canadian Revolving Lenders, it is hereby agreed that, with respect to all outstanding Letters of Credit and Unpaid Drawings relating to Letters of Credit, there shall be an automatic adjustment pursuant to this </w:t>
      </w:r>
      <w:r>
        <w:rPr>
          <w:rFonts w:ascii="Arial" w:cs="Arial" w:eastAsia="Arial" w:hAnsi="Arial"/>
          <w:sz w:val="18"/>
          <w:szCs w:val="18"/>
          <w:u w:val="single" w:color="auto"/>
          <w:color w:val="auto"/>
        </w:rPr>
        <w:t>Section 2.10(e)</w:t>
      </w:r>
      <w:r>
        <w:rPr>
          <w:rFonts w:ascii="Arial" w:cs="Arial" w:eastAsia="Arial" w:hAnsi="Arial"/>
          <w:sz w:val="18"/>
          <w:szCs w:val="18"/>
          <w:color w:val="auto"/>
        </w:rPr>
        <w:t xml:space="preserve"> to reflect the new Multicurrency Revolver Pro Rata Share or Canadian Revolver Pro Rata Share, as the case may be, of the assignor and assignee Lender or of all Lenders with Multicurrency Revolving Commitments or Canadian Revolving Commitments, as the case may be. In determining whether to pay under any Letter of Credit, such Facing Agent shall have no obligation relative to the LC Participants other than to confirm that any documents required to be delivered under such Letter of Credit appear to have been delivered and that they appear to comply on their face with the requirements of such Letter of Credit. Any action taken or omitted to be taken by any Facing Agent under or in connection with any Letter of Credit issued by it if taken or omitted in the absence of gross negligence or willful misconduct as determined by a final and non-appealable judgment rendered by a court of competent jurisdiction, shall not create for such Facing Agent any resulting liability to any Credit Party or any Lender.</w:t>
      </w:r>
    </w:p>
    <w:p>
      <w:pPr>
        <w:spacing w:after="0" w:line="195" w:lineRule="exact"/>
        <w:rPr>
          <w:sz w:val="20"/>
          <w:szCs w:val="20"/>
          <w:color w:val="auto"/>
        </w:rPr>
      </w:pPr>
    </w:p>
    <w:p>
      <w:pPr>
        <w:jc w:val="both"/>
        <w:ind w:left="4" w:hanging="4"/>
        <w:spacing w:after="0" w:line="251" w:lineRule="auto"/>
        <w:tabs>
          <w:tab w:leader="none" w:pos="272" w:val="left"/>
        </w:tabs>
        <w:numPr>
          <w:ilvl w:val="0"/>
          <w:numId w:val="9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Draws Upon Letter of Credit; Reimbursement Obligations</w:t>
      </w:r>
      <w:r>
        <w:rPr>
          <w:rFonts w:ascii="Arial" w:cs="Arial" w:eastAsia="Arial" w:hAnsi="Arial"/>
          <w:sz w:val="18"/>
          <w:szCs w:val="18"/>
          <w:color w:val="auto"/>
        </w:rPr>
        <w:t xml:space="preserve">. In the event that any Facing Agent makes any payment under any Letter of Credit issued by it and the applicable Borrower shall not have reimbursed such amount in full to such Facing Agent pursuant to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such Facing Agent shall promptly notify Administrative Agent, and Administrative Agent shall promptly notify each LC Participant of such failure, and each such LC Participant shall promptly and unconditionally pay to Administrative Agent for the account of such Facing Agent, the amount of such LC Participant’s applicable Multicurrency Revolver Pro Rata Share or Canadian Revolver Pro Rata Share, as the case may be, of such payment in Dollars or, in the case of a Letter of Credit denominated in an Alternative Currency or Canadian Dollars, in such Alternative Currency or Canadian Dollars and in same day funds;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LC Participant shall be obligated to pay to Administrative Agent its applicable Multicurrency Revolver Pro Rata Share or Canadian Revolver Pro Rata Share of such unreimbursed amount for any wrongful payment made by such Facing Agent under a Letter of Credit issued by it as a result of acts or omissions constituting willful misconduct or gross negligence as determined by a final and non-appealable judgment rendered by a court of competent jurisdiction on the part of such Facing Agent. If Administrative Agent so notifies any LC Participant required to fund a payment under a Letter of Credit prior to 11:00 a.m. (New York City time) or, in the case of a Letter of Credit denominated in an Alternative Currency or Canadian Dollars,</w:t>
      </w:r>
    </w:p>
    <w:p>
      <w:pPr>
        <w:spacing w:after="0" w:line="9" w:lineRule="exact"/>
        <w:rPr>
          <w:rFonts w:ascii="Arial" w:cs="Arial" w:eastAsia="Arial" w:hAnsi="Arial"/>
          <w:sz w:val="18"/>
          <w:szCs w:val="18"/>
          <w:u w:val="single" w:color="auto"/>
          <w:color w:val="auto"/>
        </w:rPr>
      </w:pPr>
    </w:p>
    <w:p>
      <w:pPr>
        <w:jc w:val="both"/>
        <w:ind w:left="4"/>
        <w:spacing w:after="0" w:line="252" w:lineRule="auto"/>
        <w:rPr>
          <w:rFonts w:ascii="Arial" w:cs="Arial" w:eastAsia="Arial" w:hAnsi="Arial"/>
          <w:sz w:val="18"/>
          <w:szCs w:val="18"/>
          <w:u w:val="single" w:color="auto"/>
          <w:color w:val="auto"/>
        </w:rPr>
      </w:pPr>
      <w:r>
        <w:rPr>
          <w:rFonts w:ascii="Arial" w:cs="Arial" w:eastAsia="Arial" w:hAnsi="Arial"/>
          <w:sz w:val="18"/>
          <w:szCs w:val="18"/>
          <w:color w:val="auto"/>
        </w:rPr>
        <w:t>11:00 a.m. (London time) on any Business Day, such LC Participant shall make available to Administrative Agent for the account of the respective Facing Agent such LC Participant’s applicable Multicurrency Revolver Pro Rata Share or Canadian Revolver Pro Rata Share, as the case may be, of the amount of such payment on such Business Day in same day funds. If and to the extent such LC Participant shall not have so made its applicable Multicurrency Revolver Pro Rata Share or Canadian Revolver Pro Rata Share, as the case may be, of the amount of such payment available to Administrative Agent for the account of the respective Facing Agent, such LC Participant agrees to pay to Administrative Agent for the account of such Facing Agent, forthwith on demand such amount, together with interest thereon, for each day from such date until the date such amount is paid to Administrative Agent for the account of such Facing Agent at the overnight Federal Funds rate. The failure of any LC Participant to make available to Administrative Agent for the account of the respective Facing Agent its applicable Multicurrency Revolver Pro Rata Share or Canadian Revolver Pro Rata Share, as the case may be, of any payment under any Letter of Credit issued by it shall not relieve any other LC Participant of its obligation hereunder to make available to Administrative Agent for the account of such Facing Agent its applicable Multicurrency Revolver Pro Rata Share or Canadian Revolver Pro Rata Share, as the case may be, of any payment under any such Letter of Credit on the day required, as specified above, but no LC Participant shall be responsible for the failure of any other LC Participant to make available to Agent for the account of such Facing</w:t>
      </w:r>
    </w:p>
    <w:p>
      <w:pPr>
        <w:sectPr>
          <w:pgSz w:w="11900" w:h="16838" w:orient="portrait"/>
          <w:cols w:equalWidth="0" w:num="1">
            <w:col w:w="10584"/>
          </w:cols>
          <w:pgMar w:left="976" w:top="1419" w:right="339" w:bottom="1440" w:gutter="0" w:footer="0" w:header="0"/>
        </w:sectPr>
      </w:pPr>
    </w:p>
    <w:bookmarkStart w:id="207" w:name="page208"/>
    <w:bookmarkEnd w:id="207"/>
    <w:p>
      <w:pPr>
        <w:ind w:left="660"/>
        <w:spacing w:after="0" w:line="246" w:lineRule="auto"/>
        <w:rPr>
          <w:sz w:val="20"/>
          <w:szCs w:val="20"/>
          <w:color w:val="auto"/>
        </w:rPr>
      </w:pPr>
      <w:r>
        <w:rPr>
          <w:rFonts w:ascii="Arial" w:cs="Arial" w:eastAsia="Arial" w:hAnsi="Arial"/>
          <w:sz w:val="20"/>
          <w:szCs w:val="20"/>
          <w:color w:val="auto"/>
        </w:rPr>
        <w:t>Agent such other LC Participant’s applicable Multicurrency Revolver Pro Rata Share or Canadian Revolver Pro Rata Share, as the case may be, of any such payment.</w:t>
      </w:r>
    </w:p>
    <w:p>
      <w:pPr>
        <w:spacing w:after="0" w:line="204" w:lineRule="exact"/>
        <w:rPr>
          <w:sz w:val="20"/>
          <w:szCs w:val="20"/>
          <w:color w:val="auto"/>
        </w:rPr>
      </w:pPr>
    </w:p>
    <w:p>
      <w:pPr>
        <w:jc w:val="both"/>
        <w:ind w:left="1300" w:firstLine="4"/>
        <w:spacing w:after="0" w:line="258" w:lineRule="auto"/>
        <w:tabs>
          <w:tab w:leader="none" w:pos="1559"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Whenever any Facing Agent receives a payment of a reimbursement obligation as to which Administrative Agent has received for the account of such Facing Agent any payments from the LC Participants pursuant to this </w:t>
      </w:r>
      <w:r>
        <w:rPr>
          <w:rFonts w:ascii="Arial" w:cs="Arial" w:eastAsia="Arial" w:hAnsi="Arial"/>
          <w:sz w:val="18"/>
          <w:szCs w:val="18"/>
          <w:u w:val="single" w:color="auto"/>
          <w:color w:val="auto"/>
        </w:rPr>
        <w:t>Section 2.10(f)</w:t>
      </w:r>
      <w:r>
        <w:rPr>
          <w:rFonts w:ascii="Arial" w:cs="Arial" w:eastAsia="Arial" w:hAnsi="Arial"/>
          <w:sz w:val="18"/>
          <w:szCs w:val="18"/>
          <w:color w:val="auto"/>
        </w:rPr>
        <w:t>, such Facing Agent shall pay to Administrative Agent and Administrative Agent shall pay to each LC Participant which has paid its Multicurrency Revolver Pro Rata Share or Canadian Revolver Pro Rata Share, as the case may be, thereof, in Dollars or, if in an Alternative Currency, in such Alternative Currency and in same day funds, an amount equal to such LC Participant’s Multicurrency Revolver Pro Rata Share or Canadian Revolver Pro Rata Share, as the case may be, of the principal amount of such reimbursement obligation and interest thereon accruing after the purchase of the respective participations.</w:t>
      </w:r>
    </w:p>
    <w:p>
      <w:pPr>
        <w:spacing w:after="0" w:line="197" w:lineRule="exact"/>
        <w:rPr>
          <w:rFonts w:ascii="Arial" w:cs="Arial" w:eastAsia="Arial" w:hAnsi="Arial"/>
          <w:sz w:val="18"/>
          <w:szCs w:val="18"/>
          <w:color w:val="auto"/>
        </w:rPr>
      </w:pPr>
    </w:p>
    <w:p>
      <w:pPr>
        <w:jc w:val="both"/>
        <w:ind w:left="1300" w:firstLine="4"/>
        <w:spacing w:after="0" w:line="234" w:lineRule="auto"/>
        <w:tabs>
          <w:tab w:leader="none" w:pos="1592"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obligations of the LC Participants to make payments to each Facing Agent with respect to Letters of Credit issued by it shall be irrevocable and not subject to any qualification or exception whatsoever and shall be made in accordance with the terms and conditions of this Agreement under all circumstances, including, without limitation, any of the following circumstances:</w:t>
      </w:r>
    </w:p>
    <w:p>
      <w:pPr>
        <w:spacing w:after="0" w:line="210" w:lineRule="exact"/>
        <w:rPr>
          <w:rFonts w:ascii="Arial" w:cs="Arial" w:eastAsia="Arial" w:hAnsi="Arial"/>
          <w:sz w:val="20"/>
          <w:szCs w:val="20"/>
          <w:color w:val="auto"/>
        </w:rPr>
      </w:pPr>
    </w:p>
    <w:p>
      <w:pPr>
        <w:ind w:left="3240" w:hanging="316"/>
        <w:spacing w:after="0"/>
        <w:tabs>
          <w:tab w:leader="none" w:pos="3240" w:val="left"/>
        </w:tabs>
        <w:numPr>
          <w:ilvl w:val="1"/>
          <w:numId w:val="95"/>
        </w:numPr>
        <w:rPr>
          <w:rFonts w:ascii="Arial" w:cs="Arial" w:eastAsia="Arial" w:hAnsi="Arial"/>
          <w:sz w:val="19"/>
          <w:szCs w:val="19"/>
          <w:color w:val="auto"/>
        </w:rPr>
      </w:pPr>
      <w:r>
        <w:rPr>
          <w:rFonts w:ascii="Arial" w:cs="Arial" w:eastAsia="Arial" w:hAnsi="Arial"/>
          <w:sz w:val="19"/>
          <w:szCs w:val="19"/>
          <w:color w:val="auto"/>
        </w:rPr>
        <w:t>any lack of validity or enforceability of this Agreement or any of the other Loan Documents;</w:t>
      </w:r>
    </w:p>
    <w:p>
      <w:pPr>
        <w:spacing w:after="0" w:line="240" w:lineRule="exact"/>
        <w:rPr>
          <w:rFonts w:ascii="Arial" w:cs="Arial" w:eastAsia="Arial" w:hAnsi="Arial"/>
          <w:sz w:val="19"/>
          <w:szCs w:val="19"/>
          <w:color w:val="auto"/>
        </w:rPr>
      </w:pPr>
    </w:p>
    <w:p>
      <w:pPr>
        <w:jc w:val="both"/>
        <w:ind w:left="3240" w:hanging="316"/>
        <w:spacing w:after="0" w:line="230" w:lineRule="auto"/>
        <w:tabs>
          <w:tab w:leader="none" w:pos="3232"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existence of any claim, setoff, defense or other right which any Borrower or any of its Subsidiaries may have at any time against a beneficiary named in a Letter of Credit, any transferee of any Letter of Credit (or any Person for whom any such transferee may be acting), Administrative Agent, any LC Participant, or any other Person, whether in connection with this Agreement, any Letter of Credit, the transactions contemplated herein or any unrelated transactions (including any underlying transaction between Crown Holdings or any of its Subsidiaries and the beneficiary named in any such Letter of Credit);</w:t>
      </w:r>
    </w:p>
    <w:p>
      <w:pPr>
        <w:spacing w:after="0" w:line="212" w:lineRule="exact"/>
        <w:rPr>
          <w:rFonts w:ascii="Arial" w:cs="Arial" w:eastAsia="Arial" w:hAnsi="Arial"/>
          <w:sz w:val="20"/>
          <w:szCs w:val="20"/>
          <w:color w:val="auto"/>
        </w:rPr>
      </w:pPr>
    </w:p>
    <w:p>
      <w:pPr>
        <w:jc w:val="both"/>
        <w:ind w:left="3240" w:hanging="316"/>
        <w:spacing w:after="0" w:line="237" w:lineRule="auto"/>
        <w:tabs>
          <w:tab w:leader="none" w:pos="3232" w:val="left"/>
        </w:tabs>
        <w:numPr>
          <w:ilvl w:val="1"/>
          <w:numId w:val="95"/>
        </w:numPr>
        <w:rPr>
          <w:rFonts w:ascii="Arial" w:cs="Arial" w:eastAsia="Arial" w:hAnsi="Arial"/>
          <w:sz w:val="20"/>
          <w:szCs w:val="20"/>
          <w:color w:val="auto"/>
        </w:rPr>
      </w:pPr>
      <w:r>
        <w:rPr>
          <w:rFonts w:ascii="Arial" w:cs="Arial" w:eastAsia="Arial" w:hAnsi="Arial"/>
          <w:sz w:val="20"/>
          <w:szCs w:val="20"/>
          <w:color w:val="auto"/>
        </w:rPr>
        <w:t>any draft, certificate or any other document presented under any Letter of Credit proving to be forged, fraudulent, invalid or insufficient in any respect to any statement therein being untrue or inaccurate in any respect;</w:t>
      </w:r>
    </w:p>
    <w:p>
      <w:pPr>
        <w:spacing w:after="0" w:line="209" w:lineRule="exact"/>
        <w:rPr>
          <w:rFonts w:ascii="Arial" w:cs="Arial" w:eastAsia="Arial" w:hAnsi="Arial"/>
          <w:sz w:val="20"/>
          <w:szCs w:val="20"/>
          <w:color w:val="auto"/>
        </w:rPr>
      </w:pPr>
    </w:p>
    <w:p>
      <w:pPr>
        <w:ind w:left="3240" w:hanging="316"/>
        <w:spacing w:after="0" w:line="246" w:lineRule="auto"/>
        <w:tabs>
          <w:tab w:leader="none" w:pos="3230"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surrender or impairment of any security for the performance or observance of any of the terms of any of the Loan Documents; or</w:t>
      </w:r>
    </w:p>
    <w:p>
      <w:pPr>
        <w:spacing w:after="0" w:line="203" w:lineRule="exact"/>
        <w:rPr>
          <w:rFonts w:ascii="Arial" w:cs="Arial" w:eastAsia="Arial" w:hAnsi="Arial"/>
          <w:sz w:val="20"/>
          <w:szCs w:val="20"/>
          <w:color w:val="auto"/>
        </w:rPr>
      </w:pPr>
    </w:p>
    <w:p>
      <w:pPr>
        <w:ind w:left="3240" w:hanging="316"/>
        <w:spacing w:after="0"/>
        <w:tabs>
          <w:tab w:leader="none" w:pos="3240"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occurrence of any Event of Default or Unmatured Event of Default.</w:t>
      </w:r>
    </w:p>
    <w:p>
      <w:pPr>
        <w:ind w:left="2920"/>
        <w:spacing w:after="0" w:line="227" w:lineRule="auto"/>
        <w:rPr>
          <w:sz w:val="20"/>
          <w:szCs w:val="20"/>
          <w:color w:val="auto"/>
        </w:rPr>
      </w:pPr>
      <w:r>
        <w:rPr>
          <w:rFonts w:ascii="Arial" w:cs="Arial" w:eastAsia="Arial" w:hAnsi="Arial"/>
          <w:sz w:val="20"/>
          <w:szCs w:val="20"/>
          <w:color w:val="auto"/>
        </w:rPr>
        <w:t>F.</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(g) Fees for Letters of Credit</w:t>
      </w: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Facing Agent Fees</w:t>
      </w:r>
      <w:r>
        <w:rPr>
          <w:rFonts w:ascii="Arial" w:cs="Arial" w:eastAsia="Arial" w:hAnsi="Arial"/>
          <w:sz w:val="18"/>
          <w:szCs w:val="18"/>
          <w:color w:val="auto"/>
        </w:rPr>
        <w:t>. The applicable Borrower agrees to pay the following amount to the respective Facing Agent with respect to the Letters of</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Credit issued by it for the account of any Borrower or any of its Subsidiaries:</w:t>
      </w:r>
    </w:p>
    <w:p>
      <w:pPr>
        <w:sectPr>
          <w:pgSz w:w="11900" w:h="16838" w:orient="portrait"/>
          <w:cols w:equalWidth="0" w:num="1">
            <w:col w:w="11240"/>
          </w:cols>
          <w:pgMar w:left="320" w:top="1419" w:right="339" w:bottom="1440" w:gutter="0" w:footer="0" w:header="0"/>
        </w:sectPr>
      </w:pPr>
    </w:p>
    <w:bookmarkStart w:id="208" w:name="page209"/>
    <w:bookmarkEnd w:id="208"/>
    <w:p>
      <w:pPr>
        <w:jc w:val="both"/>
        <w:ind w:firstLine="1296"/>
        <w:spacing w:after="0" w:line="248" w:lineRule="auto"/>
        <w:rPr>
          <w:sz w:val="20"/>
          <w:szCs w:val="20"/>
          <w:color w:val="auto"/>
        </w:rPr>
      </w:pPr>
      <w:r>
        <w:rPr>
          <w:rFonts w:ascii="Arial" w:cs="Arial" w:eastAsia="Arial" w:hAnsi="Arial"/>
          <w:sz w:val="19"/>
          <w:szCs w:val="19"/>
          <w:color w:val="auto"/>
        </w:rPr>
        <w:t xml:space="preserve">with respect to payments made under any Letter of Credit, interest, payable on demand, on the amount paid by such Facing Agent in respect of each such payment from the date of the payments through the date such amount is reimbursed by such Borrower (including any such reimbursement out of the proceeds of Revolving Loans or Canadian Revolving Loans, as the case may be, pursuant to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at a rate determined in accordance with the terms of </w:t>
      </w:r>
      <w:r>
        <w:rPr>
          <w:rFonts w:ascii="Arial" w:cs="Arial" w:eastAsia="Arial" w:hAnsi="Arial"/>
          <w:sz w:val="19"/>
          <w:szCs w:val="19"/>
          <w:u w:val="single" w:color="auto"/>
          <w:color w:val="auto"/>
        </w:rPr>
        <w:t>Section 2.10(d)(i)</w:t>
      </w:r>
      <w:r>
        <w:rPr>
          <w:rFonts w:ascii="Arial" w:cs="Arial" w:eastAsia="Arial" w:hAnsi="Arial"/>
          <w:sz w:val="19"/>
          <w:szCs w:val="19"/>
          <w:color w:val="auto"/>
        </w:rPr>
        <w:t>;</w:t>
      </w:r>
    </w:p>
    <w:p>
      <w:pPr>
        <w:spacing w:after="0" w:line="204"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0"/>
          <w:szCs w:val="20"/>
          <w:color w:val="auto"/>
        </w:rPr>
        <w:t>with respect to the issuance or amendment of each Letter of Credit and each payment made thereunder, documentary and processing charges in accordance with Facing Agent’s standard schedule for such charges in effect at the time of such issuance, amendment, transfer or payment, as the case may be; and</w:t>
      </w:r>
    </w:p>
    <w:p>
      <w:pPr>
        <w:spacing w:after="0" w:line="3"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a facing fee equal to one-eighth of one percent (0.125%) per annum of the Stated Amount outstanding and undrawn LC Obligations payable in arrears on each Quarterly Payment Date and on the Revolver Termination Date for the Multicurrency Revolving Facility or the Canadian Revolver Termination Date for the Canadian Revolving Facility, as applicable, and thereafter, on demand together with customary issuance and payment charges;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minimum fee of $500.00 per annum shall be payable per Letter of Credit.</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Participating Lender Fees</w:t>
      </w:r>
      <w:r>
        <w:rPr>
          <w:rFonts w:ascii="Arial" w:cs="Arial" w:eastAsia="Arial" w:hAnsi="Arial"/>
          <w:sz w:val="18"/>
          <w:szCs w:val="18"/>
          <w:color w:val="auto"/>
        </w:rPr>
        <w:t>. Each Borrower agrees to pay to Administrative Agent or the Canadian Administrative Agent, in the case of Canadian Borrower, in the currency in which such Letter of Credit is denominated for distribution to each LC Participant (A) in respect of all Multicurrency Letters of Credit issued for the account of such Borrower outstanding such Lender’s Multicurrency Revolver Pro Rata Share of a commission equal to the then Applicable Eurocurrency Margin for Multicurrency Revolving Loans with respect to the Effective Amount under such outstanding Letters of Credit (the “</w:t>
      </w:r>
      <w:r>
        <w:rPr>
          <w:rFonts w:ascii="Arial" w:cs="Arial" w:eastAsia="Arial" w:hAnsi="Arial"/>
          <w:sz w:val="18"/>
          <w:szCs w:val="18"/>
          <w:u w:val="single" w:color="auto"/>
          <w:color w:val="auto"/>
        </w:rPr>
        <w:t>Multicurrency LC Commission</w:t>
      </w:r>
      <w:r>
        <w:rPr>
          <w:rFonts w:ascii="Arial" w:cs="Arial" w:eastAsia="Arial" w:hAnsi="Arial"/>
          <w:sz w:val="18"/>
          <w:szCs w:val="18"/>
          <w:color w:val="auto"/>
        </w:rPr>
        <w:t>”) payable in arrears on each Quarterly Payment Date, on the Revolver Termination Date for the Multicurrency Revolving Facility and thereafter, on demand, (B) in respect of all Dollar Letters of Credit issued for the account of such Borrower outstanding such Lender’s Dollar Revolver Pro Rata Share of a commission equal to the then Applicable Base Rate Margin for Dollar Revolving Loans with respect to the Effective Amount under such outstanding Letters of Credit (the “</w:t>
      </w:r>
      <w:r>
        <w:rPr>
          <w:rFonts w:ascii="Arial" w:cs="Arial" w:eastAsia="Arial" w:hAnsi="Arial"/>
          <w:sz w:val="18"/>
          <w:szCs w:val="18"/>
          <w:u w:val="single" w:color="auto"/>
          <w:color w:val="auto"/>
        </w:rPr>
        <w:t>Dollar LC Commission</w:t>
      </w:r>
      <w:r>
        <w:rPr>
          <w:rFonts w:ascii="Arial" w:cs="Arial" w:eastAsia="Arial" w:hAnsi="Arial"/>
          <w:sz w:val="18"/>
          <w:szCs w:val="18"/>
          <w:color w:val="auto"/>
        </w:rPr>
        <w:t>”) and (C) in respect of all Canadian Letters of Credit issued for the account of such Borrower outstanding such Lender’s Canadian Revolver Pro Rata Share of a commission equal to the then Applicable B/A Margin for Canadian Revolving Loans with respect to the Effective Amount under such outstanding Letters of Credit (the “</w:t>
      </w:r>
      <w:r>
        <w:rPr>
          <w:rFonts w:ascii="Arial" w:cs="Arial" w:eastAsia="Arial" w:hAnsi="Arial"/>
          <w:sz w:val="18"/>
          <w:szCs w:val="18"/>
          <w:u w:val="single" w:color="auto"/>
          <w:color w:val="auto"/>
        </w:rPr>
        <w:t>Canadian LC Commission</w:t>
      </w:r>
      <w:r>
        <w:rPr>
          <w:rFonts w:ascii="Arial" w:cs="Arial" w:eastAsia="Arial" w:hAnsi="Arial"/>
          <w:sz w:val="18"/>
          <w:szCs w:val="18"/>
          <w:color w:val="auto"/>
        </w:rPr>
        <w:t>”) payable in arrears on each Quarterly Payment Date, on the Canadian Revolver Termination Date and thereafter, on demand. Each of the Multicurrency LC Commission, the Dollar LC Commission and the Canadian LC Commission shall be computed on a daily basis from the first day of issuance of each Letter of Credit and on the basis of the actual number of days elapsed over a year of 360 days.</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Promptly upon receipt by the respective Facing Agent or Administrative Agent or the Canadian Administrative Agent, in the case of Canadian Borrower, of any amount described in </w:t>
      </w:r>
      <w:r>
        <w:rPr>
          <w:rFonts w:ascii="Arial" w:cs="Arial" w:eastAsia="Arial" w:hAnsi="Arial"/>
          <w:sz w:val="18"/>
          <w:szCs w:val="18"/>
          <w:u w:val="single" w:color="auto"/>
          <w:color w:val="auto"/>
        </w:rPr>
        <w:t>clause (i)(A)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2.10(g)</w:t>
      </w:r>
      <w:r>
        <w:rPr>
          <w:rFonts w:ascii="Arial" w:cs="Arial" w:eastAsia="Arial" w:hAnsi="Arial"/>
          <w:sz w:val="18"/>
          <w:szCs w:val="18"/>
          <w:color w:val="auto"/>
        </w:rPr>
        <w:t xml:space="preserve">, such Facing Agent or Administrative Agent or the Canadian Administrative Agent, in the case of Canadian Borrower, shall distribute to each Lender that has reimbursed such Facing Agent in accordance with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its Multicurrency Revolver Pro Rata Share or Canadian Revolver Pro Rata Share of such amount. Amounts payable under </w:t>
      </w:r>
      <w:r>
        <w:rPr>
          <w:rFonts w:ascii="Arial" w:cs="Arial" w:eastAsia="Arial" w:hAnsi="Arial"/>
          <w:sz w:val="18"/>
          <w:szCs w:val="18"/>
          <w:u w:val="single" w:color="auto"/>
          <w:color w:val="auto"/>
        </w:rPr>
        <w:t>clauses (i)(B)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2.10(g)</w:t>
      </w:r>
      <w:r>
        <w:rPr>
          <w:rFonts w:ascii="Arial" w:cs="Arial" w:eastAsia="Arial" w:hAnsi="Arial"/>
          <w:sz w:val="18"/>
          <w:szCs w:val="18"/>
          <w:color w:val="auto"/>
        </w:rPr>
        <w:t xml:space="preserve"> shall be paid directly to such Facing Agent.</w:t>
      </w:r>
    </w:p>
    <w:p>
      <w:pPr>
        <w:spacing w:after="0" w:line="189" w:lineRule="exact"/>
        <w:rPr>
          <w:sz w:val="20"/>
          <w:szCs w:val="20"/>
          <w:color w:val="auto"/>
        </w:rPr>
      </w:pPr>
    </w:p>
    <w:p>
      <w:pPr>
        <w:jc w:val="both"/>
        <w:ind w:left="660" w:hanging="4"/>
        <w:spacing w:after="0" w:line="231" w:lineRule="auto"/>
        <w:tabs>
          <w:tab w:leader="none" w:pos="967" w:val="left"/>
        </w:tabs>
        <w:numPr>
          <w:ilvl w:val="0"/>
          <w:numId w:val="96"/>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In addition to amounts payable as elsewhere provided in this Agreement, each Borrower hereby agrees to protect, indemnify, pay and hold each Facing Agent harmless, on an after-Tax basis, from and against any and all claims, demands, liabilities, damages, losses, costs, charges and expenses (including reasonable attorneys’ fees) which any Facing Agent may incur or be subject to as a consequence, direct or indirect, of (i) the issuance of the Letters of Credit, other than as a result of the gross negligence or willful misconduct as determined by a final and non-appealable judgment rendered by a court of competent jurisdiction of the applicable</w:t>
      </w:r>
    </w:p>
    <w:p>
      <w:pPr>
        <w:sectPr>
          <w:pgSz w:w="11900" w:h="16838" w:orient="portrait"/>
          <w:cols w:equalWidth="0" w:num="1">
            <w:col w:w="11240"/>
          </w:cols>
          <w:pgMar w:left="320" w:top="1419" w:right="339" w:bottom="1440" w:gutter="0" w:footer="0" w:header="0"/>
        </w:sectPr>
      </w:pPr>
    </w:p>
    <w:bookmarkStart w:id="209" w:name="page210"/>
    <w:bookmarkEnd w:id="209"/>
    <w:p>
      <w:pPr>
        <w:jc w:val="both"/>
        <w:ind w:left="660"/>
        <w:spacing w:after="0" w:line="253" w:lineRule="auto"/>
        <w:rPr>
          <w:sz w:val="20"/>
          <w:szCs w:val="20"/>
          <w:color w:val="auto"/>
        </w:rPr>
      </w:pPr>
      <w:r>
        <w:rPr>
          <w:rFonts w:ascii="Arial" w:cs="Arial" w:eastAsia="Arial" w:hAnsi="Arial"/>
          <w:sz w:val="18"/>
          <w:szCs w:val="18"/>
          <w:color w:val="auto"/>
        </w:rPr>
        <w:t>with respect to such Facing Agent or (ii) the failure of the applicable Facing Agent to honor a Drawing under any Letter of Credit as a result of any act or omission, whether rightful or wrongful, of any present or future de jure or de facto government or Governmental Authority (all such acts or omissions herein called “</w:t>
      </w:r>
      <w:r>
        <w:rPr>
          <w:rFonts w:ascii="Arial" w:cs="Arial" w:eastAsia="Arial" w:hAnsi="Arial"/>
          <w:sz w:val="18"/>
          <w:szCs w:val="18"/>
          <w:u w:val="single" w:color="auto"/>
          <w:color w:val="auto"/>
        </w:rPr>
        <w:t>Government Acts</w:t>
      </w:r>
      <w:r>
        <w:rPr>
          <w:rFonts w:ascii="Arial" w:cs="Arial" w:eastAsia="Arial" w:hAnsi="Arial"/>
          <w:sz w:val="18"/>
          <w:szCs w:val="18"/>
          <w:color w:val="auto"/>
        </w:rPr>
        <w:t xml:space="preserve">”). As between any Borrower and each Facing Agent, such Borrower assumes all risks of the acts and omissions of, or misuse of the Letters of Credit issued by any Facing Agent by, the respective beneficiaries of such Letters of Credit. In furtherance and not in limitation of the foregoing, no Facing Agent shall be responsible: (i) for the form, validity, sufficiency, accuracy, genuineness or legal effect of any document submitted by any party in connection with the application for and issuance of or any Drawing under such Letters of Credit, even if it should in fact prove to be in any or all respects invalid, insufficient, inaccurate, fraudulent or forged; (ii) for the validity or sufficiency of any instrument transferring or assigning or purporting to transfer or assign any such Letter of Credit or the rights or benefits thereunder or proceeds thereof, in whole or in part, which may prove to be invalid or ineffective for any reason; (iii) for failure of the beneficiary of any such Letter of Credit to comply fully with conditions required in order to draw upon such Letter of Credit; (iv) for errors, omissions, interruptions or delays in transmission or delivery of any messages, by mail, cable, telegraph, telex or otherwise, whether or not they be in cipher; (v) for errors in interpretation of technical terms; (vi) for any loss or delay in the transmission or otherwise of any document required in order to make a Drawing under any such Letter of Credit or of the proceeds thereof; (vii) for the misapplication by the beneficiary of any such Letter of Credit of the proceeds of any Drawing under such Letter of Credit; and (viii) for any consequences arising from causes beyond the control of the applicable Facing Agent, including, without limitation, any Government Acts. None of the above shall affect, impair, or prevent the vesting of any of the applicable Facing Agent’s rights or powers hereunder. For the avoidance of doubt, this </w:t>
      </w:r>
      <w:r>
        <w:rPr>
          <w:rFonts w:ascii="Arial" w:cs="Arial" w:eastAsia="Arial" w:hAnsi="Arial"/>
          <w:sz w:val="18"/>
          <w:szCs w:val="18"/>
          <w:u w:val="single" w:color="auto"/>
          <w:color w:val="auto"/>
        </w:rPr>
        <w:t>Section 2.10(h)</w:t>
      </w:r>
      <w:r>
        <w:rPr>
          <w:rFonts w:ascii="Arial" w:cs="Arial" w:eastAsia="Arial" w:hAnsi="Arial"/>
          <w:sz w:val="18"/>
          <w:szCs w:val="18"/>
          <w:color w:val="auto"/>
        </w:rPr>
        <w:t xml:space="preserve"> shall not apply to Taxes, except any Taxes that represent claims, demands, liabilities, damages, losses, costs, charges and expenses arising from any non-Tax claim.</w:t>
      </w:r>
    </w:p>
    <w:p>
      <w:pPr>
        <w:spacing w:after="0" w:line="20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In furtherance and extension and not in limitation of the specific provisions hereinabove set forth, any action taken or omitted by any Facing Agent under or in connection with the Letters of Credit issued by it or the related certificates, if taken or omitted in good faith, and in the absence of gross negligence or willful misconduct as determined by a final and non-appealable judgment rendered by a court of competent jurisdiction, shall not put any Facing Agent under any resulting liability to any Borrower.</w:t>
      </w:r>
    </w:p>
    <w:p>
      <w:pPr>
        <w:spacing w:after="0" w:line="20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 xml:space="preserve">Notwithstanding anything to the contrary contained in this Agreement, no Borrower shall have any obligation to indemnify any Facing Agent in respect of any liability incurred by such Facing Agent to the extent arising out of the gross negligence or willful misconduct of such Facing Agent. The right of indemnification in the first paragraph of this </w:t>
      </w:r>
      <w:r>
        <w:rPr>
          <w:rFonts w:ascii="Arial" w:cs="Arial" w:eastAsia="Arial" w:hAnsi="Arial"/>
          <w:sz w:val="19"/>
          <w:szCs w:val="19"/>
          <w:u w:val="single" w:color="auto"/>
          <w:color w:val="auto"/>
        </w:rPr>
        <w:t>Section 2.10(h)</w:t>
      </w:r>
      <w:r>
        <w:rPr>
          <w:rFonts w:ascii="Arial" w:cs="Arial" w:eastAsia="Arial" w:hAnsi="Arial"/>
          <w:sz w:val="19"/>
          <w:szCs w:val="19"/>
          <w:color w:val="auto"/>
        </w:rPr>
        <w:t xml:space="preserve"> shall not prejudice any rights that any Borrower may otherwise have against each Facing Agent with respect to a Letter of Credit issued hereunder.</w:t>
      </w:r>
    </w:p>
    <w:p>
      <w:pPr>
        <w:spacing w:after="0" w:line="204" w:lineRule="exact"/>
        <w:rPr>
          <w:sz w:val="20"/>
          <w:szCs w:val="20"/>
          <w:color w:val="auto"/>
        </w:rPr>
      </w:pPr>
    </w:p>
    <w:p>
      <w:pPr>
        <w:jc w:val="both"/>
        <w:ind w:left="660" w:hanging="4"/>
        <w:spacing w:after="0" w:line="256" w:lineRule="auto"/>
        <w:tabs>
          <w:tab w:leader="none" w:pos="896" w:val="left"/>
        </w:tabs>
        <w:numPr>
          <w:ilvl w:val="0"/>
          <w:numId w:val="9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Increased Costs</w:t>
      </w:r>
      <w:r>
        <w:rPr>
          <w:rFonts w:ascii="Arial" w:cs="Arial" w:eastAsia="Arial" w:hAnsi="Arial"/>
          <w:sz w:val="18"/>
          <w:szCs w:val="18"/>
          <w:color w:val="auto"/>
        </w:rPr>
        <w:t>. If at any time after the Incremental Amendment No. 2 and Third Amendment Effective Date any Change in Law shall (i) impose, modify or make applicable any reserve, deposit, capital adequacy or similar requirement against letters of credit issued by any Facing Agent or participated in by any Lender, (ii) subject any Recipient to any Taxes (other than (A) Indemnified Taxes and (B) Excluded Taxes) on its loans, letters of credit commitments, or other obligations, or its deposits, reserves, other liabilities or capital attributable thereto, or (iii) impose on any Facing Agent or any Lender any other conditions relating, directly or indirectly, to this Agreement or any Letter of Credit; and the result of any of the foregoing is to increase the cost to any Facing Agent or any Lender or any such other Recipient of issuing, maintaining or participating in any Letter of Credit, or reduce the amount of any sum received or receivable by such Facing Agent, or Lender or other Recipient hereunder or reduce the rate of return on its capital with respect to Letters of Credit, then, upon demand to the applicable Borrower by the</w:t>
      </w:r>
    </w:p>
    <w:p>
      <w:pPr>
        <w:sectPr>
          <w:pgSz w:w="11900" w:h="16838" w:orient="portrait"/>
          <w:cols w:equalWidth="0" w:num="1">
            <w:col w:w="11240"/>
          </w:cols>
          <w:pgMar w:left="320" w:top="1419" w:right="339" w:bottom="1440" w:gutter="0" w:footer="0" w:header="0"/>
        </w:sectPr>
      </w:pPr>
    </w:p>
    <w:bookmarkStart w:id="210" w:name="page211"/>
    <w:bookmarkEnd w:id="210"/>
    <w:p>
      <w:pPr>
        <w:jc w:val="both"/>
        <w:ind w:left="4"/>
        <w:spacing w:after="0" w:line="256" w:lineRule="auto"/>
        <w:rPr>
          <w:sz w:val="20"/>
          <w:szCs w:val="20"/>
          <w:color w:val="auto"/>
        </w:rPr>
      </w:pPr>
      <w:r>
        <w:rPr>
          <w:rFonts w:ascii="Arial" w:cs="Arial" w:eastAsia="Arial" w:hAnsi="Arial"/>
          <w:sz w:val="18"/>
          <w:szCs w:val="18"/>
          <w:color w:val="auto"/>
        </w:rPr>
        <w:t xml:space="preserve">respective Facing Agent, Lender or other Recipient (a copy of which demand shall be sent by such Facing Agent, Lender or other Recipient to Administrative Agent), the applicable Borrower shall pay to such Facing Agent, Lender or other Recipient such additional amount or amounts as will compensate such Facing Agent, Lender or other Recipient for such increased cost or reduction in the amount receivable or reduction on the rate of return on its capital. Each Recipient, upon determining that any additional amounts will be payable pursuant to this </w:t>
      </w:r>
      <w:r>
        <w:rPr>
          <w:rFonts w:ascii="Arial" w:cs="Arial" w:eastAsia="Arial" w:hAnsi="Arial"/>
          <w:sz w:val="18"/>
          <w:szCs w:val="18"/>
          <w:u w:val="single" w:color="auto"/>
          <w:color w:val="auto"/>
        </w:rPr>
        <w:t>Section 2.10(i)</w:t>
      </w:r>
      <w:r>
        <w:rPr>
          <w:rFonts w:ascii="Arial" w:cs="Arial" w:eastAsia="Arial" w:hAnsi="Arial"/>
          <w:sz w:val="18"/>
          <w:szCs w:val="18"/>
          <w:color w:val="auto"/>
        </w:rPr>
        <w:t xml:space="preserve">, will give prompt written notice thereof to the applicable Borrower, which notice shall include a certificate submitted to the applicable Borrower by the respective Recipient (a copy of which certificate shall be sent by such Recipient to Administrative Agent), setting forth in reasonable detail the basis for the calculation of such additional amount or amounts necessary to compensate such Recipient, although failure to give any such notice shall not release or diminish any Credit Party’s obligations to pay additional amounts pursuant to this </w:t>
      </w:r>
      <w:r>
        <w:rPr>
          <w:rFonts w:ascii="Arial" w:cs="Arial" w:eastAsia="Arial" w:hAnsi="Arial"/>
          <w:sz w:val="18"/>
          <w:szCs w:val="18"/>
          <w:u w:val="single" w:color="auto"/>
          <w:color w:val="auto"/>
        </w:rPr>
        <w:t>Section 2.10(i)</w:t>
      </w:r>
      <w:r>
        <w:rPr>
          <w:rFonts w:ascii="Arial" w:cs="Arial" w:eastAsia="Arial" w:hAnsi="Arial"/>
          <w:sz w:val="18"/>
          <w:szCs w:val="18"/>
          <w:color w:val="auto"/>
        </w:rPr>
        <w:t xml:space="preserve">. The certificate required to be delivered pursuant to this </w:t>
      </w:r>
      <w:r>
        <w:rPr>
          <w:rFonts w:ascii="Arial" w:cs="Arial" w:eastAsia="Arial" w:hAnsi="Arial"/>
          <w:sz w:val="18"/>
          <w:szCs w:val="18"/>
          <w:u w:val="single" w:color="auto"/>
          <w:color w:val="auto"/>
        </w:rPr>
        <w:t>Section 2.10(i)</w:t>
      </w:r>
      <w:r>
        <w:rPr>
          <w:rFonts w:ascii="Arial" w:cs="Arial" w:eastAsia="Arial" w:hAnsi="Arial"/>
          <w:sz w:val="18"/>
          <w:szCs w:val="18"/>
          <w:color w:val="auto"/>
        </w:rPr>
        <w:t xml:space="preserve"> shall, absent manifest error, be final, conclusive and binding on the Credit Parties.</w:t>
      </w:r>
    </w:p>
    <w:p>
      <w:pPr>
        <w:spacing w:after="0" w:line="195" w:lineRule="exact"/>
        <w:rPr>
          <w:sz w:val="20"/>
          <w:szCs w:val="20"/>
          <w:color w:val="auto"/>
        </w:rPr>
      </w:pPr>
    </w:p>
    <w:p>
      <w:pPr>
        <w:jc w:val="both"/>
        <w:ind w:left="-656" w:firstLine="656"/>
        <w:spacing w:after="0" w:line="258" w:lineRule="auto"/>
        <w:tabs>
          <w:tab w:leader="none" w:pos="228" w:val="left"/>
        </w:tabs>
        <w:numPr>
          <w:ilvl w:val="0"/>
          <w:numId w:val="9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The letters of credit set forth under the caption “Letters of Credit outstanding on the Effective Date” on </w:t>
      </w:r>
      <w:r>
        <w:rPr>
          <w:rFonts w:ascii="Arial" w:cs="Arial" w:eastAsia="Arial" w:hAnsi="Arial"/>
          <w:sz w:val="18"/>
          <w:szCs w:val="18"/>
          <w:u w:val="single" w:color="auto"/>
          <w:color w:val="auto"/>
        </w:rPr>
        <w:t>Schedule 2.10(j)</w:t>
      </w:r>
      <w:r>
        <w:rPr>
          <w:rFonts w:ascii="Arial" w:cs="Arial" w:eastAsia="Arial" w:hAnsi="Arial"/>
          <w:sz w:val="18"/>
          <w:szCs w:val="18"/>
          <w:color w:val="auto"/>
        </w:rPr>
        <w:t xml:space="preserve"> annexed hereto and made a part hereof which were issued pursuant to the Existing Credit Agreement and which remain outstanding as of the Effective Date (the “</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Each Borrower, each Facing Agent and each of the Lenders hereby agree with respect to the Existing Letters of Credit that such Existing Letters of Credit, for all purposes under this Agreement shall be deemed to be Letters of Credit (as indicated on </w:t>
      </w:r>
      <w:r>
        <w:rPr>
          <w:rFonts w:ascii="Arial" w:cs="Arial" w:eastAsia="Arial" w:hAnsi="Arial"/>
          <w:sz w:val="18"/>
          <w:szCs w:val="18"/>
          <w:u w:val="single" w:color="auto"/>
          <w:color w:val="auto"/>
        </w:rPr>
        <w:t>Schedule 2.10(j)</w:t>
      </w:r>
      <w:r>
        <w:rPr>
          <w:rFonts w:ascii="Arial" w:cs="Arial" w:eastAsia="Arial" w:hAnsi="Arial"/>
          <w:sz w:val="18"/>
          <w:szCs w:val="18"/>
          <w:color w:val="auto"/>
        </w:rPr>
        <w:t>), governed by the terms and conditions of this Agreement. Each Lender agrees to participate in each Existing Letter of Credit issued by any Facing Agent in an amount equal to its Multicurrency Revolver Pro Rata Share or Canadian Revolver Pro Rata Share, as the case may be, of the Stated Amount of such Existing Letter of Credit.</w:t>
      </w:r>
    </w:p>
    <w:p>
      <w:pPr>
        <w:spacing w:after="0" w:line="197" w:lineRule="exact"/>
        <w:rPr>
          <w:sz w:val="20"/>
          <w:szCs w:val="20"/>
          <w:color w:val="auto"/>
        </w:rPr>
      </w:pPr>
    </w:p>
    <w:p>
      <w:pPr>
        <w:jc w:val="both"/>
        <w:ind w:left="4"/>
        <w:spacing w:after="0" w:line="267" w:lineRule="auto"/>
        <w:rPr>
          <w:sz w:val="20"/>
          <w:szCs w:val="20"/>
          <w:color w:val="auto"/>
        </w:rPr>
      </w:pPr>
      <w:r>
        <w:rPr>
          <w:rFonts w:ascii="Arial" w:cs="Arial" w:eastAsia="Arial" w:hAnsi="Arial"/>
          <w:sz w:val="18"/>
          <w:szCs w:val="18"/>
          <w:u w:val="single" w:color="auto"/>
          <w:color w:val="auto"/>
        </w:rPr>
        <w:t>2.11 Pro Rata Borrowings</w:t>
      </w:r>
      <w:r>
        <w:rPr>
          <w:rFonts w:ascii="Arial" w:cs="Arial" w:eastAsia="Arial" w:hAnsi="Arial"/>
          <w:sz w:val="18"/>
          <w:szCs w:val="18"/>
          <w:color w:val="auto"/>
        </w:rPr>
        <w:t xml:space="preserve">. Except as expressly provided in </w:t>
      </w:r>
      <w:r>
        <w:rPr>
          <w:rFonts w:ascii="Arial" w:cs="Arial" w:eastAsia="Arial" w:hAnsi="Arial"/>
          <w:sz w:val="18"/>
          <w:szCs w:val="18"/>
          <w:u w:val="single" w:color="auto"/>
          <w:color w:val="auto"/>
        </w:rPr>
        <w:t>Section 2A.9(e)</w:t>
      </w:r>
      <w:r>
        <w:rPr>
          <w:rFonts w:ascii="Arial" w:cs="Arial" w:eastAsia="Arial" w:hAnsi="Arial"/>
          <w:sz w:val="18"/>
          <w:szCs w:val="18"/>
          <w:color w:val="auto"/>
        </w:rPr>
        <w:t xml:space="preserve">, Borrowings of Loans under this Agreement shall be loaned by the applicable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on the basis of their applicable Facility Commitments. No Lender shall be responsible for any default by any other Lender in its obligation to make Loans hereunder and each Lender shall be obligated to make the Loans provided to be made by it hereunder, regardless of the failure of any other Lender to fulfill its Commitments hereunder.</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20"/>
          <w:szCs w:val="20"/>
          <w:u w:val="single" w:color="auto"/>
          <w:color w:val="auto"/>
        </w:rPr>
        <w:t>2.12 Defaulting Lenders</w:t>
      </w:r>
    </w:p>
    <w:p>
      <w:pPr>
        <w:ind w:left="4"/>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left="4" w:hanging="4"/>
        <w:spacing w:after="0" w:line="231" w:lineRule="auto"/>
        <w:tabs>
          <w:tab w:leader="none" w:pos="275" w:val="left"/>
        </w:tabs>
        <w:numPr>
          <w:ilvl w:val="0"/>
          <w:numId w:val="99"/>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Reallocation of Defaulting Lender Commitment, Etc</w:t>
      </w:r>
      <w:r>
        <w:rPr>
          <w:rFonts w:ascii="Arial" w:cs="Arial" w:eastAsia="Arial" w:hAnsi="Arial"/>
          <w:sz w:val="20"/>
          <w:szCs w:val="20"/>
          <w:color w:val="auto"/>
        </w:rPr>
        <w:t>. If a Lender becomes, and during the period it remains, a Defaulting Lender, the following provisions shall apply with respect to any outstanding Letter of Credit Exposure and any outstanding Swing Line Exposure of such Defaulting Lender:</w:t>
      </w:r>
    </w:p>
    <w:p>
      <w:pPr>
        <w:spacing w:after="0" w:line="210" w:lineRule="exact"/>
        <w:rPr>
          <w:rFonts w:ascii="Arial" w:cs="Arial" w:eastAsia="Arial" w:hAnsi="Arial"/>
          <w:sz w:val="20"/>
          <w:szCs w:val="20"/>
          <w:u w:val="single" w:color="auto"/>
          <w:color w:val="auto"/>
        </w:rPr>
      </w:pPr>
    </w:p>
    <w:p>
      <w:pPr>
        <w:jc w:val="both"/>
        <w:ind w:left="644" w:firstLine="4"/>
        <w:spacing w:after="0" w:line="241" w:lineRule="auto"/>
        <w:tabs>
          <w:tab w:leader="none" w:pos="885" w:val="left"/>
        </w:tabs>
        <w:numPr>
          <w:ilvl w:val="1"/>
          <w:numId w:val="99"/>
        </w:numPr>
        <w:rPr>
          <w:rFonts w:ascii="Arial" w:cs="Arial" w:eastAsia="Arial" w:hAnsi="Arial"/>
          <w:sz w:val="19"/>
          <w:szCs w:val="19"/>
          <w:color w:val="auto"/>
        </w:rPr>
      </w:pPr>
      <w:r>
        <w:rPr>
          <w:rFonts w:ascii="Arial" w:cs="Arial" w:eastAsia="Arial" w:hAnsi="Arial"/>
          <w:sz w:val="19"/>
          <w:szCs w:val="19"/>
          <w:color w:val="auto"/>
        </w:rPr>
        <w:t xml:space="preserve">so long as no Event of Default has occurred and is continuing, the Letter of Credit Exposure and Swing Line Exposure of such Defaulting Lender will, subject to the limitation in the first proviso below, automatically be reallocated (effective on the day such Lender becomes a Defaulting Lender) among the Non-Defaulting Lenders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in accordance with their respective Revolving Commitments under the applicable Revolving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after giving effect to such reallocation, (x) the sum of each Non-Defaulting Lender’s total of the Revolving Credit Exposure may not in any event exceed the Revolving Commitment of such Non-Defaulting Lender as in effect at the time of such reallocation, (y) the sum of each Non-Defaulting Lender’s total of the Multicurrency Revolving Credit Exposure may not in any event exceed the Multicurrency Revolving Commitment of such Non-Defaulting Lender as in effect at the time of such reallocation and (z) the sum of each Non-Defaulting Lender’s total of the</w:t>
      </w:r>
    </w:p>
    <w:p>
      <w:pPr>
        <w:sectPr>
          <w:pgSz w:w="11900" w:h="16838" w:orient="portrait"/>
          <w:cols w:equalWidth="0" w:num="1">
            <w:col w:w="10584"/>
          </w:cols>
          <w:pgMar w:left="976" w:top="1419" w:right="339" w:bottom="1440" w:gutter="0" w:footer="0" w:header="0"/>
        </w:sectPr>
      </w:pPr>
    </w:p>
    <w:bookmarkStart w:id="211" w:name="page212"/>
    <w:bookmarkEnd w:id="211"/>
    <w:p>
      <w:pPr>
        <w:jc w:val="both"/>
        <w:ind w:left="1300"/>
        <w:spacing w:after="0" w:line="246" w:lineRule="auto"/>
        <w:rPr>
          <w:sz w:val="20"/>
          <w:szCs w:val="20"/>
          <w:color w:val="auto"/>
        </w:rPr>
      </w:pPr>
      <w:r>
        <w:rPr>
          <w:rFonts w:ascii="Arial" w:cs="Arial" w:eastAsia="Arial" w:hAnsi="Arial"/>
          <w:sz w:val="19"/>
          <w:szCs w:val="19"/>
          <w:color w:val="auto"/>
        </w:rPr>
        <w:t xml:space="preserve">Canadian Revolving Credit Exposure may not in any event exceed the Canadian Revolving Commitment of such Non-Defaulting Lender as in effect at the time of such reallocation and (b) subject to </w:t>
      </w:r>
      <w:r>
        <w:rPr>
          <w:rFonts w:ascii="Arial" w:cs="Arial" w:eastAsia="Arial" w:hAnsi="Arial"/>
          <w:sz w:val="19"/>
          <w:szCs w:val="19"/>
          <w:u w:val="single" w:color="auto"/>
          <w:color w:val="auto"/>
        </w:rPr>
        <w:t>Section 12.20</w:t>
      </w:r>
      <w:r>
        <w:rPr>
          <w:rFonts w:ascii="Arial" w:cs="Arial" w:eastAsia="Arial" w:hAnsi="Arial"/>
          <w:sz w:val="19"/>
          <w:szCs w:val="19"/>
          <w:color w:val="auto"/>
        </w:rPr>
        <w:t>, neither such reallocation nor any payment by a Non-Defaulting Lender pursuant thereto will constitute a waiver or release of any claim the Borrowers, the Administrative Agent, the Facing Agents, the Swing Line Lender or any other Lender may have against such Defaulting Lender or cause such Defaulting Lender to be a Non-Defaulting Lender; and</w:t>
      </w:r>
    </w:p>
    <w:p>
      <w:pPr>
        <w:spacing w:after="0" w:line="203" w:lineRule="exact"/>
        <w:rPr>
          <w:sz w:val="20"/>
          <w:szCs w:val="20"/>
          <w:color w:val="auto"/>
        </w:rPr>
      </w:pPr>
    </w:p>
    <w:p>
      <w:pPr>
        <w:jc w:val="both"/>
        <w:ind w:left="1300" w:firstLine="4"/>
        <w:spacing w:after="0" w:line="242" w:lineRule="auto"/>
        <w:tabs>
          <w:tab w:leader="none" w:pos="1613" w:val="left"/>
        </w:tabs>
        <w:numPr>
          <w:ilvl w:val="1"/>
          <w:numId w:val="100"/>
        </w:numPr>
        <w:rPr>
          <w:rFonts w:ascii="Arial" w:cs="Arial" w:eastAsia="Arial" w:hAnsi="Arial"/>
          <w:sz w:val="19"/>
          <w:szCs w:val="19"/>
          <w:color w:val="auto"/>
        </w:rPr>
      </w:pPr>
      <w:r>
        <w:rPr>
          <w:rFonts w:ascii="Arial" w:cs="Arial" w:eastAsia="Arial" w:hAnsi="Arial"/>
          <w:sz w:val="19"/>
          <w:szCs w:val="19"/>
          <w:color w:val="auto"/>
        </w:rPr>
        <w:t>to the extent that any portion (the “</w:t>
      </w:r>
      <w:r>
        <w:rPr>
          <w:rFonts w:ascii="Arial" w:cs="Arial" w:eastAsia="Arial" w:hAnsi="Arial"/>
          <w:sz w:val="19"/>
          <w:szCs w:val="19"/>
          <w:u w:val="single" w:color="auto"/>
          <w:color w:val="auto"/>
        </w:rPr>
        <w:t>Unreallocated Portion</w:t>
      </w:r>
      <w:r>
        <w:rPr>
          <w:rFonts w:ascii="Arial" w:cs="Arial" w:eastAsia="Arial" w:hAnsi="Arial"/>
          <w:sz w:val="19"/>
          <w:szCs w:val="19"/>
          <w:color w:val="auto"/>
        </w:rPr>
        <w:t>”) of the Defaulting Lender’s Letter of Credit Exposure and Swing Line Exposure cannot be so reallocated, whether by reason of the first proviso in clause (i) above or otherwise, the Borrower will, not later than two Business Days after demand by the Administrative Agent (at the direction of any Facing Agent and/or the Swing Line Lender, as the case may be), (a) cash collateralize the obligations of the Borrower to the Facing Agents and the Swing Line Lender in respect of such Letter of Credit Exposure and the Swing Line Exposure of such Defaulting Lender, as the case may be, in an amount at least equal to the aggregate amount of the Unreallocated Portion of such Letter of Credit Exposure and Swing Line Exposure or (b) in the case of such Swing Line Exposure, prepay in full the Unreallocated Portion of the Swing Line Exposure of such Defaulting Lender.</w:t>
      </w:r>
    </w:p>
    <w:p>
      <w:pPr>
        <w:spacing w:after="0" w:line="208" w:lineRule="exact"/>
        <w:rPr>
          <w:rFonts w:ascii="Arial" w:cs="Arial" w:eastAsia="Arial" w:hAnsi="Arial"/>
          <w:sz w:val="19"/>
          <w:szCs w:val="19"/>
          <w:color w:val="auto"/>
        </w:rPr>
      </w:pPr>
    </w:p>
    <w:p>
      <w:pPr>
        <w:ind w:left="940" w:hanging="284"/>
        <w:spacing w:after="0"/>
        <w:tabs>
          <w:tab w:leader="none" w:pos="940" w:val="left"/>
        </w:tabs>
        <w:numPr>
          <w:ilvl w:val="0"/>
          <w:numId w:val="101"/>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Fees</w:t>
      </w:r>
      <w:r>
        <w:rPr>
          <w:rFonts w:ascii="Arial" w:cs="Arial" w:eastAsia="Arial" w:hAnsi="Arial"/>
          <w:sz w:val="20"/>
          <w:szCs w:val="20"/>
          <w:color w:val="auto"/>
        </w:rPr>
        <w: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Anything herein to the contrary notwithstanding, during such period as a Lender is a Defaulting Lender, such Defaulting Lender will not be entitled to any Commitment Fee accruing during such period pursuant to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and the Borrowers shall no longer be required to pay the portion of the Commitment Fee accruing during such period that would have been payable to such Defaulting Lender.</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Anything herein to the contrary notwithstanding, during such period as a Lender is a Defaulting Lender, such Defaulting Lender will not be entitled to any Letter of Credit fees accruing during such period (without prejudice to the rights of the Non-Defaulting Lenders in respect of such fees to the extent provided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to the extent that all or a portion of the Letter of Credit Exposure of a Defaulting Lender is reallocated to the Non-Defaulting Lenders pursuant to </w:t>
      </w:r>
      <w:r>
        <w:rPr>
          <w:rFonts w:ascii="Arial" w:cs="Arial" w:eastAsia="Arial" w:hAnsi="Arial"/>
          <w:sz w:val="18"/>
          <w:szCs w:val="18"/>
          <w:u w:val="single" w:color="auto"/>
          <w:color w:val="auto"/>
        </w:rPr>
        <w:t>Section 2.12(a)(i)</w:t>
      </w:r>
      <w:r>
        <w:rPr>
          <w:rFonts w:ascii="Arial" w:cs="Arial" w:eastAsia="Arial" w:hAnsi="Arial"/>
          <w:sz w:val="18"/>
          <w:szCs w:val="18"/>
          <w:color w:val="auto"/>
        </w:rPr>
        <w:t xml:space="preserve">, such fees that would have accrued for the benefit of such Defaulting Lender will instead accrue for the benefit of and be payable to such Non-Defaulting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their respective Revolving Commitments, and (y) to the extent any portion of such Letter of Credit Exposure cannot be so reallocated, such Letter of Credit fees will instead accrue for the benefit of and be payable to the Facing Agents based on their pro rata share of the undrawn face amount of Letters of Credit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and so long as the Borrowers shall have cash collateralized Letter of Credit Exposure of a Defaulting Lender as required pursuant to </w:t>
      </w:r>
      <w:r>
        <w:rPr>
          <w:rFonts w:ascii="Arial" w:cs="Arial" w:eastAsia="Arial" w:hAnsi="Arial"/>
          <w:sz w:val="18"/>
          <w:szCs w:val="18"/>
          <w:u w:val="single" w:color="auto"/>
          <w:color w:val="auto"/>
        </w:rPr>
        <w:t>Section 2.12(a)(ii)</w:t>
      </w:r>
      <w:r>
        <w:rPr>
          <w:rFonts w:ascii="Arial" w:cs="Arial" w:eastAsia="Arial" w:hAnsi="Arial"/>
          <w:sz w:val="18"/>
          <w:szCs w:val="18"/>
          <w:color w:val="auto"/>
        </w:rPr>
        <w:t>, then the Borrower shall no longer be required to pay Letter of Credit fees in respect of such cash collateralized amounts in respect of the Letter of Credit Exposure of such Defaulting Lender.</w:t>
      </w:r>
    </w:p>
    <w:p>
      <w:pPr>
        <w:spacing w:after="0" w:line="19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u w:val="single" w:color="auto"/>
          <w:color w:val="auto"/>
        </w:rPr>
        <w:t>(c)Termination of Defaulting Lender Commitment</w:t>
      </w:r>
      <w:r>
        <w:rPr>
          <w:rFonts w:ascii="Arial" w:cs="Arial" w:eastAsia="Arial" w:hAnsi="Arial"/>
          <w:sz w:val="18"/>
          <w:szCs w:val="18"/>
          <w:color w:val="auto"/>
        </w:rPr>
        <w:t xml:space="preserve">. So long as no Unmatured Event of Default or Event of Default has occurred and is continuing, the Borrowers may terminate the unused amount of the Revolving Commitment of a Defaulting Lender upon not less than three Business Days’ prior notice to the Administrative Agent (which will promptly notify the Lenders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 w:lineRule="exact"/>
        <w:rPr>
          <w:sz w:val="20"/>
          <w:szCs w:val="20"/>
          <w:color w:val="auto"/>
        </w:rPr>
      </w:pPr>
    </w:p>
    <w:p>
      <w:pPr>
        <w:jc w:val="both"/>
        <w:ind w:left="660" w:hanging="4"/>
        <w:spacing w:after="0" w:line="230" w:lineRule="auto"/>
        <w:tabs>
          <w:tab w:leader="none" w:pos="89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prior to any such termination, the Borrower shall have repaid in full all outstanding Revolving Loans (without any reduction of the Revolving Commitments) and all accrued but unpaid interest and fees hereunder owing to all Lenders and (ii) such termination will not be deemed to be a waiver or release of any claim the Borrowers, the Administrative Agent, the Facing Agents, the Swing Line Lender or any Lender may have against such Defaulting</w:t>
      </w:r>
    </w:p>
    <w:p>
      <w:pPr>
        <w:sectPr>
          <w:pgSz w:w="11900" w:h="16838" w:orient="portrait"/>
          <w:cols w:equalWidth="0" w:num="1">
            <w:col w:w="11240"/>
          </w:cols>
          <w:pgMar w:left="320" w:top="1419" w:right="339" w:bottom="1440" w:gutter="0" w:footer="0" w:header="0"/>
        </w:sectPr>
      </w:pPr>
    </w:p>
    <w:bookmarkStart w:id="212" w:name="page213"/>
    <w:bookmarkEnd w:id="212"/>
    <w:p>
      <w:pPr>
        <w:jc w:val="both"/>
        <w:ind w:left="4"/>
        <w:spacing w:after="0" w:line="237" w:lineRule="auto"/>
        <w:rPr>
          <w:sz w:val="20"/>
          <w:szCs w:val="20"/>
          <w:color w:val="auto"/>
        </w:rPr>
      </w:pPr>
      <w:r>
        <w:rPr>
          <w:rFonts w:ascii="Arial" w:cs="Arial" w:eastAsia="Arial" w:hAnsi="Arial"/>
          <w:sz w:val="20"/>
          <w:szCs w:val="20"/>
          <w:color w:val="auto"/>
        </w:rPr>
        <w:t xml:space="preserve">Lender;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in the case of the termination of a Defaulting Lender’s Revolving Commitment, if such Defaulting Lender is a Facing Agent with one or more outstanding Letters of Credit, then the Borrowers shall be required to fully cash collateralize such Letters of Credit.</w:t>
      </w:r>
    </w:p>
    <w:p>
      <w:pPr>
        <w:spacing w:after="0" w:line="210" w:lineRule="exact"/>
        <w:rPr>
          <w:sz w:val="20"/>
          <w:szCs w:val="20"/>
          <w:color w:val="auto"/>
        </w:rPr>
      </w:pPr>
    </w:p>
    <w:p>
      <w:pPr>
        <w:jc w:val="both"/>
        <w:ind w:left="4" w:hanging="4"/>
        <w:spacing w:after="0" w:line="253" w:lineRule="auto"/>
        <w:tabs>
          <w:tab w:leader="none" w:pos="289" w:val="left"/>
        </w:tabs>
        <w:numPr>
          <w:ilvl w:val="0"/>
          <w:numId w:val="10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Reallocation of Payments</w:t>
      </w:r>
      <w:r>
        <w:rPr>
          <w:rFonts w:ascii="Arial" w:cs="Arial" w:eastAsia="Arial" w:hAnsi="Arial"/>
          <w:sz w:val="18"/>
          <w:szCs w:val="18"/>
          <w:color w:val="auto"/>
        </w:rPr>
        <w:t xml:space="preserve">. If a Lender becomes, and during the period it remains, a Defaulting Lender, except in connection with a termination of such Defaulting Lender’s Revolving Commitments pursuant to </w:t>
      </w:r>
      <w:r>
        <w:rPr>
          <w:rFonts w:ascii="Arial" w:cs="Arial" w:eastAsia="Arial" w:hAnsi="Arial"/>
          <w:sz w:val="18"/>
          <w:szCs w:val="18"/>
          <w:u w:val="single" w:color="auto"/>
          <w:color w:val="auto"/>
        </w:rPr>
        <w:t>Section 2.12(c)</w:t>
      </w:r>
      <w:r>
        <w:rPr>
          <w:rFonts w:ascii="Arial" w:cs="Arial" w:eastAsia="Arial" w:hAnsi="Arial"/>
          <w:sz w:val="18"/>
          <w:szCs w:val="18"/>
          <w:color w:val="auto"/>
        </w:rPr>
        <w:t xml:space="preserve"> above, any amount paid by the Borrowers for the account of such Defaulting Lender (whether on account of principal, interest, fees, indemnity payments or other amounts) will not be paid or distributed to such Defaulting Lender, but will instead be retained by the Administrative Agent and will be applied by the Administrative Agent, to the fullest extent permitted by law, to the making of payments from time to time in the following order of priority: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amounts owing by such Defaulting Lender to the Administrative Agent under this Agreement,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of any amounts owing by such Defaulting Lender to the Facing Agents or the Swing Line Lender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as to the respective amounts owing to each of them) under this Agreement,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as the Borrowers may request (so long as no Unmatured Event of Default or Event of Default then exists), to the funding of any Loan in respect of which such Defaulting Lender has failed to fund its portion thereof as required by this Agreement, as determined by the Administrative Agent, and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after the earlier of (x) termination of the applicable Revolving Commitments and payment in full of all obligations of the Borrowers under such Revolving Facility and (y) the Revolver Termination Date applicable to such Defaulting Lender and payment in full of all obligations of the Borrowers under such Revolving Facility to all Lenders owing on such Revolver Termination Date, to pay amounts owing under this Agreement to such Defaulting Lender or as a court of competent jurisdiction may otherwise direct. For the sake of clarity, it is understood and agreed that any payment by the Borrowers on account of the obligations of a Defaulting Lender shall be and be deemed to be a payment by the Borrowers to such Defaulting Lender (and no interest will thereafter accrue on such amount) whether or not such payment is paid to such Defaulting Lender.</w:t>
      </w:r>
    </w:p>
    <w:p>
      <w:pPr>
        <w:spacing w:after="0" w:line="205" w:lineRule="exact"/>
        <w:rPr>
          <w:rFonts w:ascii="Arial" w:cs="Arial" w:eastAsia="Arial" w:hAnsi="Arial"/>
          <w:sz w:val="18"/>
          <w:szCs w:val="18"/>
          <w:u w:val="single" w:color="auto"/>
          <w:color w:val="auto"/>
        </w:rPr>
      </w:pPr>
    </w:p>
    <w:p>
      <w:pPr>
        <w:jc w:val="both"/>
        <w:ind w:left="4" w:hanging="4"/>
        <w:spacing w:after="0" w:line="254" w:lineRule="auto"/>
        <w:tabs>
          <w:tab w:leader="none" w:pos="273" w:val="left"/>
        </w:tabs>
        <w:numPr>
          <w:ilvl w:val="0"/>
          <w:numId w:val="10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Cure</w:t>
      </w:r>
      <w:r>
        <w:rPr>
          <w:rFonts w:ascii="Arial" w:cs="Arial" w:eastAsia="Arial" w:hAnsi="Arial"/>
          <w:sz w:val="18"/>
          <w:szCs w:val="18"/>
          <w:color w:val="auto"/>
        </w:rPr>
        <w:t xml:space="preserve">. If the Borrower, the Administrative Agent, the Facing Agents and the Swing Line Lender agree in writing in their discretion that a Lender that is a Defaulting Lender should no longer be deemed to be a Defaulting Lender, the Administrative Agent will so notify the parties hereto, whereupon as of the effective date specified in such notice and subject to any conditions set forth therein, such Lender will, to the extent applicable, purchase such portion of the outstanding Revolving Loans of the other Lenders (together with any break funding incurred by such other Lenders) and/or make such other adjustments as the Administrative Agent may determine to be necessary to cause the total Multicurrency Revolving Commitments, Canadian Revolving Commitments, Revolving Commitments, Multicurrency Revolving Loans, Canadian Revolving Loans, Revolving Loans, Letter of Credit participation obligations and Swing Line Loans participation obligations of the Lenders to be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in accordance with their respective Revolving Commitments under the applicable Revolving Facility,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Borrowers while such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203" w:lineRule="exact"/>
        <w:rPr>
          <w:rFonts w:ascii="Arial" w:cs="Arial" w:eastAsia="Arial" w:hAnsi="Arial"/>
          <w:sz w:val="18"/>
          <w:szCs w:val="18"/>
          <w:u w:val="single" w:color="auto"/>
          <w:color w:val="auto"/>
        </w:rPr>
      </w:pPr>
    </w:p>
    <w:p>
      <w:pPr>
        <w:ind w:left="4" w:hanging="4"/>
        <w:spacing w:after="0" w:line="246" w:lineRule="auto"/>
        <w:tabs>
          <w:tab w:leader="none" w:pos="274" w:val="left"/>
        </w:tabs>
        <w:numPr>
          <w:ilvl w:val="0"/>
          <w:numId w:val="10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xml:space="preserve">. Such Defaulting Lender’s right to approve or disapprove any amendment, waiver or consent with respect to this Agreement shall be restricted as set forth in </w:t>
      </w:r>
      <w:r>
        <w:rPr>
          <w:rFonts w:ascii="Arial" w:cs="Arial" w:eastAsia="Arial" w:hAnsi="Arial"/>
          <w:sz w:val="20"/>
          <w:szCs w:val="20"/>
          <w:u w:val="single" w:color="auto"/>
          <w:color w:val="auto"/>
        </w:rPr>
        <w:t>Section 12.1</w:t>
      </w:r>
      <w:r>
        <w:rPr>
          <w:rFonts w:ascii="Arial" w:cs="Arial" w:eastAsia="Arial" w:hAnsi="Arial"/>
          <w:sz w:val="20"/>
          <w:szCs w:val="20"/>
          <w:color w:val="auto"/>
        </w:rPr>
        <w:t>.</w:t>
      </w:r>
    </w:p>
    <w:p>
      <w:pPr>
        <w:sectPr>
          <w:pgSz w:w="11900" w:h="16838" w:orient="portrait"/>
          <w:cols w:equalWidth="0" w:num="1">
            <w:col w:w="10584"/>
          </w:cols>
          <w:pgMar w:left="976" w:top="1419" w:right="339" w:bottom="1440" w:gutter="0" w:footer="0" w:header="0"/>
        </w:sectPr>
      </w:pPr>
    </w:p>
    <w:bookmarkStart w:id="213" w:name="page214"/>
    <w:bookmarkEnd w:id="213"/>
    <w:p>
      <w:pPr>
        <w:spacing w:after="0"/>
        <w:rPr>
          <w:sz w:val="20"/>
          <w:szCs w:val="20"/>
          <w:color w:val="auto"/>
        </w:rPr>
      </w:pPr>
      <w:r>
        <w:rPr>
          <w:rFonts w:ascii="Arial" w:cs="Arial" w:eastAsia="Arial" w:hAnsi="Arial"/>
          <w:sz w:val="20"/>
          <w:szCs w:val="20"/>
          <w:u w:val="single" w:color="auto"/>
          <w:color w:val="auto"/>
        </w:rPr>
        <w:t>2.13 Replacement Revolving Credit Facility</w:t>
      </w:r>
    </w:p>
    <w:p>
      <w:pPr>
        <w:ind w:left="130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firstLine="8"/>
        <w:spacing w:after="0" w:line="250" w:lineRule="auto"/>
        <w:tabs>
          <w:tab w:leader="none" w:pos="27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Notwithstanding anything to the contrary in any Loan Document, this Agreement may be amended, amended and restated, supplemented or otherwise modified on one or more occasions with the written consent of the Administrative Agent, the Swing Line Lenders under the applicable Revolving Facility, the Borrowers under the applicable Revolving Facility and the Lenders and New Lenders providing the relevant Replacement Revolving Loans (as defined below) and Replacement Revolving Commitments (as defined below) to permit the refinancing of all or any portion of the Revolving Loans or Loans in respect of any Additional Revolving Credit Commitments or Loans in respect of any other Replacement Revolving Facility outstanding hereunder (“</w:t>
      </w:r>
      <w:r>
        <w:rPr>
          <w:rFonts w:ascii="Arial" w:cs="Arial" w:eastAsia="Arial" w:hAnsi="Arial"/>
          <w:sz w:val="18"/>
          <w:szCs w:val="18"/>
          <w:u w:val="single" w:color="auto"/>
          <w:color w:val="auto"/>
        </w:rPr>
        <w:t>Refinanced Revolving Loans</w:t>
      </w:r>
      <w:r>
        <w:rPr>
          <w:rFonts w:ascii="Arial" w:cs="Arial" w:eastAsia="Arial" w:hAnsi="Arial"/>
          <w:sz w:val="18"/>
          <w:szCs w:val="18"/>
          <w:color w:val="auto"/>
        </w:rPr>
        <w:t>”) and Revolving Commitments and/or any Additional Facility Commitments in respect of any Additional Revolving Credit Commitments hereunder and/or any other Replacement Revolving Commitments in respect of any other Replacement Revolving Facility hereunder (“</w:t>
      </w:r>
      <w:r>
        <w:rPr>
          <w:rFonts w:ascii="Arial" w:cs="Arial" w:eastAsia="Arial" w:hAnsi="Arial"/>
          <w:sz w:val="18"/>
          <w:szCs w:val="18"/>
          <w:u w:val="single" w:color="auto"/>
          <w:color w:val="auto"/>
        </w:rPr>
        <w:t>Refinanced Revolving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Commitments</w:t>
      </w:r>
      <w:r>
        <w:rPr>
          <w:rFonts w:ascii="Arial" w:cs="Arial" w:eastAsia="Arial" w:hAnsi="Arial"/>
          <w:sz w:val="18"/>
          <w:szCs w:val="18"/>
          <w:color w:val="auto"/>
        </w:rPr>
        <w:t>”) (which for this purpose will be deemed to include any then outstanding Replacement Revolving Loans and Replacement Revolving Commitments) with replacement revolving loans (“</w:t>
      </w:r>
      <w:r>
        <w:rPr>
          <w:rFonts w:ascii="Arial" w:cs="Arial" w:eastAsia="Arial" w:hAnsi="Arial"/>
          <w:sz w:val="18"/>
          <w:szCs w:val="18"/>
          <w:u w:val="single" w:color="auto"/>
          <w:color w:val="auto"/>
        </w:rPr>
        <w:t>Replacement Revolving Loans</w:t>
      </w:r>
      <w:r>
        <w:rPr>
          <w:rFonts w:ascii="Arial" w:cs="Arial" w:eastAsia="Arial" w:hAnsi="Arial"/>
          <w:sz w:val="18"/>
          <w:szCs w:val="18"/>
          <w:color w:val="auto"/>
        </w:rPr>
        <w:t>”) and replacement revolving commitments (“</w:t>
      </w:r>
      <w:r>
        <w:rPr>
          <w:rFonts w:ascii="Arial" w:cs="Arial" w:eastAsia="Arial" w:hAnsi="Arial"/>
          <w:sz w:val="18"/>
          <w:szCs w:val="18"/>
          <w:u w:val="single" w:color="auto"/>
          <w:color w:val="auto"/>
        </w:rPr>
        <w:t>Replacement Revolving Commitments</w:t>
      </w:r>
      <w:r>
        <w:rPr>
          <w:rFonts w:ascii="Arial" w:cs="Arial" w:eastAsia="Arial" w:hAnsi="Arial"/>
          <w:sz w:val="18"/>
          <w:szCs w:val="18"/>
          <w:color w:val="auto"/>
        </w:rPr>
        <w:t>,” and together with such Replacement Revolving Loans relating thereto, a “</w:t>
      </w:r>
      <w:r>
        <w:rPr>
          <w:rFonts w:ascii="Arial" w:cs="Arial" w:eastAsia="Arial" w:hAnsi="Arial"/>
          <w:sz w:val="18"/>
          <w:szCs w:val="18"/>
          <w:u w:val="single" w:color="auto"/>
          <w:color w:val="auto"/>
        </w:rPr>
        <w:t>Replacement Revolving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Facility</w:t>
      </w:r>
      <w:r>
        <w:rPr>
          <w:rFonts w:ascii="Arial" w:cs="Arial" w:eastAsia="Arial" w:hAnsi="Arial"/>
          <w:sz w:val="18"/>
          <w:szCs w:val="18"/>
          <w:color w:val="auto"/>
        </w:rPr>
        <w:t xml:space="preserve">”) hereunder which shall be Loans and Commitments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aggregate principal amount of such Replacement Revolving Loans and Replacement Revolving Commitments shall not exceed the aggregate principal amount of such Refinanced Revolving Loans and Refinanced Revolving Commitments in respect of such existing Revolving Facility (plus the amount of accrued interest and premium thereon, any committed but undrawn amounts and underwriting discounts, fees (including upfront fees and original issue discount), commissions and expenses incurred in connection with the replacement thereof), (b) the maturity date of such Replacement Revolving Loans and Replacement Revolving Commitments shall not be earlier than the latest Revolver Termination Date of such Refinanced Revolving Loans and Refinanced Revolving Commitments in respect of such existing Revolving Facility, (c) the interest rates, floors and margins, commitment, upfront and other fees, and borrowers with respect to such Replacement Revolving Loans and Replacement Revolving Commitments shall be as agreed by the borrowers party thereto and the Lenders and New Lenders providing such Replacement Revolving Loans and Replacement Revolving Commitments, including any changes or additional terms to address local law considerations in the case of any new foreign borrowers, (d) such Replacement Revolving Loans and Replacement Revolving Commitments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other Loans and Commitments hereunder, (e) no Event of Default under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10.1(i)</w:t>
      </w:r>
      <w:r>
        <w:rPr>
          <w:rFonts w:ascii="Arial" w:cs="Arial" w:eastAsia="Arial" w:hAnsi="Arial"/>
          <w:sz w:val="18"/>
          <w:szCs w:val="18"/>
          <w:color w:val="auto"/>
        </w:rPr>
        <w:t xml:space="preserve"> shall exist immediately prior to or after giving effect to the effectiveness of the relevant Replacement Revolving Facility and</w:t>
      </w:r>
    </w:p>
    <w:p>
      <w:pPr>
        <w:spacing w:after="0" w:line="9" w:lineRule="exact"/>
        <w:rPr>
          <w:rFonts w:ascii="Arial" w:cs="Arial" w:eastAsia="Arial" w:hAnsi="Arial"/>
          <w:sz w:val="18"/>
          <w:szCs w:val="18"/>
          <w:color w:val="auto"/>
        </w:rPr>
      </w:pPr>
    </w:p>
    <w:p>
      <w:pPr>
        <w:jc w:val="both"/>
        <w:ind w:firstLine="8"/>
        <w:spacing w:after="0" w:line="253" w:lineRule="auto"/>
        <w:tabs>
          <w:tab w:leader="none" w:pos="27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all other terms applicable to such Replacement Revolving Loans and Replacement Revolving Commitments (excluding interest rates, floors and margins, commitment, upfront and other fees, guarantees, security and maturity, subject to preceding clauses (b) through (f)) shall be no more restrictive than those applicable to such Refinanced Revolving Loans and Refinanced Revolving Commitments in respect of such existing Revolving Facility, except to the extent necessary to provide for covenants and other terms applicable to any period after the latest Revolver Termination Date in effect immediately prior to such refinancing;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terms are more favorable (taken as a whole) to the Lenders or New Lenders providing such Replacement Revolving Loans and Replacement Revolving Commitments, the applicable Borrowers shall have the right to unilaterally provide the existing Revolving Lenders and Lenders under any existing Additional Revolving Credit Commitments with additional rights and benefits and the “no more restrictive than” requirement of this clause (f) and compliance therewith shall be determined after giving effect to such additional right and benefits (it being understood and agreed that Crown Holdings may, at its option, deliver a certificate to the Administrative Agent certifying that the requirements of this clause (f)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w:t>
      </w:r>
    </w:p>
    <w:p>
      <w:pPr>
        <w:sectPr>
          <w:pgSz w:w="11900" w:h="16838" w:orient="portrait"/>
          <w:cols w:equalWidth="0" w:num="1">
            <w:col w:w="11240"/>
          </w:cols>
          <w:pgMar w:left="320" w:top="1419" w:right="339" w:bottom="1440" w:gutter="0" w:footer="0" w:header="0"/>
        </w:sectPr>
      </w:pPr>
    </w:p>
    <w:bookmarkStart w:id="214" w:name="page215"/>
    <w:bookmarkEnd w:id="214"/>
    <w:p>
      <w:pPr>
        <w:jc w:val="both"/>
        <w:ind w:firstLine="8"/>
        <w:spacing w:after="0" w:line="230" w:lineRule="auto"/>
        <w:tabs>
          <w:tab w:leader="none" w:pos="31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In addition, if so provided in the relevant amendment, amendment and restatement, supplement or other modification of the Credit Agreement entered into in accordance with </w:t>
      </w:r>
      <w:r>
        <w:rPr>
          <w:rFonts w:ascii="Arial" w:cs="Arial" w:eastAsia="Arial" w:hAnsi="Arial"/>
          <w:sz w:val="20"/>
          <w:szCs w:val="20"/>
          <w:u w:val="single" w:color="auto"/>
          <w:color w:val="auto"/>
        </w:rPr>
        <w:t>Section 2.13(a)</w:t>
      </w:r>
      <w:r>
        <w:rPr>
          <w:rFonts w:ascii="Arial" w:cs="Arial" w:eastAsia="Arial" w:hAnsi="Arial"/>
          <w:sz w:val="20"/>
          <w:szCs w:val="20"/>
          <w:color w:val="auto"/>
        </w:rPr>
        <w:t>, and with the consent of the applicable Facing Agent, participations in Letters of Credit under the applicable Refinanced Revolving Facility expiring on or after the Revolver Termination Date for such Refinanced Revolving Facility under which such Letter of Credit was issued may be reallocated from Lenders holding Revolving Commitments under such Refinanced Revolving Facility to Lenders and New Lenders holding Replacement Revolving Commitments under the applicable Replacement Revolving Facility in accordance with the terms of such amendment, amendment and restatement, supplement or other modification.</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 xml:space="preserve">(c)This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shall supersede any other provisions contained in the Loan Documents, including, without limitation, </w:t>
      </w:r>
      <w:r>
        <w:rPr>
          <w:rFonts w:ascii="Arial" w:cs="Arial" w:eastAsia="Arial" w:hAnsi="Arial"/>
          <w:sz w:val="20"/>
          <w:szCs w:val="20"/>
          <w:u w:val="single" w:color="auto"/>
          <w:color w:val="auto"/>
        </w:rPr>
        <w:t>Section 12.1</w:t>
      </w:r>
      <w:r>
        <w:rPr>
          <w:rFonts w:ascii="Arial" w:cs="Arial" w:eastAsia="Arial" w:hAnsi="Arial"/>
          <w:sz w:val="20"/>
          <w:szCs w:val="20"/>
          <w:color w:val="auto"/>
        </w:rPr>
        <w:t>, to the contrary.</w:t>
      </w:r>
    </w:p>
    <w:p>
      <w:pPr>
        <w:spacing w:after="0" w:line="204" w:lineRule="exact"/>
        <w:rPr>
          <w:sz w:val="20"/>
          <w:szCs w:val="20"/>
          <w:color w:val="auto"/>
        </w:rPr>
      </w:pPr>
    </w:p>
    <w:p>
      <w:pPr>
        <w:jc w:val="both"/>
        <w:ind w:firstLine="8"/>
        <w:spacing w:after="0" w:line="252" w:lineRule="auto"/>
        <w:tabs>
          <w:tab w:leader="none" w:pos="28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Upon issuance of any Replacement Revolving Commitments or the making of any Replacement Revolving Loans, (1) the borrowing and repayment (except for (A) payments of interest and fees at different rates on any Comparable Revolving Facility or any Additional Revolving Credit Commitments (to the extent that they remain outstanding) and such new Replacement Revolving Facility, (B) repayments required upon the Revolver Termination Date of any Comparable Revolving Facility or any Additional Revolving Credit Commitments (to the extent that they remain outstanding) and such new Replacement Revolving Facility and (C) repayments made in connection with any permanent repayment and termination of commitments (subject to clause (3) below)) of Loans under any new Replacement Revolving Facility after the effective date of Replacement Revolving Commitments shall be made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between any Comparable Revolving Facility and any other Additional Revolving Credit Commitments (to the extent they remain outstanding) and the new Replacement Revolving Facility,</w:t>
      </w:r>
    </w:p>
    <w:p>
      <w:pPr>
        <w:spacing w:after="0" w:line="5" w:lineRule="exact"/>
        <w:rPr>
          <w:rFonts w:ascii="Arial" w:cs="Arial" w:eastAsia="Arial" w:hAnsi="Arial"/>
          <w:sz w:val="18"/>
          <w:szCs w:val="18"/>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(2) any swing line loans made, or letters of credit issued, as applicable, under any Revolving Facility after the effective date of the Replacement Revolving Commitments shall be made or issued to the extent reasonably practicable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between any Comparable Revolving Facility and any other Additional Revolving Credit Commitments (to the extent that they remain outstanding) and the new Replacement Revolving Facility and (3) the permanent repayment of Loans with respect to, and termination of commitments under, such new Replacement Revolving Facility shall be made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between any Comparable Revolving Facility and any other Additional Revolving Credit Commitments (to the extent that they remain outstanding) and the new Replacement Revolving Facility, except that the Borrower under such new Replacement Revolving Facility shall be permitted to permanently repay and terminate commitments under such new Replacement Revolving Facility on a greater than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than any Comparable Revolving Facility that has a later Revolver Termination Date than such Replacement Revolving Facility either at the time of incurrence of such Replacement Revolving Facility or on the date that such Revolving Facility is subsequently incurred after the incurrence of such new Replacement Revolving Facility.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2.14 Replacement Term Loans</w:t>
      </w:r>
    </w:p>
    <w:p>
      <w:pPr>
        <w:ind w:left="130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left="660" w:hanging="4"/>
        <w:spacing w:after="0" w:line="291" w:lineRule="auto"/>
        <w:tabs>
          <w:tab w:leader="none" w:pos="96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Notwithstanding anything to the contrary in any Loan Document, this Agreement may be amended, amended and restated, supplemented or otherwise modified on one or more occasions with the written consent of the Administrative Agent, the Borrower under the applicable Term Facility and the Lenders and New Lenders providing the relevant Replacement Term Loans (as defined below), the relevant Replacement Term Commitments (as defined below) to permit the refinancing of all or any portion of the Term Loans outstanding under one or more Term Facilities (“</w:t>
      </w:r>
      <w:r>
        <w:rPr>
          <w:rFonts w:ascii="Arial" w:cs="Arial" w:eastAsia="Arial" w:hAnsi="Arial"/>
          <w:sz w:val="16"/>
          <w:szCs w:val="16"/>
          <w:u w:val="single" w:color="auto"/>
          <w:color w:val="auto"/>
        </w:rPr>
        <w:t>Refinanced Term Loans</w:t>
      </w:r>
      <w:r>
        <w:rPr>
          <w:rFonts w:ascii="Arial" w:cs="Arial" w:eastAsia="Arial" w:hAnsi="Arial"/>
          <w:sz w:val="16"/>
          <w:szCs w:val="16"/>
          <w:color w:val="auto"/>
        </w:rPr>
        <w:t>”) and Term Commitments under one or more Term Facilities (“</w:t>
      </w:r>
      <w:r>
        <w:rPr>
          <w:rFonts w:ascii="Arial" w:cs="Arial" w:eastAsia="Arial" w:hAnsi="Arial"/>
          <w:sz w:val="16"/>
          <w:szCs w:val="16"/>
          <w:u w:val="single" w:color="auto"/>
          <w:color w:val="auto"/>
        </w:rPr>
        <w:t>Refinanced Term Commitments</w:t>
      </w:r>
      <w:r>
        <w:rPr>
          <w:rFonts w:ascii="Arial" w:cs="Arial" w:eastAsia="Arial" w:hAnsi="Arial"/>
          <w:sz w:val="16"/>
          <w:szCs w:val="16"/>
          <w:color w:val="auto"/>
        </w:rPr>
        <w:t>”) (which for this purpose will be deemed to include any then outstanding Replacement Term Loans and Replacement Term Commitments) with a replacement term loan tranche hereunder (“</w:t>
      </w:r>
      <w:r>
        <w:rPr>
          <w:rFonts w:ascii="Arial" w:cs="Arial" w:eastAsia="Arial" w:hAnsi="Arial"/>
          <w:sz w:val="16"/>
          <w:szCs w:val="16"/>
          <w:u w:val="single" w:color="auto"/>
          <w:color w:val="auto"/>
        </w:rPr>
        <w:t>Replacement Term Loans</w:t>
      </w:r>
      <w:r>
        <w:rPr>
          <w:rFonts w:ascii="Arial" w:cs="Arial" w:eastAsia="Arial" w:hAnsi="Arial"/>
          <w:sz w:val="16"/>
          <w:szCs w:val="16"/>
          <w:color w:val="auto"/>
        </w:rPr>
        <w:t>”) and replacement term commitments hereunder (“</w:t>
      </w:r>
      <w:r>
        <w:rPr>
          <w:rFonts w:ascii="Arial" w:cs="Arial" w:eastAsia="Arial" w:hAnsi="Arial"/>
          <w:sz w:val="16"/>
          <w:szCs w:val="16"/>
          <w:u w:val="single" w:color="auto"/>
          <w:color w:val="auto"/>
        </w:rPr>
        <w:t>Replacement Term Commitments</w:t>
      </w:r>
      <w:r>
        <w:rPr>
          <w:rFonts w:ascii="Arial" w:cs="Arial" w:eastAsia="Arial" w:hAnsi="Arial"/>
          <w:sz w:val="16"/>
          <w:szCs w:val="16"/>
          <w:color w:val="auto"/>
        </w:rPr>
        <w:t>” and together with such Replacement Term Loans</w:t>
      </w:r>
    </w:p>
    <w:p>
      <w:pPr>
        <w:sectPr>
          <w:pgSz w:w="11900" w:h="16838" w:orient="portrait"/>
          <w:cols w:equalWidth="0" w:num="1">
            <w:col w:w="11240"/>
          </w:cols>
          <w:pgMar w:left="320" w:top="1419" w:right="339" w:bottom="1440" w:gutter="0" w:footer="0" w:header="0"/>
        </w:sectPr>
      </w:pPr>
    </w:p>
    <w:bookmarkStart w:id="215" w:name="page216"/>
    <w:bookmarkEnd w:id="215"/>
    <w:p>
      <w:pPr>
        <w:jc w:val="both"/>
        <w:ind w:left="660"/>
        <w:spacing w:after="0" w:line="286" w:lineRule="auto"/>
        <w:rPr>
          <w:sz w:val="20"/>
          <w:szCs w:val="20"/>
          <w:color w:val="auto"/>
        </w:rPr>
      </w:pPr>
      <w:r>
        <w:rPr>
          <w:rFonts w:ascii="Arial" w:cs="Arial" w:eastAsia="Arial" w:hAnsi="Arial"/>
          <w:sz w:val="16"/>
          <w:szCs w:val="16"/>
          <w:color w:val="auto"/>
        </w:rPr>
        <w:t>relating thereto, a “</w:t>
      </w:r>
      <w:r>
        <w:rPr>
          <w:rFonts w:ascii="Arial" w:cs="Arial" w:eastAsia="Arial" w:hAnsi="Arial"/>
          <w:sz w:val="16"/>
          <w:szCs w:val="16"/>
          <w:u w:val="single" w:color="auto"/>
          <w:color w:val="auto"/>
        </w:rPr>
        <w:t>Replacement Term Facility</w:t>
      </w:r>
      <w:r>
        <w:rPr>
          <w:rFonts w:ascii="Arial" w:cs="Arial" w:eastAsia="Arial" w:hAnsi="Arial"/>
          <w:sz w:val="16"/>
          <w:szCs w:val="16"/>
          <w:color w:val="auto"/>
        </w:rPr>
        <w:t xml:space="preserve">”) which shall be Loans and Commitments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aggregate principal amount of such Replacement Term Loans and Replacement Term Commitments shall not exceed the aggregate principal amount of such Refinanced Term Loans and Refinanced Term Commitments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amount of accrued interest and premium thereon, any underwriting discounts, fees (including upfront fees and original issue discount), commissions and expenses incurred in connection with the replacement thereof), (b) the weighted average life to maturity of such Replacement Term Loans shall not be shorter than the weighted average life to maturity of such Refinanced Term Loans at the time of such refinancing, (c) the original issue discount, interest rates, floors and margins, commitment, upfront and other fees, prepayment premiums, amortization schedules, and borrowers with respect to such Replacement Term Loans and Replacement Term Commitments shall be as agreed by the borrowers party thereto and the Lenders and New Lenders providing such Replacement Term Loans and Replacement Term Commitments, including any changes or additional terms to address local law considerations in the case of any new foreign borrowers, (d) such Replacement Term Loans and Replacement Term Commitments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the other Loans and Commitments hereunder, (e) no Event of Default under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10.1(i)</w:t>
      </w:r>
      <w:r>
        <w:rPr>
          <w:rFonts w:ascii="Arial" w:cs="Arial" w:eastAsia="Arial" w:hAnsi="Arial"/>
          <w:sz w:val="16"/>
          <w:szCs w:val="16"/>
          <w:color w:val="auto"/>
        </w:rPr>
        <w:t xml:space="preserve"> shall exist immediately prior to or after giving effect to the effectiveness of the relevant Replacement Term Loans and Replacement Term Commitments and (f) all other terms applicable to such Replacement Term Loans and Replacement Term Commitments (excluding interest rates, floors and margins, commitment, upfront and other fees, guarantees, security and maturity, subject to preceding clauses</w:t>
      </w:r>
    </w:p>
    <w:p>
      <w:pPr>
        <w:spacing w:after="0" w:line="187" w:lineRule="exact"/>
        <w:rPr>
          <w:sz w:val="20"/>
          <w:szCs w:val="20"/>
          <w:color w:val="auto"/>
        </w:rPr>
      </w:pPr>
    </w:p>
    <w:p>
      <w:pPr>
        <w:jc w:val="both"/>
        <w:ind w:left="660" w:hanging="4"/>
        <w:spacing w:after="0" w:line="253" w:lineRule="auto"/>
        <w:tabs>
          <w:tab w:leader="none" w:pos="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through (f)) shall be substantially identical to, or less favorable to the Lenders and New Lenders providing such Replacement Term Loans and Replacement Term Commitments than those applicable to such Refinanced Term Loans and Refinanced Term Commitments, except to the extent necessary to provide for covenants and other terms applicable to any period after the earlier to occur of the date that all other Term Loans are paid in full (other than Unasserted Contingent Obligations) and the latest final maturity of any Term Loans in effect immediately prior to such refinancing;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terms are more favorable (taken as a whole) to the Lenders or New Lenders providing such Replacement Term Loans and Replacement Term Commitments, the applicable Borrowers shall have the right to unilaterally provide the existing Term Lenders with additional rights and benefits and the “substantially similar to” or not “less favorable” requirement of this clause (f) and compliance therewith shall be determined after giving effect to such additional rights and benefits (it being understood and agreed that Crown Holdings may, at its option, deliver a certificate to the Administrative Agent certifying that the requirements of this clause (f)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w:t>
      </w:r>
    </w:p>
    <w:p>
      <w:pPr>
        <w:spacing w:after="0" w:line="198" w:lineRule="exact"/>
        <w:rPr>
          <w:sz w:val="20"/>
          <w:szCs w:val="20"/>
          <w:color w:val="auto"/>
        </w:rPr>
      </w:pPr>
    </w:p>
    <w:p>
      <w:pPr>
        <w:ind w:left="940" w:hanging="284"/>
        <w:spacing w:after="0"/>
        <w:tabs>
          <w:tab w:leader="none" w:pos="9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shall supersede any other provisions contained in the Loan Documents, including, without limitation, </w:t>
      </w:r>
      <w:r>
        <w:rPr>
          <w:rFonts w:ascii="Arial" w:cs="Arial" w:eastAsia="Arial" w:hAnsi="Arial"/>
          <w:sz w:val="18"/>
          <w:szCs w:val="18"/>
          <w:u w:val="single" w:color="auto"/>
          <w:color w:val="auto"/>
        </w:rPr>
        <w:t>Section</w:t>
      </w:r>
    </w:p>
    <w:p>
      <w:pPr>
        <w:spacing w:after="0" w:line="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u w:val="single" w:color="auto"/>
          <w:color w:val="auto"/>
        </w:rPr>
        <w:t>12.1</w:t>
      </w:r>
      <w:r>
        <w:rPr>
          <w:rFonts w:ascii="Arial" w:cs="Arial" w:eastAsia="Arial" w:hAnsi="Arial"/>
          <w:sz w:val="20"/>
          <w:szCs w:val="20"/>
          <w:color w:val="auto"/>
        </w:rPr>
        <w:t>, to the contrary.</w:t>
      </w:r>
    </w:p>
    <w:p>
      <w:pPr>
        <w:spacing w:after="0" w:line="213" w:lineRule="exact"/>
        <w:rPr>
          <w:sz w:val="20"/>
          <w:szCs w:val="20"/>
          <w:color w:val="auto"/>
        </w:rPr>
      </w:pPr>
    </w:p>
    <w:p>
      <w:pPr>
        <w:jc w:val="center"/>
        <w:ind w:right="8660"/>
        <w:spacing w:after="0"/>
        <w:rPr>
          <w:sz w:val="20"/>
          <w:szCs w:val="20"/>
          <w:color w:val="auto"/>
        </w:rPr>
      </w:pPr>
      <w:r>
        <w:rPr>
          <w:rFonts w:ascii="Arial" w:cs="Arial" w:eastAsia="Arial" w:hAnsi="Arial"/>
          <w:sz w:val="18"/>
          <w:szCs w:val="18"/>
          <w:u w:val="single" w:color="auto"/>
          <w:color w:val="auto"/>
        </w:rPr>
        <w:t>2.15 Extension of Maturity Date</w:t>
      </w:r>
    </w:p>
    <w:p>
      <w:pPr>
        <w:spacing w:after="0" w:line="11" w:lineRule="exact"/>
        <w:rPr>
          <w:sz w:val="20"/>
          <w:szCs w:val="20"/>
          <w:color w:val="auto"/>
        </w:rPr>
      </w:pPr>
    </w:p>
    <w:p>
      <w:pPr>
        <w:jc w:val="center"/>
        <w:ind w:right="8600"/>
        <w:spacing w:after="0"/>
        <w:rPr>
          <w:sz w:val="20"/>
          <w:szCs w:val="20"/>
          <w:color w:val="auto"/>
        </w:rPr>
      </w:pPr>
      <w:r>
        <w:rPr>
          <w:rFonts w:ascii="Arial" w:cs="Arial" w:eastAsia="Arial" w:hAnsi="Arial"/>
          <w:sz w:val="20"/>
          <w:szCs w:val="20"/>
          <w:color w:val="auto"/>
        </w:rPr>
        <w:t>.</w:t>
      </w:r>
    </w:p>
    <w:p>
      <w:pPr>
        <w:jc w:val="both"/>
        <w:ind w:left="660" w:hanging="4"/>
        <w:spacing w:after="0" w:line="228" w:lineRule="auto"/>
        <w:tabs>
          <w:tab w:leader="none" w:pos="958" w:val="left"/>
        </w:tabs>
        <w:numPr>
          <w:ilvl w:val="0"/>
          <w:numId w:val="111"/>
        </w:numPr>
        <w:rPr>
          <w:rFonts w:ascii="Arial" w:cs="Arial" w:eastAsia="Arial" w:hAnsi="Arial"/>
          <w:sz w:val="20"/>
          <w:szCs w:val="20"/>
          <w:color w:val="auto"/>
        </w:rPr>
      </w:pPr>
      <w:r>
        <w:rPr>
          <w:rFonts w:ascii="Arial" w:cs="Arial" w:eastAsia="Arial" w:hAnsi="Arial"/>
          <w:sz w:val="20"/>
          <w:szCs w:val="20"/>
          <w:color w:val="auto"/>
        </w:rPr>
        <w:t>Each Borrower may, upon notice (a “</w:t>
      </w:r>
      <w:r>
        <w:rPr>
          <w:rFonts w:ascii="Arial" w:cs="Arial" w:eastAsia="Arial" w:hAnsi="Arial"/>
          <w:sz w:val="20"/>
          <w:szCs w:val="20"/>
          <w:u w:val="single" w:color="auto"/>
          <w:color w:val="auto"/>
        </w:rPr>
        <w:t>Maturity Date Extension Request</w:t>
      </w:r>
      <w:r>
        <w:rPr>
          <w:rFonts w:ascii="Arial" w:cs="Arial" w:eastAsia="Arial" w:hAnsi="Arial"/>
          <w:sz w:val="20"/>
          <w:szCs w:val="20"/>
          <w:color w:val="auto"/>
        </w:rPr>
        <w:t>”) to the Administrative Agent (which shall promptly notify the Lenders or New Lenders under the applicable Facility), request one or more extensions of any Revolver Termination Date, Term Maturity Date or the maturity date for any Additional Facility or Replacement Facility, in each case applicable to any Facility under which it is a Borrower (the Revolver Termination Date, Term Maturity Date or maturity date for such Additional Facility or Replacement Facility applicable to such Facility, the “</w:t>
      </w:r>
      <w:r>
        <w:rPr>
          <w:rFonts w:ascii="Arial" w:cs="Arial" w:eastAsia="Arial" w:hAnsi="Arial"/>
          <w:sz w:val="20"/>
          <w:szCs w:val="20"/>
          <w:u w:val="single" w:color="auto"/>
          <w:color w:val="auto"/>
        </w:rPr>
        <w:t>Existing Maturity Date</w:t>
      </w:r>
      <w:r>
        <w:rPr>
          <w:rFonts w:ascii="Arial" w:cs="Arial" w:eastAsia="Arial" w:hAnsi="Arial"/>
          <w:sz w:val="20"/>
          <w:szCs w:val="20"/>
          <w:color w:val="auto"/>
        </w:rPr>
        <w:t>”). Each Maturity Date Extension Request shall (i) specify the date to</w:t>
      </w:r>
    </w:p>
    <w:p>
      <w:pPr>
        <w:sectPr>
          <w:pgSz w:w="11900" w:h="16838" w:orient="portrait"/>
          <w:cols w:equalWidth="0" w:num="1">
            <w:col w:w="11240"/>
          </w:cols>
          <w:pgMar w:left="320" w:top="1419" w:right="339" w:bottom="1440" w:gutter="0" w:footer="0" w:header="0"/>
        </w:sectPr>
      </w:pPr>
    </w:p>
    <w:bookmarkStart w:id="216" w:name="page217"/>
    <w:bookmarkEnd w:id="216"/>
    <w:p>
      <w:pPr>
        <w:jc w:val="both"/>
        <w:ind w:left="4"/>
        <w:spacing w:after="0" w:line="256" w:lineRule="auto"/>
        <w:rPr>
          <w:sz w:val="20"/>
          <w:szCs w:val="20"/>
          <w:color w:val="auto"/>
        </w:rPr>
      </w:pPr>
      <w:r>
        <w:rPr>
          <w:rFonts w:ascii="Arial" w:cs="Arial" w:eastAsia="Arial" w:hAnsi="Arial"/>
          <w:sz w:val="18"/>
          <w:szCs w:val="18"/>
          <w:color w:val="auto"/>
        </w:rPr>
        <w:t>which such Existing Maturity Date is sought to be extended (the “</w:t>
      </w:r>
      <w:r>
        <w:rPr>
          <w:rFonts w:ascii="Arial" w:cs="Arial" w:eastAsia="Arial" w:hAnsi="Arial"/>
          <w:sz w:val="18"/>
          <w:szCs w:val="18"/>
          <w:u w:val="single" w:color="auto"/>
          <w:color w:val="auto"/>
        </w:rPr>
        <w:t>New Maturity Date</w:t>
      </w:r>
      <w:r>
        <w:rPr>
          <w:rFonts w:ascii="Arial" w:cs="Arial" w:eastAsia="Arial" w:hAnsi="Arial"/>
          <w:sz w:val="18"/>
          <w:szCs w:val="18"/>
          <w:color w:val="auto"/>
        </w:rPr>
        <w:t xml:space="preserve">”), (ii) specify the changes, if any, to the interest rates, floors and margins, commitment and other fees payable to Consenting Lenders (as defined below) in respect of that portion of their Commitments and Loans extended to such New Maturity Date and the time as of which such changes will become effective, which may be prior to the Existing Maturity Date, and (iii) specify any other amendments or modifications to this Agreement or the other Loan Documents to be effected in connection with such extension;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 such amendments or modifications under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that would otherwise require approvals pursuant to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shall become effective prior to the then latest Revolver Termination Date (in the case of an extension of a Revolving Facility) or Term Maturity Date (in the case of an extension of a Term Facility), unless such other approvals have been obtained, (B) the Obligations under any such Facility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other Loans and Commitments hereunder and (C) the Obligations under any such Facility shall not be guaranteed by any Person other than the Credit Parties that guaranteed the applicable Facility prior to such maturity extension.</w:t>
      </w:r>
    </w:p>
    <w:p>
      <w:pPr>
        <w:spacing w:after="0" w:line="195" w:lineRule="exact"/>
        <w:rPr>
          <w:sz w:val="20"/>
          <w:szCs w:val="20"/>
          <w:color w:val="auto"/>
        </w:rPr>
      </w:pPr>
    </w:p>
    <w:p>
      <w:pPr>
        <w:jc w:val="both"/>
        <w:ind w:left="4" w:hanging="4"/>
        <w:spacing w:after="0" w:line="252" w:lineRule="auto"/>
        <w:tabs>
          <w:tab w:leader="none" w:pos="31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event a Maturity Date Extension Request shall have been delivered by a Borrower, each Lender under the applicable Facility shall have the right (but not the obligation) to agree to the extension of the Existing Maturity Date and other matters contemplated by the Maturity Date Extension Request on the terms and subject to the conditions set forth therein (each Lender under the applicable Facility agreeing to the Maturity Date Extension Request being referred to herein as a “</w:t>
      </w:r>
      <w:r>
        <w:rPr>
          <w:rFonts w:ascii="Arial" w:cs="Arial" w:eastAsia="Arial" w:hAnsi="Arial"/>
          <w:sz w:val="18"/>
          <w:szCs w:val="18"/>
          <w:u w:val="single" w:color="auto"/>
          <w:color w:val="auto"/>
        </w:rPr>
        <w:t>Consenting Lender</w:t>
      </w:r>
      <w:r>
        <w:rPr>
          <w:rFonts w:ascii="Arial" w:cs="Arial" w:eastAsia="Arial" w:hAnsi="Arial"/>
          <w:sz w:val="18"/>
          <w:szCs w:val="18"/>
          <w:color w:val="auto"/>
        </w:rPr>
        <w:t>” and each Lender under the applicable Facility not agreeing thereto being referred to herein as a “</w:t>
      </w:r>
      <w:r>
        <w:rPr>
          <w:rFonts w:ascii="Arial" w:cs="Arial" w:eastAsia="Arial" w:hAnsi="Arial"/>
          <w:sz w:val="18"/>
          <w:szCs w:val="18"/>
          <w:u w:val="single" w:color="auto"/>
          <w:color w:val="auto"/>
        </w:rPr>
        <w:t>Declining Lender</w:t>
      </w:r>
      <w:r>
        <w:rPr>
          <w:rFonts w:ascii="Arial" w:cs="Arial" w:eastAsia="Arial" w:hAnsi="Arial"/>
          <w:sz w:val="18"/>
          <w:szCs w:val="18"/>
          <w:color w:val="auto"/>
        </w:rPr>
        <w:t>”), which right may be exercised by written notice thereof, specifying the maximum amount of the Commitment or Loans of such Lender under the applicable Facility with respect to which such Lender agrees to the New Maturity Date, delivered to the applicable Borrower (with a copy to the Administrative Agent) not later than a day to be agreed upon by the applicable Borrower and the Administrative Agent following the date on which the Maturity Date Extension Request shall have been delivered by such Borrower (it being understood that any Lender under such Facility that shall have failed to exercise such right as set forth above by such date shall be deemed to be a Declining Lender). If a Lender under such Facility elects to extend only a portion of its then existing Commitment or Loans under such Facility, it will be deemed for purposes hereof to be a Consenting Lender in respect of such extended portion and a Declining Lender in respect of the remaining portion of its Commitment and Loans under such Facility. If Consenting Lenders shall have agreed to such Maturity Date Extension Request in respect of Commitments and Loans under such Facility held by them, then on the date specified in the Maturity Date Extension Request as the effective date thereof (the “</w:t>
      </w:r>
      <w:r>
        <w:rPr>
          <w:rFonts w:ascii="Arial" w:cs="Arial" w:eastAsia="Arial" w:hAnsi="Arial"/>
          <w:sz w:val="18"/>
          <w:szCs w:val="18"/>
          <w:u w:val="single" w:color="auto"/>
          <w:color w:val="auto"/>
        </w:rPr>
        <w:t>Extension Effective Date</w:t>
      </w:r>
      <w:r>
        <w:rPr>
          <w:rFonts w:ascii="Arial" w:cs="Arial" w:eastAsia="Arial" w:hAnsi="Arial"/>
          <w:sz w:val="18"/>
          <w:szCs w:val="18"/>
          <w:color w:val="auto"/>
        </w:rPr>
        <w:t xml:space="preserve">”), (w) the Existing Maturity Date of the applicable Commitments and Loans under such Facility shall, as to the Consenting Lenders, be extended to such date as shall be specified therein, (x) the terms and conditions of the Commitments and Loans of the Consenting Lenders under such Facility (with respect to maturity, interest rates, floors and margins, commitment and other fees (including Letter of Credit fees) payable in respect thereof), shall be modified as set forth in the Maturity Date Extension Request, (y) such other modifications and amendments hereto specified in the Maturity Date Extension Request shall become effective, subject to any required approvals under </w:t>
      </w:r>
      <w:r>
        <w:rPr>
          <w:rFonts w:ascii="Arial" w:cs="Arial" w:eastAsia="Arial" w:hAnsi="Arial"/>
          <w:sz w:val="18"/>
          <w:szCs w:val="18"/>
          <w:u w:val="single" w:color="auto"/>
          <w:color w:val="auto"/>
        </w:rPr>
        <w:t>Section 12.1</w:t>
      </w:r>
      <w:r>
        <w:rPr>
          <w:rFonts w:ascii="Arial" w:cs="Arial" w:eastAsia="Arial" w:hAnsi="Arial"/>
          <w:sz w:val="18"/>
          <w:szCs w:val="18"/>
          <w:color w:val="auto"/>
        </w:rPr>
        <w:t>, except that any such other modifications and amendments that do not take effect until the then latest Revolver Termination Date (in the case of an extension of a Revolving Facility) or Term Maturity Date (in the case of an extension of a Term Facility), shall not require the consent of any Lender other than the Consenting Lenders in respect of the Facility being so extended and (z) to the extent that such Facility is a Revolving Facility and any Commitments or Loans under such Facility are not extended (thereby resulting in an Extended Revolving Facility in respect of the Commitments and Loans that are extended), (1) the borrowing and repayment (except for (A) payments of interest and fees at different rates on any Revolving Facility, any Additional Revolving Credit Commitments or any Replacement Revolving Facility (to the extent that they remain outstanding)</w:t>
      </w:r>
    </w:p>
    <w:p>
      <w:pPr>
        <w:sectPr>
          <w:pgSz w:w="11900" w:h="16838" w:orient="portrait"/>
          <w:cols w:equalWidth="0" w:num="1">
            <w:col w:w="10584"/>
          </w:cols>
          <w:pgMar w:left="976" w:top="1419" w:right="339" w:bottom="1440" w:gutter="0" w:footer="0" w:header="0"/>
        </w:sectPr>
      </w:pPr>
    </w:p>
    <w:bookmarkStart w:id="217" w:name="page218"/>
    <w:bookmarkEnd w:id="217"/>
    <w:p>
      <w:pPr>
        <w:jc w:val="both"/>
        <w:ind w:left="660"/>
        <w:spacing w:after="0" w:line="253" w:lineRule="auto"/>
        <w:rPr>
          <w:sz w:val="20"/>
          <w:szCs w:val="20"/>
          <w:color w:val="auto"/>
        </w:rPr>
      </w:pPr>
      <w:r>
        <w:rPr>
          <w:rFonts w:ascii="Arial" w:cs="Arial" w:eastAsia="Arial" w:hAnsi="Arial"/>
          <w:sz w:val="18"/>
          <w:szCs w:val="18"/>
          <w:color w:val="auto"/>
        </w:rPr>
        <w:t xml:space="preserve">and such new Extended Revolving Facility, (B) repayments required upon the Revolver Termination Date of the Revolving Facility, any Additional Revolving Credit Commitments or any Replacement Revolving Facility (to the extent that they remain outstanding) and such new Extended Revolving Facility and (C) repayments made in connection with any permanent repayment and termination of commitments (subject to clause (3) below)) of Loans under any Extended Revolving Facility after the Extension Effective Date shall be made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between any Revolving Facility, any Additional Revolving Credit Commitments and any other Replacement Revolving Facility (to the extent they remain outstanding) and the new Extended Revolving Facility, (2) any swing line loans made, or letters of credit issued, as applicable, under any Revolving Facility after the Extension Effective Date shall be made or issued to the extent reasonably practicable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between the Revolving Facility, any Additional Revolving Credit Commitments and any Replacement Revolving Facility (to the extent that they remain outstanding) and the new Extended Revolving Facility (to the extent that such facilities have a swing line or letter of credit subfacility) and (3) the permanent repayment of Loans with respect to, and termination of commitments under, such new Extended Revolving Facility shall be made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between any Revolving Facility, any Additional Revolving Credit Commitments and any Replacement Revolving Facility (to the extent that they remain outstanding) and the new Extended Revolving Facility, except that the Borrower under such new Extended Revolving Facility shall be permitted to permanently repay and terminate commitments under such new Extended Revolving Facility, the Revolving Facility, any Additional Revolving Credit Commitments or any Replacement Revolving Facility on a greater than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than any other Revolving Facility that has a later Revolver Termination Date than such Extended Revolving Facility either on the Extension Effective Date or on the date that such Revolving Facility is subsequently incurred after such Extension Effective Date.</w:t>
      </w:r>
    </w:p>
    <w:p>
      <w:pPr>
        <w:spacing w:after="0" w:line="203" w:lineRule="exact"/>
        <w:rPr>
          <w:sz w:val="20"/>
          <w:szCs w:val="20"/>
          <w:color w:val="auto"/>
        </w:rPr>
      </w:pPr>
    </w:p>
    <w:p>
      <w:pPr>
        <w:jc w:val="both"/>
        <w:ind w:left="660"/>
        <w:spacing w:after="0" w:line="244" w:lineRule="auto"/>
        <w:rPr>
          <w:sz w:val="20"/>
          <w:szCs w:val="20"/>
          <w:color w:val="auto"/>
        </w:rPr>
      </w:pPr>
      <w:r>
        <w:rPr>
          <w:rFonts w:ascii="Arial" w:cs="Arial" w:eastAsia="Arial" w:hAnsi="Arial"/>
          <w:sz w:val="19"/>
          <w:szCs w:val="19"/>
          <w:color w:val="auto"/>
        </w:rPr>
        <w:t xml:space="preserve">(c)Notwithstanding anything herein to the contrary, Borrowers shall have the right, in accordance with the provisions of </w:t>
      </w:r>
      <w:r>
        <w:rPr>
          <w:rFonts w:ascii="Arial" w:cs="Arial" w:eastAsia="Arial" w:hAnsi="Arial"/>
          <w:sz w:val="19"/>
          <w:szCs w:val="19"/>
          <w:u w:val="single" w:color="auto"/>
          <w:color w:val="auto"/>
        </w:rPr>
        <w:t>Sections 3.7</w:t>
      </w:r>
      <w:r>
        <w:rPr>
          <w:rFonts w:ascii="Arial" w:cs="Arial" w:eastAsia="Arial" w:hAnsi="Arial"/>
          <w:sz w:val="19"/>
          <w:szCs w:val="19"/>
          <w:color w:val="auto"/>
        </w:rPr>
        <w:t>, at any time prior to the Existing Maturity Date, to replace a Declining Lender as if it were a Replaced Lender (only in respect of that portion of such Lender’s Commitments and Loans subject to a Maturity Date Extension Request that such Lender has not agreed to extend) with a Lender or any Eligible Assignee that will agree to such Maturity Date Extension Request, and any such replacement Lender shall for all purposes constitute a Consenting Lender in respect of the Commitment and Loan assigned to and assumed by it on and after the effective time of such replacement.</w:t>
      </w:r>
    </w:p>
    <w:p>
      <w:pPr>
        <w:spacing w:after="0" w:line="206" w:lineRule="exact"/>
        <w:rPr>
          <w:sz w:val="20"/>
          <w:szCs w:val="20"/>
          <w:color w:val="auto"/>
        </w:rPr>
      </w:pPr>
    </w:p>
    <w:p>
      <w:pPr>
        <w:jc w:val="both"/>
        <w:ind w:left="660" w:hanging="4"/>
        <w:spacing w:after="0" w:line="263" w:lineRule="auto"/>
        <w:tabs>
          <w:tab w:leader="none" w:pos="94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If a Maturity Date Extension Request has become effective hereunder with respect to any Facility, on the Existing Maturity Date, the Commitment and Loans of each Declining Lender under such Facility shall, to the extent not assumed, assigned or transferred as provided in </w:t>
      </w:r>
      <w:r>
        <w:rPr>
          <w:rFonts w:ascii="Arial" w:cs="Arial" w:eastAsia="Arial" w:hAnsi="Arial"/>
          <w:sz w:val="18"/>
          <w:szCs w:val="18"/>
          <w:u w:val="single" w:color="auto"/>
          <w:color w:val="auto"/>
        </w:rPr>
        <w:t>Section 2.15(b)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terminate, and the Borrowers under such Facility shall repay all the Loans of each Declining Lender under such Facility, to the extent such Loans shall not have been so purchased, assigned and transferred, in each case together with accrued and unpaid interest and all fees and other amounts owing to such Declining Lender hereunder.</w:t>
      </w:r>
    </w:p>
    <w:p>
      <w:pPr>
        <w:spacing w:after="0" w:line="188" w:lineRule="exact"/>
        <w:rPr>
          <w:rFonts w:ascii="Arial" w:cs="Arial" w:eastAsia="Arial" w:hAnsi="Arial"/>
          <w:sz w:val="18"/>
          <w:szCs w:val="18"/>
          <w:color w:val="auto"/>
        </w:rPr>
      </w:pPr>
    </w:p>
    <w:p>
      <w:pPr>
        <w:ind w:left="920" w:hanging="264"/>
        <w:spacing w:after="0"/>
        <w:tabs>
          <w:tab w:leader="none" w:pos="92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shall supersede any provision to the contrary in this Agreement, including </w:t>
      </w:r>
      <w:r>
        <w:rPr>
          <w:rFonts w:ascii="Arial" w:cs="Arial" w:eastAsia="Arial" w:hAnsi="Arial"/>
          <w:sz w:val="20"/>
          <w:szCs w:val="20"/>
          <w:u w:val="single" w:color="auto"/>
          <w:color w:val="auto"/>
        </w:rPr>
        <w:t>Section 12.1</w:t>
      </w:r>
      <w:r>
        <w:rPr>
          <w:rFonts w:ascii="Arial" w:cs="Arial" w:eastAsia="Arial" w:hAnsi="Arial"/>
          <w:sz w:val="20"/>
          <w:szCs w:val="20"/>
          <w:color w:val="auto"/>
        </w:rPr>
        <w:t>.</w:t>
      </w:r>
    </w:p>
    <w:p>
      <w:pPr>
        <w:spacing w:after="0" w:line="229"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u w:val="single" w:color="auto"/>
          <w:color w:val="auto"/>
        </w:rPr>
        <w:t>2.16 U.S. Borrower Representative</w:t>
      </w:r>
      <w:r>
        <w:rPr>
          <w:rFonts w:ascii="Arial" w:cs="Arial" w:eastAsia="Arial" w:hAnsi="Arial"/>
          <w:sz w:val="20"/>
          <w:szCs w:val="20"/>
          <w:color w:val="auto"/>
        </w:rPr>
        <w:t>. Each U.S. Borrower hereby appoints Crown Americas LLC as the borrowing agent for such U.S. Borrower, which appointment shall remain in full force and effect unless and until the Administrative Agent shall have received prior written notice signed by each U.S. Borrower that such appointment has been revoked or that another U.S. Borrower or Affiliate of a U.S. Borrower has been appointed in such capacity. Each U.S. Borrower hereby appoints and authorizes Crown Americas LLC (or its successor) (i) to provide to the Agents and the Lenders and receive from the Agents and the Lenders all notices with respect to Loans obtained for the benefit of any U.S. Borrower and all other</w:t>
      </w:r>
    </w:p>
    <w:p>
      <w:pPr>
        <w:sectPr>
          <w:pgSz w:w="11900" w:h="16838" w:orient="portrait"/>
          <w:cols w:equalWidth="0" w:num="1">
            <w:col w:w="11240"/>
          </w:cols>
          <w:pgMar w:left="320" w:top="1419" w:right="339" w:bottom="1440" w:gutter="0" w:footer="0" w:header="0"/>
        </w:sectPr>
      </w:pPr>
    </w:p>
    <w:bookmarkStart w:id="218" w:name="page219"/>
    <w:bookmarkEnd w:id="218"/>
    <w:p>
      <w:pPr>
        <w:ind w:right="80"/>
        <w:spacing w:after="0" w:line="232" w:lineRule="auto"/>
        <w:rPr>
          <w:sz w:val="20"/>
          <w:szCs w:val="20"/>
          <w:color w:val="auto"/>
        </w:rPr>
      </w:pPr>
      <w:r>
        <w:rPr>
          <w:rFonts w:ascii="Arial" w:cs="Arial" w:eastAsia="Arial" w:hAnsi="Arial"/>
          <w:sz w:val="20"/>
          <w:szCs w:val="20"/>
          <w:color w:val="auto"/>
        </w:rPr>
        <w:t>notices and instructions under this Agreement and (ii) to take such action as Crown Americas LLC deems appropriate on behalf of each U.S. Borrower and to exercise such other powers as are reasonably incidental thereto to carry out the purposes of this Agreement. Any reference to any action or notice required or permitted to be taken or given hereunder and under the Loan Documents by “the U.S. Borrower” or “each U.S. Borrower” shall be effective if such action is taken, or such notice is delivered, by Crown Americas LLC (or its successor) or, as applicable, a Responsible Officer thereof.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AMOUNT AND TERMS OF CANADIAN REVOLVER</w:t>
      </w:r>
    </w:p>
    <w:p>
      <w:pPr>
        <w:spacing w:after="0" w:line="21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2A.1 </w:t>
      </w:r>
      <w:r>
        <w:rPr>
          <w:rFonts w:ascii="Arial" w:cs="Arial" w:eastAsia="Arial" w:hAnsi="Arial"/>
          <w:sz w:val="18"/>
          <w:szCs w:val="18"/>
          <w:u w:val="single" w:color="auto"/>
          <w:color w:val="auto"/>
        </w:rPr>
        <w:t>The Canadian Revolving Commitments</w:t>
      </w:r>
      <w:r>
        <w:rPr>
          <w:rFonts w:ascii="Arial" w:cs="Arial" w:eastAsia="Arial" w:hAnsi="Arial"/>
          <w:sz w:val="18"/>
          <w:szCs w:val="18"/>
          <w:color w:val="auto"/>
        </w:rPr>
        <w:t>. Each Canadian Revolving Lender, severally and for itself alone, hereby agrees, on the terms and subject to the conditions hereinafter set forth and in reliance upon the representations and warranties set forth herein and in the other Loan Documents, to make loans to Canadian Borrower in Canadian Dollars on a revolving basis, including by means of B/As or B/A Equivalent Loans, from time to time during the Canadian Commitment Period in an amount not to exceed its Canadian Revolver Pro Rata Share of the Total Available Canadian Revolving Commitment (each such loan by any Lender, a “</w:t>
      </w:r>
      <w:r>
        <w:rPr>
          <w:rFonts w:ascii="Arial" w:cs="Arial" w:eastAsia="Arial" w:hAnsi="Arial"/>
          <w:sz w:val="18"/>
          <w:szCs w:val="18"/>
          <w:u w:val="single" w:color="auto"/>
          <w:color w:val="auto"/>
        </w:rPr>
        <w:t>Canadian Revolving Loan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Canadian Revolving Loans</w:t>
      </w:r>
      <w:r>
        <w:rPr>
          <w:rFonts w:ascii="Arial" w:cs="Arial" w:eastAsia="Arial" w:hAnsi="Arial"/>
          <w:sz w:val="18"/>
          <w:szCs w:val="18"/>
          <w:color w:val="auto"/>
        </w:rPr>
        <w:t>”). The Canadian Revolving Loans (i) shall be denominated in Canadian Dollars and (ii) if made on the Effective Date, shall be made as Canadian Prime Rate Loans. Except as hereinafter provided, Canadian Revolving Loans may, at the option of Canadian Borrower, be maintained as and/or converted into Canadian Prime Rate Loans or B/A Loans. All Canadian Revolving Loans comprising the same Borrowing hereunder shall be made by the Canadian Revolving Lenders simultaneously and in proportion to their respective Canadian Revolving Commitments. Prior to the Canadian Revolver Termination Date, Canadian Revolving Loans may be repaid and reborrowed by Canadian Borrower in accordance with the provisions hereof and, except as otherwise specifically provided herein, all Canadian Revolving Loans comprising the same Borrowing shall at all times be of the same Type. As the context may require, references to the outstanding principal amount of any Canadian Revolving Loan shall include the face amount of B/A Loans.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2A.2 </w:t>
      </w:r>
      <w:r>
        <w:rPr>
          <w:rFonts w:ascii="Arial" w:cs="Arial" w:eastAsia="Arial" w:hAnsi="Arial"/>
          <w:sz w:val="20"/>
          <w:szCs w:val="20"/>
          <w:u w:val="single" w:color="auto"/>
          <w:color w:val="auto"/>
        </w:rPr>
        <w:t>Notes</w:t>
      </w:r>
      <w:r>
        <w:rPr>
          <w:rFonts w:ascii="Arial" w:cs="Arial" w:eastAsia="Arial" w:hAnsi="Arial"/>
          <w:sz w:val="20"/>
          <w:szCs w:val="20"/>
          <w:color w:val="auto"/>
        </w:rPr>
        <w:t>.</w:t>
      </w:r>
    </w:p>
    <w:p>
      <w:pPr>
        <w:spacing w:after="0" w:line="229" w:lineRule="exact"/>
        <w:rPr>
          <w:sz w:val="20"/>
          <w:szCs w:val="20"/>
          <w:color w:val="auto"/>
        </w:rPr>
      </w:pPr>
    </w:p>
    <w:p>
      <w:pPr>
        <w:jc w:val="both"/>
        <w:ind w:firstLine="656"/>
        <w:spacing w:after="0" w:line="232" w:lineRule="auto"/>
        <w:tabs>
          <w:tab w:leader="none" w:pos="917"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Evidence of Indebtedness</w:t>
      </w:r>
      <w:r>
        <w:rPr>
          <w:rFonts w:ascii="Arial" w:cs="Arial" w:eastAsia="Arial" w:hAnsi="Arial"/>
          <w:sz w:val="20"/>
          <w:szCs w:val="20"/>
          <w:color w:val="auto"/>
        </w:rPr>
        <w:t xml:space="preserve">. At the request of any Canadian Revolving Lender, Canadian Borrower’s obligation to pay the principal of and interest on all Canadian Revolving Loans (other than B/As) made to it by such Lender shall be evidenced by a promissory note duly executed and delivered by Canadian Borrower substantially in the form of </w:t>
      </w:r>
      <w:r>
        <w:rPr>
          <w:rFonts w:ascii="Arial" w:cs="Arial" w:eastAsia="Arial" w:hAnsi="Arial"/>
          <w:sz w:val="20"/>
          <w:szCs w:val="20"/>
          <w:u w:val="single" w:color="auto"/>
          <w:color w:val="auto"/>
        </w:rPr>
        <w:t>Exhibit 2A.2(a</w:t>
      </w:r>
      <w:r>
        <w:rPr>
          <w:rFonts w:ascii="Arial" w:cs="Arial" w:eastAsia="Arial" w:hAnsi="Arial"/>
          <w:sz w:val="20"/>
          <w:szCs w:val="20"/>
          <w:color w:val="auto"/>
        </w:rPr>
        <w:t>) (or such other form as mutually agreed by Crown Holdings and the Canadian Administrative Agent) (each a “</w:t>
      </w:r>
      <w:r>
        <w:rPr>
          <w:rFonts w:ascii="Arial" w:cs="Arial" w:eastAsia="Arial" w:hAnsi="Arial"/>
          <w:sz w:val="20"/>
          <w:szCs w:val="20"/>
          <w:u w:val="single" w:color="auto"/>
          <w:color w:val="auto"/>
        </w:rPr>
        <w:t>Canadian Revolving Note</w:t>
      </w:r>
      <w:r>
        <w:rPr>
          <w:rFonts w:ascii="Arial" w:cs="Arial" w:eastAsia="Arial" w:hAnsi="Arial"/>
          <w:sz w:val="20"/>
          <w:szCs w:val="20"/>
          <w:color w:val="auto"/>
        </w:rPr>
        <w:t>”) hereto, with blanks appropriately completed in conformity herewith.</w:t>
      </w:r>
    </w:p>
    <w:p>
      <w:pPr>
        <w:spacing w:after="0" w:line="211" w:lineRule="exact"/>
        <w:rPr>
          <w:rFonts w:ascii="Arial" w:cs="Arial" w:eastAsia="Arial" w:hAnsi="Arial"/>
          <w:sz w:val="20"/>
          <w:szCs w:val="20"/>
          <w:color w:val="auto"/>
        </w:rPr>
      </w:pPr>
    </w:p>
    <w:p>
      <w:pPr>
        <w:jc w:val="both"/>
        <w:ind w:firstLine="656"/>
        <w:spacing w:after="0" w:line="246" w:lineRule="auto"/>
        <w:tabs>
          <w:tab w:leader="none" w:pos="928"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Notation of Payments</w:t>
      </w:r>
      <w:r>
        <w:rPr>
          <w:rFonts w:ascii="Arial" w:cs="Arial" w:eastAsia="Arial" w:hAnsi="Arial"/>
          <w:sz w:val="19"/>
          <w:szCs w:val="19"/>
          <w:color w:val="auto"/>
        </w:rPr>
        <w:t>. Each Canadian Revolving Lender will note on its internal records the amount of each Canadian Revolving Loan made by it and each payment in respect thereof and will, prior to any transfer of any Canadian Revolving Note in accordance with the terms of this Agreement, endorse on the reverse side thereof the outstanding principal amount of Canadian Revolving Loans evidenced thereby. Failure to make any such notation shall not affect Canadian Borrower’s or any guarantor’s obligations hereunder or under the other applicable Loan Documents in respect of such Canadian Revolving Loans.</w:t>
      </w:r>
    </w:p>
    <w:p>
      <w:pPr>
        <w:spacing w:after="0" w:line="20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 xml:space="preserve">2A.3 </w:t>
      </w:r>
      <w:r>
        <w:rPr>
          <w:rFonts w:ascii="Arial" w:cs="Arial" w:eastAsia="Arial" w:hAnsi="Arial"/>
          <w:sz w:val="20"/>
          <w:szCs w:val="20"/>
          <w:u w:val="single" w:color="auto"/>
          <w:color w:val="auto"/>
        </w:rPr>
        <w:t>Minimum Amount of Each Borrowing; Maximum Number of Borrowings</w:t>
      </w:r>
      <w:r>
        <w:rPr>
          <w:rFonts w:ascii="Arial" w:cs="Arial" w:eastAsia="Arial" w:hAnsi="Arial"/>
          <w:sz w:val="20"/>
          <w:szCs w:val="20"/>
          <w:color w:val="auto"/>
        </w:rPr>
        <w:t>. The aggregate principal amount of each Borrowing by Canadian Borrower hereunder shall be not less than the Minimum Borrowing Amount and, if greater, shall be in integral multiples of Cdn.$1,000,000 above such minimum (or, if less, the then Total Available Canadian Revolving Commitment). More than one Borrowing may be incurred on any date.</w:t>
      </w:r>
    </w:p>
    <w:p>
      <w:pPr>
        <w:sectPr>
          <w:pgSz w:w="11900" w:h="16838" w:orient="portrait"/>
          <w:cols w:equalWidth="0" w:num="1">
            <w:col w:w="11240"/>
          </w:cols>
          <w:pgMar w:left="320" w:top="1419" w:right="339" w:bottom="1440" w:gutter="0" w:footer="0" w:header="0"/>
        </w:sectPr>
      </w:pPr>
    </w:p>
    <w:bookmarkStart w:id="219" w:name="page220"/>
    <w:bookmarkEnd w:id="219"/>
    <w:p>
      <w:pPr>
        <w:jc w:val="both"/>
        <w:ind w:firstLine="648"/>
        <w:spacing w:after="0" w:line="234" w:lineRule="auto"/>
        <w:rPr>
          <w:sz w:val="20"/>
          <w:szCs w:val="20"/>
          <w:color w:val="auto"/>
        </w:rPr>
      </w:pPr>
      <w:r>
        <w:rPr>
          <w:rFonts w:ascii="Arial" w:cs="Arial" w:eastAsia="Arial" w:hAnsi="Arial"/>
          <w:sz w:val="20"/>
          <w:szCs w:val="20"/>
          <w:color w:val="auto"/>
        </w:rPr>
        <w:t xml:space="preserve">2A.4 </w:t>
      </w:r>
      <w:r>
        <w:rPr>
          <w:rFonts w:ascii="Arial" w:cs="Arial" w:eastAsia="Arial" w:hAnsi="Arial"/>
          <w:sz w:val="20"/>
          <w:szCs w:val="20"/>
          <w:u w:val="single" w:color="auto"/>
          <w:color w:val="auto"/>
        </w:rPr>
        <w:t>Borrowing Options</w:t>
      </w:r>
      <w:r>
        <w:rPr>
          <w:rFonts w:ascii="Arial" w:cs="Arial" w:eastAsia="Arial" w:hAnsi="Arial"/>
          <w:sz w:val="20"/>
          <w:szCs w:val="20"/>
          <w:color w:val="auto"/>
        </w:rPr>
        <w:t xml:space="preserve">. The Canadian Revolving Loans shall, at the option of Canadian Borrower except as otherwise provided in this Agreement, be (i) Canadian Prime Rate Loans, (ii) B/A Loans, or (iii) part Canadian Prime Rate Loans and part B/A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all Canadian Revolving Loans made by the Canadian Revolving Lenders pursuant to the same Borrowing shall, unless otherwise specifically provided herein, consist entirely of Canadian Revolving Loans of the same Type.</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2A.5 </w:t>
      </w:r>
      <w:r>
        <w:rPr>
          <w:rFonts w:ascii="Arial" w:cs="Arial" w:eastAsia="Arial" w:hAnsi="Arial"/>
          <w:sz w:val="18"/>
          <w:szCs w:val="18"/>
          <w:u w:val="single" w:color="auto"/>
          <w:color w:val="auto"/>
        </w:rPr>
        <w:t>Notice of Canadian Borrowing</w:t>
      </w:r>
      <w:r>
        <w:rPr>
          <w:rFonts w:ascii="Arial" w:cs="Arial" w:eastAsia="Arial" w:hAnsi="Arial"/>
          <w:sz w:val="18"/>
          <w:szCs w:val="18"/>
          <w:color w:val="auto"/>
        </w:rPr>
        <w:t xml:space="preserve">. Whenever Canadian Borrower desires to make a Borrowing of any Canadian Revolving Loan hereunder, Canadian Borrower shall give Canadian Administrative Agent at its Notice Address at least one Business Day’s (two Business Days’ in the case of B/A Loans) prior written notice (or telephonic notice promptly confirmed in writing), given not later than 12:00 p.m. (Toronto time) of each B/A Loan or Canadian Prime Rate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Notice of Canadian Borrowing with respect to Borrowings to be made on the Incremental Amendment No. 2 and Third Amendment Effective Date may, at the discretion of Canadian Administrative Agent, be delivered later than the time specified above. Each such notice (each a “</w:t>
      </w:r>
      <w:r>
        <w:rPr>
          <w:rFonts w:ascii="Arial" w:cs="Arial" w:eastAsia="Arial" w:hAnsi="Arial"/>
          <w:sz w:val="18"/>
          <w:szCs w:val="18"/>
          <w:u w:val="single" w:color="auto"/>
          <w:color w:val="auto"/>
        </w:rPr>
        <w:t>Notice of Canadian Borrowing</w:t>
      </w:r>
      <w:r>
        <w:rPr>
          <w:rFonts w:ascii="Arial" w:cs="Arial" w:eastAsia="Arial" w:hAnsi="Arial"/>
          <w:sz w:val="18"/>
          <w:szCs w:val="18"/>
          <w:color w:val="auto"/>
        </w:rPr>
        <w:t xml:space="preserve">”), which shall be in the form of </w:t>
      </w:r>
      <w:r>
        <w:rPr>
          <w:rFonts w:ascii="Arial" w:cs="Arial" w:eastAsia="Arial" w:hAnsi="Arial"/>
          <w:sz w:val="18"/>
          <w:szCs w:val="18"/>
          <w:u w:val="single" w:color="auto"/>
          <w:color w:val="auto"/>
        </w:rPr>
        <w:t>Exhibit 2A.5</w:t>
      </w:r>
      <w:r>
        <w:rPr>
          <w:rFonts w:ascii="Arial" w:cs="Arial" w:eastAsia="Arial" w:hAnsi="Arial"/>
          <w:sz w:val="18"/>
          <w:szCs w:val="18"/>
          <w:color w:val="auto"/>
        </w:rPr>
        <w:t xml:space="preserve"> hereto (or such other form as mutually agreed by Crown Holdings and the Canadian Administrative Agent), shall be irrevocable, shall be deemed a representation by Canadian Borrower that all conditions precedent to such Borrowing have been satisfied and shall specify (i) the aggregate principal amount of the Loans (or the face amount of the B/A Loans, as the case may be) to be made pursuant to such Borrowing, (ii) the date of Borrowing (which shall be a Business Day), and (iii) whether the Loans being made pursuant to such Borrowing are to be Canadian Prime Rate Loans or B/A Loans and with respect to B/A Loans the Contract Period and maturity date to be applicable thereto. Canadian Administrative Agent shall as promptly as practicable give each Canadian Revolving Lender written or telephonic notice (promptly confirmed in writing) of each proposed Borrowing, of such Canadian Revolving Lender’s Canadian Revolver Pro Rata Share thereof and of the other matters covered by the Notice of Canadian Borrowing. Without in any way limiting Canadian Borrower’s obligation to confirm in writing any telephonic notice, Canadian Administrative Agent may act without liability upon the basis of telephonic notice believed by Canadian Administrative Agent in good faith to be from a Responsible Officer of Canadian Borrower prior to receipt of written confirmation. Canadian Administrative Agent’s records shall, absent manifest error, be final, conclusive and binding on Canadian Borrower with respect to evidence of the terms of such telephonic Notice of Canadian Borrowing. Canadian Borrower hereby agrees not to dispute Canadian Administrative Agent’s record of the time of telephonic notice.</w:t>
      </w:r>
    </w:p>
    <w:p>
      <w:pPr>
        <w:spacing w:after="0" w:line="20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 xml:space="preserve">2A.6 </w:t>
      </w:r>
      <w:r>
        <w:rPr>
          <w:rFonts w:ascii="Arial" w:cs="Arial" w:eastAsia="Arial" w:hAnsi="Arial"/>
          <w:sz w:val="19"/>
          <w:szCs w:val="19"/>
          <w:u w:val="single" w:color="auto"/>
          <w:color w:val="auto"/>
        </w:rPr>
        <w:t>Conversion or Continuation</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2A.4</w:t>
      </w:r>
      <w:r>
        <w:rPr>
          <w:rFonts w:ascii="Arial" w:cs="Arial" w:eastAsia="Arial" w:hAnsi="Arial"/>
          <w:sz w:val="19"/>
          <w:szCs w:val="19"/>
          <w:color w:val="auto"/>
        </w:rPr>
        <w:t xml:space="preserve">, Canadian Borrower may elect (i) on any Business Day to convert Canadian Prime Rate Loans or any portion thereof to B/A Loans and (ii) at the end of any Contract Period with respect thereto, to convert B/A Loans or any portion thereof into Canadian Prime Rate Loans or continue such B/A Loans or any portion thereof for an additional Contract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aggregate face amount of the B/A Loans for each Contract Period therefor must be in an aggregate principal amount of Cdn.$5,000,000 or an integral multiple of Cdn.$1,000,000 in excess thereto. Each such election shall be in substantially the form of </w:t>
      </w:r>
      <w:r>
        <w:rPr>
          <w:rFonts w:ascii="Arial" w:cs="Arial" w:eastAsia="Arial" w:hAnsi="Arial"/>
          <w:sz w:val="19"/>
          <w:szCs w:val="19"/>
          <w:u w:val="single" w:color="auto"/>
          <w:color w:val="auto"/>
        </w:rPr>
        <w:t>Exhibit 2A.6</w:t>
      </w:r>
      <w:r>
        <w:rPr>
          <w:rFonts w:ascii="Arial" w:cs="Arial" w:eastAsia="Arial" w:hAnsi="Arial"/>
          <w:sz w:val="19"/>
          <w:szCs w:val="19"/>
          <w:color w:val="auto"/>
        </w:rPr>
        <w:t xml:space="preserve"> hereto (or such other form as mutually agreed by Crown Holdings and the Canadian Administrative Agent) (a “</w:t>
      </w:r>
      <w:r>
        <w:rPr>
          <w:rFonts w:ascii="Arial" w:cs="Arial" w:eastAsia="Arial" w:hAnsi="Arial"/>
          <w:sz w:val="19"/>
          <w:szCs w:val="19"/>
          <w:u w:val="single" w:color="auto"/>
          <w:color w:val="auto"/>
        </w:rPr>
        <w:t>Notice of Canadian Conversion or Continuation</w:t>
      </w:r>
      <w:r>
        <w:rPr>
          <w:rFonts w:ascii="Arial" w:cs="Arial" w:eastAsia="Arial" w:hAnsi="Arial"/>
          <w:sz w:val="19"/>
          <w:szCs w:val="19"/>
          <w:color w:val="auto"/>
        </w:rPr>
        <w:t xml:space="preserve">”) and shall be made by giving Canadian Administrative Agent at least two Business Days’ prior written notice thereof to the Canadian Administrative Agent at its Notice Address given not later than 12:00 p.m. (Toronto time), specifying (i) the amount and type of conversion or continuation, (ii) in the case of a conversion to or a continuation of B/A Loans, the Contract Period therefor, (iii) in the case of a conversion, the date of conversion (which date shall be a Business Day). Notwithstanding the foregoing, no conversion in whole or in part of Canadian Prime Rate Loans to B/A Loans, and no continuation in whole or in part of B/A Loans, upon the expiration of the Contract Period, therefor, shall be permitted at any time at which an Unmatured Event of Default or an Event of Default shall have occurred and be continuing. If, within the time period required under the terms of this </w:t>
      </w:r>
      <w:r>
        <w:rPr>
          <w:rFonts w:ascii="Arial" w:cs="Arial" w:eastAsia="Arial" w:hAnsi="Arial"/>
          <w:sz w:val="19"/>
          <w:szCs w:val="19"/>
          <w:u w:val="single" w:color="auto"/>
          <w:color w:val="auto"/>
        </w:rPr>
        <w:t>Section 2A.6</w:t>
      </w:r>
      <w:r>
        <w:rPr>
          <w:rFonts w:ascii="Arial" w:cs="Arial" w:eastAsia="Arial" w:hAnsi="Arial"/>
          <w:sz w:val="19"/>
          <w:szCs w:val="19"/>
          <w:color w:val="auto"/>
        </w:rPr>
        <w:t>, Canadian Administrative Agent does not receive a Notice of Canadian Conversion or Continuation from Canadian Borrower containing a permitted election to continue any B/A Loans, for an</w:t>
      </w:r>
    </w:p>
    <w:p>
      <w:pPr>
        <w:sectPr>
          <w:pgSz w:w="11900" w:h="16838" w:orient="portrait"/>
          <w:cols w:equalWidth="0" w:num="1">
            <w:col w:w="11240"/>
          </w:cols>
          <w:pgMar w:left="320" w:top="1419" w:right="339" w:bottom="1440" w:gutter="0" w:footer="0" w:header="0"/>
        </w:sectPr>
      </w:pPr>
    </w:p>
    <w:bookmarkStart w:id="220" w:name="page221"/>
    <w:bookmarkEnd w:id="220"/>
    <w:p>
      <w:pPr>
        <w:jc w:val="both"/>
        <w:spacing w:after="0" w:line="272" w:lineRule="auto"/>
        <w:rPr>
          <w:sz w:val="20"/>
          <w:szCs w:val="20"/>
          <w:color w:val="auto"/>
        </w:rPr>
      </w:pPr>
      <w:r>
        <w:rPr>
          <w:rFonts w:ascii="Arial" w:cs="Arial" w:eastAsia="Arial" w:hAnsi="Arial"/>
          <w:sz w:val="19"/>
          <w:szCs w:val="19"/>
          <w:color w:val="auto"/>
        </w:rPr>
        <w:t>additional Contract Period to convert any such Loans, then, upon the expiration of the Contract Period therefor, such Loans will be automatically converted to Canadian Prime Rate Loans. Each Notice of Canadian Conversion or Continuation shall be irrevocable.</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2A.7 </w:t>
      </w:r>
      <w:r>
        <w:rPr>
          <w:rFonts w:ascii="Arial" w:cs="Arial" w:eastAsia="Arial" w:hAnsi="Arial"/>
          <w:sz w:val="18"/>
          <w:szCs w:val="18"/>
          <w:u w:val="single" w:color="auto"/>
          <w:color w:val="auto"/>
        </w:rPr>
        <w:t>Disbursement of Funds and Presumptions by Canadian Administrative Agent</w:t>
      </w:r>
      <w:r>
        <w:rPr>
          <w:rFonts w:ascii="Arial" w:cs="Arial" w:eastAsia="Arial" w:hAnsi="Arial"/>
          <w:sz w:val="18"/>
          <w:szCs w:val="18"/>
          <w:color w:val="auto"/>
        </w:rPr>
        <w:t xml:space="preserve">. No later than 12:00 p.m. (local time at the place of funding) on the date specified in each Notice of Canadian Borrowing, each Canadian Revolving Lender will make available its Canadian Revolver Pro Rata Share of Canadian Revolving Loans of the Borrowing requested to be made on such date in Canadian Dollars and in immediately available funds, at the Payment Office and Canadian Administrative Agent will make available to Canadian Borrower at its Payment Office the aggregate of the amounts so made available by the Lenders not later than 2:00 p.m. (local time in the place of payment). Unless Canadian Administrative Agent shall have been notified by any such Lender at least one Business Day prior to the date of Borrowing that such Lender does not intend to make available to Canadian Administrative Agent such Lender’s portion of the Borrowing to be made on such date, Canadian Administrative Agent may assume that such Lender has made such amount available to Canadian Administrative Agent on such date of Borrowing and Canadian Administrative Agent may, but shall not be required to, in reliance upon such assumption, make available to Canadian Borrower a corresponding amount. If such corresponding amount is not in fact made available to Canadian Administrative Agent by such Lender on the date of Borrowing, Canadian Administrative Agent shall be entitled to recover such corresponding amount on demand from such Lender. If such Lender does not pay such corresponding amount forthwith upon Canadian Administrative Agent’s demand therefor, Canadian Administrative Agent shall promptly notify Canadian Borrower and, if so notified, Canadian Borrower shall immediately pay such corresponding amount to Canadian Administrative Agent. Canadian Administrative Agent shall also be entitled to recover from Canadian Borrower interest on such corresponding amount in respect of each day from the date such corresponding amount was made available by Canadian Administrative Agent to Canadian Borrower to the date such corresponding amount is recovered by Canadian Administrative Agent, at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the rate for Canadian Prime Rate Loans or B/A Loans, as the case may be, applicable during the period in question;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interest paid to Canadian Administrative Agent in respect of such corresponding amount shall be credited against interest payable by Canadian Borrower to such Lender under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in respect of such corresponding amount. Any amount due hereunder to Canadian Administrative Agent from any Lender which is not paid when due shall bear interest payable by such Lender, from the date due until the date paid, at the average of the rates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for Canadian Dollar bankers’ acceptances having a term of 30 days that appears on the display referred to as the “CDOR Page” (or any display substituted therefor) of Reuter Monitor Money Rates Service as of 10:00 a.m. (Toronto time) on the date of determination, as reported by Canadian Administrative Agent (and if such screen is not available, any successor or similar service as may be selected by Canadian Administrative Agent) for the first three days after the date such amount is due and thereafter at the average of the rates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for Canadian Dollar bankers’ acceptances having a term of 30 days that appears on the display referred to as the “CDOR Page” (or any display substituted therefor) of Reuter Monitor Money Rates Service as of 10:00 a.m. (Toronto time) on the date of determination, as reported by Canadian Administrative Agent (and if such screen is not available, any successor or similar service as may be selected by Canadian Administrative Agent) plus 1%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together with Canadian Administrative Agent’s standard interbank processing fee. Further, such Lender shall be deemed to have assigned any and all payments made of principal and interest on its Loans, and any other amounts due to it hereunder first to Canadian Administrative Agent to fund any outstanding Loans made available on behalf of such Lender by Canadian Administrative Agent pursuant to this </w:t>
      </w:r>
      <w:r>
        <w:rPr>
          <w:rFonts w:ascii="Arial" w:cs="Arial" w:eastAsia="Arial" w:hAnsi="Arial"/>
          <w:sz w:val="18"/>
          <w:szCs w:val="18"/>
          <w:u w:val="single" w:color="auto"/>
          <w:color w:val="auto"/>
        </w:rPr>
        <w:t>Section 2A.7</w:t>
      </w:r>
      <w:r>
        <w:rPr>
          <w:rFonts w:ascii="Arial" w:cs="Arial" w:eastAsia="Arial" w:hAnsi="Arial"/>
          <w:sz w:val="18"/>
          <w:szCs w:val="18"/>
          <w:color w:val="auto"/>
        </w:rPr>
        <w:t xml:space="preserve"> until such Loans have been funded (as a result of such assignment or otherwise) and then to fund Loans of all Lenders other than such Lender until each Lender has outstanding Loans equal to its Canadian Revolver Pro Rata Share of all Canadian Revolving Loans (as a result of such assignment or otherwise). Such Lender shall not have recourse against Canadian Borrower with respect to any amounts paid to Canadian Administrative Agent or any Lender with respect to the preceding sentence,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have full recourse against Canadian Borrower to the extent of the amount of such Loans it has so</w:t>
      </w:r>
    </w:p>
    <w:p>
      <w:pPr>
        <w:sectPr>
          <w:pgSz w:w="11900" w:h="16838" w:orient="portrait"/>
          <w:cols w:equalWidth="0" w:num="1">
            <w:col w:w="11240"/>
          </w:cols>
          <w:pgMar w:left="320" w:top="1419" w:right="339" w:bottom="1440" w:gutter="0" w:footer="0" w:header="0"/>
        </w:sectPr>
      </w:pPr>
    </w:p>
    <w:bookmarkStart w:id="221" w:name="page222"/>
    <w:bookmarkEnd w:id="221"/>
    <w:p>
      <w:pPr>
        <w:jc w:val="both"/>
        <w:ind w:right="20"/>
        <w:spacing w:after="0" w:line="237" w:lineRule="auto"/>
        <w:rPr>
          <w:sz w:val="20"/>
          <w:szCs w:val="20"/>
          <w:color w:val="auto"/>
        </w:rPr>
      </w:pPr>
      <w:r>
        <w:rPr>
          <w:rFonts w:ascii="Arial" w:cs="Arial" w:eastAsia="Arial" w:hAnsi="Arial"/>
          <w:sz w:val="20"/>
          <w:szCs w:val="20"/>
          <w:color w:val="auto"/>
        </w:rPr>
        <w:t>been deemed to have made. Nothing herein shall be deemed to relieve any Lender from its obligation to fulfill its Canadian Revolving Commitment hereunder or to prejudice any rights which Canadian Borrower may have against the Lender as a result of any default by such Lender hereunder.</w:t>
      </w:r>
    </w:p>
    <w:p>
      <w:pPr>
        <w:spacing w:after="0" w:line="21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 xml:space="preserve">2A.8 </w:t>
      </w:r>
      <w:r>
        <w:rPr>
          <w:rFonts w:ascii="Arial" w:cs="Arial" w:eastAsia="Arial" w:hAnsi="Arial"/>
          <w:sz w:val="20"/>
          <w:szCs w:val="20"/>
          <w:u w:val="single" w:color="auto"/>
          <w:color w:val="auto"/>
        </w:rPr>
        <w:t>Pro Rata Borrowings.</w:t>
      </w:r>
      <w:r>
        <w:rPr>
          <w:rFonts w:ascii="Arial" w:cs="Arial" w:eastAsia="Arial" w:hAnsi="Arial"/>
          <w:sz w:val="20"/>
          <w:szCs w:val="20"/>
          <w:color w:val="auto"/>
        </w:rPr>
        <w:t xml:space="preserve"> Except as expressly provided in </w:t>
      </w:r>
      <w:r>
        <w:rPr>
          <w:rFonts w:ascii="Arial" w:cs="Arial" w:eastAsia="Arial" w:hAnsi="Arial"/>
          <w:sz w:val="20"/>
          <w:szCs w:val="20"/>
          <w:u w:val="single" w:color="auto"/>
          <w:color w:val="auto"/>
        </w:rPr>
        <w:t>Section 2A.9(e)</w:t>
      </w:r>
      <w:r>
        <w:rPr>
          <w:rFonts w:ascii="Arial" w:cs="Arial" w:eastAsia="Arial" w:hAnsi="Arial"/>
          <w:sz w:val="20"/>
          <w:szCs w:val="20"/>
          <w:color w:val="auto"/>
        </w:rPr>
        <w:t>, all Borrowings of Canadian Revolving Loans under this Agreement shall be loaned by the applicable Lenders pro rata on the basis of their Canadian Revolving Commitments. No Lender shall be responsible for any default by any other Lender in its obligation to make Loans hereunder and each Lender shall be obligated to make the Loans provided to be made by it hereunder, regardless of the failure of any other Lender to fulfill its Canadian Revolving Commitment hereunder.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2A.9 </w:t>
      </w:r>
      <w:r>
        <w:rPr>
          <w:rFonts w:ascii="Arial" w:cs="Arial" w:eastAsia="Arial" w:hAnsi="Arial"/>
          <w:sz w:val="20"/>
          <w:szCs w:val="20"/>
          <w:u w:val="single" w:color="auto"/>
          <w:color w:val="auto"/>
        </w:rPr>
        <w:t>Bankers’ Acceptances</w:t>
      </w:r>
      <w:r>
        <w:rPr>
          <w:rFonts w:ascii="Arial" w:cs="Arial" w:eastAsia="Arial" w:hAnsi="Arial"/>
          <w:sz w:val="20"/>
          <w:szCs w:val="20"/>
          <w:color w:val="auto"/>
        </w:rPr>
        <w:t>.</w:t>
      </w:r>
    </w:p>
    <w:p>
      <w:pPr>
        <w:spacing w:after="0" w:line="229" w:lineRule="exact"/>
        <w:rPr>
          <w:sz w:val="20"/>
          <w:szCs w:val="20"/>
          <w:color w:val="auto"/>
        </w:rPr>
      </w:pPr>
    </w:p>
    <w:p>
      <w:pPr>
        <w:ind w:right="20" w:firstLine="656"/>
        <w:spacing w:after="0" w:line="368" w:lineRule="auto"/>
        <w:tabs>
          <w:tab w:leader="none" w:pos="91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Canadian Borrower may request a Canadian Revolving Loan denominated in Canadian Dollars by presenting drafts for acceptance and, if applicable, purchase as B/As by the Canadian Revolving Lenders.</w:t>
      </w:r>
    </w:p>
    <w:p>
      <w:pPr>
        <w:spacing w:after="0" w:line="110" w:lineRule="exact"/>
        <w:rPr>
          <w:rFonts w:ascii="Arial" w:cs="Arial" w:eastAsia="Arial" w:hAnsi="Arial"/>
          <w:sz w:val="16"/>
          <w:szCs w:val="16"/>
          <w:color w:val="auto"/>
        </w:rPr>
      </w:pPr>
    </w:p>
    <w:p>
      <w:pPr>
        <w:ind w:firstLine="656"/>
        <w:spacing w:after="0" w:line="246" w:lineRule="auto"/>
        <w:tabs>
          <w:tab w:leader="none" w:pos="955" w:val="left"/>
        </w:tabs>
        <w:numPr>
          <w:ilvl w:val="0"/>
          <w:numId w:val="115"/>
        </w:numPr>
        <w:rPr>
          <w:rFonts w:ascii="Arial" w:cs="Arial" w:eastAsia="Arial" w:hAnsi="Arial"/>
          <w:sz w:val="20"/>
          <w:szCs w:val="20"/>
          <w:color w:val="auto"/>
        </w:rPr>
      </w:pPr>
      <w:r>
        <w:rPr>
          <w:rFonts w:ascii="Arial" w:cs="Arial" w:eastAsia="Arial" w:hAnsi="Arial"/>
          <w:sz w:val="20"/>
          <w:szCs w:val="20"/>
          <w:color w:val="auto"/>
        </w:rPr>
        <w:t>A Canadian Revolving Lender shall not be obliged to either accept any draft presented for acceptance or advance any B/A Equivalent Loan:</w:t>
      </w:r>
    </w:p>
    <w:p>
      <w:pPr>
        <w:spacing w:after="0" w:line="204" w:lineRule="exact"/>
        <w:rPr>
          <w:sz w:val="20"/>
          <w:szCs w:val="20"/>
          <w:color w:val="auto"/>
        </w:rPr>
      </w:pPr>
    </w:p>
    <w:p>
      <w:pPr>
        <w:ind w:left="900" w:hanging="244"/>
        <w:spacing w:after="0"/>
        <w:tabs>
          <w:tab w:leader="none" w:pos="90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which is drawn on, or where the Contract Period applicable thereto expires, on a day which is not a Business Day;</w:t>
      </w:r>
    </w:p>
    <w:p>
      <w:pPr>
        <w:spacing w:after="0" w:line="229" w:lineRule="exact"/>
        <w:rPr>
          <w:rFonts w:ascii="Arial" w:cs="Arial" w:eastAsia="Arial" w:hAnsi="Arial"/>
          <w:sz w:val="20"/>
          <w:szCs w:val="20"/>
          <w:color w:val="auto"/>
        </w:rPr>
      </w:pPr>
    </w:p>
    <w:p>
      <w:pPr>
        <w:ind w:left="940" w:hanging="284"/>
        <w:spacing w:after="0"/>
        <w:tabs>
          <w:tab w:leader="none" w:pos="9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where the Contract Period applicable thereto matures on a day subsequent to the Canadian Revolver Termination Date;</w:t>
      </w:r>
    </w:p>
    <w:p>
      <w:pPr>
        <w:spacing w:after="0" w:line="240" w:lineRule="exact"/>
        <w:rPr>
          <w:rFonts w:ascii="Arial" w:cs="Arial" w:eastAsia="Arial" w:hAnsi="Arial"/>
          <w:sz w:val="19"/>
          <w:szCs w:val="19"/>
          <w:color w:val="auto"/>
        </w:rPr>
      </w:pPr>
    </w:p>
    <w:p>
      <w:pPr>
        <w:ind w:left="1000" w:hanging="344"/>
        <w:spacing w:after="0"/>
        <w:tabs>
          <w:tab w:leader="none" w:pos="100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where the Contract Period applicable thereto has a term other than approximately 30, 60, 90 or 180 days;</w:t>
      </w:r>
    </w:p>
    <w:p>
      <w:pPr>
        <w:spacing w:after="0" w:line="229" w:lineRule="exact"/>
        <w:rPr>
          <w:rFonts w:ascii="Arial" w:cs="Arial" w:eastAsia="Arial" w:hAnsi="Arial"/>
          <w:sz w:val="20"/>
          <w:szCs w:val="20"/>
          <w:color w:val="auto"/>
        </w:rPr>
      </w:pPr>
    </w:p>
    <w:p>
      <w:pPr>
        <w:ind w:left="1000" w:hanging="344"/>
        <w:spacing w:after="0"/>
        <w:tabs>
          <w:tab w:leader="none" w:pos="100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which is denominated in any currency other than Canadian Dollars;</w:t>
      </w:r>
    </w:p>
    <w:p>
      <w:pPr>
        <w:spacing w:after="0" w:line="229" w:lineRule="exact"/>
        <w:rPr>
          <w:rFonts w:ascii="Arial" w:cs="Arial" w:eastAsia="Arial" w:hAnsi="Arial"/>
          <w:sz w:val="20"/>
          <w:szCs w:val="20"/>
          <w:color w:val="auto"/>
        </w:rPr>
      </w:pPr>
    </w:p>
    <w:p>
      <w:pPr>
        <w:ind w:left="940" w:hanging="284"/>
        <w:spacing w:after="0"/>
        <w:tabs>
          <w:tab w:leader="none" w:pos="94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which is not in a form satisfactory to such Canadian Revolving Lender or Canadian Administrative Agent;</w:t>
      </w:r>
    </w:p>
    <w:p>
      <w:pPr>
        <w:spacing w:after="0" w:line="229" w:lineRule="exact"/>
        <w:rPr>
          <w:rFonts w:ascii="Arial" w:cs="Arial" w:eastAsia="Arial" w:hAnsi="Arial"/>
          <w:sz w:val="20"/>
          <w:szCs w:val="20"/>
          <w:color w:val="auto"/>
        </w:rPr>
      </w:pPr>
    </w:p>
    <w:p>
      <w:pPr>
        <w:ind w:left="1000" w:hanging="344"/>
        <w:spacing w:after="0"/>
        <w:tabs>
          <w:tab w:leader="none" w:pos="100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for a continuation, in respect of which the Canadian Borrower has not then paid the applicable Acceptance Fee; or</w:t>
      </w:r>
    </w:p>
    <w:p>
      <w:pPr>
        <w:spacing w:after="0" w:line="229" w:lineRule="exact"/>
        <w:rPr>
          <w:rFonts w:ascii="Arial" w:cs="Arial" w:eastAsia="Arial" w:hAnsi="Arial"/>
          <w:sz w:val="20"/>
          <w:szCs w:val="20"/>
          <w:color w:val="auto"/>
        </w:rPr>
      </w:pPr>
    </w:p>
    <w:p>
      <w:pPr>
        <w:ind w:left="1040" w:hanging="384"/>
        <w:spacing w:after="0"/>
        <w:tabs>
          <w:tab w:leader="none" w:pos="104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if an Unmatured Event of Default or an Event of Default has occurred and is continuing.</w:t>
      </w:r>
    </w:p>
    <w:p>
      <w:pPr>
        <w:spacing w:after="0" w:line="229" w:lineRule="exact"/>
        <w:rPr>
          <w:sz w:val="20"/>
          <w:szCs w:val="20"/>
          <w:color w:val="auto"/>
        </w:rPr>
      </w:pPr>
    </w:p>
    <w:p>
      <w:pPr>
        <w:jc w:val="both"/>
        <w:ind w:firstLine="656"/>
        <w:spacing w:after="0" w:line="256" w:lineRule="auto"/>
        <w:tabs>
          <w:tab w:leader="none" w:pos="91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To facilitate availment of B/A Loans, Canadian Borrower hereby appoints each Canadian Revolving Lender as its attorney to sign and endorse on its behalf (in accordance with a Notice of Canadian Borrowing or Notice of Canadian Conversion or Continuation relating to a B/A Loan pursuant to </w:t>
      </w:r>
      <w:r>
        <w:rPr>
          <w:rFonts w:ascii="Arial" w:cs="Arial" w:eastAsia="Arial" w:hAnsi="Arial"/>
          <w:sz w:val="18"/>
          <w:szCs w:val="18"/>
          <w:u w:val="single" w:color="auto"/>
          <w:color w:val="auto"/>
        </w:rPr>
        <w:t>Section 2A.5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2A.6</w:t>
      </w:r>
      <w:r>
        <w:rPr>
          <w:rFonts w:ascii="Arial" w:cs="Arial" w:eastAsia="Arial" w:hAnsi="Arial"/>
          <w:sz w:val="18"/>
          <w:szCs w:val="18"/>
          <w:color w:val="auto"/>
        </w:rPr>
        <w:t>), in handwriting or by facsimile or mechanical signature as and when deemed necessary by such Canadian Revolving Lender, blank drafts in the form requested by such Canadian Revolving Lender. In this respect, it is each Canadian Revolving Lender’s responsibility to maintain an adequate supply of blank drafts for acceptance under this Agreement. Canadian Borrower recognizes and agrees that all drafts signed and/or endorsed by a Canadian Revolving Lender on behalf of Canadian Borrower shall bind Canadian Borrower as fully and effectually as if signed in the handwriting of and duly issued by the proper signing officers of Canadian Borrower. Each Canadian Revolving Lender is hereby authorized (in accordance with a Notice of Canadian Borrowing or Notice of Canadian Conversion or Continuation relating to a B/A Loan) to issue such B/As endorsed in blank in such face</w:t>
      </w:r>
    </w:p>
    <w:p>
      <w:pPr>
        <w:sectPr>
          <w:pgSz w:w="11900" w:h="16838" w:orient="portrait"/>
          <w:cols w:equalWidth="0" w:num="1">
            <w:col w:w="11240"/>
          </w:cols>
          <w:pgMar w:left="320" w:top="1419" w:right="339" w:bottom="1440" w:gutter="0" w:footer="0" w:header="0"/>
        </w:sectPr>
      </w:pPr>
    </w:p>
    <w:bookmarkStart w:id="222" w:name="page223"/>
    <w:bookmarkEnd w:id="222"/>
    <w:p>
      <w:pPr>
        <w:jc w:val="both"/>
        <w:spacing w:after="0" w:line="255" w:lineRule="auto"/>
        <w:rPr>
          <w:sz w:val="20"/>
          <w:szCs w:val="20"/>
          <w:color w:val="auto"/>
        </w:rPr>
      </w:pPr>
      <w:r>
        <w:rPr>
          <w:rFonts w:ascii="Arial" w:cs="Arial" w:eastAsia="Arial" w:hAnsi="Arial"/>
          <w:sz w:val="18"/>
          <w:szCs w:val="18"/>
          <w:color w:val="auto"/>
        </w:rPr>
        <w:t xml:space="preserve">amounts as may be determined by such Canadian Revolving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thereof is equal to the aggregate amount of drafts required to be accepted and purchased by such Canadian Revolving Lender. No Canadian Revolving Lender shall be liable for any damage, loss or other claim arising by reason of any loss or improper use of any such instrument except for the gross negligence or willful misconduct of the Canadian Revolving Lender or its officers, employees, agents or representatives. Each Canadian Revolving Lender shall maintain a record, which shall be made available to Canadian Borrower upon its request, with respect to drafts (i) received by it in blank hereunder, (ii) voided by it for any reason, (iii) accepted and purchased by it hereunder, and (iv) cancelled at their respective maturities. On request by or on behalf of Canadian Borrower, a Canadian Revolving Lender shall cancel all forms of B/As which have been pre-signed or pre-endorsed on behalf of Canadian Borrower and that are held by such Canadian Revolving Lender and are not required to be issued in accordance with Canadian Borrower’s irrevocable notice. Alternatively, Canadian Borrower agrees that, at the request of Canadian Administrative Agent, Canadian Borrower shall deliver to Canadian Administrative Agent a “depository note” which complies with the requirements of the Depository Bills and Notes Act (Canada), and consents to the deposit of any such depository note in the book-based debt clearance system maintained by the Canadian Depository for Securities.</w:t>
      </w:r>
    </w:p>
    <w:p>
      <w:pPr>
        <w:spacing w:after="0" w:line="196" w:lineRule="exact"/>
        <w:rPr>
          <w:sz w:val="20"/>
          <w:szCs w:val="20"/>
          <w:color w:val="auto"/>
        </w:rPr>
      </w:pPr>
    </w:p>
    <w:p>
      <w:pPr>
        <w:jc w:val="both"/>
        <w:ind w:firstLine="656"/>
        <w:spacing w:after="0" w:line="267" w:lineRule="auto"/>
        <w:tabs>
          <w:tab w:leader="none" w:pos="92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Drafts of Canadian Borrower to be accepted as B/As hereunder shall be signed as set forth in this </w:t>
      </w:r>
      <w:r>
        <w:rPr>
          <w:rFonts w:ascii="Arial" w:cs="Arial" w:eastAsia="Arial" w:hAnsi="Arial"/>
          <w:sz w:val="18"/>
          <w:szCs w:val="18"/>
          <w:u w:val="single" w:color="auto"/>
          <w:color w:val="auto"/>
        </w:rPr>
        <w:t>Section 2A.9</w:t>
      </w:r>
      <w:r>
        <w:rPr>
          <w:rFonts w:ascii="Arial" w:cs="Arial" w:eastAsia="Arial" w:hAnsi="Arial"/>
          <w:sz w:val="18"/>
          <w:szCs w:val="18"/>
          <w:color w:val="auto"/>
        </w:rPr>
        <w:t>. Notwithstanding that any Person whose signature appears on any B/A may no longer be an authorized signatory for any Canadian Revolving Lender or Canadian Borrower at the date of issuance of a B/A, such signature shall nevertheless be valid and sufficient for all purposes as if such authority had remained in force at the time of such issuance and any such B/A so signed shall be binding on Canadian Borrower.</w:t>
      </w:r>
    </w:p>
    <w:p>
      <w:pPr>
        <w:spacing w:after="0" w:line="185" w:lineRule="exact"/>
        <w:rPr>
          <w:rFonts w:ascii="Arial" w:cs="Arial" w:eastAsia="Arial" w:hAnsi="Arial"/>
          <w:sz w:val="18"/>
          <w:szCs w:val="18"/>
          <w:color w:val="auto"/>
        </w:rPr>
      </w:pPr>
    </w:p>
    <w:p>
      <w:pPr>
        <w:jc w:val="both"/>
        <w:ind w:firstLine="656"/>
        <w:spacing w:after="0" w:line="242" w:lineRule="auto"/>
        <w:tabs>
          <w:tab w:leader="none" w:pos="917"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Promptly following the receipt of a Notice of Canadian Borrowing or Notice of Canadian Conversion or Continuation specifying a Canadian Revolving Loan by way of B/As, Canadian Administrative Agent shall so advise the Canadian Revolving Lenders and shall advise each Canadian Revolving Lender of the aggregate face amount of the B/As to be accepted by it and the applicable Contract Period (which shall be identical for all Canadian Revolving Lenders). In the case of Canadian Revolving Loans comprised of B/A Loans, the aggregate face amount of the B/As to be accepted by a Canadian Revolving Lender shall be in a minimum aggregate amount of Cdn.$500,000 and shall be a whole multiple of Cdn.$100,000, and such face amount shall be in the Canadian Revolving Lenders’ pro rata portions of such Canadian Revolving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Canadian Administrative Agent may in its sole discretion increase or reduce any Canadian Revolving Lender’s portion of such B/A Loan to the nearest Cdn.$100,000.</w:t>
      </w:r>
    </w:p>
    <w:p>
      <w:pPr>
        <w:spacing w:after="0" w:line="208" w:lineRule="exact"/>
        <w:rPr>
          <w:rFonts w:ascii="Arial" w:cs="Arial" w:eastAsia="Arial" w:hAnsi="Arial"/>
          <w:sz w:val="19"/>
          <w:szCs w:val="19"/>
          <w:color w:val="auto"/>
        </w:rPr>
      </w:pPr>
    </w:p>
    <w:p>
      <w:pPr>
        <w:jc w:val="both"/>
        <w:ind w:firstLine="656"/>
        <w:spacing w:after="0" w:line="229" w:lineRule="auto"/>
        <w:tabs>
          <w:tab w:leader="none" w:pos="895"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Canadian Borrower may specify in a Notice of Canadian Borrowing pursuant to </w:t>
      </w:r>
      <w:r>
        <w:rPr>
          <w:rFonts w:ascii="Arial" w:cs="Arial" w:eastAsia="Arial" w:hAnsi="Arial"/>
          <w:sz w:val="20"/>
          <w:szCs w:val="20"/>
          <w:u w:val="single" w:color="auto"/>
          <w:color w:val="auto"/>
        </w:rPr>
        <w:t>Section 2A.5</w:t>
      </w:r>
      <w:r>
        <w:rPr>
          <w:rFonts w:ascii="Arial" w:cs="Arial" w:eastAsia="Arial" w:hAnsi="Arial"/>
          <w:sz w:val="20"/>
          <w:szCs w:val="20"/>
          <w:color w:val="auto"/>
        </w:rPr>
        <w:t xml:space="preserve"> or a Notice of Canadian Conversion or Continuation pursuant to </w:t>
      </w:r>
      <w:r>
        <w:rPr>
          <w:rFonts w:ascii="Arial" w:cs="Arial" w:eastAsia="Arial" w:hAnsi="Arial"/>
          <w:sz w:val="20"/>
          <w:szCs w:val="20"/>
          <w:u w:val="single" w:color="auto"/>
          <w:color w:val="auto"/>
        </w:rPr>
        <w:t>Section 2A.6</w:t>
      </w:r>
      <w:r>
        <w:rPr>
          <w:rFonts w:ascii="Arial" w:cs="Arial" w:eastAsia="Arial" w:hAnsi="Arial"/>
          <w:sz w:val="20"/>
          <w:szCs w:val="20"/>
          <w:color w:val="auto"/>
        </w:rPr>
        <w:t xml:space="preserve"> that it desires that any B/A’s requested by such notice be purchased by the Canadian Revolving Lenders, in which case the Canadian Revolving Lenders shall, upon acceptance of a B/A by a Canadian Revolving Lender, purchase, or arrange for the purchase of, each B/A from Canadian Borrower at the Discount Rate for such Canadian Revolving Lender applicable to such B/A accepted by it and provide to Canadian Administrative Agent the Discount Proceeds for the account of Canadian Borrower. The Acceptance Fee payable by Canadian Borrower to a Canadian Revolving Lender under </w:t>
      </w:r>
      <w:r>
        <w:rPr>
          <w:rFonts w:ascii="Arial" w:cs="Arial" w:eastAsia="Arial" w:hAnsi="Arial"/>
          <w:sz w:val="20"/>
          <w:szCs w:val="20"/>
          <w:u w:val="single" w:color="auto"/>
          <w:color w:val="auto"/>
        </w:rPr>
        <w:t>Section 3.1(d)</w:t>
      </w:r>
      <w:r>
        <w:rPr>
          <w:rFonts w:ascii="Arial" w:cs="Arial" w:eastAsia="Arial" w:hAnsi="Arial"/>
          <w:sz w:val="20"/>
          <w:szCs w:val="20"/>
          <w:color w:val="auto"/>
        </w:rPr>
        <w:t xml:space="preserve"> in respect of each B/A accepted by such Canadian Revolving Lender shall be set off against the Discount Proceeds payable by such Canadian Revolving Lender under this </w:t>
      </w:r>
      <w:r>
        <w:rPr>
          <w:rFonts w:ascii="Arial" w:cs="Arial" w:eastAsia="Arial" w:hAnsi="Arial"/>
          <w:sz w:val="20"/>
          <w:szCs w:val="20"/>
          <w:u w:val="single" w:color="auto"/>
          <w:color w:val="auto"/>
        </w:rPr>
        <w:t>Section 2A.9</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656"/>
        <w:spacing w:after="0" w:line="246" w:lineRule="auto"/>
        <w:tabs>
          <w:tab w:leader="none" w:pos="928" w:val="left"/>
        </w:tabs>
        <w:numPr>
          <w:ilvl w:val="0"/>
          <w:numId w:val="118"/>
        </w:numPr>
        <w:rPr>
          <w:rFonts w:ascii="Arial" w:cs="Arial" w:eastAsia="Arial" w:hAnsi="Arial"/>
          <w:sz w:val="20"/>
          <w:szCs w:val="20"/>
          <w:color w:val="auto"/>
        </w:rPr>
      </w:pPr>
      <w:r>
        <w:rPr>
          <w:rFonts w:ascii="Arial" w:cs="Arial" w:eastAsia="Arial" w:hAnsi="Arial"/>
          <w:sz w:val="20"/>
          <w:szCs w:val="20"/>
          <w:color w:val="auto"/>
        </w:rPr>
        <w:t>Each Canadian Revolving Lender may at any time and from time to time hold, sell, rediscount or otherwise dispose of any or all B/As accepted and purchased by it.</w:t>
      </w:r>
    </w:p>
    <w:p>
      <w:pPr>
        <w:spacing w:after="0" w:line="203" w:lineRule="exact"/>
        <w:rPr>
          <w:rFonts w:ascii="Arial" w:cs="Arial" w:eastAsia="Arial" w:hAnsi="Arial"/>
          <w:sz w:val="20"/>
          <w:szCs w:val="20"/>
          <w:color w:val="auto"/>
        </w:rPr>
      </w:pPr>
    </w:p>
    <w:p>
      <w:pPr>
        <w:ind w:firstLine="656"/>
        <w:spacing w:after="0" w:line="246" w:lineRule="auto"/>
        <w:tabs>
          <w:tab w:leader="none" w:pos="928" w:val="left"/>
        </w:tabs>
        <w:numPr>
          <w:ilvl w:val="0"/>
          <w:numId w:val="118"/>
        </w:numPr>
        <w:rPr>
          <w:rFonts w:ascii="Arial" w:cs="Arial" w:eastAsia="Arial" w:hAnsi="Arial"/>
          <w:sz w:val="20"/>
          <w:szCs w:val="20"/>
          <w:color w:val="auto"/>
        </w:rPr>
      </w:pPr>
      <w:r>
        <w:rPr>
          <w:rFonts w:ascii="Arial" w:cs="Arial" w:eastAsia="Arial" w:hAnsi="Arial"/>
          <w:sz w:val="20"/>
          <w:szCs w:val="20"/>
          <w:color w:val="auto"/>
        </w:rPr>
        <w:t>If a Canadian Revolving Lender is not a chartered bank under the Bank Act (Canada) or if a Canadian Revolving Lender notifies Canadian Administrative Agent in writing that it is otherwise</w:t>
      </w:r>
    </w:p>
    <w:p>
      <w:pPr>
        <w:sectPr>
          <w:pgSz w:w="11900" w:h="16838" w:orient="portrait"/>
          <w:cols w:equalWidth="0" w:num="1">
            <w:col w:w="11240"/>
          </w:cols>
          <w:pgMar w:left="320" w:top="1419" w:right="339" w:bottom="1440" w:gutter="0" w:footer="0" w:header="0"/>
        </w:sectPr>
      </w:pPr>
    </w:p>
    <w:bookmarkStart w:id="223" w:name="page224"/>
    <w:bookmarkEnd w:id="223"/>
    <w:p>
      <w:pPr>
        <w:jc w:val="both"/>
        <w:spacing w:after="0" w:line="292" w:lineRule="auto"/>
        <w:rPr>
          <w:sz w:val="20"/>
          <w:szCs w:val="20"/>
          <w:color w:val="auto"/>
        </w:rPr>
      </w:pPr>
      <w:r>
        <w:rPr>
          <w:rFonts w:ascii="Arial" w:cs="Arial" w:eastAsia="Arial" w:hAnsi="Arial"/>
          <w:sz w:val="16"/>
          <w:szCs w:val="16"/>
          <w:color w:val="auto"/>
        </w:rPr>
        <w:t>unable to accept Bankers’ Acceptances, such Canadian Revolving Lender will, instead of accepting and, if applicable, purchasing Bankers’ Acceptances, make an advance (a “</w:t>
      </w:r>
      <w:r>
        <w:rPr>
          <w:rFonts w:ascii="Arial" w:cs="Arial" w:eastAsia="Arial" w:hAnsi="Arial"/>
          <w:sz w:val="16"/>
          <w:szCs w:val="16"/>
          <w:u w:val="single" w:color="auto"/>
          <w:color w:val="auto"/>
        </w:rPr>
        <w:t>B/A Equivalent Loan</w:t>
      </w:r>
      <w:r>
        <w:rPr>
          <w:rFonts w:ascii="Arial" w:cs="Arial" w:eastAsia="Arial" w:hAnsi="Arial"/>
          <w:sz w:val="16"/>
          <w:szCs w:val="16"/>
          <w:color w:val="auto"/>
        </w:rPr>
        <w:t>”) to Canadian Borrower in the amount and for the same term as the draft that such Canadian Revolving Lender would otherwise have been required to accept and purchase hereunder. Each such Canadian Revolving Lender will provide to Canadian Administrative Agent the Discount Proceeds of such B/A Equivalent Loan for the account of Canadian Borrower. Each such B/A Equivalent Loan will bear interest at the same rate that would result if such Lender had accepted (and been paid an Acceptance Fee) and purchased (on a discounted basis at the Discount Rate) a Bankers’ Acceptance for the relevant Contract Period (it being the intention of the parties that each such B/A Equivalent Loan shall have the same economic consequences for the applicable Lenders and Canadian Borrower as the Bankers’ Acceptance which such B/A Equivalent Loan replaces). All such interest shall be paid in advance on the date such B/A Equivalent Loan is made, and will be deducted from the principal amount of such B/A Equivalent Loan in the same manner in which the discount to the purchase price of a Bankers’ Acceptance would be deducted from the face amount of the Bankers’ Acceptance.</w:t>
      </w:r>
    </w:p>
    <w:p>
      <w:pPr>
        <w:spacing w:after="0" w:line="388" w:lineRule="exact"/>
        <w:rPr>
          <w:sz w:val="20"/>
          <w:szCs w:val="20"/>
          <w:color w:val="auto"/>
        </w:rPr>
      </w:pPr>
    </w:p>
    <w:p>
      <w:pPr>
        <w:jc w:val="both"/>
        <w:ind w:firstLine="656"/>
        <w:spacing w:after="0" w:line="241" w:lineRule="auto"/>
        <w:tabs>
          <w:tab w:leader="none" w:pos="911" w:val="left"/>
        </w:tabs>
        <w:numPr>
          <w:ilvl w:val="0"/>
          <w:numId w:val="119"/>
        </w:numPr>
        <w:rPr>
          <w:rFonts w:ascii="Arial" w:cs="Arial" w:eastAsia="Arial" w:hAnsi="Arial"/>
          <w:sz w:val="19"/>
          <w:szCs w:val="19"/>
          <w:color w:val="auto"/>
        </w:rPr>
      </w:pPr>
      <w:r>
        <w:rPr>
          <w:rFonts w:ascii="Arial" w:cs="Arial" w:eastAsia="Arial" w:hAnsi="Arial"/>
          <w:sz w:val="19"/>
          <w:szCs w:val="19"/>
          <w:color w:val="auto"/>
        </w:rPr>
        <w:t>Canadian Borrower waives presentment for payment and any other defense to payment of any amounts due to a Canadian Revolving Lender in respect of a B/A accepted and purchased by it pursuant to this Agreement which might exist solely by reason of such B/A being held, at the maturity thereof, by such Canadian Revolving Lender in its own right, and Canadian Borrower agrees not to claim any days of grace if such Canadian Revolving Lender, as holder, sues Canadian Borrower on the B/A for payment of the amount payable by Canadian Borrower thereunder. Unless Canadian Borrower has requested and Canadian Revolving Lenders have granted a continuation of such B/A Loan in accordance with the provisions of this Agreement, on the last day of the Contract Period of a B/A, or such earlier date as may be required or permitted pursuant to the provisions of this Agreement, Canadian Borrower shall pay the Canadian Revolving Lender that has accepted and purchased such B/A the full face amount of such B/A and, after such payment, Canadian Borrower shall have no further liability in respect of such B/A and such Canadian Revolving Lender shall be entitled to all benefits of, and be responsible for all payments due to third parties under, such B/A.</w:t>
      </w:r>
    </w:p>
    <w:p>
      <w:pPr>
        <w:spacing w:after="0" w:line="209" w:lineRule="exact"/>
        <w:rPr>
          <w:rFonts w:ascii="Arial" w:cs="Arial" w:eastAsia="Arial" w:hAnsi="Arial"/>
          <w:sz w:val="19"/>
          <w:szCs w:val="19"/>
          <w:color w:val="auto"/>
        </w:rPr>
      </w:pPr>
    </w:p>
    <w:p>
      <w:pPr>
        <w:jc w:val="both"/>
        <w:ind w:firstLine="656"/>
        <w:spacing w:after="0" w:line="237" w:lineRule="auto"/>
        <w:tabs>
          <w:tab w:leader="none" w:pos="884" w:val="left"/>
        </w:tabs>
        <w:numPr>
          <w:ilvl w:val="0"/>
          <w:numId w:val="119"/>
        </w:numPr>
        <w:rPr>
          <w:rFonts w:ascii="Arial" w:cs="Arial" w:eastAsia="Arial" w:hAnsi="Arial"/>
          <w:sz w:val="20"/>
          <w:szCs w:val="20"/>
          <w:color w:val="auto"/>
        </w:rPr>
      </w:pPr>
      <w:r>
        <w:rPr>
          <w:rFonts w:ascii="Arial" w:cs="Arial" w:eastAsia="Arial" w:hAnsi="Arial"/>
          <w:sz w:val="20"/>
          <w:szCs w:val="20"/>
          <w:color w:val="auto"/>
        </w:rPr>
        <w:t xml:space="preserve">Except as required by any Canadian Revolving Lender upon the occurrence of an Event of Default, no B/A Loan may be repaid by Canadian Borrower prior to the expiry date of the Contract Period applicable to such B/A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B/A Loan may be defeased as provided in the proviso to </w:t>
      </w:r>
      <w:r>
        <w:rPr>
          <w:rFonts w:ascii="Arial" w:cs="Arial" w:eastAsia="Arial" w:hAnsi="Arial"/>
          <w:sz w:val="20"/>
          <w:szCs w:val="20"/>
          <w:u w:val="single" w:color="auto"/>
          <w:color w:val="auto"/>
        </w:rPr>
        <w:t>Section 4.3(d)</w:t>
      </w:r>
      <w:r>
        <w:rPr>
          <w:rFonts w:ascii="Arial" w:cs="Arial" w:eastAsia="Arial" w:hAnsi="Arial"/>
          <w:sz w:val="20"/>
          <w:szCs w:val="20"/>
          <w:color w:val="auto"/>
        </w:rPr>
        <w:t>.</w:t>
      </w:r>
    </w:p>
    <w:p>
      <w:pPr>
        <w:spacing w:after="0" w:line="21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 xml:space="preserve">2A.10 </w:t>
      </w:r>
      <w:r>
        <w:rPr>
          <w:rFonts w:ascii="Arial" w:cs="Arial" w:eastAsia="Arial" w:hAnsi="Arial"/>
          <w:sz w:val="20"/>
          <w:szCs w:val="20"/>
          <w:u w:val="single" w:color="auto"/>
          <w:color w:val="auto"/>
        </w:rPr>
        <w:t>Miscellaneous</w:t>
      </w:r>
      <w:r>
        <w:rPr>
          <w:rFonts w:ascii="Arial" w:cs="Arial" w:eastAsia="Arial" w:hAnsi="Arial"/>
          <w:sz w:val="20"/>
          <w:szCs w:val="20"/>
          <w:color w:val="auto"/>
        </w:rPr>
        <w:t xml:space="preserve">. Notwithstanding anything herein to the contrary, the Canadian Borrower shall in no capacity and in no event be obliged to make any payment of interest or any other amount payable to any Canadian Revolving Lender hereunder in excess of any amount or rate which would be prohibited by law or would result in the receipt by such Canadian Revolving Lender of, or an agreement by such Canadian Revolving Lender to receive, “interest” at a “criminal rate” (as each such term is defined in and construed under Section 347 of the </w:t>
      </w:r>
      <w:r>
        <w:rPr>
          <w:rFonts w:ascii="Arial" w:cs="Arial" w:eastAsia="Arial" w:hAnsi="Arial"/>
          <w:sz w:val="20"/>
          <w:szCs w:val="20"/>
          <w:i w:val="1"/>
          <w:iCs w:val="1"/>
          <w:color w:val="auto"/>
        </w:rPr>
        <w:t>Criminal Code</w:t>
      </w:r>
      <w:r>
        <w:rPr>
          <w:rFonts w:ascii="Arial" w:cs="Arial" w:eastAsia="Arial" w:hAnsi="Arial"/>
          <w:sz w:val="20"/>
          <w:szCs w:val="20"/>
          <w:color w:val="auto"/>
        </w:rPr>
        <w:t xml:space="preserve"> (Canada)).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INTEREST AND FEES</w:t>
      </w:r>
    </w:p>
    <w:p>
      <w:pPr>
        <w:spacing w:after="0" w:line="213"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Interest</w:t>
      </w:r>
    </w:p>
    <w:p>
      <w:pPr>
        <w:spacing w:after="0" w:line="2" w:lineRule="exact"/>
        <w:rPr>
          <w:rFonts w:ascii="Arial" w:cs="Arial" w:eastAsia="Arial" w:hAnsi="Arial"/>
          <w:sz w:val="20"/>
          <w:szCs w:val="20"/>
          <w:color w:val="auto"/>
        </w:rPr>
      </w:pPr>
    </w:p>
    <w:p>
      <w:pPr>
        <w:ind w:left="660"/>
        <w:spacing w:after="0" w:line="225" w:lineRule="auto"/>
        <w:rPr>
          <w:rFonts w:ascii="Arial" w:cs="Arial" w:eastAsia="Arial" w:hAnsi="Arial"/>
          <w:sz w:val="20"/>
          <w:szCs w:val="20"/>
          <w:color w:val="auto"/>
        </w:rPr>
      </w:pPr>
      <w:r>
        <w:rPr>
          <w:rFonts w:ascii="Arial" w:cs="Arial" w:eastAsia="Arial" w:hAnsi="Arial"/>
          <w:sz w:val="20"/>
          <w:szCs w:val="20"/>
          <w:color w:val="auto"/>
        </w:rPr>
        <w:t>.</w:t>
      </w:r>
    </w:p>
    <w:p>
      <w:pPr>
        <w:jc w:val="both"/>
        <w:ind w:left="660"/>
        <w:spacing w:after="0" w:line="243" w:lineRule="auto"/>
        <w:rPr>
          <w:rFonts w:ascii="Arial" w:cs="Arial" w:eastAsia="Arial" w:hAnsi="Arial"/>
          <w:sz w:val="20"/>
          <w:szCs w:val="20"/>
          <w:color w:val="auto"/>
        </w:rPr>
      </w:pPr>
      <w:r>
        <w:rPr>
          <w:rFonts w:ascii="Arial" w:cs="Arial" w:eastAsia="Arial" w:hAnsi="Arial"/>
          <w:sz w:val="19"/>
          <w:szCs w:val="19"/>
          <w:u w:val="single" w:color="auto"/>
          <w:color w:val="auto"/>
        </w:rPr>
        <w:t>(a) Base Rate Loans</w:t>
      </w:r>
      <w:r>
        <w:rPr>
          <w:rFonts w:ascii="Arial" w:cs="Arial" w:eastAsia="Arial" w:hAnsi="Arial"/>
          <w:sz w:val="19"/>
          <w:szCs w:val="19"/>
          <w:color w:val="auto"/>
        </w:rPr>
        <w:t>. Each applicable Borrower agrees to pay interest in respect of the unpaid principal amount of each Base Rate Loan from the date the proceeds thereof are made available to such Borrower (or, if such Base Rate Loan was converted from a Eurocurrency Loan, the date of such conversion) until the earlier of (i) the maturity (whether by acceleration or otherwise) of such Base Rate Loan or (ii) the conversion of such Base Rate Loan to a Eurocurrency Loan</w:t>
      </w:r>
    </w:p>
    <w:p>
      <w:pPr>
        <w:sectPr>
          <w:pgSz w:w="11900" w:h="16838" w:orient="portrait"/>
          <w:cols w:equalWidth="0" w:num="1">
            <w:col w:w="11240"/>
          </w:cols>
          <w:pgMar w:left="320" w:top="1419" w:right="339" w:bottom="1440" w:gutter="0" w:footer="0" w:header="0"/>
        </w:sectPr>
      </w:pPr>
    </w:p>
    <w:bookmarkStart w:id="224" w:name="page225"/>
    <w:bookmarkEnd w:id="224"/>
    <w:p>
      <w:pPr>
        <w:ind w:left="4"/>
        <w:spacing w:after="0"/>
        <w:rPr>
          <w:sz w:val="20"/>
          <w:szCs w:val="20"/>
          <w:color w:val="auto"/>
        </w:rPr>
      </w:pPr>
      <w:r>
        <w:rPr>
          <w:rFonts w:ascii="Arial" w:cs="Arial" w:eastAsia="Arial" w:hAnsi="Arial"/>
          <w:sz w:val="20"/>
          <w:szCs w:val="20"/>
          <w:color w:val="auto"/>
        </w:rPr>
        <w:t xml:space="preserve">pursuant to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at a rate </w:t>
      </w:r>
      <w:r>
        <w:rPr>
          <w:rFonts w:ascii="Arial" w:cs="Arial" w:eastAsia="Arial" w:hAnsi="Arial"/>
          <w:sz w:val="20"/>
          <w:szCs w:val="20"/>
          <w:u w:val="single" w:color="auto"/>
          <w:color w:val="auto"/>
        </w:rPr>
        <w:t>per annum</w:t>
      </w:r>
      <w:r>
        <w:rPr>
          <w:rFonts w:ascii="Arial" w:cs="Arial" w:eastAsia="Arial" w:hAnsi="Arial"/>
          <w:sz w:val="20"/>
          <w:szCs w:val="20"/>
          <w:color w:val="auto"/>
        </w:rPr>
        <w:t xml:space="preserve"> equal to the relevant Base Rate plus the Applicable Base Rate Margin.</w:t>
      </w:r>
    </w:p>
    <w:p>
      <w:pPr>
        <w:spacing w:after="0" w:line="229" w:lineRule="exact"/>
        <w:rPr>
          <w:sz w:val="20"/>
          <w:szCs w:val="20"/>
          <w:color w:val="auto"/>
        </w:rPr>
      </w:pPr>
    </w:p>
    <w:p>
      <w:pPr>
        <w:jc w:val="both"/>
        <w:ind w:left="4" w:hanging="4"/>
        <w:spacing w:after="0" w:line="263" w:lineRule="auto"/>
        <w:tabs>
          <w:tab w:leader="none" w:pos="331" w:val="left"/>
        </w:tabs>
        <w:numPr>
          <w:ilvl w:val="0"/>
          <w:numId w:val="12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Eurocurrency Loans</w:t>
      </w:r>
      <w:r>
        <w:rPr>
          <w:rFonts w:ascii="Arial" w:cs="Arial" w:eastAsia="Arial" w:hAnsi="Arial"/>
          <w:sz w:val="18"/>
          <w:szCs w:val="18"/>
          <w:color w:val="auto"/>
        </w:rPr>
        <w:t xml:space="preserve">. Each applicable Borrower agrees to pay interest in respect of the unpaid principal amount of such Borrower’s Eurocurrency Loans from the date the proceeds thereof are made available to such Borrower (or, if such Eurocurrency Loan was converted from a Base Rate Loan, the date of such conversion) until the earlier of (i) the maturity (whether by acceleration or otherwise) of such Eurocurrency Loan or (ii) the conversion of such Eurocurrency Loan to a Base Rate Loan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at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the (other than a B/A Loan) relevant Eurocurrency Rate plus the Applicable Eurocurrency Margin.</w:t>
      </w:r>
    </w:p>
    <w:p>
      <w:pPr>
        <w:spacing w:after="0" w:line="189" w:lineRule="exact"/>
        <w:rPr>
          <w:sz w:val="20"/>
          <w:szCs w:val="20"/>
          <w:color w:val="auto"/>
        </w:rPr>
      </w:pPr>
    </w:p>
    <w:p>
      <w:pPr>
        <w:jc w:val="both"/>
        <w:ind w:left="4"/>
        <w:spacing w:after="0" w:line="303" w:lineRule="auto"/>
        <w:rPr>
          <w:sz w:val="20"/>
          <w:szCs w:val="20"/>
          <w:color w:val="auto"/>
        </w:rPr>
      </w:pPr>
      <w:r>
        <w:rPr>
          <w:rFonts w:ascii="Arial" w:cs="Arial" w:eastAsia="Arial" w:hAnsi="Arial"/>
          <w:sz w:val="16"/>
          <w:szCs w:val="16"/>
          <w:u w:val="single" w:color="auto"/>
          <w:color w:val="auto"/>
        </w:rPr>
        <w:t>(c)Canadian Prime Rate Loans</w:t>
      </w:r>
      <w:r>
        <w:rPr>
          <w:rFonts w:ascii="Arial" w:cs="Arial" w:eastAsia="Arial" w:hAnsi="Arial"/>
          <w:sz w:val="16"/>
          <w:szCs w:val="16"/>
          <w:color w:val="auto"/>
        </w:rPr>
        <w:t xml:space="preserve">. Canadian Borrower agrees to pay interest in respect of the unpaid principal amount of each Canadian Prime Rate Loan from the date the proceeds thereof are made available to Canadian Borrower (or in the case of a conversion of a B/A Loan to a Canadian Prime Rate Loan, the date of such conversion) until the earlier of (i) the maturity (whether by acceleration or otherwise) of such Canadian Prime Rate Loan or (ii) the conversion of such Canadian Prime Rate Loan to a B/A Loan pursuant to </w:t>
      </w:r>
      <w:r>
        <w:rPr>
          <w:rFonts w:ascii="Arial" w:cs="Arial" w:eastAsia="Arial" w:hAnsi="Arial"/>
          <w:sz w:val="16"/>
          <w:szCs w:val="16"/>
          <w:u w:val="single" w:color="auto"/>
          <w:color w:val="auto"/>
        </w:rPr>
        <w:t>Section 2A.6</w:t>
      </w:r>
      <w:r>
        <w:rPr>
          <w:rFonts w:ascii="Arial" w:cs="Arial" w:eastAsia="Arial" w:hAnsi="Arial"/>
          <w:sz w:val="16"/>
          <w:szCs w:val="16"/>
          <w:color w:val="auto"/>
        </w:rPr>
        <w:t xml:space="preserve"> at a rate per annum equal to the Canadian Prime Rate plus the Applicable Canadian Prime Rate Margin.</w:t>
      </w:r>
    </w:p>
    <w:p>
      <w:pPr>
        <w:spacing w:after="0" w:line="162" w:lineRule="exact"/>
        <w:rPr>
          <w:sz w:val="20"/>
          <w:szCs w:val="20"/>
          <w:color w:val="auto"/>
        </w:rPr>
      </w:pPr>
    </w:p>
    <w:p>
      <w:pPr>
        <w:ind w:left="4" w:hanging="4"/>
        <w:spacing w:after="0" w:line="246" w:lineRule="auto"/>
        <w:tabs>
          <w:tab w:leader="none" w:pos="311" w:val="left"/>
        </w:tabs>
        <w:numPr>
          <w:ilvl w:val="0"/>
          <w:numId w:val="122"/>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B/A Loans</w:t>
      </w:r>
      <w:r>
        <w:rPr>
          <w:rFonts w:ascii="Arial" w:cs="Arial" w:eastAsia="Arial" w:hAnsi="Arial"/>
          <w:sz w:val="20"/>
          <w:szCs w:val="20"/>
          <w:color w:val="auto"/>
        </w:rPr>
        <w:t xml:space="preserve">. Canadian Borrower agrees to pay the Acceptance Fee on the date of acceptance of a draft or making of a B/A Equivalent Loan as calculated in the definition of “Acceptance Fee” and in accordance with </w:t>
      </w:r>
      <w:r>
        <w:rPr>
          <w:rFonts w:ascii="Arial" w:cs="Arial" w:eastAsia="Arial" w:hAnsi="Arial"/>
          <w:sz w:val="20"/>
          <w:szCs w:val="20"/>
          <w:u w:val="single" w:color="auto"/>
          <w:color w:val="auto"/>
        </w:rPr>
        <w:t>Section 2A.9(f)</w:t>
      </w:r>
      <w:r>
        <w:rPr>
          <w:rFonts w:ascii="Arial" w:cs="Arial" w:eastAsia="Arial" w:hAnsi="Arial"/>
          <w:sz w:val="20"/>
          <w:szCs w:val="20"/>
          <w:color w:val="auto"/>
        </w:rPr>
        <w:t>.</w:t>
      </w:r>
    </w:p>
    <w:p>
      <w:pPr>
        <w:spacing w:after="0" w:line="203" w:lineRule="exact"/>
        <w:rPr>
          <w:rFonts w:ascii="Arial" w:cs="Arial" w:eastAsia="Arial" w:hAnsi="Arial"/>
          <w:sz w:val="20"/>
          <w:szCs w:val="20"/>
          <w:u w:val="single" w:color="auto"/>
          <w:color w:val="auto"/>
        </w:rPr>
      </w:pPr>
    </w:p>
    <w:p>
      <w:pPr>
        <w:jc w:val="both"/>
        <w:ind w:left="4" w:hanging="4"/>
        <w:spacing w:after="0" w:line="254" w:lineRule="auto"/>
        <w:tabs>
          <w:tab w:leader="none" w:pos="309" w:val="left"/>
        </w:tabs>
        <w:numPr>
          <w:ilvl w:val="0"/>
          <w:numId w:val="12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Overnight Rate Loans</w:t>
      </w:r>
      <w:r>
        <w:rPr>
          <w:rFonts w:ascii="Arial" w:cs="Arial" w:eastAsia="Arial" w:hAnsi="Arial"/>
          <w:sz w:val="19"/>
          <w:szCs w:val="19"/>
          <w:color w:val="auto"/>
        </w:rPr>
        <w:t>. Each applicable Borrower agrees to pay interest in respect of the unpaid principal amount of each Overnight Rate Loan from the date the proceeds thereof are made available to such Borrower until the maturity of such Overnight Rate Loan at a rate per annum equal to the Overnight Euro Rate or Overnight LIBOR Rate, as applicable.</w:t>
      </w:r>
    </w:p>
    <w:p>
      <w:pPr>
        <w:spacing w:after="0" w:line="197" w:lineRule="exact"/>
        <w:rPr>
          <w:rFonts w:ascii="Arial" w:cs="Arial" w:eastAsia="Arial" w:hAnsi="Arial"/>
          <w:sz w:val="19"/>
          <w:szCs w:val="19"/>
          <w:u w:val="single" w:color="auto"/>
          <w:color w:val="auto"/>
        </w:rPr>
      </w:pPr>
    </w:p>
    <w:p>
      <w:pPr>
        <w:jc w:val="both"/>
        <w:ind w:left="4" w:hanging="4"/>
        <w:spacing w:after="0" w:line="257" w:lineRule="auto"/>
        <w:tabs>
          <w:tab w:leader="none" w:pos="265" w:val="left"/>
        </w:tabs>
        <w:numPr>
          <w:ilvl w:val="0"/>
          <w:numId w:val="1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Payment of Interest</w:t>
      </w:r>
      <w:r>
        <w:rPr>
          <w:rFonts w:ascii="Arial" w:cs="Arial" w:eastAsia="Arial" w:hAnsi="Arial"/>
          <w:sz w:val="18"/>
          <w:szCs w:val="18"/>
          <w:color w:val="auto"/>
        </w:rPr>
        <w:t xml:space="preserve">. Interest on each Loan (other than a B/A Loan)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interest accruing pursuant to </w:t>
      </w:r>
      <w:r>
        <w:rPr>
          <w:rFonts w:ascii="Arial" w:cs="Arial" w:eastAsia="Arial" w:hAnsi="Arial"/>
          <w:sz w:val="18"/>
          <w:szCs w:val="18"/>
          <w:u w:val="single" w:color="auto"/>
          <w:color w:val="auto"/>
        </w:rPr>
        <w:t>Section 3.1(h)</w:t>
      </w:r>
      <w:r>
        <w:rPr>
          <w:rFonts w:ascii="Arial" w:cs="Arial" w:eastAsia="Arial" w:hAnsi="Arial"/>
          <w:sz w:val="18"/>
          <w:szCs w:val="18"/>
          <w:color w:val="auto"/>
        </w:rPr>
        <w:t xml:space="preserve"> shall be payable from time to time on demand. Interest shall also be payable on all then outstanding Revolving Loans and Canadian Revolving Loans on the applicable Revolver Termination Date and on all Loans on the date of repayment (including prepayment) thereof (except that voluntary prepayments of Revolving Loans that are Base Rate Loans made pursuant to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on any day other than a Quarterly Payment Date or the applicable Revolver Termination Date need not be made with accrued interest from the most recent Quarterly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accrued interest is paid on the next Quarterly Payment Date) and on the date of maturity (by acceleration or otherwise) of such Loans. During the existence of any Event of Default, interest on any Loan shall be payable on demand.</w:t>
      </w:r>
    </w:p>
    <w:p>
      <w:pPr>
        <w:spacing w:after="0" w:line="197" w:lineRule="exact"/>
        <w:rPr>
          <w:rFonts w:ascii="Arial" w:cs="Arial" w:eastAsia="Arial" w:hAnsi="Arial"/>
          <w:sz w:val="18"/>
          <w:szCs w:val="18"/>
          <w:u w:val="single" w:color="auto"/>
          <w:color w:val="auto"/>
        </w:rPr>
      </w:pPr>
    </w:p>
    <w:p>
      <w:pPr>
        <w:jc w:val="both"/>
        <w:ind w:left="4" w:hanging="4"/>
        <w:spacing w:after="0" w:line="254" w:lineRule="auto"/>
        <w:tabs>
          <w:tab w:leader="none" w:pos="289" w:val="left"/>
        </w:tabs>
        <w:numPr>
          <w:ilvl w:val="0"/>
          <w:numId w:val="12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Notification of Rate</w:t>
      </w:r>
      <w:r>
        <w:rPr>
          <w:rFonts w:ascii="Arial" w:cs="Arial" w:eastAsia="Arial" w:hAnsi="Arial"/>
          <w:sz w:val="19"/>
          <w:szCs w:val="19"/>
          <w:color w:val="auto"/>
        </w:rPr>
        <w:t xml:space="preserve">. Administrative Agent, upon determining the interest rate for any Borrowing of Eurocurrency Loans for any Interest Period or Interest Payment Date, as applicable, shall promptly notify Borrowers and the Lenders thereof. Such determination shall, absent manifest error and subject to </w:t>
      </w:r>
      <w:r>
        <w:rPr>
          <w:rFonts w:ascii="Arial" w:cs="Arial" w:eastAsia="Arial" w:hAnsi="Arial"/>
          <w:sz w:val="19"/>
          <w:szCs w:val="19"/>
          <w:u w:val="single" w:color="auto"/>
          <w:color w:val="auto"/>
        </w:rPr>
        <w:t>Section 3.6</w:t>
      </w:r>
      <w:r>
        <w:rPr>
          <w:rFonts w:ascii="Arial" w:cs="Arial" w:eastAsia="Arial" w:hAnsi="Arial"/>
          <w:sz w:val="19"/>
          <w:szCs w:val="19"/>
          <w:color w:val="auto"/>
        </w:rPr>
        <w:t>, be final, conclusive and binding upon all parties hereto.</w:t>
      </w:r>
    </w:p>
    <w:p>
      <w:pPr>
        <w:spacing w:after="0" w:line="197" w:lineRule="exact"/>
        <w:rPr>
          <w:rFonts w:ascii="Arial" w:cs="Arial" w:eastAsia="Arial" w:hAnsi="Arial"/>
          <w:sz w:val="19"/>
          <w:szCs w:val="19"/>
          <w:u w:val="single" w:color="auto"/>
          <w:color w:val="auto"/>
        </w:rPr>
      </w:pPr>
    </w:p>
    <w:p>
      <w:pPr>
        <w:jc w:val="both"/>
        <w:ind w:left="4" w:hanging="4"/>
        <w:spacing w:after="0" w:line="231" w:lineRule="auto"/>
        <w:tabs>
          <w:tab w:leader="none" w:pos="284" w:val="left"/>
        </w:tabs>
        <w:numPr>
          <w:ilvl w:val="0"/>
          <w:numId w:val="122"/>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Default Interest</w:t>
      </w:r>
      <w:r>
        <w:rPr>
          <w:rFonts w:ascii="Arial" w:cs="Arial" w:eastAsia="Arial" w:hAnsi="Arial"/>
          <w:sz w:val="20"/>
          <w:szCs w:val="20"/>
          <w:color w:val="auto"/>
        </w:rPr>
        <w:t xml:space="preserve">. Notwithstanding the rates of interest specified herein, effective immediately upon the occurrence and during the continuation of an Event of Default under </w:t>
      </w:r>
      <w:r>
        <w:rPr>
          <w:rFonts w:ascii="Arial" w:cs="Arial" w:eastAsia="Arial" w:hAnsi="Arial"/>
          <w:sz w:val="20"/>
          <w:szCs w:val="20"/>
          <w:u w:val="single" w:color="auto"/>
          <w:color w:val="auto"/>
        </w:rPr>
        <w:t>Section 10.1(a)</w:t>
      </w:r>
      <w:r>
        <w:rPr>
          <w:rFonts w:ascii="Arial" w:cs="Arial" w:eastAsia="Arial" w:hAnsi="Arial"/>
          <w:sz w:val="20"/>
          <w:szCs w:val="20"/>
          <w:color w:val="auto"/>
        </w:rPr>
        <w:t xml:space="preserve"> (solely with respect to principal, interest and recurring fee payments due under any of the Loan Documents), or </w:t>
      </w:r>
      <w:r>
        <w:rPr>
          <w:rFonts w:ascii="Arial" w:cs="Arial" w:eastAsia="Arial" w:hAnsi="Arial"/>
          <w:sz w:val="20"/>
          <w:szCs w:val="20"/>
          <w:u w:val="single" w:color="auto"/>
          <w:color w:val="auto"/>
        </w:rPr>
        <w:t>Section 10.1(i)</w:t>
      </w:r>
      <w:r>
        <w:rPr>
          <w:rFonts w:ascii="Arial" w:cs="Arial" w:eastAsia="Arial" w:hAnsi="Arial"/>
          <w:sz w:val="20"/>
          <w:szCs w:val="20"/>
          <w:color w:val="auto"/>
        </w:rPr>
        <w:t xml:space="preserve">, overdue principal and other overdue amounts (in each case, other than B/A Loans) shall bear interest payable on demand, after as well as before judgment, at a rate per annum equal to the Default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amount shall accrue or be payable pursuant to this </w:t>
      </w:r>
      <w:r>
        <w:rPr>
          <w:rFonts w:ascii="Arial" w:cs="Arial" w:eastAsia="Arial" w:hAnsi="Arial"/>
          <w:sz w:val="20"/>
          <w:szCs w:val="20"/>
          <w:u w:val="single" w:color="auto"/>
          <w:color w:val="auto"/>
        </w:rPr>
        <w:t>Section 3.1(h)</w:t>
      </w:r>
      <w:r>
        <w:rPr>
          <w:rFonts w:ascii="Arial" w:cs="Arial" w:eastAsia="Arial" w:hAnsi="Arial"/>
          <w:sz w:val="20"/>
          <w:szCs w:val="20"/>
          <w:color w:val="auto"/>
        </w:rPr>
        <w:t xml:space="preserve"> to a Defaulting Lender so long as such Lender is a Defaulting Lender.</w:t>
      </w:r>
    </w:p>
    <w:p>
      <w:pPr>
        <w:sectPr>
          <w:pgSz w:w="11900" w:h="16838" w:orient="portrait"/>
          <w:cols w:equalWidth="0" w:num="1">
            <w:col w:w="10584"/>
          </w:cols>
          <w:pgMar w:left="976" w:top="1419" w:right="339" w:bottom="1440" w:gutter="0" w:footer="0" w:header="0"/>
        </w:sectPr>
      </w:pPr>
    </w:p>
    <w:bookmarkStart w:id="225" w:name="page226"/>
    <w:bookmarkEnd w:id="225"/>
    <w:p>
      <w:pPr>
        <w:spacing w:after="0" w:line="222" w:lineRule="exact"/>
        <w:rPr>
          <w:sz w:val="20"/>
          <w:szCs w:val="20"/>
          <w:color w:val="auto"/>
        </w:rPr>
      </w:pPr>
    </w:p>
    <w:p>
      <w:pPr>
        <w:jc w:val="both"/>
        <w:ind w:left="660" w:hanging="4"/>
        <w:spacing w:after="0" w:line="254" w:lineRule="auto"/>
        <w:tabs>
          <w:tab w:leader="none" w:pos="896" w:val="left"/>
        </w:tabs>
        <w:numPr>
          <w:ilvl w:val="0"/>
          <w:numId w:val="12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Maximum Interest</w:t>
      </w:r>
      <w:r>
        <w:rPr>
          <w:rFonts w:ascii="Arial" w:cs="Arial" w:eastAsia="Arial" w:hAnsi="Arial"/>
          <w:sz w:val="18"/>
          <w:szCs w:val="18"/>
          <w:color w:val="auto"/>
        </w:rPr>
        <w:t>. If any interest payment or other charge or fee payable hereunder exceeds the maximum amount then permitted by applicable law, the applicable Borrower shall be obligated to pay the maximum amount then permitted by applicable law and the applicable Borrower shall continue to pay the maximum amount from time to time permitted by applicable law until all such interest payments and other charges and fees otherwise due hereunder (in the absence of such restraint imposed by applicable law) have been paid in full. To the extent necessary to comply with applicable usury law, provisions of any Security Documents related to maximum rates of interest are incorporated herein by reference and shall control and supersede any provision hereof or of any other Loan Document to the contrary. In no event shall the aggregate “interest” (as defined in Section 347 (the “</w:t>
      </w:r>
      <w:r>
        <w:rPr>
          <w:rFonts w:ascii="Arial" w:cs="Arial" w:eastAsia="Arial" w:hAnsi="Arial"/>
          <w:sz w:val="18"/>
          <w:szCs w:val="18"/>
          <w:u w:val="single" w:color="auto"/>
          <w:color w:val="auto"/>
        </w:rPr>
        <w:t>Criminal Code Section</w:t>
      </w:r>
      <w:r>
        <w:rPr>
          <w:rFonts w:ascii="Arial" w:cs="Arial" w:eastAsia="Arial" w:hAnsi="Arial"/>
          <w:sz w:val="18"/>
          <w:szCs w:val="18"/>
          <w:color w:val="auto"/>
        </w:rPr>
        <w:t xml:space="preserve">”) of the </w:t>
      </w:r>
      <w:r>
        <w:rPr>
          <w:rFonts w:ascii="Arial" w:cs="Arial" w:eastAsia="Arial" w:hAnsi="Arial"/>
          <w:sz w:val="18"/>
          <w:szCs w:val="18"/>
          <w:i w:val="1"/>
          <w:iCs w:val="1"/>
          <w:color w:val="auto"/>
        </w:rPr>
        <w:t xml:space="preserve">Criminal Code </w:t>
      </w:r>
      <w:r>
        <w:rPr>
          <w:rFonts w:ascii="Arial" w:cs="Arial" w:eastAsia="Arial" w:hAnsi="Arial"/>
          <w:sz w:val="18"/>
          <w:szCs w:val="18"/>
          <w:color w:val="auto"/>
        </w:rPr>
        <w:t>(Canada)), payable to any Lender under this Agreement or any other Loan Document exceed the effective annual rate</w:t>
      </w:r>
      <w:r>
        <w:rPr>
          <w:rFonts w:ascii="Arial" w:cs="Arial" w:eastAsia="Arial" w:hAnsi="Arial"/>
          <w:sz w:val="18"/>
          <w:szCs w:val="18"/>
          <w:i w:val="1"/>
          <w:iCs w:val="1"/>
          <w:color w:val="auto"/>
        </w:rPr>
        <w:t xml:space="preserve"> </w:t>
      </w:r>
      <w:r>
        <w:rPr>
          <w:rFonts w:ascii="Arial" w:cs="Arial" w:eastAsia="Arial" w:hAnsi="Arial"/>
          <w:sz w:val="18"/>
          <w:szCs w:val="18"/>
          <w:color w:val="auto"/>
        </w:rPr>
        <w:t>of interest lawfully permitted under the Criminal Code Section. Further, if any payment, collection or demand pursuant to this Agreement or any other Loan Document in respect of such “interest” is determined to be contrary to the provisions of the Criminal Code Section, such payment, collection, or demand shall be deemed to have been made by mutual mistake of the applicable Lender and the applicable Borrower and such “interest” shall be deemed to have been adjusted with retroactive effect to the maximum amount or rate of interest, as the case may be, as would not be so prohibited by law or so result in the receipt by the applicable Lender of interest at a rate not in contravention of the Criminal Code Section.</w:t>
      </w:r>
    </w:p>
    <w:p>
      <w:pPr>
        <w:spacing w:after="0" w:line="200" w:lineRule="exact"/>
        <w:rPr>
          <w:rFonts w:ascii="Arial" w:cs="Arial" w:eastAsia="Arial" w:hAnsi="Arial"/>
          <w:sz w:val="18"/>
          <w:szCs w:val="18"/>
          <w:u w:val="single" w:color="auto"/>
          <w:color w:val="auto"/>
        </w:rPr>
      </w:pPr>
    </w:p>
    <w:p>
      <w:pPr>
        <w:jc w:val="both"/>
        <w:ind w:left="660" w:hanging="4"/>
        <w:spacing w:after="0" w:line="242" w:lineRule="auto"/>
        <w:tabs>
          <w:tab w:leader="none" w:pos="907" w:val="left"/>
        </w:tabs>
        <w:numPr>
          <w:ilvl w:val="0"/>
          <w:numId w:val="12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Global Effective Rate (Taux Effectif Global)</w:t>
      </w:r>
      <w:r>
        <w:rPr>
          <w:rFonts w:ascii="Arial" w:cs="Arial" w:eastAsia="Arial" w:hAnsi="Arial"/>
          <w:sz w:val="19"/>
          <w:szCs w:val="19"/>
          <w:color w:val="auto"/>
        </w:rPr>
        <w:t xml:space="preserve">. For the purposes of Articles L. 313-4 of the French Monetary and Financial Code and L. 314-1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R. 314-1 and R. 314-14 of the French Consumer Code, the parties acknowledge that by virtue of certain characteristics of the Facilities (and in particular the variable interest rate applicable to Loans and the Borrowers’ right to select the currency and the duration of the Interest Period of each Loan), the </w:t>
      </w:r>
      <w:r>
        <w:rPr>
          <w:rFonts w:ascii="Arial" w:cs="Arial" w:eastAsia="Arial" w:hAnsi="Arial"/>
          <w:sz w:val="19"/>
          <w:szCs w:val="19"/>
          <w:i w:val="1"/>
          <w:iCs w:val="1"/>
          <w:color w:val="auto"/>
        </w:rPr>
        <w:t>taux effectif global</w:t>
      </w:r>
      <w:r>
        <w:rPr>
          <w:rFonts w:ascii="Arial" w:cs="Arial" w:eastAsia="Arial" w:hAnsi="Arial"/>
          <w:sz w:val="19"/>
          <w:szCs w:val="19"/>
          <w:color w:val="auto"/>
        </w:rPr>
        <w:t xml:space="preserve"> cannot be calculated at the date of this Agreement. However, each of the European Borrower and the Subsidiary Borrowers which is incorporated in France acknowledge that it has received from the Agent on the date of execution of this Agreement an example of the calculation of the </w:t>
      </w:r>
      <w:r>
        <w:rPr>
          <w:rFonts w:ascii="Arial" w:cs="Arial" w:eastAsia="Arial" w:hAnsi="Arial"/>
          <w:sz w:val="19"/>
          <w:szCs w:val="19"/>
          <w:i w:val="1"/>
          <w:iCs w:val="1"/>
          <w:color w:val="auto"/>
        </w:rPr>
        <w:t>taux effectif</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global </w:t>
      </w:r>
      <w:r>
        <w:rPr>
          <w:rFonts w:ascii="Arial" w:cs="Arial" w:eastAsia="Arial" w:hAnsi="Arial"/>
          <w:sz w:val="19"/>
          <w:szCs w:val="19"/>
          <w:color w:val="auto"/>
        </w:rPr>
        <w:t>in a form TEG Letter, with execution of such letter to follow promptly after the Effective Date. The parties acknowledge that</w:t>
      </w:r>
      <w:r>
        <w:rPr>
          <w:rFonts w:ascii="Arial" w:cs="Arial" w:eastAsia="Arial" w:hAnsi="Arial"/>
          <w:sz w:val="19"/>
          <w:szCs w:val="19"/>
          <w:i w:val="1"/>
          <w:iCs w:val="1"/>
          <w:color w:val="auto"/>
        </w:rPr>
        <w:t xml:space="preserve"> </w:t>
      </w:r>
      <w:r>
        <w:rPr>
          <w:rFonts w:ascii="Arial" w:cs="Arial" w:eastAsia="Arial" w:hAnsi="Arial"/>
          <w:sz w:val="19"/>
          <w:szCs w:val="19"/>
          <w:color w:val="auto"/>
        </w:rPr>
        <w:t>the TEG Letters form part of this Agreement.</w:t>
      </w:r>
    </w:p>
    <w:p>
      <w:pPr>
        <w:spacing w:after="0" w:line="209" w:lineRule="exact"/>
        <w:rPr>
          <w:sz w:val="20"/>
          <w:szCs w:val="20"/>
          <w:color w:val="auto"/>
        </w:rPr>
      </w:pPr>
    </w:p>
    <w:p>
      <w:pPr>
        <w:jc w:val="both"/>
        <w:ind w:left="660"/>
        <w:spacing w:after="0" w:line="244" w:lineRule="auto"/>
        <w:rPr>
          <w:sz w:val="20"/>
          <w:szCs w:val="20"/>
          <w:color w:val="auto"/>
        </w:rPr>
      </w:pPr>
      <w:r>
        <w:rPr>
          <w:rFonts w:ascii="Arial" w:cs="Arial" w:eastAsia="Arial" w:hAnsi="Arial"/>
          <w:sz w:val="19"/>
          <w:szCs w:val="19"/>
          <w:u w:val="single" w:color="auto"/>
          <w:color w:val="auto"/>
        </w:rPr>
        <w:t>(k)Interest Act (Canada) Disclosure</w:t>
      </w:r>
      <w:r>
        <w:rPr>
          <w:rFonts w:ascii="Arial" w:cs="Arial" w:eastAsia="Arial" w:hAnsi="Arial"/>
          <w:sz w:val="19"/>
          <w:szCs w:val="19"/>
          <w:color w:val="auto"/>
        </w:rPr>
        <w:t>. For the purposes of the Interest Act (Canada) and disclosure thereunder, whenever any interest or fee to be paid hereunder or in connection herewith is to be calculated on the basis of any period of time that is less than a calendar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3.2 Fees</w:t>
      </w:r>
    </w:p>
    <w:p>
      <w:pPr>
        <w:ind w:left="66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(a) Commitment Fees</w:t>
      </w:r>
      <w:r>
        <w:rPr>
          <w:rFonts w:ascii="Arial" w:cs="Arial" w:eastAsia="Arial" w:hAnsi="Arial"/>
          <w:sz w:val="20"/>
          <w:szCs w:val="20"/>
          <w:color w:val="auto"/>
        </w:rPr>
        <w:t>.</w:t>
      </w:r>
    </w:p>
    <w:p>
      <w:pPr>
        <w:spacing w:after="0" w:line="21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U.S. Borrower agrees to pay to Administrative Agent for pro rata distribution to each Non-Defaulting Lender having a Dollar Revolving Commitment (based on its Dollar Revolver Pro Rata Share) a commitment fee in Dollars (the “</w:t>
      </w:r>
      <w:r>
        <w:rPr>
          <w:rFonts w:ascii="Arial" w:cs="Arial" w:eastAsia="Arial" w:hAnsi="Arial"/>
          <w:sz w:val="20"/>
          <w:szCs w:val="20"/>
          <w:u w:val="single" w:color="auto"/>
          <w:color w:val="auto"/>
        </w:rPr>
        <w:t>Dollar Commitment Fee</w:t>
      </w:r>
      <w:r>
        <w:rPr>
          <w:rFonts w:ascii="Arial" w:cs="Arial" w:eastAsia="Arial" w:hAnsi="Arial"/>
          <w:sz w:val="20"/>
          <w:szCs w:val="20"/>
          <w:color w:val="auto"/>
        </w:rPr>
        <w:t>”) for the period commencing on the Incremental Amendment No. 2 and Third Amendment Effective Date to and including the Revolver Termination Date for the Dollar Revolving Facility or the earlier termination of the Dollar Revolving Commitments (and, in either case, repayment in full of the Dollar Revolving Loans and payment in full, or collateralization (by the deposit of cash into the Collateral Account or otherwise) in amounts and</w:t>
      </w:r>
    </w:p>
    <w:p>
      <w:pPr>
        <w:sectPr>
          <w:pgSz w:w="11900" w:h="16838" w:orient="portrait"/>
          <w:cols w:equalWidth="0" w:num="1">
            <w:col w:w="11240"/>
          </w:cols>
          <w:pgMar w:left="320" w:top="1440" w:right="339" w:bottom="1440" w:gutter="0" w:footer="0" w:header="0"/>
        </w:sectPr>
      </w:pPr>
    </w:p>
    <w:bookmarkStart w:id="226" w:name="page227"/>
    <w:bookmarkEnd w:id="226"/>
    <w:p>
      <w:pPr>
        <w:jc w:val="both"/>
        <w:spacing w:after="0" w:line="263" w:lineRule="auto"/>
        <w:rPr>
          <w:sz w:val="20"/>
          <w:szCs w:val="20"/>
          <w:color w:val="auto"/>
        </w:rPr>
      </w:pPr>
      <w:r>
        <w:rPr>
          <w:rFonts w:ascii="Arial" w:cs="Arial" w:eastAsia="Arial" w:hAnsi="Arial"/>
          <w:sz w:val="18"/>
          <w:szCs w:val="18"/>
          <w:color w:val="auto"/>
        </w:rPr>
        <w:t>pursuant to arrangements satisfactory to Administrative Agent and the applicable Facing Agent, of the Dollar LC Obligations), computed at a rate equal to the Applicable Commitment Fee Percentage per annum on the average daily Total Available Dollar Revolving Commitment. Unless otherwise specified, accrued Dollar Commitment Fees shall be due and payable in arrears (i) on each Quarterly Payment Date, (ii) on the Revolver Termination Date for the Dollar Revolving Facility and (iii) upon any reduction or termination in whole or in part of the Dollar Revolving Commitments (but only, in the case of a reduction, on the portion of the Dollar Revolving Commitments then being reduced);</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of the European Borrower and the U.S. Borrower agrees to pay to Administrative Agent for pro rata distribution to each Non-Defaulting Lender having a Multicurrency Revolving Commitment (based on its Multicurrency Revolver Pro Rata Share) a commitment fee in Dollars (the “</w:t>
      </w:r>
      <w:r>
        <w:rPr>
          <w:rFonts w:ascii="Arial" w:cs="Arial" w:eastAsia="Arial" w:hAnsi="Arial"/>
          <w:sz w:val="18"/>
          <w:szCs w:val="18"/>
          <w:u w:val="single" w:color="auto"/>
          <w:color w:val="auto"/>
        </w:rPr>
        <w:t>Multicurrency Commitment Fee</w:t>
      </w:r>
      <w:r>
        <w:rPr>
          <w:rFonts w:ascii="Arial" w:cs="Arial" w:eastAsia="Arial" w:hAnsi="Arial"/>
          <w:sz w:val="18"/>
          <w:szCs w:val="18"/>
          <w:color w:val="auto"/>
        </w:rPr>
        <w:t>”) for the period commending on the Incremental Amendment No. 2 and Third Amendment Effective Date to and including the Revolver Termination Date for the Multicurrency Revolving Facility or the earlier termination of the Multicurrency Revolving Commitments (and, in either case, repayment in full of the Multicurrency Revolving Loans and payment in full, or collateralization (by the deposit of cash into the Collateral Account or otherwise) in amounts and pursuant to arrangements satisfactory to Administrative Agent and the applicable Facing Agent, of the Multicurrency LC Obligations), computed at a rate equal to the Applicable Commitment Fee Percentage per annum on the average daily Total Available Multicurrency Revolving Commitment (with the Available Multicurrency Revolving Commitment of each Lender determined without reduction for such Lender’s Multicurrency Revolver Pro Rata Share of Swing Line Loans outstanding). Unless otherwise specified, accrued Multicurrency Commitment Fees shall be due and payable (i) on each Quarterly Payment Date, (ii) on the Revolver Termination Date for the Multicurrency Revolving Facility and (iii) upon any reduction or termination in whole or in part of the Multicurrency Revolving Commitments (but only, in the case of a reduction, on the portion of the Multicurrency Revolving Commitments then being reduced);</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Canadian Borrower agrees to pay to Canadian Administrative Agent for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distribution to each Non-Defaulting Lender having a Canadian Revolving Commitment (based on its Canadian Revolver Pro Rata Share) a commitment fee in Canadian Dollars (the “</w:t>
      </w:r>
      <w:r>
        <w:rPr>
          <w:rFonts w:ascii="Arial" w:cs="Arial" w:eastAsia="Arial" w:hAnsi="Arial"/>
          <w:sz w:val="19"/>
          <w:szCs w:val="19"/>
          <w:u w:val="single" w:color="auto"/>
          <w:color w:val="auto"/>
        </w:rPr>
        <w:t>Canadian</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for the period commencing on the Incremental Amendment No. 2 and Third Amendment Effective Date to and including the Canadian Revolver Termination Date or the earlier termination of the Canadian Revolving Commitments (and, in either case, repayment in full of the Canadian Revolving Loans and payment in full, or collateralization (by deposit of cash into the Collateral Account or otherwise)) in amounts and pursuant to arrangements satisfactory to the Administrative Agent and the applicable Facing Agent of the Canadian LC Obligations, computed at a rate equal to the Applicable Commitment Fee Percentage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on the average daily Total Available Canadian Revolving Commitment. Unless otherwise specified, accrued Canadian Commitment Fees shall be due and payable in arrears (i) on each Quarterly Payment Date, (ii) on the Canadian Revolver Termination Date and (iii) upon any reduction or termination in whole or in part of the Canadian Revolving Commitments (but only, in the case of a reduction, on the portion of the Canadian Revolving Commitments then being reduced).</w:t>
      </w:r>
    </w:p>
    <w:p>
      <w:pPr>
        <w:spacing w:after="0" w:line="216" w:lineRule="exact"/>
        <w:rPr>
          <w:sz w:val="20"/>
          <w:szCs w:val="20"/>
          <w:color w:val="auto"/>
        </w:rPr>
      </w:pPr>
    </w:p>
    <w:p>
      <w:pPr>
        <w:jc w:val="both"/>
        <w:ind w:left="1300" w:firstLine="4"/>
        <w:spacing w:after="0" w:line="237" w:lineRule="auto"/>
        <w:tabs>
          <w:tab w:leader="none" w:pos="1587" w:val="left"/>
        </w:tabs>
        <w:numPr>
          <w:ilvl w:val="0"/>
          <w:numId w:val="124"/>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Agency Fees</w:t>
      </w:r>
      <w:r>
        <w:rPr>
          <w:rFonts w:ascii="Arial" w:cs="Arial" w:eastAsia="Arial" w:hAnsi="Arial"/>
          <w:sz w:val="20"/>
          <w:szCs w:val="20"/>
          <w:color w:val="auto"/>
        </w:rPr>
        <w:t>. The Borrowers shall pay to Administrative Agent for its own account, agency and other Loan fees in the amount and at the times set forth in the administrative agent letter (or other letter agreement) between Crown Holdings, the Borrowers and Administrative Agent.</w:t>
      </w:r>
    </w:p>
    <w:p>
      <w:pPr>
        <w:spacing w:after="0" w:line="210"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u w:val="single" w:color="auto"/>
          <w:color w:val="auto"/>
        </w:rPr>
        <w:t>3.3 Computation of Interest and Fees</w:t>
      </w:r>
      <w:r>
        <w:rPr>
          <w:rFonts w:ascii="Arial" w:cs="Arial" w:eastAsia="Arial" w:hAnsi="Arial"/>
          <w:sz w:val="20"/>
          <w:szCs w:val="20"/>
          <w:color w:val="auto"/>
        </w:rPr>
        <w:t xml:space="preserve">. Interest on all Loans (other than B/A Loans) and fees payable hereunder shall be computed on the basis of the actual number of days elapsed over a year of 360 days;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interest on all Base Rate Loans and Canadian Prime Rate Loans shall be computed on the basis of the actual number of days elapsed over a year of 365 or 366 days, as applicable. Interest on all Loans denominated in Sterling shall be computed on the basis of the actual number of days elapsed over a year of 365 or 366 days, as the case may be. Each</w:t>
      </w:r>
    </w:p>
    <w:p>
      <w:pPr>
        <w:sectPr>
          <w:pgSz w:w="11900" w:h="16838" w:orient="portrait"/>
          <w:cols w:equalWidth="0" w:num="1">
            <w:col w:w="11240"/>
          </w:cols>
          <w:pgMar w:left="320" w:top="1419" w:right="339" w:bottom="1440" w:gutter="0" w:footer="0" w:header="0"/>
        </w:sectPr>
      </w:pPr>
    </w:p>
    <w:bookmarkStart w:id="227" w:name="page228"/>
    <w:bookmarkEnd w:id="227"/>
    <w:p>
      <w:pPr>
        <w:jc w:val="both"/>
        <w:ind w:left="660"/>
        <w:spacing w:after="0" w:line="230" w:lineRule="auto"/>
        <w:rPr>
          <w:sz w:val="20"/>
          <w:szCs w:val="20"/>
          <w:color w:val="auto"/>
        </w:rPr>
      </w:pPr>
      <w:r>
        <w:rPr>
          <w:rFonts w:ascii="Arial" w:cs="Arial" w:eastAsia="Arial" w:hAnsi="Arial"/>
          <w:sz w:val="20"/>
          <w:szCs w:val="20"/>
          <w:color w:val="auto"/>
        </w:rPr>
        <w:t>determination of an interest rate by Administrative Agent or Canadian Administrative Agent pursuant to any provision of this Agreement shall be conclusive and binding on each Borrower and the Lenders in the absence of manifest error. Administrative Agent shall, at any time and from time to time upon request of Crown Holdings, deliver to Crown Holdings a statement showing the quotations used by Administrative Agent in determining any interest rate applicable to Loans pursuant to this Agreement. Each change in the Applicable Base Rate Margin or Applicable Eurocurrency Margin or the Applicable Commitment Fee Percentage as a result of a change in Crown Holdings’ Most Recent Total Leverage Ratio shall become effective on the date upon which such change in such ratio occurs.</w:t>
      </w:r>
    </w:p>
    <w:p>
      <w:pPr>
        <w:spacing w:after="0" w:line="212" w:lineRule="exact"/>
        <w:rPr>
          <w:sz w:val="20"/>
          <w:szCs w:val="20"/>
          <w:color w:val="auto"/>
        </w:rPr>
      </w:pPr>
    </w:p>
    <w:p>
      <w:pPr>
        <w:jc w:val="both"/>
        <w:ind w:left="660"/>
        <w:spacing w:after="0" w:line="231" w:lineRule="auto"/>
        <w:rPr>
          <w:sz w:val="20"/>
          <w:szCs w:val="20"/>
          <w:color w:val="auto"/>
        </w:rPr>
      </w:pPr>
      <w:r>
        <w:rPr>
          <w:rFonts w:ascii="Arial" w:cs="Arial" w:eastAsia="Arial" w:hAnsi="Arial"/>
          <w:sz w:val="20"/>
          <w:szCs w:val="20"/>
          <w:u w:val="single" w:color="auto"/>
          <w:color w:val="auto"/>
        </w:rPr>
        <w:t>3.4 Interest Periods</w:t>
      </w:r>
      <w:r>
        <w:rPr>
          <w:rFonts w:ascii="Arial" w:cs="Arial" w:eastAsia="Arial" w:hAnsi="Arial"/>
          <w:sz w:val="20"/>
          <w:szCs w:val="20"/>
          <w:color w:val="auto"/>
        </w:rPr>
        <w:t>. At the time it gives any Notice of Borrowing or a Notice of Conversion or Continuation with respect to Eurocurrency Loans (other than Daily Simple RFR Loans), the applicable Borrower shall elect, by giving Administrative Agent written notice, the interest period (each an “</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which Interest Period shall, at the option of the applicable Borrower, be one, two or three weeks or one, two, three or six months or, if available to each of the applicable Lenders (as determined by each such applicable Lender in its sole discretion) twelve months or, to the extent agreed by the Administrative Agent, any other period less than one month;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all Eurocurrency Loans (other than Daily Simple RFR Loans) comprising a Borrowing shall at all times have the same</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Interest Period;</w:t>
      </w:r>
    </w:p>
    <w:p>
      <w:pPr>
        <w:spacing w:after="0" w:line="213"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the initial Interest Period for any Eurocurrency Loan (other than Daily Simple RFR Loans) shall commence on the date of such Borrowing of such Eurocurrency Loan (including the date of any conversion thereto from a Loan of a different Type) and each Interest Period occurring thereafter in respect of such Eurocurrency Loan shall commence on the last day of the immediately preceding Interest Period;</w:t>
      </w:r>
    </w:p>
    <w:p>
      <w:pPr>
        <w:spacing w:after="0" w:line="210"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8"/>
          <w:szCs w:val="18"/>
          <w:color w:val="auto"/>
        </w:rPr>
        <w:t>if any Interest Period relating to a Eurocurrency Loan begins on a day for which there is no numerically corresponding day in the calendar month at the end of such Interest Period, such Interest Period shall end on the last Business Day of such calendar month;</w:t>
      </w:r>
    </w:p>
    <w:p>
      <w:pPr>
        <w:spacing w:after="0" w:line="158"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 xml:space="preserve">if any Interest Period would otherwise expire on a day which is not a Business Day, such Interest Period shall expire on the next succeeding Business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any Interest Period for a Eurocurrency Loan would otherwise expire on a day which is not a Business Day but is a day of the month after which no further Business Day occurs in such month, such Interest Period shall expire on the next preceding Business Day;</w:t>
      </w:r>
    </w:p>
    <w:p>
      <w:pPr>
        <w:spacing w:after="0" w:line="210"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 xml:space="preserve">no Interest Period may be selected at any time when an Unmatured Event of Default or Event of Default is then in existence; </w:t>
      </w:r>
      <w:r>
        <w:rPr>
          <w:rFonts w:ascii="Arial" w:cs="Arial" w:eastAsia="Arial" w:hAnsi="Arial"/>
          <w:sz w:val="20"/>
          <w:szCs w:val="20"/>
          <w:u w:val="single" w:color="auto"/>
          <w:color w:val="auto"/>
        </w:rPr>
        <w:t>provided</w:t>
      </w:r>
      <w:r>
        <w:rPr>
          <w:rFonts w:ascii="Arial" w:cs="Arial" w:eastAsia="Arial" w:hAnsi="Arial"/>
          <w:sz w:val="20"/>
          <w:szCs w:val="20"/>
          <w:color w:val="auto"/>
        </w:rPr>
        <w:t>, that Alternative Currency Loans shall continue with Interest Periods of one month if any Unmatured Event of Default or Event of Default is then in existence;</w:t>
      </w:r>
    </w:p>
    <w:p>
      <w:pPr>
        <w:spacing w:after="0" w:line="210"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8"/>
          <w:szCs w:val="18"/>
          <w:color w:val="auto"/>
        </w:rPr>
        <w:t>no Interest Period shall extend beyond the applicable Term Maturity Date for any Term Loan or the applicable Revolver Termination Date for any Revolving Loan or the Canadian Revolver Termination Date for any Canadian Revolving Loan; and</w:t>
      </w:r>
    </w:p>
    <w:p>
      <w:pPr>
        <w:spacing w:after="0" w:line="158"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8"/>
          <w:szCs w:val="18"/>
          <w:color w:val="auto"/>
        </w:rPr>
        <w:t xml:space="preserve">no Interest Period in respect of any Borrowing of Term Loans of any Facility shall be selected which extends beyond any date upon which a mandatory repayment of such Term Loan Facility will be required to be made under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if the aggregate principal amount of Term Loans of such Facility, which have Interest Periods which will expire after such date will be in excess of the</w:t>
      </w:r>
    </w:p>
    <w:p>
      <w:pPr>
        <w:sectPr>
          <w:pgSz w:w="11900" w:h="16838" w:orient="portrait"/>
          <w:cols w:equalWidth="0" w:num="1">
            <w:col w:w="11240"/>
          </w:cols>
          <w:pgMar w:left="320" w:top="1419" w:right="339" w:bottom="1440" w:gutter="0" w:footer="0" w:header="0"/>
        </w:sectPr>
      </w:pPr>
    </w:p>
    <w:bookmarkStart w:id="228" w:name="page229"/>
    <w:bookmarkEnd w:id="228"/>
    <w:p>
      <w:pPr>
        <w:spacing w:after="0"/>
        <w:rPr>
          <w:sz w:val="20"/>
          <w:szCs w:val="20"/>
          <w:color w:val="auto"/>
        </w:rPr>
      </w:pPr>
      <w:r>
        <w:rPr>
          <w:rFonts w:ascii="Arial" w:cs="Arial" w:eastAsia="Arial" w:hAnsi="Arial"/>
          <w:sz w:val="19"/>
          <w:szCs w:val="19"/>
          <w:color w:val="auto"/>
        </w:rPr>
        <w:t>aggregate principal amount of Term Loans of such Facility then outstanding less the aggregate amount of such required prepayment.</w:t>
      </w:r>
    </w:p>
    <w:p>
      <w:pPr>
        <w:spacing w:after="0" w:line="241"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u w:val="single" w:color="auto"/>
          <w:color w:val="auto"/>
        </w:rPr>
        <w:t>3.5 Compensation for Funding Losses</w:t>
      </w:r>
      <w:r>
        <w:rPr>
          <w:rFonts w:ascii="Arial" w:cs="Arial" w:eastAsia="Arial" w:hAnsi="Arial"/>
          <w:sz w:val="18"/>
          <w:szCs w:val="18"/>
          <w:color w:val="auto"/>
        </w:rPr>
        <w:t>. Each Borrower shall compensate each Lender, upon its written request (which request shall set forth the basis for requesting such amounts), for all losses, expenses and liabilities (including, without limitation, any interest paid by such Lender to lenders of funds borrowed by it to make or carry its Eurocurrency Loans (other than Daily Simple RFR Loans) or B/A Equivalent Loans to the extent not recovered by the Lender in connection with the liquidation or re-employment of such funds and including the compensation payable by such Lender to a Participant) and any loss sustained by such Lender in connection with the liquidation or re-employment of such funds (including, without limitation, a return on such liquidation or re-employment that would result in such Lender receiving less than it would have received had such Eurocurrency Loan (other than Daily Simple RFR Loans) or B/A Equivalent Loan remained outstanding until the last day of the Interest Period applicable to such Eurocurrency Loans but excluding Excluded Taxes) which such Lender may sustain as a result of:</w:t>
      </w:r>
    </w:p>
    <w:p>
      <w:pPr>
        <w:spacing w:after="0" w:line="200"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for any reason (other than a default by such Lender or Administrative Agent) a continuation or Borrowing of, or conversion from or into, Eurocurrency Loans (other than Daily Simple RFR Loans) or B/A Equivalent Loans does not occur on a date specified therefor in a Notice of Borrowing or Notice of Conversion or Continuation or Notice of Canadian Borrowing or Notice of Canadian Conversion or Continuation (whether or not withdrawn);</w:t>
      </w:r>
    </w:p>
    <w:p>
      <w:pPr>
        <w:spacing w:after="0" w:line="210"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any payment, prepayment or conversion or continuation of any of its Eurocurrency Loans (other than Daily Simple RFR Loans) or B/A Equivalent Loans occurring for any reason whatsoever on a date which is not the last day of an Interest Period applicable thereto;</w:t>
      </w:r>
    </w:p>
    <w:p>
      <w:pPr>
        <w:spacing w:after="0" w:line="21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any repayment of any of its Eurocurrency Loans (other than Daily Simple RFR Loans) or B/A Loans not being made on the date specified in a notice of payment given by such Borrower; or</w:t>
      </w:r>
    </w:p>
    <w:p>
      <w:pPr>
        <w:spacing w:after="0" w:line="204" w:lineRule="exact"/>
        <w:rPr>
          <w:sz w:val="20"/>
          <w:szCs w:val="20"/>
          <w:color w:val="auto"/>
        </w:rPr>
      </w:pPr>
    </w:p>
    <w:p>
      <w:pPr>
        <w:jc w:val="both"/>
        <w:ind w:firstLine="1304"/>
        <w:spacing w:after="0" w:line="256" w:lineRule="auto"/>
        <w:tabs>
          <w:tab w:leader="none" w:pos="154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any other failure by such Borrower to repay such Borrower’s Eurocurrency Loans (other than Daily Simple RFR Loans) or B/A Equivalent Loan when required by the terms of this Agreement or (ii) an election made by Borrower pursuant to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A written notice setting forth in reasonable detail the basis of the incurrence of additional amounts owed such Lender under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delivered to such Borrower and Administrative Agent by such Lender shall, absent manifest error, be final, conclusive and binding for all purposes. Calculation of all amounts payable to a Lender under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be made as though that Lender had actually funded its relevant Eurocurrency Loan (other than Daily Simple RFR Loans) or B/A Equivalent Loan through the purchase of a Eurocurrency deposit bearing interest at the Eurocurrency Rate or a B/A in an amount equal to the amount of that Loan, having a maturity comparable to the relevant Interest Period and through the transfer of such Eurocurrency deposit from an offshore office of that Lender to a domestic office of that Lender in the United States of America;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Lender may fund each of its Eurocurrency Loans and B/A Loans in any manner it sees fit and the foregoing assumption shall be utilized only for the calculation of amounts payable under this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195"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auto"/>
        </w:rPr>
        <w:t xml:space="preserve">For the avoidance of doubt, this </w:t>
      </w: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shall not apply to Taxes, except any Taxes that represent losses, expenses and liabilities arising from any non-Tax claim.</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3.6 Increased Costs, Illegality, Etc</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229" w:name="page230"/>
    <w:bookmarkEnd w:id="229"/>
    <w:p>
      <w:pPr>
        <w:ind w:left="660" w:hanging="4"/>
        <w:spacing w:after="0" w:line="300" w:lineRule="auto"/>
        <w:tabs>
          <w:tab w:leader="none" w:pos="943" w:val="left"/>
        </w:tabs>
        <w:numPr>
          <w:ilvl w:val="0"/>
          <w:numId w:val="12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In the event that any Lender shall have determined (which determination shall, absent manifest error, be final and conclusive and binding upon all parties hereto but, with respect to clause (i) below, may be made only by the applicable Agent):</w:t>
      </w:r>
    </w:p>
    <w:p>
      <w:pPr>
        <w:spacing w:after="0" w:line="157" w:lineRule="exact"/>
        <w:rPr>
          <w:rFonts w:ascii="Arial" w:cs="Arial" w:eastAsia="Arial" w:hAnsi="Arial"/>
          <w:sz w:val="18"/>
          <w:szCs w:val="18"/>
          <w:u w:val="single" w:color="auto"/>
          <w:color w:val="auto"/>
        </w:rPr>
      </w:pPr>
    </w:p>
    <w:p>
      <w:pPr>
        <w:jc w:val="both"/>
        <w:ind w:left="1960" w:hanging="8"/>
        <w:spacing w:after="0" w:line="232" w:lineRule="auto"/>
        <w:tabs>
          <w:tab w:leader="none" w:pos="2197" w:val="left"/>
        </w:tabs>
        <w:numPr>
          <w:ilvl w:val="1"/>
          <w:numId w:val="126"/>
        </w:numPr>
        <w:rPr>
          <w:rFonts w:ascii="Arial" w:cs="Arial" w:eastAsia="Arial" w:hAnsi="Arial"/>
          <w:sz w:val="20"/>
          <w:szCs w:val="20"/>
          <w:color w:val="auto"/>
        </w:rPr>
      </w:pPr>
      <w:r>
        <w:rPr>
          <w:rFonts w:ascii="Arial" w:cs="Arial" w:eastAsia="Arial" w:hAnsi="Arial"/>
          <w:sz w:val="20"/>
          <w:szCs w:val="20"/>
          <w:color w:val="auto"/>
        </w:rPr>
        <w:t>on any Interest Rate Determination Date that (x) by reason of any changes arising after the date of this Agreement affecting the interbank Eurocurrency market, adequate and fair means do not exist for ascertaining the applicable interest rate on the basis provided for in the definition of “Eurocurrency Rate” or (y) the Eurocurrency Rate for any requested Interest Period with respect to a proposed Eurocurrency Rate Loan does not adequately and fairly reflect the cost to Required Lenders of funding such Loan; or</w:t>
      </w:r>
    </w:p>
    <w:p>
      <w:pPr>
        <w:spacing w:after="0" w:line="211" w:lineRule="exact"/>
        <w:rPr>
          <w:rFonts w:ascii="Arial" w:cs="Arial" w:eastAsia="Arial" w:hAnsi="Arial"/>
          <w:sz w:val="20"/>
          <w:szCs w:val="20"/>
          <w:color w:val="auto"/>
        </w:rPr>
      </w:pPr>
    </w:p>
    <w:p>
      <w:pPr>
        <w:jc w:val="both"/>
        <w:ind w:left="1960" w:hanging="8"/>
        <w:spacing w:after="0" w:line="255" w:lineRule="auto"/>
        <w:tabs>
          <w:tab w:leader="none" w:pos="2275"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at any time, that any Recipient shall incur increased costs or reduction in the amounts received or receivable hereunder with respect to any Eurocurrency Loan because of (x) any Change in Law having general applicability to all comparably situated Lenders within the jurisdiction in which such Lender operates since the date of this Agreement such as, for example, but not limited to: (A) the imposition of any Tax of any kind with respect to this Agreement or any Eurocurrency Loan (other than (I) Indemnified Taxes and (II) Excluded Taxes) or (B) a change in official reserve, special deposit, compulsory loan, insurance charge or similar requirements by any Governmental Authority (but, in all events, excluding reserves required under Regulation D to the extent included in the computation of the Eurocurrency Rate) and/or (y) other circumstances since the date of this Agreement affecting such Lender or the interbank Eurocurrency market or the position of such Lender in such market (excluding, however, differences in a Lender’s cost of funds from those of Administrative Agent which are solely the result of credit differences between such Lender and Administrative Agent); or</w:t>
      </w:r>
    </w:p>
    <w:p>
      <w:pPr>
        <w:spacing w:after="0" w:line="199" w:lineRule="exact"/>
        <w:rPr>
          <w:rFonts w:ascii="Arial" w:cs="Arial" w:eastAsia="Arial" w:hAnsi="Arial"/>
          <w:sz w:val="18"/>
          <w:szCs w:val="18"/>
          <w:color w:val="auto"/>
        </w:rPr>
      </w:pPr>
    </w:p>
    <w:p>
      <w:pPr>
        <w:jc w:val="both"/>
        <w:ind w:left="1960" w:hanging="8"/>
        <w:spacing w:after="0" w:line="267" w:lineRule="auto"/>
        <w:tabs>
          <w:tab w:leader="none" w:pos="2315"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at any time, that the making or continuance of any Eurocurrency Loan has been made (x) unlawful by any law, directive or governmental rule, regulation or order, (y) impossible by compliance by any Lender in good faith with any governmental request (whether or not having force of law) or (z) impracticable as a result of a contingency occurring after the date of this Agreement which materially and adversely affects the interbank Eurocurrency market;</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then, and in any such event, such Lender (or Administrative Agent,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shall promptly give notice (by telephone confirmed in writing) to the Borrowers. Thereafter, (x)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Eurocurrency Loans shall no longer be available until such time as Administrative Agent notifies Crown Holdings and the Lenders that the circumstances giving rise to such notice by Administrative Agent no longer exist, and any Notice of Borrowing or Notice of Conversion or Continuation given by any Borrower with respect to Eurocurrency Loans (other than with respect to conversions to Base Rate Loans) which have not yet been incurred (including by way of conversion) shall be deemed rescinded by such Borrower and, in the case of Alternative Currency Loans, such Loans shall thereafter bear interest at a rate equal to Administrative Agent’s cost of funds for such Alternative Currency plus the Applicable Eurocurrency Margin, which shall not in any event be less than zero, (y) in the case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such Borrower shall pay to such Lender, within ten days of written demand therefor, such additional amounts (in the form of an increased rate of, or a different method of calculating, interest or otherwise as such Lender in its sole discretion shall determine) as shall be required to compensate such Lender for such increased costs or reductions in amounts received or receivable hereunder and (z) in the case of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above, such Borrower shall take one of the actions specified in </w:t>
      </w:r>
      <w:r>
        <w:rPr>
          <w:rFonts w:ascii="Arial" w:cs="Arial" w:eastAsia="Arial" w:hAnsi="Arial"/>
          <w:sz w:val="18"/>
          <w:szCs w:val="18"/>
          <w:u w:val="single" w:color="auto"/>
          <w:color w:val="auto"/>
        </w:rPr>
        <w:t>Section 3.6(b)</w:t>
      </w:r>
      <w:r>
        <w:rPr>
          <w:rFonts w:ascii="Arial" w:cs="Arial" w:eastAsia="Arial" w:hAnsi="Arial"/>
          <w:sz w:val="18"/>
          <w:szCs w:val="18"/>
          <w:color w:val="auto"/>
        </w:rPr>
        <w:t xml:space="preserve"> as promptly as possible and, in any event, within the time period required by law. In</w:t>
      </w:r>
    </w:p>
    <w:p>
      <w:pPr>
        <w:sectPr>
          <w:pgSz w:w="11900" w:h="16838" w:orient="portrait"/>
          <w:cols w:equalWidth="0" w:num="1">
            <w:col w:w="11240"/>
          </w:cols>
          <w:pgMar w:left="320" w:top="1419" w:right="339" w:bottom="1440" w:gutter="0" w:footer="0" w:header="0"/>
        </w:sectPr>
      </w:pPr>
    </w:p>
    <w:bookmarkStart w:id="230" w:name="page231"/>
    <w:bookmarkEnd w:id="230"/>
    <w:p>
      <w:pPr>
        <w:jc w:val="both"/>
        <w:spacing w:after="0" w:line="258" w:lineRule="auto"/>
        <w:rPr>
          <w:sz w:val="20"/>
          <w:szCs w:val="20"/>
          <w:color w:val="auto"/>
        </w:rPr>
      </w:pPr>
      <w:r>
        <w:rPr>
          <w:rFonts w:ascii="Arial" w:cs="Arial" w:eastAsia="Arial" w:hAnsi="Arial"/>
          <w:sz w:val="18"/>
          <w:szCs w:val="18"/>
          <w:color w:val="auto"/>
        </w:rPr>
        <w:t xml:space="preserve">determining such additional amounts pursuant to </w:t>
      </w:r>
      <w:r>
        <w:rPr>
          <w:rFonts w:ascii="Arial" w:cs="Arial" w:eastAsia="Arial" w:hAnsi="Arial"/>
          <w:sz w:val="18"/>
          <w:szCs w:val="18"/>
          <w:u w:val="single" w:color="auto"/>
          <w:color w:val="auto"/>
        </w:rPr>
        <w:t>clause (y)</w:t>
      </w:r>
      <w:r>
        <w:rPr>
          <w:rFonts w:ascii="Arial" w:cs="Arial" w:eastAsia="Arial" w:hAnsi="Arial"/>
          <w:sz w:val="18"/>
          <w:szCs w:val="18"/>
          <w:color w:val="auto"/>
        </w:rPr>
        <w:t xml:space="preserve"> of the immediately preceding sentence, each Lender shall act reasonably and in good faith and will, to the extent the increased costs or reductions in amounts receivable relate to such Lender’s loans in general and are not specifically attributable to a Loan hereunder, use averaging and attribution methods which are reasonable and which cover all loans similar to the Loans made by such Lender whether or not the loan documentation for such other loans permits the Lender to receive increased costs of the type described in this </w:t>
      </w:r>
      <w:r>
        <w:rPr>
          <w:rFonts w:ascii="Arial" w:cs="Arial" w:eastAsia="Arial" w:hAnsi="Arial"/>
          <w:sz w:val="18"/>
          <w:szCs w:val="18"/>
          <w:u w:val="single" w:color="auto"/>
          <w:color w:val="auto"/>
        </w:rPr>
        <w:t>Section 3.6(a)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shall be proportionate to the amounts that such Lender charges other borrowers or account parties for such additional costs incurred or reductions suffered on loans similarly situated to Borrowers in connection with substantially similar facilities as reasonably determined by such Lender acting in good faith.</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(b) Eurocurrency Loans</w:t>
      </w:r>
      <w:r>
        <w:rPr>
          <w:rFonts w:ascii="Arial" w:cs="Arial" w:eastAsia="Arial" w:hAnsi="Arial"/>
          <w:sz w:val="20"/>
          <w:szCs w:val="20"/>
          <w:color w:val="auto"/>
        </w:rPr>
        <w:t>.</w:t>
      </w:r>
    </w:p>
    <w:p>
      <w:pPr>
        <w:spacing w:after="0" w:line="229" w:lineRule="exact"/>
        <w:rPr>
          <w:sz w:val="20"/>
          <w:szCs w:val="20"/>
          <w:color w:val="auto"/>
        </w:rPr>
      </w:pPr>
    </w:p>
    <w:p>
      <w:pPr>
        <w:jc w:val="both"/>
        <w:ind w:left="660" w:hanging="4"/>
        <w:spacing w:after="0" w:line="242" w:lineRule="auto"/>
        <w:tabs>
          <w:tab w:leader="none" w:pos="897"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At any time that any Eurocurrency Loan is affected by the circumstances described in </w:t>
      </w:r>
      <w:r>
        <w:rPr>
          <w:rFonts w:ascii="Arial" w:cs="Arial" w:eastAsia="Arial" w:hAnsi="Arial"/>
          <w:sz w:val="19"/>
          <w:szCs w:val="19"/>
          <w:u w:val="single" w:color="auto"/>
          <w:color w:val="auto"/>
        </w:rPr>
        <w:t>Section 3.6(a)(ii)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any Borrower may (and, in the case of a Eurocurrency Loan affected by the circumstances described in </w:t>
      </w:r>
      <w:r>
        <w:rPr>
          <w:rFonts w:ascii="Arial" w:cs="Arial" w:eastAsia="Arial" w:hAnsi="Arial"/>
          <w:sz w:val="19"/>
          <w:szCs w:val="19"/>
          <w:u w:val="single" w:color="auto"/>
          <w:color w:val="auto"/>
        </w:rPr>
        <w:t>Section 3.6(a)(iii)</w:t>
      </w:r>
      <w:r>
        <w:rPr>
          <w:rFonts w:ascii="Arial" w:cs="Arial" w:eastAsia="Arial" w:hAnsi="Arial"/>
          <w:sz w:val="19"/>
          <w:szCs w:val="19"/>
          <w:color w:val="auto"/>
        </w:rPr>
        <w:t xml:space="preserve">, shall) either (i) if the affected Eurocurrency Loan is then being made initially or pursuant to a conversion, by giving Administrative Agent telephonic notice (confirmed in writing) on the same date that Crown Holdings, as the applicable Borrower, was notified by the affected Lender or Administrative Agent pursuant to </w:t>
      </w:r>
      <w:r>
        <w:rPr>
          <w:rFonts w:ascii="Arial" w:cs="Arial" w:eastAsia="Arial" w:hAnsi="Arial"/>
          <w:sz w:val="19"/>
          <w:szCs w:val="19"/>
          <w:u w:val="single" w:color="auto"/>
          <w:color w:val="auto"/>
        </w:rPr>
        <w:t>Section 3.6(a)(ii)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cancel the respective Borrowing, or (ii) if the affected Eurocurrency Loan is then outstanding, upon at least three Business Days’ written notice to Administrative Agent, require the affected Lender to convert such Eurocurrency Loan into a Base Rate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more than one Lender is affected at any time, then all affected Lenders must be treated the same pursuant to this </w:t>
      </w:r>
      <w:r>
        <w:rPr>
          <w:rFonts w:ascii="Arial" w:cs="Arial" w:eastAsia="Arial" w:hAnsi="Arial"/>
          <w:sz w:val="19"/>
          <w:szCs w:val="19"/>
          <w:u w:val="single" w:color="auto"/>
          <w:color w:val="auto"/>
        </w:rPr>
        <w:t>Section 3.6(b)(i)</w:t>
      </w:r>
      <w:r>
        <w:rPr>
          <w:rFonts w:ascii="Arial" w:cs="Arial" w:eastAsia="Arial" w:hAnsi="Arial"/>
          <w:sz w:val="19"/>
          <w:szCs w:val="19"/>
          <w:color w:val="auto"/>
        </w:rPr>
        <w:t>.</w:t>
      </w:r>
    </w:p>
    <w:p>
      <w:pPr>
        <w:spacing w:after="0" w:line="208" w:lineRule="exact"/>
        <w:rPr>
          <w:rFonts w:ascii="Arial" w:cs="Arial" w:eastAsia="Arial" w:hAnsi="Arial"/>
          <w:sz w:val="19"/>
          <w:szCs w:val="19"/>
          <w:color w:val="auto"/>
        </w:rPr>
      </w:pPr>
    </w:p>
    <w:p>
      <w:pPr>
        <w:jc w:val="both"/>
        <w:ind w:left="660" w:hanging="4"/>
        <w:spacing w:after="0" w:line="292" w:lineRule="auto"/>
        <w:tabs>
          <w:tab w:leader="none" w:pos="96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If at any time the Administrative Agent determines (which determination shall be conclusive absent manifest error) that (x) the circumstances set forth in </w:t>
      </w:r>
      <w:r>
        <w:rPr>
          <w:rFonts w:ascii="Arial" w:cs="Arial" w:eastAsia="Arial" w:hAnsi="Arial"/>
          <w:sz w:val="16"/>
          <w:szCs w:val="16"/>
          <w:u w:val="single" w:color="auto"/>
          <w:color w:val="auto"/>
        </w:rPr>
        <w:t>Section 3.6(a)(i)(x)</w:t>
      </w:r>
      <w:r>
        <w:rPr>
          <w:rFonts w:ascii="Arial" w:cs="Arial" w:eastAsia="Arial" w:hAnsi="Arial"/>
          <w:sz w:val="16"/>
          <w:szCs w:val="16"/>
          <w:color w:val="auto"/>
        </w:rPr>
        <w:t xml:space="preserve"> have arisen and such circumstances are unlikely to be temporary or (y) the circumstances set forth in </w:t>
      </w:r>
      <w:r>
        <w:rPr>
          <w:rFonts w:ascii="Arial" w:cs="Arial" w:eastAsia="Arial" w:hAnsi="Arial"/>
          <w:sz w:val="16"/>
          <w:szCs w:val="16"/>
          <w:u w:val="single" w:color="auto"/>
          <w:color w:val="auto"/>
        </w:rPr>
        <w:t>Section 3.6(a)(i)(x)</w:t>
      </w:r>
      <w:r>
        <w:rPr>
          <w:rFonts w:ascii="Arial" w:cs="Arial" w:eastAsia="Arial" w:hAnsi="Arial"/>
          <w:sz w:val="16"/>
          <w:szCs w:val="16"/>
          <w:color w:val="auto"/>
        </w:rPr>
        <w:t xml:space="preserve"> have not arisen but the supervisor for the administrator of the Eurocurrency Rate or a Governmental Authority having jurisdiction over the Administrative Agent has made a public statement identifying a specific date after which the Eurocurrency Rate shall no longer be used for determining interest rates for loans, then the Administrative Agent and Crown Holdings shall endeavor to establish an alternate rate of interest to the Eurocurrency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Eurocurrency Rate).</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Notwithstanding anything to the contrary in the first paragraph of Section 12.1,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of each class stating that such Required Lenders object to such amendment. Until an alternate rate of interest shall be determined in accordance with this clause (ii) (but, in the case of circumstances described in Section 3.6(a), only to the extent the Eurocurrency Rate for such Interest Period is not available or published at such time on a current basis), (x) any Notice of Conversion or Continuation that requests the conversion of any Borrowing denominated in Dollars to, or continuation of any Borrowing as, a Eurocurrency Loan shall be ineffective, (y) if any Notice of Borrowing requests a Borrowing of Eurocurrency Loans denominated in Dollars, such Borrowing shall be made as a request for a Borrowing of Base Rate Loans and (z) if any Notice of Borrowing requests a Borrowing of Alternative Currency Loans, such Loans shall thereafter bear interest at a rate equal to Administrative Agent’s cost of funds for</w:t>
      </w:r>
    </w:p>
    <w:p>
      <w:pPr>
        <w:sectPr>
          <w:pgSz w:w="11900" w:h="16838" w:orient="portrait"/>
          <w:cols w:equalWidth="0" w:num="1">
            <w:col w:w="11240"/>
          </w:cols>
          <w:pgMar w:left="320" w:top="1419" w:right="339" w:bottom="1440" w:gutter="0" w:footer="0" w:header="0"/>
        </w:sectPr>
      </w:pPr>
    </w:p>
    <w:bookmarkStart w:id="231" w:name="page232"/>
    <w:bookmarkEnd w:id="231"/>
    <w:p>
      <w:pPr>
        <w:spacing w:after="0" w:line="246" w:lineRule="auto"/>
        <w:rPr>
          <w:sz w:val="20"/>
          <w:szCs w:val="20"/>
          <w:color w:val="auto"/>
        </w:rPr>
      </w:pPr>
      <w:r>
        <w:rPr>
          <w:rFonts w:ascii="Arial" w:cs="Arial" w:eastAsia="Arial" w:hAnsi="Arial"/>
          <w:sz w:val="20"/>
          <w:szCs w:val="20"/>
          <w:color w:val="auto"/>
        </w:rPr>
        <w:t xml:space="preserve">such Alternative Currency plus the Applicable Eurocurrency Margin;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alternate rate of interest shall be less than zero, such rate shall be deemed to be zero for the purposes of this Agreement.</w:t>
      </w:r>
    </w:p>
    <w:p>
      <w:pPr>
        <w:spacing w:after="0" w:line="204" w:lineRule="exact"/>
        <w:rPr>
          <w:sz w:val="20"/>
          <w:szCs w:val="20"/>
          <w:color w:val="auto"/>
        </w:rPr>
      </w:pPr>
    </w:p>
    <w:p>
      <w:pPr>
        <w:jc w:val="both"/>
        <w:ind w:left="660"/>
        <w:spacing w:after="0" w:line="241" w:lineRule="auto"/>
        <w:rPr>
          <w:sz w:val="20"/>
          <w:szCs w:val="20"/>
          <w:color w:val="auto"/>
        </w:rPr>
      </w:pPr>
      <w:r>
        <w:rPr>
          <w:rFonts w:ascii="Arial" w:cs="Arial" w:eastAsia="Arial" w:hAnsi="Arial"/>
          <w:sz w:val="19"/>
          <w:szCs w:val="19"/>
          <w:u w:val="single" w:color="auto"/>
          <w:color w:val="auto"/>
        </w:rPr>
        <w:t>(c)Capital Requirements</w:t>
      </w:r>
      <w:r>
        <w:rPr>
          <w:rFonts w:ascii="Arial" w:cs="Arial" w:eastAsia="Arial" w:hAnsi="Arial"/>
          <w:sz w:val="19"/>
          <w:szCs w:val="19"/>
          <w:color w:val="auto"/>
        </w:rPr>
        <w:t xml:space="preserve">. Without duplication of </w:t>
      </w:r>
      <w:r>
        <w:rPr>
          <w:rFonts w:ascii="Arial" w:cs="Arial" w:eastAsia="Arial" w:hAnsi="Arial"/>
          <w:sz w:val="19"/>
          <w:szCs w:val="19"/>
          <w:u w:val="single" w:color="auto"/>
          <w:color w:val="auto"/>
        </w:rPr>
        <w:t>Section 3.6(a)</w:t>
      </w:r>
      <w:r>
        <w:rPr>
          <w:rFonts w:ascii="Arial" w:cs="Arial" w:eastAsia="Arial" w:hAnsi="Arial"/>
          <w:sz w:val="19"/>
          <w:szCs w:val="19"/>
          <w:color w:val="auto"/>
        </w:rPr>
        <w:t xml:space="preserve">, if any Lender determines that any Change in Law concerning capital adequacy or liquidity requirements by any Governmental Authority will have the effect of increasing the amount of capital or liquidity required or expected to be maintained by such Lender or any corporation controlling such Lender based on the existence of such Lender’s Commitments hereunder or its obligations hereunder, then the applicable Borrower shall pay to such Lender, within fifteen days of its written demand therefor, such additional amounts as shall be required to compensate such Lender or such other corporation for the increased cost to such Lender or such other corporation or the reduction in the rate of return to such Lender or such other corporation as a result of such increase of capital or liquidity;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amounts shall be proportionate to the amounts that such Lender charges other borrowers or account parties for such additional costs incurred or reductions suffered on loans similarly situated to Borrowers in connection with substantially similar facilities as reasonably determined by such Lender acting in good faith.</w:t>
      </w:r>
    </w:p>
    <w:p>
      <w:pPr>
        <w:spacing w:after="0" w:line="209" w:lineRule="exact"/>
        <w:rPr>
          <w:sz w:val="20"/>
          <w:szCs w:val="20"/>
          <w:color w:val="auto"/>
        </w:rPr>
      </w:pPr>
    </w:p>
    <w:p>
      <w:pPr>
        <w:jc w:val="both"/>
        <w:ind w:left="660" w:hanging="4"/>
        <w:spacing w:after="0" w:line="251" w:lineRule="auto"/>
        <w:tabs>
          <w:tab w:leader="none" w:pos="963" w:val="left"/>
        </w:tabs>
        <w:numPr>
          <w:ilvl w:val="0"/>
          <w:numId w:val="12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xml:space="preserve">. Each Lender, upon determining that any additional amounts will be payable pursuant to this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3.6(a)(i)</w:t>
      </w:r>
      <w:r>
        <w:rPr>
          <w:rFonts w:ascii="Arial" w:cs="Arial" w:eastAsia="Arial" w:hAnsi="Arial"/>
          <w:sz w:val="18"/>
          <w:szCs w:val="18"/>
          <w:color w:val="auto"/>
        </w:rPr>
        <w:t xml:space="preserve">), will give prompt written notice thereof to Crown Holdings and Administrative Agent (which notice Administrative Agent will promptly transmit to each of the other Lenders), which notice shall show the basis for calculation of such additional amounts, although the failure to give any such notice (unless the respective Lender has intentionally withheld or delayed such notice, in which case the respective Lender shall not be entitled to receive additional amounts pursuant to this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for periods occurring prior to the 135th day before the giving of such notice) shall not release or diminish any of any Borrower’s obligations to pay additional amounts pursuant to this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In determining such additional amounts, each Lender will act reasonably and in good faith and will use averaging and attribution methods which are reasonable and which will, to the extent the increased costs or reduction in the rate of return relates to such Lender’s commitments, loans or obligations in general and are not specifically attributable to the Commitments, Loans and obligations hereunder, cover all commitments, loans and obligations similar to the Commitments, Loans and obligations of such Lender hereunder whether or not the loan documentation for such other commitments, loans or obligations permits the Lender to make the determination specified in this </w:t>
      </w:r>
      <w:r>
        <w:rPr>
          <w:rFonts w:ascii="Arial" w:cs="Arial" w:eastAsia="Arial" w:hAnsi="Arial"/>
          <w:sz w:val="18"/>
          <w:szCs w:val="18"/>
          <w:u w:val="single" w:color="auto"/>
          <w:color w:val="auto"/>
        </w:rPr>
        <w:t>Section 3.6</w:t>
      </w:r>
      <w:r>
        <w:rPr>
          <w:rFonts w:ascii="Arial" w:cs="Arial" w:eastAsia="Arial" w:hAnsi="Arial"/>
          <w:sz w:val="18"/>
          <w:szCs w:val="18"/>
          <w:color w:val="auto"/>
        </w:rPr>
        <w:t>. Such determination shall, absent manifest error, be final and conclusive and binding on all parties hereto. It is understood and agreed that this paragraph</w:t>
      </w:r>
    </w:p>
    <w:p>
      <w:pPr>
        <w:spacing w:after="0" w:line="9" w:lineRule="exact"/>
        <w:rPr>
          <w:rFonts w:ascii="Arial" w:cs="Arial" w:eastAsia="Arial" w:hAnsi="Arial"/>
          <w:sz w:val="18"/>
          <w:szCs w:val="18"/>
          <w:u w:val="single" w:color="auto"/>
          <w:color w:val="auto"/>
        </w:rPr>
      </w:pPr>
    </w:p>
    <w:p>
      <w:pPr>
        <w:ind w:left="660" w:hanging="4"/>
        <w:spacing w:after="0" w:line="234" w:lineRule="auto"/>
        <w:tabs>
          <w:tab w:leader="none" w:pos="968" w:val="left"/>
        </w:tabs>
        <w:numPr>
          <w:ilvl w:val="0"/>
          <w:numId w:val="129"/>
        </w:numPr>
        <w:rPr>
          <w:rFonts w:ascii="Arial" w:cs="Arial" w:eastAsia="Arial" w:hAnsi="Arial"/>
          <w:sz w:val="20"/>
          <w:szCs w:val="20"/>
          <w:color w:val="auto"/>
        </w:rPr>
      </w:pPr>
      <w:r>
        <w:rPr>
          <w:rFonts w:ascii="Arial" w:cs="Arial" w:eastAsia="Arial" w:hAnsi="Arial"/>
          <w:sz w:val="20"/>
          <w:szCs w:val="20"/>
          <w:color w:val="auto"/>
        </w:rPr>
        <w:t>shall not require any Lender to disclose any confidential or price sensitive information or any information, the disclosure of which, would be prohibited by law or regulation.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3.7 Mitigation Obligations; Replacement of Affected Lenders</w:t>
      </w:r>
    </w:p>
    <w:p>
      <w:pPr>
        <w:ind w:left="66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left="1300" w:firstLine="4"/>
        <w:spacing w:after="0" w:line="227" w:lineRule="auto"/>
        <w:tabs>
          <w:tab w:leader="none" w:pos="1596" w:val="left"/>
        </w:tabs>
        <w:numPr>
          <w:ilvl w:val="0"/>
          <w:numId w:val="130"/>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Change of Lending Office</w:t>
      </w:r>
      <w:r>
        <w:rPr>
          <w:rFonts w:ascii="Arial" w:cs="Arial" w:eastAsia="Arial" w:hAnsi="Arial"/>
          <w:sz w:val="20"/>
          <w:szCs w:val="20"/>
          <w:color w:val="auto"/>
        </w:rPr>
        <w:t xml:space="preserve">. Each Lender which is or will be owed compensation pursuant to </w:t>
      </w:r>
      <w:r>
        <w:rPr>
          <w:rFonts w:ascii="Arial" w:cs="Arial" w:eastAsia="Arial" w:hAnsi="Arial"/>
          <w:sz w:val="20"/>
          <w:szCs w:val="20"/>
          <w:u w:val="single" w:color="auto"/>
          <w:color w:val="auto"/>
        </w:rPr>
        <w:t>Section 3.6(a)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4.7(a)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will use reasonable efforts (subject to overall policy considerations of such Lender) to cause a different branch or Affiliate to make or continue a Loan or Letter of Credit or to assign its rights and obligations hereunder to another of its branches or Affiliates if in the judgment of such Lender such designation or assignment will avoid the need for, or reduce the amount of, such compensation to such Lender and will not, in the judgment of such Lender, be otherwise disadvantageous in any significant respect to such Lender. Crown Holdings hereby agrees to pay, or to cause the applicable Borrower to pay, all reasonable costs and expenses incurred by any Lender in connection with such designation or assignment. Nothing in this </w:t>
      </w:r>
      <w:r>
        <w:rPr>
          <w:rFonts w:ascii="Arial" w:cs="Arial" w:eastAsia="Arial" w:hAnsi="Arial"/>
          <w:sz w:val="20"/>
          <w:szCs w:val="20"/>
          <w:u w:val="single" w:color="auto"/>
          <w:color w:val="auto"/>
        </w:rPr>
        <w:t>Section 3.7(a)</w:t>
      </w:r>
      <w:r>
        <w:rPr>
          <w:rFonts w:ascii="Arial" w:cs="Arial" w:eastAsia="Arial" w:hAnsi="Arial"/>
          <w:sz w:val="20"/>
          <w:szCs w:val="20"/>
          <w:color w:val="auto"/>
        </w:rPr>
        <w:t xml:space="preserve"> shall affect or postpone any of the obligations of any Borrower or the right of any Lender provided for herein.</w:t>
      </w:r>
    </w:p>
    <w:p>
      <w:pPr>
        <w:sectPr>
          <w:pgSz w:w="11900" w:h="16838" w:orient="portrait"/>
          <w:cols w:equalWidth="0" w:num="1">
            <w:col w:w="11240"/>
          </w:cols>
          <w:pgMar w:left="320" w:top="1419" w:right="339" w:bottom="1440" w:gutter="0" w:footer="0" w:header="0"/>
        </w:sectPr>
      </w:pPr>
    </w:p>
    <w:bookmarkStart w:id="232" w:name="page233"/>
    <w:bookmarkEnd w:id="232"/>
    <w:p>
      <w:pPr>
        <w:jc w:val="both"/>
        <w:ind w:left="180" w:firstLine="4"/>
        <w:spacing w:after="0" w:line="252" w:lineRule="auto"/>
        <w:tabs>
          <w:tab w:leader="none" w:pos="483" w:val="left"/>
        </w:tabs>
        <w:numPr>
          <w:ilvl w:val="0"/>
          <w:numId w:val="13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(w) any Lender is a Lender where, any amount payable to such Lender by the European Borrower or any other French Credit Party under a Loan Document is not, or will not be (when the relevant corporate income tax is calculated) treated as a deductible charge or expense for French tax purposes for that Credit Party by reason of that amount being (i) paid or accrued to such Lender, and such Lender is incorporated, domiciled, established or acting through a lending office situated in a Non-Cooperative Jurisdiction, or (ii) paid to an account opened in the name of or for the benefit of such Lender in a financial institution situated in a Non-Cooperative Jurisdiction, (x) any Revolving Lender or Canadian Revolving Lender becomes a Defaulting Lender or otherwise defaults in its obligations to make Loans or fund Unpaid Drawings, (y) any Lender is owed increased costs under </w:t>
      </w:r>
      <w:r>
        <w:rPr>
          <w:rFonts w:ascii="Arial" w:cs="Arial" w:eastAsia="Arial" w:hAnsi="Arial"/>
          <w:sz w:val="18"/>
          <w:szCs w:val="18"/>
          <w:u w:val="single" w:color="auto"/>
          <w:color w:val="auto"/>
        </w:rPr>
        <w:t>Section 3.6(a)(ii)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3.6(c)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4.7(a)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w:t>
      </w:r>
    </w:p>
    <w:p>
      <w:pPr>
        <w:spacing w:after="0" w:line="5" w:lineRule="exact"/>
        <w:rPr>
          <w:rFonts w:ascii="Arial" w:cs="Arial" w:eastAsia="Arial" w:hAnsi="Arial"/>
          <w:sz w:val="18"/>
          <w:szCs w:val="18"/>
          <w:u w:val="single" w:color="auto"/>
          <w:color w:val="auto"/>
        </w:rPr>
      </w:pPr>
    </w:p>
    <w:p>
      <w:pPr>
        <w:jc w:val="both"/>
        <w:ind w:left="180" w:firstLine="4"/>
        <w:spacing w:after="0" w:line="251" w:lineRule="auto"/>
        <w:tabs>
          <w:tab w:leader="none" w:pos="464" w:val="left"/>
        </w:tabs>
        <w:numPr>
          <w:ilvl w:val="0"/>
          <w:numId w:val="131"/>
        </w:numPr>
        <w:rPr>
          <w:rFonts w:ascii="Arial" w:cs="Arial" w:eastAsia="Arial" w:hAnsi="Arial"/>
          <w:sz w:val="18"/>
          <w:szCs w:val="18"/>
          <w:u w:val="single" w:color="auto"/>
          <w:color w:val="auto"/>
        </w:rPr>
      </w:pPr>
      <w:r>
        <w:rPr>
          <w:rFonts w:ascii="Arial" w:cs="Arial" w:eastAsia="Arial" w:hAnsi="Arial"/>
          <w:sz w:val="18"/>
          <w:szCs w:val="18"/>
          <w:color w:val="auto"/>
        </w:rPr>
        <w:t xml:space="preserve">or (z) as provided in the last sentence of </w:t>
      </w:r>
      <w:r>
        <w:rPr>
          <w:rFonts w:ascii="Arial" w:cs="Arial" w:eastAsia="Arial" w:hAnsi="Arial"/>
          <w:sz w:val="18"/>
          <w:szCs w:val="18"/>
          <w:u w:val="single" w:color="auto"/>
          <w:color w:val="auto"/>
        </w:rPr>
        <w:t>Section 12.1(a)</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Section 12.1(b)</w:t>
      </w:r>
      <w:r>
        <w:rPr>
          <w:rFonts w:ascii="Arial" w:cs="Arial" w:eastAsia="Arial" w:hAnsi="Arial"/>
          <w:sz w:val="18"/>
          <w:szCs w:val="18"/>
          <w:color w:val="auto"/>
        </w:rPr>
        <w:t xml:space="preserve"> any Lender refuses to consent to certain proposed amendments, changes, supplements, waivers, discharges or terminations with respect to this Agreement, Crown Holdings shall have the right to replace such Lender (the “</w:t>
      </w:r>
      <w:r>
        <w:rPr>
          <w:rFonts w:ascii="Arial" w:cs="Arial" w:eastAsia="Arial" w:hAnsi="Arial"/>
          <w:sz w:val="18"/>
          <w:szCs w:val="18"/>
          <w:u w:val="single" w:color="auto"/>
          <w:color w:val="auto"/>
        </w:rPr>
        <w:t>Replaced Lender</w:t>
      </w:r>
      <w:r>
        <w:rPr>
          <w:rFonts w:ascii="Arial" w:cs="Arial" w:eastAsia="Arial" w:hAnsi="Arial"/>
          <w:sz w:val="18"/>
          <w:szCs w:val="18"/>
          <w:color w:val="auto"/>
        </w:rPr>
        <w:t>”) with one or more other Eligible Assignee or Eligible Assignees, none of whom shall constitute a Defaulting Lender at the time of such replacement (collectively, the “</w:t>
      </w: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reasonably acceptable to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 the case of any replacement made pursuant to clause (y), such replacement will reduce the amount of any compensation payable by the Credit Parties under </w:t>
      </w:r>
      <w:r>
        <w:rPr>
          <w:rFonts w:ascii="Arial" w:cs="Arial" w:eastAsia="Arial" w:hAnsi="Arial"/>
          <w:sz w:val="18"/>
          <w:szCs w:val="18"/>
          <w:u w:val="single" w:color="auto"/>
          <w:color w:val="auto"/>
        </w:rPr>
        <w:t>Section 3.6(a)(ii)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3.6(c)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4.7(a)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(ii) at the time of any replacement pursuant to this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the Replacement Lender shall enter into one or more assignment agreements, in form and substance reasonably satisfactory to Administrative Agent, pursuant to which the Replacement Lender shall acquire all of the Commitments and outstanding Loans of, and participation in Letters of Credit by, the Replaced Lender (or, at the option of Crown Holdings if the respective Lender’s consent is required with respect to less than all Loans, to replace only the respective Loans of the respective non-consenting Lender which gave rise to the need to obtain such Lender’s individual consent), (iii) Crown Holdings shall have paid, or shall have caused the applicable Borrower to pay, to Administrative Agent the assignment fee specified in </w:t>
      </w:r>
      <w:r>
        <w:rPr>
          <w:rFonts w:ascii="Arial" w:cs="Arial" w:eastAsia="Arial" w:hAnsi="Arial"/>
          <w:sz w:val="18"/>
          <w:szCs w:val="18"/>
          <w:u w:val="single" w:color="auto"/>
          <w:color w:val="auto"/>
        </w:rPr>
        <w:t>Section 12.8</w:t>
      </w:r>
      <w:r>
        <w:rPr>
          <w:rFonts w:ascii="Arial" w:cs="Arial" w:eastAsia="Arial" w:hAnsi="Arial"/>
          <w:sz w:val="18"/>
          <w:szCs w:val="18"/>
          <w:color w:val="auto"/>
        </w:rPr>
        <w:t xml:space="preserve">, (iv) all obligations of all Credit Parties owing to the Replaced Lender (including, without limitation, such increased costs and excluding those specifically described in clause (ii) above in respect of which the assignment purchase price has been, or is concurrently being, paid) shall be paid in full to such Replaced Lender concurrently with such replacement and (v) that the lender replacement right set forth above in clause (y) shall not apply in any instance where five or more Multicurrency Revolving Lenders all make the same notification to Administrative Agent with respect to a particular Agreed Alternative Currency. Upon the execution of the respective assignment documentation, the payment of amounts referred to in clauses (ii), (iii) and (iv) above and, if so requested by the Replacement Lender, delivery to the Replacement Lender of the appropriate Note or Notes executed by each applicable Borrower, the Replacement Lender shall become a Lender hereunder and, unless the Replaced Lender continues to have outstanding Term Loans hereunder, the Replaced Lender shall cease to constitute a Lender hereunder, except with respect to indemnification provisions under this Agreement (including under </w:t>
      </w:r>
      <w:r>
        <w:rPr>
          <w:rFonts w:ascii="Arial" w:cs="Arial" w:eastAsia="Arial" w:hAnsi="Arial"/>
          <w:sz w:val="18"/>
          <w:szCs w:val="18"/>
          <w:u w:val="single" w:color="auto"/>
          <w:color w:val="auto"/>
        </w:rPr>
        <w:t>Section 4.7</w:t>
      </w:r>
      <w:r>
        <w:rPr>
          <w:rFonts w:ascii="Arial" w:cs="Arial" w:eastAsia="Arial" w:hAnsi="Arial"/>
          <w:sz w:val="18"/>
          <w:szCs w:val="18"/>
          <w:color w:val="auto"/>
        </w:rPr>
        <w:t>), which shall survive as to such Replaced Lender. Notwithstanding anything to the contrary contained above, no Lender that acts as a Facing Agent may be replaced hereunder at any time when it has Letters of Credit outstanding hereunder unless arrangements reasonably satisfactory to such Facing Agent (including the furnishing of a standby letter of credit in form and substance, and issued by an issuer satisfactory to such Facing Agent or the depositing of cash collateral into the Collateral Account in amounts and pursuant to arrangements reasonably satisfactory to such Facing Agent) have been made with respect to such outstanding Letters of Credit.</w:t>
      </w:r>
    </w:p>
    <w:p>
      <w:pPr>
        <w:sectPr>
          <w:pgSz w:w="11900" w:h="16838" w:orient="portrait"/>
          <w:cols w:equalWidth="0" w:num="1">
            <w:col w:w="10120"/>
          </w:cols>
          <w:pgMar w:left="1440" w:top="1419" w:right="3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20"/>
          <w:szCs w:val="20"/>
          <w:color w:val="auto"/>
        </w:rPr>
        <w:t>ARTICLE IV</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REDUCTION OF COMMITMENTS; PAYMENTS AND PREPAYMENTS</w:t>
      </w:r>
    </w:p>
    <w:p>
      <w:pPr>
        <w:spacing w:after="0" w:line="213"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u w:val="single" w:color="auto"/>
          <w:color w:val="auto"/>
        </w:rPr>
        <w:t>4.1 Voluntary Reduction of Commitments</w:t>
      </w:r>
      <w:r>
        <w:rPr>
          <w:rFonts w:ascii="Arial" w:cs="Arial" w:eastAsia="Arial" w:hAnsi="Arial"/>
          <w:sz w:val="18"/>
          <w:szCs w:val="18"/>
          <w:color w:val="auto"/>
        </w:rPr>
        <w:t xml:space="preserve">. Upon at least two (2) Business Days’ prior written notice (or telephonic notice confirmed in writing) to Administrative Agent at the Notice Address (which notice Administrative Agent shall promptly transmit to each Lender), (i) U.S. Borrower shall have the right, without premium or penalty, to terminate the unutilized portion of the Dollar Revolving Commitments or Swing Line Commitment in whole or in part, (ii) European Borrower shall have the right, without premium or penalty, to terminate the unutilized portion of the Multicurrency Revolving Commitment or Swing Line Commitment in part or in whole, and (iii) Canadian Borrower shall have the right, without premium or penalty, to terminate the unutilized portion of the Canadian Revolving Commitments in part or in whole; in each case,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any such voluntary termination of the Dollar Revolving Commitment, Multicurrency Revolving Commitment or Canadian Revolving Commitment shall apply to proportionately and permanently reduce the Dollar Revolving Commitment, Multicurrency Revolving Commitment or Canadian Revolving Commitment of each Dollar Revolving Lender, Multicurrency Revolving Lender or Canadian Revolving Lender, as the case may be, (y) any partial voluntary reduction pursuant to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be in the amount of at least $10,000,000 and integral multiples of $5,000,000 in excess of that amount and (z) any such voluntary termination of the Dollar Revolving Commitment, Multicurrency Revolving Commitment or Canadian Revolving Commitment shall occur simultaneously with a voluntary prepayment, pursuant to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such that the total of the Dollar Revolving Commitment, Multicurrency Revolving Commitment or Canadian Revolving Commitment shall not be reduced below (1) the aggregate principal amount of outstanding Dollar Revolving Loans plus the aggregate Effective Amount of Dollar LC Obligations, in the case of the Dollar Revolving Commitment; (2) Multicurrency Revolving Loans plus the aggregate Effective Amount of Multicurrency LC Obligations and Swing Line Loans, in the case of Multicurrency Revolving Commitments and (3) Canadian Revolving Loans plus the Effective Amount of Canadian LC Obligations, in the case of Canadian Revolving Commitments and the Swing Line Commitment shall not be reduced below the aggregate principal amount of Swing Line Loans.</w:t>
      </w: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4.2 Mandatory Reductions of Term Commitments</w:t>
      </w:r>
    </w:p>
    <w:p>
      <w:pPr>
        <w:spacing w:after="0" w:line="2" w:lineRule="exact"/>
        <w:rPr>
          <w:sz w:val="20"/>
          <w:szCs w:val="20"/>
          <w:color w:val="auto"/>
        </w:rPr>
      </w:pPr>
    </w:p>
    <w:p>
      <w:pPr>
        <w:ind w:right="20" w:firstLine="656"/>
        <w:spacing w:after="0" w:line="234" w:lineRule="auto"/>
        <w:tabs>
          <w:tab w:leader="none" w:pos="747"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Term Commitments terminate on the Incremental Amendment No. 2 and Third Amendment Effective Date after giving effect to the Borrowing of the Term A Loans and Term Euro Loans.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4.3 Voluntary Prepayments</w:t>
      </w:r>
    </w:p>
    <w:p>
      <w:pPr>
        <w:spacing w:after="0" w:line="2" w:lineRule="exact"/>
        <w:rPr>
          <w:sz w:val="20"/>
          <w:szCs w:val="20"/>
          <w:color w:val="auto"/>
        </w:rPr>
      </w:pPr>
    </w:p>
    <w:p>
      <w:pPr>
        <w:ind w:firstLine="656"/>
        <w:spacing w:after="0" w:line="234" w:lineRule="auto"/>
        <w:tabs>
          <w:tab w:leader="none" w:pos="76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Each Borrower shall have the right to prepay the Loans without premium or penalty in whole or in part from time to time on the following terms and conditions:</w:t>
      </w:r>
    </w:p>
    <w:p>
      <w:pPr>
        <w:spacing w:after="0" w:line="211"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the applicable Borrower shall give Administrative Agent irrevocable written notice (which notice may be conditioned upon the happening of an event) at its Notice Address (or telephonic notice promptly confirmed in writing) of its intent to prepay the Loans, whether such Loans are Term Loans, Dollar Revolving Loans, Multicurrency Revolving Loans, Canadian Revolving Loans or Swing Line Loans, the amount of such prepayment and the specific Borrowings to which such prepayment is to be applied, which notice shall be given by the applicable Borrower to Administrative Agent or Canadian Administrative Agent, as applicable, by 12:00 noon (New York City time) at least three (3) Business Days prior in the case of Eurocurrency Loans or Canadian Revolving Loans and at least one (1) Business Day prior in the case of Base Rate Loans to the date of such prepayment and which notice shall (except in the case of Swing Line Loans) promptly be transmitted by Administrative Agent to each of the applicable Lenders;</w:t>
      </w:r>
    </w:p>
    <w:p>
      <w:pPr>
        <w:sectPr>
          <w:pgSz w:w="11900" w:h="16838" w:orient="portrait"/>
          <w:cols w:equalWidth="0" w:num="1">
            <w:col w:w="11240"/>
          </w:cols>
          <w:pgMar w:left="320" w:top="1419" w:right="339" w:bottom="1440" w:gutter="0" w:footer="0" w:header="0"/>
        </w:sectPr>
      </w:pPr>
    </w:p>
    <w:bookmarkStart w:id="234" w:name="page235"/>
    <w:bookmarkEnd w:id="234"/>
    <w:p>
      <w:pPr>
        <w:jc w:val="both"/>
        <w:ind w:firstLine="1296"/>
        <w:spacing w:after="0" w:line="246" w:lineRule="auto"/>
        <w:rPr>
          <w:sz w:val="20"/>
          <w:szCs w:val="20"/>
          <w:color w:val="auto"/>
        </w:rPr>
      </w:pPr>
      <w:r>
        <w:rPr>
          <w:rFonts w:ascii="Arial" w:cs="Arial" w:eastAsia="Arial" w:hAnsi="Arial"/>
          <w:sz w:val="19"/>
          <w:szCs w:val="19"/>
          <w:color w:val="auto"/>
        </w:rPr>
        <w:t xml:space="preserve">each partial prepayment of any Borrowing (other than a Borrowing of Swing Line Loans) shall be in an aggregate principal amount of at least $1,000,000, Cdn.$1,000,000, €1,000,000 or £1,000,000, as applicable, and each partial prepayment of a Swing Line Loan shall be in an aggregate principal amount of at least $500,000, €500,000 or £500,000,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partial prepayment of Eurocurrency Loans made pursuant to a single Borrowing shall reduce the aggregate principal amount of the outstanding Loans made pursuant to such Borrowing to an amount less than the Minimum Borrowing Amount applicable thereto;</w:t>
      </w:r>
    </w:p>
    <w:p>
      <w:pPr>
        <w:spacing w:after="0" w:line="20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Eurocurrency Loans (other than Daily Simple RFR Loans) may only be prepaid pursuant to this </w:t>
      </w:r>
      <w:r>
        <w:rPr>
          <w:rFonts w:ascii="Arial" w:cs="Arial" w:eastAsia="Arial" w:hAnsi="Arial"/>
          <w:sz w:val="20"/>
          <w:szCs w:val="20"/>
          <w:u w:val="single" w:color="auto"/>
          <w:color w:val="auto"/>
        </w:rPr>
        <w:t>Section 4.3</w:t>
      </w:r>
      <w:r>
        <w:rPr>
          <w:rFonts w:ascii="Arial" w:cs="Arial" w:eastAsia="Arial" w:hAnsi="Arial"/>
          <w:sz w:val="20"/>
          <w:szCs w:val="20"/>
          <w:color w:val="auto"/>
        </w:rPr>
        <w:t xml:space="preserve"> on the last day of an Interest Period applicable thereto or on any other day subject to </w:t>
      </w:r>
      <w:r>
        <w:rPr>
          <w:rFonts w:ascii="Arial" w:cs="Arial" w:eastAsia="Arial" w:hAnsi="Arial"/>
          <w:sz w:val="20"/>
          <w:szCs w:val="20"/>
          <w:u w:val="single" w:color="auto"/>
          <w:color w:val="auto"/>
        </w:rPr>
        <w:t>Section 3.5</w:t>
      </w:r>
      <w:r>
        <w:rPr>
          <w:rFonts w:ascii="Arial" w:cs="Arial" w:eastAsia="Arial" w:hAnsi="Arial"/>
          <w:sz w:val="20"/>
          <w:szCs w:val="20"/>
          <w:color w:val="auto"/>
        </w:rPr>
        <w:t>;</w:t>
      </w:r>
    </w:p>
    <w:p>
      <w:pPr>
        <w:spacing w:after="0" w:line="20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auto"/>
        </w:rPr>
        <w:t xml:space="preserve">each prepayment in respect of any Borrowing shall be applied pro rata among the Loans comprising such Borrowing,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Canadian Borrower may defease any B/A by depositing with Canadian Administrative Agent an amount equal to the face amount of such maturing B/A, </w:t>
      </w:r>
      <w:r>
        <w:rPr>
          <w:rFonts w:ascii="Arial" w:cs="Arial" w:eastAsia="Arial" w:hAnsi="Arial"/>
          <w:sz w:val="20"/>
          <w:szCs w:val="20"/>
          <w:u w:val="single" w:color="auto"/>
          <w:color w:val="auto"/>
        </w:rPr>
        <w:t>provided</w:t>
      </w:r>
      <w:r>
        <w:rPr>
          <w:rFonts w:ascii="Arial" w:cs="Arial" w:eastAsia="Arial" w:hAnsi="Arial"/>
          <w:sz w:val="20"/>
          <w:szCs w:val="20"/>
          <w:color w:val="auto"/>
        </w:rPr>
        <w:t>, that such prepayment shall not be applied to any Loans of a Defaulting Lender at any time when the aggregate amount of Loans of any Non-Defaulting Lender exceeds such Non-Defaulting Lender’s Pro Rata Share of all Loans then outstanding; and</w:t>
      </w:r>
    </w:p>
    <w:p>
      <w:pPr>
        <w:spacing w:after="0" w:line="21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auto"/>
        </w:rPr>
        <w:t>unless otherwise specified by the applicable Borrower, each voluntary prepayment of Term Loans shall be applied to the Scheduled Term Repayments of all outstanding Term Loans in proportional amounts equal to the applicable Term Percentage of Term Loans with respect to such prepayment and, within each Term Loan, to reduce the remaining Scheduled Term Repayments, in direct order of maturity. Unless otherwise specified by the applicable Borrower, such prepayment shall be applied first to the payment of Base Rate Loans and second to the payment of such Eurocurrency Loans.</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The notice provisions, the provisions with respect to the minimum amount of any prepayment and the provisions requiring prepayments in integral multiples above such minimum amount of this </w:t>
      </w:r>
      <w:r>
        <w:rPr>
          <w:rFonts w:ascii="Arial" w:cs="Arial" w:eastAsia="Arial" w:hAnsi="Arial"/>
          <w:sz w:val="20"/>
          <w:szCs w:val="20"/>
          <w:u w:val="single" w:color="auto"/>
          <w:color w:val="auto"/>
        </w:rPr>
        <w:t>Section 4.3</w:t>
      </w:r>
      <w:r>
        <w:rPr>
          <w:rFonts w:ascii="Arial" w:cs="Arial" w:eastAsia="Arial" w:hAnsi="Arial"/>
          <w:sz w:val="20"/>
          <w:szCs w:val="20"/>
          <w:color w:val="auto"/>
        </w:rPr>
        <w:t xml:space="preserve"> are for the benefit of Administrative Agent and may be waived unilaterally by Administrative Agent.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4.4 Mandatory Prepayments</w:t>
      </w:r>
    </w:p>
    <w:p>
      <w:pPr>
        <w:ind w:left="66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(a) Prepayment Upon Overadvance</w:t>
      </w:r>
      <w:r>
        <w:rPr>
          <w:rFonts w:ascii="Arial" w:cs="Arial" w:eastAsia="Arial" w:hAnsi="Arial"/>
          <w:sz w:val="20"/>
          <w:szCs w:val="20"/>
          <w:color w:val="auto"/>
        </w:rPr>
        <w:t>.</w:t>
      </w:r>
    </w:p>
    <w:p>
      <w:pPr>
        <w:spacing w:after="0" w:line="213"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U.S. Borrower shall prepay the outstanding principal amount of the Loans under the Dollar Revolving Facility on any date on which the aggregate Effective Amount of such Loans, together with the aggregate Effective Amount of Dollar LC Obligations, exceeds the aggregate Dollar Revolving Commitments, in the amount of such excess. If, after giving effect to the prepayment of all outstanding Dollar Revolving Loans, the outstanding principal amount of Dollar Revolving Loans, together with the aggregate Effective Amount of the Dollar LC Obligations, exceeds the aggregate Dollar Revolving Commitments then in effect, the U.S. Borrower shall cash collateralize the Dollar LC Obligations by depositing pursuant to a cash collateral agreement to be entered into in form and substance reasonably satisfactory to Administrative Agent, cash with Administrative Agent in an amount equal to the positive difference, if any, between the outstanding principal amount of Dollar Revolving Loans plus the aggregate Effective Amount of the Dollar LC Obligations and the Dollar Revolving Commitments then in effect. Administrative Agent shall establish in its name for the benefit of the Dollar Revolving Lenders a cash collateral account (the “</w:t>
      </w:r>
      <w:r>
        <w:rPr>
          <w:rFonts w:ascii="Arial" w:cs="Arial" w:eastAsia="Arial" w:hAnsi="Arial"/>
          <w:sz w:val="20"/>
          <w:szCs w:val="20"/>
          <w:u w:val="single" w:color="auto"/>
          <w:color w:val="auto"/>
        </w:rPr>
        <w:t>Dollar Collateral Account</w:t>
      </w:r>
      <w:r>
        <w:rPr>
          <w:rFonts w:ascii="Arial" w:cs="Arial" w:eastAsia="Arial" w:hAnsi="Arial"/>
          <w:sz w:val="20"/>
          <w:szCs w:val="20"/>
          <w:color w:val="auto"/>
        </w:rPr>
        <w:t>”) into which it shall deposit such cash to hold as collateral security for the outstanding Dollar LC Obligations.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European Borrower or U.S. Borrower, as applicable, shall prepay the outstanding principal amount of the Loans under the Multicurrency Revolving Facility on any date on which the aggregate</w:t>
      </w:r>
    </w:p>
    <w:p>
      <w:pPr>
        <w:sectPr>
          <w:pgSz w:w="11900" w:h="16838" w:orient="portrait"/>
          <w:cols w:equalWidth="0" w:num="1">
            <w:col w:w="11240"/>
          </w:cols>
          <w:pgMar w:left="320" w:top="1419" w:right="339" w:bottom="1440" w:gutter="0" w:footer="0" w:header="0"/>
        </w:sectPr>
      </w:pPr>
    </w:p>
    <w:bookmarkStart w:id="235" w:name="page236"/>
    <w:bookmarkEnd w:id="235"/>
    <w:p>
      <w:pPr>
        <w:jc w:val="both"/>
        <w:spacing w:after="0" w:line="255" w:lineRule="auto"/>
        <w:rPr>
          <w:sz w:val="20"/>
          <w:szCs w:val="20"/>
          <w:color w:val="auto"/>
        </w:rPr>
      </w:pPr>
      <w:r>
        <w:rPr>
          <w:rFonts w:ascii="Arial" w:cs="Arial" w:eastAsia="Arial" w:hAnsi="Arial"/>
          <w:sz w:val="18"/>
          <w:szCs w:val="18"/>
          <w:color w:val="auto"/>
        </w:rPr>
        <w:t>Effective Amount of such Loans, together with the aggregate Effective Amount of Multicurrency LC Obligations and Effective Amount of Swing Line Loans, exceeds the aggregate Multicurrency Revolving Commitments, in the amount of such excess. If, after giving effect to the prepayment of all outstanding, Multicurrency Revolving Loans, the outstanding principal amount of Multicurrency Revolving Loans together with the aggregate Effective Amount of Multicurrency LC Obligations plus the aggregate Effective Amount of Swing Line Loans, exceeds the aggregate Multicurrency Revolving Commitments then in effect, European Borrower or U.S. Borrower, as applicable, shall prepay all outstanding Swing Line Loans then, cash collateralize Multicurrency LC Obligations by depositing, pursuant to a cash collateral agreement to be entered into in form and substance reasonably satisfactory to Administrative Agent, cash with Administrative Agent in an amount equal to the positive difference, if any, between the outstanding principal amount of Multicurrency Revolving Loans plus the aggregate Effective Amount of such Multicurrency LC Obligations and the aggregate Multicurrency Revolving Commitments then in effect. Administrative Agent shall establish in its name for the benefit of the Multicurrency Revolving Lenders a cash collateral account (the “</w:t>
      </w:r>
      <w:r>
        <w:rPr>
          <w:rFonts w:ascii="Arial" w:cs="Arial" w:eastAsia="Arial" w:hAnsi="Arial"/>
          <w:sz w:val="18"/>
          <w:szCs w:val="18"/>
          <w:u w:val="single" w:color="auto"/>
          <w:color w:val="auto"/>
        </w:rPr>
        <w:t>Multicurrency</w:t>
      </w:r>
      <w:r>
        <w:rPr>
          <w:rFonts w:ascii="Arial" w:cs="Arial" w:eastAsia="Arial" w:hAnsi="Arial"/>
          <w:sz w:val="18"/>
          <w:szCs w:val="18"/>
          <w:color w:val="auto"/>
        </w:rPr>
        <w:t xml:space="preserve"> </w:t>
      </w:r>
      <w:r>
        <w:rPr>
          <w:rFonts w:ascii="Arial" w:cs="Arial" w:eastAsia="Arial" w:hAnsi="Arial"/>
          <w:sz w:val="18"/>
          <w:szCs w:val="18"/>
          <w:u w:val="single" w:color="auto"/>
          <w:color w:val="auto"/>
        </w:rPr>
        <w:t>Collateral Account</w:t>
      </w:r>
      <w:r>
        <w:rPr>
          <w:rFonts w:ascii="Arial" w:cs="Arial" w:eastAsia="Arial" w:hAnsi="Arial"/>
          <w:sz w:val="18"/>
          <w:szCs w:val="18"/>
          <w:color w:val="auto"/>
        </w:rPr>
        <w:t>” and, together with the Dollar Collateral Account, each a “</w:t>
      </w:r>
      <w:r>
        <w:rPr>
          <w:rFonts w:ascii="Arial" w:cs="Arial" w:eastAsia="Arial" w:hAnsi="Arial"/>
          <w:sz w:val="18"/>
          <w:szCs w:val="18"/>
          <w:u w:val="single" w:color="auto"/>
          <w:color w:val="auto"/>
        </w:rPr>
        <w:t>Collateral Account</w:t>
      </w:r>
      <w:r>
        <w:rPr>
          <w:rFonts w:ascii="Arial" w:cs="Arial" w:eastAsia="Arial" w:hAnsi="Arial"/>
          <w:sz w:val="18"/>
          <w:szCs w:val="18"/>
          <w:color w:val="auto"/>
        </w:rPr>
        <w:t>”) into which it shall deposit such cash to hold as collateral security for the outstanding Multicurrency LC Obligations.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Canadian Borrower shall prepay the outstanding principal amount of the Loans under the Canadian Revolving Facility on any date on which the aggregate Effective Amount of such Loans, together with the aggregate Effective Amount of the Canadian LC Obligations, exceeds the aggregate Canadian Revolving Commitments, in the amount of such excess. If, after giving effect to the prepayment of all outstanding Canadian Prime Rate Loans, the outstanding principal amount of Canadian Revolving Loans together with the aggregate Effective Amount of the Canadian LC Obligations exceeds the aggregate Canadian Revolving Commitments then in effect, the Canadian Borrower shall cash collateralize the Canadian LC Obligations and cash collateralize outstanding B/A Loans by depositing pursuant to a cash collateral agreement to be entered into in form and substance reasonably satisfactory to Canadian Administrative Agent, cash with Canadian Administrative Agent in an amount equal to the positive difference, if any, between the outstanding principal amount of Canadian Revolving Loans plus the aggregate Effective Amount of the Canadian LC Obligations and the Canadian Revolving Commitments then in effect. Canadian Administrative Agent shall establish in its name for the benefit of the Canadian Revolving Lenders a cash collateral account into which it shall deposit said cash to hold as collateral security for the outstanding Canadian LC Obligations and/or B/A Loans.</w:t>
      </w:r>
    </w:p>
    <w:p>
      <w:pPr>
        <w:spacing w:after="0" w:line="200" w:lineRule="exact"/>
        <w:rPr>
          <w:sz w:val="20"/>
          <w:szCs w:val="20"/>
          <w:color w:val="auto"/>
        </w:rPr>
      </w:pPr>
    </w:p>
    <w:p>
      <w:pPr>
        <w:jc w:val="both"/>
        <w:ind w:left="660" w:hanging="4"/>
        <w:spacing w:after="0" w:line="267" w:lineRule="auto"/>
        <w:tabs>
          <w:tab w:leader="none" w:pos="976" w:val="left"/>
        </w:tabs>
        <w:numPr>
          <w:ilvl w:val="0"/>
          <w:numId w:val="13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Scheduled Term Repayments</w:t>
      </w:r>
      <w:r>
        <w:rPr>
          <w:rFonts w:ascii="Arial" w:cs="Arial" w:eastAsia="Arial" w:hAnsi="Arial"/>
          <w:sz w:val="18"/>
          <w:szCs w:val="18"/>
          <w:color w:val="auto"/>
        </w:rPr>
        <w:t>. The applicable Borrower shall cause to be paid Scheduled Term Repayments for each Term Facility on the Term Loans until the Term Loans are paid in full in the amounts and currencies and at the times specified in each of the Scheduled Term Repayment definitions to the extent that prepayments have not previously been applied to such Scheduled Term Repayments (and such Scheduled Term Repayments have not otherwise been reduced) pursuant to the terms hereof.</w:t>
      </w:r>
    </w:p>
    <w:p>
      <w:pPr>
        <w:spacing w:after="0" w:line="18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u w:val="single" w:color="auto"/>
          <w:color w:val="auto"/>
        </w:rPr>
        <w:t>(c)Mandatory Prepayment Upon Asset Disposition</w:t>
      </w:r>
      <w:r>
        <w:rPr>
          <w:rFonts w:ascii="Arial" w:cs="Arial" w:eastAsia="Arial" w:hAnsi="Arial"/>
          <w:sz w:val="18"/>
          <w:szCs w:val="18"/>
          <w:color w:val="auto"/>
        </w:rPr>
        <w:t xml:space="preserve">. From and after the Incremental Amendment No. 2 and Third Amendment Effective Date, on the tenth Business Day after the date of receipt thereof by Crown Holdings and/or any of its Subsidiaries of Net Proceeds from any Asset Disposition (other than an Asset Disposition permitted by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8.5(a)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8.5(g)</w:t>
      </w:r>
      <w:r>
        <w:rPr>
          <w:rFonts w:ascii="Arial" w:cs="Arial" w:eastAsia="Arial" w:hAnsi="Arial"/>
          <w:sz w:val="18"/>
          <w:szCs w:val="18"/>
          <w:color w:val="auto"/>
        </w:rPr>
        <w:t xml:space="preserve">, </w:t>
      </w:r>
      <w:r>
        <w:rPr>
          <w:rFonts w:ascii="Arial" w:cs="Arial" w:eastAsia="Arial" w:hAnsi="Arial"/>
          <w:sz w:val="18"/>
          <w:szCs w:val="18"/>
          <w:u w:val="single" w:color="auto"/>
          <w:color w:val="auto"/>
        </w:rPr>
        <w:t>8.5(j)</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8.5(l)</w:t>
      </w:r>
      <w:r>
        <w:rPr>
          <w:rFonts w:ascii="Arial" w:cs="Arial" w:eastAsia="Arial" w:hAnsi="Arial"/>
          <w:sz w:val="18"/>
          <w:szCs w:val="18"/>
          <w:color w:val="auto"/>
        </w:rPr>
        <w:t xml:space="preserve">, 8.5(m)(1), </w:t>
      </w:r>
      <w:r>
        <w:rPr>
          <w:rFonts w:ascii="Arial" w:cs="Arial" w:eastAsia="Arial" w:hAnsi="Arial"/>
          <w:sz w:val="18"/>
          <w:szCs w:val="18"/>
          <w:u w:val="single" w:color="auto"/>
          <w:color w:val="auto"/>
        </w:rPr>
        <w:t>8.5(n)</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subclause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8.5(o)</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8.5(u)</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8.5(w)</w:t>
      </w:r>
      <w:r>
        <w:rPr>
          <w:rFonts w:ascii="Arial" w:cs="Arial" w:eastAsia="Arial" w:hAnsi="Arial"/>
          <w:sz w:val="18"/>
          <w:szCs w:val="18"/>
          <w:color w:val="auto"/>
        </w:rPr>
        <w:t xml:space="preserve">), Borrowers shall apply an amount equal to 100% of the Net Proceeds from such Asset Disposition as a mandatory repayment of principal of the Term Loans, pursuant to the terms of </w:t>
      </w:r>
      <w:r>
        <w:rPr>
          <w:rFonts w:ascii="Arial" w:cs="Arial" w:eastAsia="Arial" w:hAnsi="Arial"/>
          <w:sz w:val="18"/>
          <w:szCs w:val="18"/>
          <w:u w:val="single" w:color="auto"/>
          <w:color w:val="auto"/>
        </w:rPr>
        <w:t>Section 4.5(a)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Net Proceeds therefrom shall not be required to be so applied on such date to the extent that (i) no Credit Party would be obligated to make an offer to purchase any Indebtedness if such Net Proceeds were not used to repay Term Loans and (ii) no Event of Default then exists and Crown Holdings delivers a certificate to Administrative Agent on or prior to such date stating that such Net Proceeds shall be used to purchase assets used or to be used in</w:t>
      </w:r>
    </w:p>
    <w:p>
      <w:pPr>
        <w:sectPr>
          <w:pgSz w:w="11900" w:h="16838" w:orient="portrait"/>
          <w:cols w:equalWidth="0" w:num="1">
            <w:col w:w="11240"/>
          </w:cols>
          <w:pgMar w:left="320" w:top="1419" w:right="339" w:bottom="1440" w:gutter="0" w:footer="0" w:header="0"/>
        </w:sectPr>
      </w:pPr>
    </w:p>
    <w:bookmarkStart w:id="236" w:name="page237"/>
    <w:bookmarkEnd w:id="236"/>
    <w:p>
      <w:pPr>
        <w:jc w:val="both"/>
        <w:ind w:left="4"/>
        <w:spacing w:after="0" w:line="290" w:lineRule="auto"/>
        <w:rPr>
          <w:sz w:val="20"/>
          <w:szCs w:val="20"/>
          <w:color w:val="auto"/>
        </w:rPr>
      </w:pPr>
      <w:r>
        <w:rPr>
          <w:rFonts w:ascii="Arial" w:cs="Arial" w:eastAsia="Arial" w:hAnsi="Arial"/>
          <w:sz w:val="16"/>
          <w:szCs w:val="16"/>
          <w:color w:val="auto"/>
        </w:rPr>
        <w:t xml:space="preserve">the businesses referred to in </w:t>
      </w:r>
      <w:r>
        <w:rPr>
          <w:rFonts w:ascii="Arial" w:cs="Arial" w:eastAsia="Arial" w:hAnsi="Arial"/>
          <w:sz w:val="16"/>
          <w:szCs w:val="16"/>
          <w:u w:val="single" w:color="auto"/>
          <w:color w:val="auto"/>
        </w:rPr>
        <w:t>Section 8.3(c)</w:t>
      </w:r>
      <w:r>
        <w:rPr>
          <w:rFonts w:ascii="Arial" w:cs="Arial" w:eastAsia="Arial" w:hAnsi="Arial"/>
          <w:sz w:val="16"/>
          <w:szCs w:val="16"/>
          <w:color w:val="auto"/>
        </w:rPr>
        <w:t xml:space="preserve"> within 365 days following the date of such Asset Disposition (which certificate shall set forth the estimates of the proceeds to be so expended),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 if all or any portion of such Net Proceeds not so applied to the repayment of Term Loans are not so used (or contractually committed to be used) within such 365 day period, such remaining portion shall be applied on the last day of the respective period as a mandatory repayment of principal of outstanding Term Loans as provided above in this </w:t>
      </w:r>
      <w:r>
        <w:rPr>
          <w:rFonts w:ascii="Arial" w:cs="Arial" w:eastAsia="Arial" w:hAnsi="Arial"/>
          <w:sz w:val="16"/>
          <w:szCs w:val="16"/>
          <w:u w:val="single" w:color="auto"/>
          <w:color w:val="auto"/>
        </w:rPr>
        <w:t>Section 4.4(c)</w:t>
      </w:r>
      <w:r>
        <w:rPr>
          <w:rFonts w:ascii="Arial" w:cs="Arial" w:eastAsia="Arial" w:hAnsi="Arial"/>
          <w:sz w:val="16"/>
          <w:szCs w:val="16"/>
          <w:color w:val="auto"/>
        </w:rPr>
        <w:t xml:space="preserve"> and (ii) if all or any portion of such Net Proceeds are not required to be applied on the 365th day referred to in clause (i) above because such amount is contractually committed to be used and subsequent to such date such contract is terminated or expires without such portion being so used, then such remaining portion shall be applied within ten days the date of such termination or expiration as a mandatory repayment of principal of outstanding Term Loans as provided in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4.4(c)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assets subject to such Asset Disposition constituted Collateral under the Security Documents, then any capital assets purchased with the Net Proceeds thereof pursuant to this subsection shall be mortgaged or pledged, as the case may be, the applicable Collateral Agent, for its benefit and for the benefit of the other applicable Lenders in accordance with </w:t>
      </w:r>
      <w:r>
        <w:rPr>
          <w:rFonts w:ascii="Arial" w:cs="Arial" w:eastAsia="Arial" w:hAnsi="Arial"/>
          <w:sz w:val="16"/>
          <w:szCs w:val="16"/>
          <w:u w:val="single" w:color="auto"/>
          <w:color w:val="auto"/>
        </w:rPr>
        <w:t>Section 7.14</w:t>
      </w:r>
      <w:r>
        <w:rPr>
          <w:rFonts w:ascii="Arial" w:cs="Arial" w:eastAsia="Arial" w:hAnsi="Arial"/>
          <w:sz w:val="16"/>
          <w:szCs w:val="16"/>
          <w:color w:val="auto"/>
        </w:rPr>
        <w:t>.</w:t>
      </w:r>
    </w:p>
    <w:p>
      <w:pPr>
        <w:spacing w:after="0" w:line="396" w:lineRule="exact"/>
        <w:rPr>
          <w:sz w:val="20"/>
          <w:szCs w:val="20"/>
          <w:color w:val="auto"/>
        </w:rPr>
      </w:pPr>
    </w:p>
    <w:p>
      <w:pPr>
        <w:ind w:left="284" w:hanging="284"/>
        <w:spacing w:after="0"/>
        <w:tabs>
          <w:tab w:leader="none" w:pos="284" w:val="left"/>
        </w:tabs>
        <w:numPr>
          <w:ilvl w:val="0"/>
          <w:numId w:val="13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29" w:lineRule="exact"/>
        <w:rPr>
          <w:rFonts w:ascii="Arial" w:cs="Arial" w:eastAsia="Arial" w:hAnsi="Arial"/>
          <w:sz w:val="20"/>
          <w:szCs w:val="20"/>
          <w:u w:val="single" w:color="auto"/>
          <w:color w:val="auto"/>
        </w:rPr>
      </w:pPr>
    </w:p>
    <w:p>
      <w:pPr>
        <w:ind w:left="264" w:hanging="264"/>
        <w:spacing w:after="0"/>
        <w:tabs>
          <w:tab w:leader="none" w:pos="264" w:val="left"/>
        </w:tabs>
        <w:numPr>
          <w:ilvl w:val="0"/>
          <w:numId w:val="13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29" w:lineRule="exact"/>
        <w:rPr>
          <w:rFonts w:ascii="Arial" w:cs="Arial" w:eastAsia="Arial" w:hAnsi="Arial"/>
          <w:sz w:val="20"/>
          <w:szCs w:val="20"/>
          <w:u w:val="single" w:color="auto"/>
          <w:color w:val="auto"/>
        </w:rPr>
      </w:pPr>
    </w:p>
    <w:p>
      <w:pPr>
        <w:jc w:val="both"/>
        <w:ind w:left="-656" w:firstLine="656"/>
        <w:spacing w:after="0" w:line="229" w:lineRule="auto"/>
        <w:tabs>
          <w:tab w:leader="none" w:pos="285" w:val="left"/>
        </w:tabs>
        <w:numPr>
          <w:ilvl w:val="0"/>
          <w:numId w:val="13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Mandatory Prepayment Upon Recovery Event</w:t>
      </w:r>
      <w:r>
        <w:rPr>
          <w:rFonts w:ascii="Arial" w:cs="Arial" w:eastAsia="Arial" w:hAnsi="Arial"/>
          <w:sz w:val="20"/>
          <w:szCs w:val="20"/>
          <w:color w:val="auto"/>
        </w:rPr>
        <w:t xml:space="preserve">. From and after the Incremental Amendment No. 2 and Third Amendment Effective Date, within ten (10) days following each date on which Crown Holdings or any of its Subsidiaries receives any Net Proceeds, Borrowers shall apply an amount equal to 100% of the Net Proceeds of such Recovery Event as a mandatory repayment of principal of the Term Loans pursuant to the terms of </w:t>
      </w:r>
      <w:r>
        <w:rPr>
          <w:rFonts w:ascii="Arial" w:cs="Arial" w:eastAsia="Arial" w:hAnsi="Arial"/>
          <w:sz w:val="20"/>
          <w:szCs w:val="20"/>
          <w:u w:val="single" w:color="auto"/>
          <w:color w:val="auto"/>
        </w:rPr>
        <w:t>Section 4.5(a)</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so long as no Event of Default then exists, such proceeds shall not be required to be so applied on such date to the extent that Crown Holdings has delivered a certificate to Administrative Agent on or prior to such date stating that such proceeds shall be used to replace or restore any properties or assets in respect of which such proceeds were paid within 365 days following the date of the receipt of such proceeds (which certificate shall set forth the estimates of the proceeds to be so expended), that</w:t>
      </w:r>
    </w:p>
    <w:p>
      <w:pPr>
        <w:spacing w:after="0" w:line="215" w:lineRule="exact"/>
        <w:rPr>
          <w:sz w:val="20"/>
          <w:szCs w:val="20"/>
          <w:color w:val="auto"/>
        </w:rPr>
      </w:pPr>
    </w:p>
    <w:p>
      <w:pPr>
        <w:jc w:val="both"/>
        <w:ind w:left="1304"/>
        <w:spacing w:after="0" w:line="248" w:lineRule="auto"/>
        <w:rPr>
          <w:sz w:val="20"/>
          <w:szCs w:val="20"/>
          <w:color w:val="auto"/>
        </w:rPr>
      </w:pPr>
      <w:r>
        <w:rPr>
          <w:rFonts w:ascii="Arial" w:cs="Arial" w:eastAsia="Arial" w:hAnsi="Arial"/>
          <w:sz w:val="19"/>
          <w:szCs w:val="19"/>
          <w:color w:val="auto"/>
        </w:rPr>
        <w:t xml:space="preserve">(i)if all or any portion of such Net Proceeds not required to be applied to the repayment of Term Loans pursuant to the first proviso of this </w:t>
      </w:r>
      <w:r>
        <w:rPr>
          <w:rFonts w:ascii="Arial" w:cs="Arial" w:eastAsia="Arial" w:hAnsi="Arial"/>
          <w:sz w:val="19"/>
          <w:szCs w:val="19"/>
          <w:u w:val="single" w:color="auto"/>
          <w:color w:val="auto"/>
        </w:rPr>
        <w:t>Section 4.4(f)</w:t>
      </w:r>
      <w:r>
        <w:rPr>
          <w:rFonts w:ascii="Arial" w:cs="Arial" w:eastAsia="Arial" w:hAnsi="Arial"/>
          <w:sz w:val="19"/>
          <w:szCs w:val="19"/>
          <w:color w:val="auto"/>
        </w:rPr>
        <w:t xml:space="preserve"> are not so used (or contractually committed to be used) within 365 days after the day of the receipt of such proceeds, such remaining portion shall be applied on the last day of such period as a mandatory repayment of principal of the Term Loan as provided in this </w:t>
      </w:r>
      <w:r>
        <w:rPr>
          <w:rFonts w:ascii="Arial" w:cs="Arial" w:eastAsia="Arial" w:hAnsi="Arial"/>
          <w:sz w:val="19"/>
          <w:szCs w:val="19"/>
          <w:u w:val="single" w:color="auto"/>
          <w:color w:val="auto"/>
        </w:rPr>
        <w:t>Section 4.4(f)</w:t>
      </w:r>
      <w:r>
        <w:rPr>
          <w:rFonts w:ascii="Arial" w:cs="Arial" w:eastAsia="Arial" w:hAnsi="Arial"/>
          <w:sz w:val="19"/>
          <w:szCs w:val="19"/>
          <w:color w:val="auto"/>
        </w:rPr>
        <w:t>;</w:t>
      </w:r>
    </w:p>
    <w:p>
      <w:pPr>
        <w:spacing w:after="0" w:line="204" w:lineRule="exact"/>
        <w:rPr>
          <w:sz w:val="20"/>
          <w:szCs w:val="20"/>
          <w:color w:val="auto"/>
        </w:rPr>
      </w:pPr>
    </w:p>
    <w:p>
      <w:pPr>
        <w:jc w:val="both"/>
        <w:ind w:left="1304"/>
        <w:spacing w:after="0" w:line="232" w:lineRule="auto"/>
        <w:rPr>
          <w:sz w:val="20"/>
          <w:szCs w:val="20"/>
          <w:color w:val="auto"/>
        </w:rPr>
      </w:pPr>
      <w:r>
        <w:rPr>
          <w:rFonts w:ascii="Arial" w:cs="Arial" w:eastAsia="Arial" w:hAnsi="Arial"/>
          <w:sz w:val="20"/>
          <w:szCs w:val="20"/>
          <w:color w:val="auto"/>
        </w:rPr>
        <w:t xml:space="preserve">(ii)if all or any portion of such Net Proceeds are not required to be applied on the 365th day referred to in clause (i) above because such amount is contractually committed to be used and subsequent to such date such contract is terminated or expires without such portion being so used, then such remaining portion shall be applied on the date of such termination or expiration as a mandatory repayment of principal of outstanding Term Loans as provided in this </w:t>
      </w:r>
      <w:r>
        <w:rPr>
          <w:rFonts w:ascii="Arial" w:cs="Arial" w:eastAsia="Arial" w:hAnsi="Arial"/>
          <w:sz w:val="20"/>
          <w:szCs w:val="20"/>
          <w:u w:val="single" w:color="auto"/>
          <w:color w:val="auto"/>
        </w:rPr>
        <w:t>Section 4.4(f)</w:t>
      </w:r>
      <w:r>
        <w:rPr>
          <w:rFonts w:ascii="Arial" w:cs="Arial" w:eastAsia="Arial" w:hAnsi="Arial"/>
          <w:sz w:val="20"/>
          <w:szCs w:val="20"/>
          <w:color w:val="auto"/>
        </w:rPr>
        <w:t>; and</w:t>
      </w:r>
    </w:p>
    <w:p>
      <w:pPr>
        <w:spacing w:after="0" w:line="211" w:lineRule="exact"/>
        <w:rPr>
          <w:sz w:val="20"/>
          <w:szCs w:val="20"/>
          <w:color w:val="auto"/>
        </w:rPr>
      </w:pPr>
    </w:p>
    <w:p>
      <w:pPr>
        <w:jc w:val="both"/>
        <w:ind w:left="1304" w:hanging="8"/>
        <w:spacing w:after="0" w:line="234" w:lineRule="auto"/>
        <w:tabs>
          <w:tab w:leader="none" w:pos="1634"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if the asset subject to such Recovery Event constituted Collateral under the Security Documents, then any replacement or substitute assets purchased with the proceeds thereof pursuant to this subsection shall be mortgaged or pledged, as the case may be, to the applicable Collateral Agent, for its benefit and for the benefit of the other applicable Lenders in accordance with </w:t>
      </w:r>
      <w:r>
        <w:rPr>
          <w:rFonts w:ascii="Arial" w:cs="Arial" w:eastAsia="Arial" w:hAnsi="Arial"/>
          <w:sz w:val="20"/>
          <w:szCs w:val="20"/>
          <w:u w:val="single" w:color="auto"/>
          <w:color w:val="auto"/>
        </w:rPr>
        <w:t>Section 7.14</w:t>
      </w:r>
      <w:r>
        <w:rPr>
          <w:rFonts w:ascii="Arial" w:cs="Arial" w:eastAsia="Arial" w:hAnsi="Arial"/>
          <w:sz w:val="20"/>
          <w:szCs w:val="20"/>
          <w:color w:val="auto"/>
        </w:rPr>
        <w:t>.</w:t>
      </w:r>
    </w:p>
    <w:p>
      <w:pPr>
        <w:sectPr>
          <w:pgSz w:w="11900" w:h="16838" w:orient="portrait"/>
          <w:cols w:equalWidth="0" w:num="1">
            <w:col w:w="10584"/>
          </w:cols>
          <w:pgMar w:left="976" w:top="1419" w:right="339" w:bottom="1440" w:gutter="0" w:footer="0" w:header="0"/>
        </w:sectPr>
      </w:pPr>
    </w:p>
    <w:bookmarkStart w:id="237" w:name="page238"/>
    <w:bookmarkEnd w:id="237"/>
    <w:p>
      <w:pPr>
        <w:jc w:val="both"/>
        <w:ind w:firstLine="656"/>
        <w:spacing w:after="0" w:line="256" w:lineRule="auto"/>
        <w:tabs>
          <w:tab w:leader="none" w:pos="928" w:val="left"/>
        </w:tabs>
        <w:numPr>
          <w:ilvl w:val="1"/>
          <w:numId w:val="13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Repatriation of Proceeds</w:t>
      </w:r>
      <w:r>
        <w:rPr>
          <w:rFonts w:ascii="Arial" w:cs="Arial" w:eastAsia="Arial" w:hAnsi="Arial"/>
          <w:sz w:val="18"/>
          <w:szCs w:val="18"/>
          <w:color w:val="auto"/>
        </w:rPr>
        <w:t xml:space="preserve">. Notwithstanding any other provisions of </w:t>
      </w:r>
      <w:r>
        <w:rPr>
          <w:rFonts w:ascii="Arial" w:cs="Arial" w:eastAsia="Arial" w:hAnsi="Arial"/>
          <w:sz w:val="18"/>
          <w:szCs w:val="18"/>
          <w:u w:val="single" w:color="auto"/>
          <w:color w:val="auto"/>
        </w:rPr>
        <w:t>Sections 4.4(c)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4.4(f)</w:t>
      </w:r>
      <w:r>
        <w:rPr>
          <w:rFonts w:ascii="Arial" w:cs="Arial" w:eastAsia="Arial" w:hAnsi="Arial"/>
          <w:sz w:val="18"/>
          <w:szCs w:val="18"/>
          <w:color w:val="auto"/>
        </w:rPr>
        <w:t>, to the extent that any of or all the Net Proceeds of any Asset Disposition or any Recovery Event are received by a Non-U.S. Subsidiary (in each case, “</w:t>
      </w:r>
      <w:r>
        <w:rPr>
          <w:rFonts w:ascii="Arial" w:cs="Arial" w:eastAsia="Arial" w:hAnsi="Arial"/>
          <w:sz w:val="18"/>
          <w:szCs w:val="18"/>
          <w:u w:val="single" w:color="auto"/>
          <w:color w:val="auto"/>
        </w:rPr>
        <w:t>Foreign Proceeds</w:t>
      </w:r>
      <w:r>
        <w:rPr>
          <w:rFonts w:ascii="Arial" w:cs="Arial" w:eastAsia="Arial" w:hAnsi="Arial"/>
          <w:sz w:val="18"/>
          <w:szCs w:val="18"/>
          <w:color w:val="auto"/>
        </w:rPr>
        <w:t>”) and the repatriation of such Foreign Proceeds would (x) result in material adverse Tax consequences to Crown Holdings or any other Subsidiary or</w:t>
      </w:r>
    </w:p>
    <w:p>
      <w:pPr>
        <w:spacing w:after="0" w:line="1" w:lineRule="exact"/>
        <w:rPr>
          <w:rFonts w:ascii="Arial" w:cs="Arial" w:eastAsia="Arial" w:hAnsi="Arial"/>
          <w:sz w:val="18"/>
          <w:szCs w:val="18"/>
          <w:u w:val="single" w:color="auto"/>
          <w:color w:val="auto"/>
        </w:rPr>
      </w:pPr>
    </w:p>
    <w:p>
      <w:pPr>
        <w:jc w:val="both"/>
        <w:ind w:firstLine="8"/>
        <w:spacing w:after="0" w:line="253" w:lineRule="auto"/>
        <w:tabs>
          <w:tab w:leader="none" w:pos="28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would be prohibited or restricted by applicable law, rule or regulation or contract (each, a “</w:t>
      </w:r>
      <w:r>
        <w:rPr>
          <w:rFonts w:ascii="Arial" w:cs="Arial" w:eastAsia="Arial" w:hAnsi="Arial"/>
          <w:sz w:val="18"/>
          <w:szCs w:val="18"/>
          <w:u w:val="single" w:color="auto"/>
          <w:color w:val="auto"/>
        </w:rPr>
        <w:t>Repatriation Limitation</w:t>
      </w:r>
      <w:r>
        <w:rPr>
          <w:rFonts w:ascii="Arial" w:cs="Arial" w:eastAsia="Arial" w:hAnsi="Arial"/>
          <w:sz w:val="18"/>
          <w:szCs w:val="18"/>
          <w:color w:val="auto"/>
        </w:rPr>
        <w:t>”), the portion of such Foreign Proceeds so affected will not be required to be applied to repay Loans or reduce any Commitments hereunder but may be retained by the applicable Foreign Subsidiary so long as such Repatriation Limitation exists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Crown Holdings hereby agrees to use commercially reasonable efforts to cause the applicable Non-U.S. Subsidiary to promptly take commercially reasonable actions required by the applicable law, rule or regulation to overcome or mitigate the effect of the Repatriation Limitation so as to permit such repatriation) and once such Repatriation Limitation no longer exists the applicable Borrower shall promptly (and in any event not later than 10 Business Days after any such repatriation) apply such amount to the repayment of the Loans to the extent it would have otherwise been required pursuant to </w:t>
      </w:r>
      <w:r>
        <w:rPr>
          <w:rFonts w:ascii="Arial" w:cs="Arial" w:eastAsia="Arial" w:hAnsi="Arial"/>
          <w:sz w:val="18"/>
          <w:szCs w:val="18"/>
          <w:u w:val="single" w:color="auto"/>
          <w:color w:val="auto"/>
        </w:rPr>
        <w:t>Section 4.4(c)</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4.4(f)</w:t>
      </w:r>
      <w:r>
        <w:rPr>
          <w:rFonts w:ascii="Arial" w:cs="Arial" w:eastAsia="Arial" w:hAnsi="Arial"/>
          <w:sz w:val="18"/>
          <w:szCs w:val="18"/>
          <w:color w:val="auto"/>
        </w:rPr>
        <w:t xml:space="preserve">. For the avoidance of doubt, nothing in this </w:t>
      </w:r>
      <w:r>
        <w:rPr>
          <w:rFonts w:ascii="Arial" w:cs="Arial" w:eastAsia="Arial" w:hAnsi="Arial"/>
          <w:sz w:val="18"/>
          <w:szCs w:val="18"/>
          <w:u w:val="single" w:color="auto"/>
          <w:color w:val="auto"/>
        </w:rPr>
        <w:t>Section 4.4(g)</w:t>
      </w:r>
      <w:r>
        <w:rPr>
          <w:rFonts w:ascii="Arial" w:cs="Arial" w:eastAsia="Arial" w:hAnsi="Arial"/>
          <w:sz w:val="18"/>
          <w:szCs w:val="18"/>
          <w:color w:val="auto"/>
        </w:rPr>
        <w:t xml:space="preserve"> shall require Borrowers to increase the amount of any prepayment in order to offset the application of any limitation or restriction described above and any resulting reduction in the amount of such mandatory prepayment. The non-application of any such mandatory prepayment amounts as a result of the foregoing provisions will not constitute an Unmatured Event of Default or an Event of Default and such amounts shall be available by Crown Holdings and its Subsidiaries for purposes not prohibited by this Agreement.</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4.5 Application of Prepayments; Waiver of Certain Prepayments</w:t>
      </w:r>
    </w:p>
    <w:p>
      <w:pPr>
        <w:ind w:left="66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firstLine="656"/>
        <w:spacing w:after="0" w:line="281" w:lineRule="auto"/>
        <w:tabs>
          <w:tab w:leader="none" w:pos="931" w:val="left"/>
        </w:tabs>
        <w:numPr>
          <w:ilvl w:val="1"/>
          <w:numId w:val="13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Prepayments</w:t>
      </w:r>
      <w:r>
        <w:rPr>
          <w:rFonts w:ascii="Arial" w:cs="Arial" w:eastAsia="Arial" w:hAnsi="Arial"/>
          <w:sz w:val="16"/>
          <w:szCs w:val="16"/>
          <w:color w:val="auto"/>
        </w:rPr>
        <w:t xml:space="preserve">. Except as expressly provided in this Agreement, all prepayments of principal made by Borrowers (1) pursuant to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4.4(a)</w:t>
      </w:r>
      <w:r>
        <w:rPr>
          <w:rFonts w:ascii="Arial" w:cs="Arial" w:eastAsia="Arial" w:hAnsi="Arial"/>
          <w:sz w:val="16"/>
          <w:szCs w:val="16"/>
          <w:color w:val="auto"/>
        </w:rPr>
        <w:t xml:space="preserve">) shall be applied (i) as directed by the applicable Borrower under any Term Facility to any or all of the remaining Scheduled Term Repayments of such Term Facility (in the amounts and in the order of maturity designated by such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such order is designated, such prepayments shall be applied to the remaining Scheduled Term Prepayments in direct order of maturity); (ii) within each Term Facility, first to the payment of Base Rate Loans and second to the payment of Eurocurrency Loans; and</w:t>
      </w:r>
    </w:p>
    <w:p>
      <w:pPr>
        <w:spacing w:after="0" w:line="2" w:lineRule="exact"/>
        <w:rPr>
          <w:rFonts w:ascii="Arial" w:cs="Arial" w:eastAsia="Arial" w:hAnsi="Arial"/>
          <w:sz w:val="16"/>
          <w:szCs w:val="16"/>
          <w:u w:val="single" w:color="auto"/>
          <w:color w:val="auto"/>
        </w:rPr>
      </w:pPr>
    </w:p>
    <w:p>
      <w:pPr>
        <w:jc w:val="both"/>
        <w:ind w:firstLine="8"/>
        <w:spacing w:after="0" w:line="253" w:lineRule="auto"/>
        <w:tabs>
          <w:tab w:leader="none" w:pos="36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with respect to Eurocurrency Loans, in such order as Borrowers shall request (and in the absence of such request, as Administrative Agent shall determine) and (2) pursuant to </w:t>
      </w:r>
      <w:r>
        <w:rPr>
          <w:rFonts w:ascii="Arial" w:cs="Arial" w:eastAsia="Arial" w:hAnsi="Arial"/>
          <w:sz w:val="18"/>
          <w:szCs w:val="18"/>
          <w:u w:val="single" w:color="auto"/>
          <w:color w:val="auto"/>
        </w:rPr>
        <w:t>Section 4.4(a)</w:t>
      </w:r>
      <w:r>
        <w:rPr>
          <w:rFonts w:ascii="Arial" w:cs="Arial" w:eastAsia="Arial" w:hAnsi="Arial"/>
          <w:sz w:val="18"/>
          <w:szCs w:val="18"/>
          <w:color w:val="auto"/>
        </w:rPr>
        <w:t xml:space="preserve"> shall be applied (i) within each Revolving Facility, first to the payment of Base Rate Loans and second to the payment of Eurocurrency Loans; and (ii) with respect to Eurocurrency Loans, in such order as Borrowers shall request (and in the absence of such request, as Administrative Agent shall determine); and (iii) within Canadian Revolving Loans, first to the payment of Canadian Prime Rate Loans and second to the cash collateralization of outstanding B/A Loans in accordance with the cash collateralization provisions set forth in </w:t>
      </w:r>
      <w:r>
        <w:rPr>
          <w:rFonts w:ascii="Arial" w:cs="Arial" w:eastAsia="Arial" w:hAnsi="Arial"/>
          <w:sz w:val="18"/>
          <w:szCs w:val="18"/>
          <w:u w:val="single" w:color="auto"/>
          <w:color w:val="auto"/>
        </w:rPr>
        <w:t>Section 4.4(a)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Term Lender may elect, by notice to the Administrative Agent by telephone (confirmed by facsimile) no later than three Business Days after the date of such Lender’s receipt of notice from the Administrative Agent regarding such prepayment, to decline all (but not part) of any prepayment of its Term Loans pursuant to </w:t>
      </w:r>
      <w:r>
        <w:rPr>
          <w:rFonts w:ascii="Arial" w:cs="Arial" w:eastAsia="Arial" w:hAnsi="Arial"/>
          <w:sz w:val="18"/>
          <w:szCs w:val="18"/>
          <w:u w:val="single" w:color="auto"/>
          <w:color w:val="auto"/>
        </w:rPr>
        <w:t>Section 4.4</w:t>
      </w:r>
      <w:r>
        <w:rPr>
          <w:rFonts w:ascii="Arial" w:cs="Arial" w:eastAsia="Arial" w:hAnsi="Arial"/>
          <w:sz w:val="18"/>
          <w:szCs w:val="18"/>
          <w:color w:val="auto"/>
        </w:rPr>
        <w:t>, in which case, the aggregate amount of the prepayment that would have been applied to prepay Term Loans but was so declined may be retained by the Borrower (“</w:t>
      </w:r>
      <w:r>
        <w:rPr>
          <w:rFonts w:ascii="Arial" w:cs="Arial" w:eastAsia="Arial" w:hAnsi="Arial"/>
          <w:sz w:val="18"/>
          <w:szCs w:val="18"/>
          <w:u w:val="single" w:color="auto"/>
          <w:color w:val="auto"/>
        </w:rPr>
        <w:t>Retained Declined Proceeds</w:t>
      </w:r>
      <w:r>
        <w:rPr>
          <w:rFonts w:ascii="Arial" w:cs="Arial" w:eastAsia="Arial" w:hAnsi="Arial"/>
          <w:sz w:val="18"/>
          <w:szCs w:val="18"/>
          <w:color w:val="auto"/>
        </w:rPr>
        <w:t xml:space="preserve">”). All prepayments shall include payment of accrued interest on the principal amount so prepaid, shall be applied to the payment of interest before application to principal and shall include amounts payable, if any, under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firstLine="656"/>
        <w:spacing w:after="0" w:line="232" w:lineRule="auto"/>
        <w:tabs>
          <w:tab w:leader="none" w:pos="928" w:val="left"/>
        </w:tabs>
        <w:numPr>
          <w:ilvl w:val="1"/>
          <w:numId w:val="140"/>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xml:space="preserve">. All regular installment payments of principal on the Term Loans shall be applied (i) first to the payment of Base Rate Loans and second to the payment of Eurocurrency Loans and (ii) with respect to Eurocurrency Loans, in such order as Borrowers shall request (and in the absence of such request, as Administrative Agent shall determine). All payments shall include payment of accrued and unpaid interest on the principal amount so paid, shall be applied to the payment of interest before application to principal and shall include amounts payable, if any, under </w:t>
      </w:r>
      <w:r>
        <w:rPr>
          <w:rFonts w:ascii="Arial" w:cs="Arial" w:eastAsia="Arial" w:hAnsi="Arial"/>
          <w:sz w:val="20"/>
          <w:szCs w:val="20"/>
          <w:u w:val="single" w:color="auto"/>
          <w:color w:val="auto"/>
        </w:rPr>
        <w:t>Section 3.5</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238" w:name="page239"/>
    <w:bookmarkEnd w:id="238"/>
    <w:p>
      <w:pPr>
        <w:ind w:left="660"/>
        <w:spacing w:after="0"/>
        <w:rPr>
          <w:sz w:val="20"/>
          <w:szCs w:val="20"/>
          <w:color w:val="auto"/>
        </w:rPr>
      </w:pPr>
      <w:r>
        <w:rPr>
          <w:rFonts w:ascii="Arial" w:cs="Arial" w:eastAsia="Arial" w:hAnsi="Arial"/>
          <w:sz w:val="20"/>
          <w:szCs w:val="20"/>
          <w:u w:val="single" w:color="auto"/>
          <w:color w:val="auto"/>
        </w:rPr>
        <w:t>4.6 Method and Place of Payment</w:t>
      </w:r>
    </w:p>
    <w:p>
      <w:pPr>
        <w:ind w:left="66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firstLine="656"/>
        <w:spacing w:after="0" w:line="252" w:lineRule="auto"/>
        <w:tabs>
          <w:tab w:leader="none" w:pos="92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Except as otherwise specifically provided herein, all payments under this Agreement shall be made to Administrative Agent, for the ratable account of the Lenders entitled thereto, not later than 12:00 Noon (local time in the city in which the Payment Office for the payment is located) on the date when due and shall be made in immediately available funds in the Applicable Currency and in each case to the account specified therefor for Administrative Agent or if no account has been so specified at the Payment Office, it being understood that with respect to payments in Dollars, written telex or telecopy notice by U.S. Borrower to Administrative Agent to make a payment from the funds in U.S. Borrower’s account at the Payment Office shall constitute the making of such payment to the extent of such funds held in such account. Administrative Agent will thereafter cause to be distributed on the same day (if payment was actually received by Administrative Agent prior to 12:00 Noon or local time in the city in which the Payment Office for the payment is located on such day) like funds relating to the payment of principal or interest or fees ratably to the Lenders entitled to receive any such payment in accordance with the terms of this Agreement. If and to the extent that any such distribution shall not be so made by Administrative Agent in full on the same day (if payment was actually received by Administrative Agent prior to 12:00 Noon or local time in the city in which the Payment Office for the payment is located on such day), Administrative Agent shall pay to each Lender its ratable amount thereof and each such Lender shall be entitled to receive from Administrative Agent, upon demand, interest on such amount at the overnight Federal Funds Rate (or the applicable cost of funds with respect to amounts denominated in an Alternative Currency) for each day from the date such amount is paid to Administrative Agent until the date Administrative Agent pays such amount to such Lender.</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Except as otherwise specifically provided herein, all payments under this Agreement with respect to the Canadian Revolving Facility shall be made to Canadian Administrative Agent, for the ratable account of the Canadian Revolving Lenders entitled thereto, not later than 12:00 Noon (local time in the city in which the Payment Office for the payment is located) on the date when due and shall be made in Canadian Dollars and in each case to the account specified therefor for Canadian Administrative Agent or if no account has been so specified at the Payment Office, it being understood that with respect to payments in Canadian Dollars, written telex or telecopy notice by Canadian Borrower to Canadian Administrative Agent to make a payment from the funds in Canadian Borrower’s account at the Payment Office shall constitute the making of such payment to the extent of such funds held in such account. Canadian Administrative Agent will thereafter cause to be distributed on the same day (if payment was actually received by Canadian Administrative Agent prior to 12:00 Noon (local time in the city in which the Payment Office for the payment is located on such day)) like funds relating to the payment of principal or interest or fees ratably to the Canadian Revolving Lenders entitled to receive any such payment in accordance with the terms of this Agreement. If and to the extent that any such distribution shall not be so made by Administrative Agent in full on the same day (if payment was actually received by Administrative Agent prior to 12:00 Noon (local time in the city in which the Payment Office for the payment is located on such day)), Canadian Administrative Agent shall pay to each Canadian Revolving Lender its ratable amount thereof and each such Canadian Revolving Lender shall be entitled to receive from Canadian Administrative Agent, upon demand, interest on such amount at the applicable cost of funds with respect to Canadian Dollars for each day from the date such amount is paid to Canadian Administrative Agent until the date Canadian Administrative Agent pays such amount to such Canadian Revolving Lender.</w:t>
      </w:r>
    </w:p>
    <w:p>
      <w:pPr>
        <w:spacing w:after="0" w:line="208" w:lineRule="exact"/>
        <w:rPr>
          <w:sz w:val="20"/>
          <w:szCs w:val="20"/>
          <w:color w:val="auto"/>
        </w:rPr>
      </w:pPr>
    </w:p>
    <w:p>
      <w:pPr>
        <w:jc w:val="both"/>
        <w:ind w:firstLine="656"/>
        <w:spacing w:after="0" w:line="232" w:lineRule="auto"/>
        <w:tabs>
          <w:tab w:leader="none" w:pos="935" w:val="left"/>
        </w:tabs>
        <w:numPr>
          <w:ilvl w:val="0"/>
          <w:numId w:val="142"/>
        </w:numPr>
        <w:rPr>
          <w:rFonts w:ascii="Arial" w:cs="Arial" w:eastAsia="Arial" w:hAnsi="Arial"/>
          <w:sz w:val="20"/>
          <w:szCs w:val="20"/>
          <w:color w:val="auto"/>
        </w:rPr>
      </w:pPr>
      <w:r>
        <w:rPr>
          <w:rFonts w:ascii="Arial" w:cs="Arial" w:eastAsia="Arial" w:hAnsi="Arial"/>
          <w:sz w:val="20"/>
          <w:szCs w:val="20"/>
          <w:color w:val="auto"/>
        </w:rPr>
        <w:t>Any payments under this Agreement which are made by any Borrower later than 12:00 Noon (local time in the city in which the Payment Office for the payment is located) shall, for the purpose of calculation of interest, be deemed to have been made on the next succeeding Business Day. Whenever any payment to be made hereunder shall be stated to be due on a day which is not a Business Day, the due date thereof shall be extended to the next succeeding Business Day and, with respect to payments of principal, interest shall be payable during such extension at the applicable rate in effect immediately prior</w:t>
      </w:r>
    </w:p>
    <w:p>
      <w:pPr>
        <w:sectPr>
          <w:pgSz w:w="11900" w:h="16838" w:orient="portrait"/>
          <w:cols w:equalWidth="0" w:num="1">
            <w:col w:w="11240"/>
          </w:cols>
          <w:pgMar w:left="320" w:top="1419" w:right="339" w:bottom="1440" w:gutter="0" w:footer="0" w:header="0"/>
        </w:sectPr>
      </w:pPr>
    </w:p>
    <w:bookmarkStart w:id="239" w:name="page240"/>
    <w:bookmarkEnd w:id="239"/>
    <w:p>
      <w:pPr>
        <w:jc w:val="both"/>
        <w:spacing w:after="0" w:line="237" w:lineRule="auto"/>
        <w:rPr>
          <w:sz w:val="20"/>
          <w:szCs w:val="20"/>
          <w:color w:val="auto"/>
        </w:rPr>
      </w:pPr>
      <w:r>
        <w:rPr>
          <w:rFonts w:ascii="Arial" w:cs="Arial" w:eastAsia="Arial" w:hAnsi="Arial"/>
          <w:sz w:val="20"/>
          <w:szCs w:val="20"/>
          <w:color w:val="auto"/>
        </w:rPr>
        <w:t>to such extension, except that with respect to Eurocurrency Loans, if such next succeeding Business Day is not in the same month as the date on which such payment would otherwise be due hereunder or under any Note, the due date with respect thereto shall be the next preceding applicable Business Day.</w:t>
      </w:r>
    </w:p>
    <w:p>
      <w:pPr>
        <w:spacing w:after="0" w:line="21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(c)Unless Administrative Agent shall have received notice from the applicable Borrower prior to the date on which any payment is due to Administrative Agent for the account of the Lenders or the Facing Agent hereunder that the applicable Borrower will not make such payment, Administrative Agent may assume that the applicable Borrower has made such payment on such date in accordance herewith and may, in reliance upon such assumption, distribute to the Lenders or the Facing Agent, as the case may be, the amount due. In such event, if the applicable Borrower has not in fact made such payment, then each of the Lenders or the Facing Agent, as the case may be, severally agrees to repay to Administrative Agent forthwith on demand the amount so distributed to such Lender or the Facing Agent, with interest thereon, for each day from and including the date such amount is distributed to it but excluding the date of payment to Administrative Agent, at the Federal Funds Rate for amounts in Dollars (and, at Administrative Agent’s cost or funds for amounts in Canadian Dollars or any Alternative Currency) for the first three days and thereafter at the Federal Funds Rate (or such cost of funds rate) plus 1%.</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4.7 Net Payments</w:t>
      </w:r>
    </w:p>
    <w:p>
      <w:pPr>
        <w:ind w:left="66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firstLine="656"/>
        <w:spacing w:after="0" w:line="252" w:lineRule="auto"/>
        <w:tabs>
          <w:tab w:leader="none" w:pos="93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4.7(f)</w:t>
      </w:r>
      <w:r>
        <w:rPr>
          <w:rFonts w:ascii="Arial" w:cs="Arial" w:eastAsia="Arial" w:hAnsi="Arial"/>
          <w:sz w:val="18"/>
          <w:szCs w:val="18"/>
          <w:color w:val="auto"/>
        </w:rPr>
        <w:t xml:space="preserve">, all payments made by or on account of any obligation of any Credit Party under any Loan Document will be made without recoupment, setoff, counterclaim, or other defense. To the extent permitted by applicable law, all payments under any Loan Document (including, without limitation, payments on account of principal and interest, and fees) shall be made by or on account of any obligation of any Credit Party free and clear of and without deduction or withholding for, or on account of, any Taxes. If any applicable law (as determined in the good faith discretion of an applicable withholding agent) requires an applicable withholding agent to deduct or withhold any Tax from any payment by or on account of any obligation of any Credit Party under any Loan Document, then the applicable withholding agent shall make such deduction or withholding and shall timely pay the full amount deducted or withheld to the relevant Governmental Authority in accordance with applicable law and, to the extent such Tax is an Indemnified Tax, then the sum payable by the applicable Credit Party shall be increased as necessary so that after such deduction or withholding has been made (including such deductions and withholdings applicable to additional sums payable under this </w:t>
      </w:r>
      <w:r>
        <w:rPr>
          <w:rFonts w:ascii="Arial" w:cs="Arial" w:eastAsia="Arial" w:hAnsi="Arial"/>
          <w:sz w:val="18"/>
          <w:szCs w:val="18"/>
          <w:u w:val="single" w:color="auto"/>
          <w:color w:val="auto"/>
        </w:rPr>
        <w:t>Section 4.7(a)</w:t>
      </w:r>
      <w:r>
        <w:rPr>
          <w:rFonts w:ascii="Arial" w:cs="Arial" w:eastAsia="Arial" w:hAnsi="Arial"/>
          <w:sz w:val="18"/>
          <w:szCs w:val="18"/>
          <w:color w:val="auto"/>
        </w:rPr>
        <w:t>), the applicable Lender (or, in the case of any amount received by an Agent for its own account, the Agent) receives an amount equal to the sum it would have received had no such deduction or withholding been made. Each Credit Party shall deliver to the Administrative Agent within 30 days after it has made any such payment to the applicable Governmental Authority an original or certified receipt issued by such Governmental Authority (or other evidence reasonably satisfactory to Administrative Agent) evidencing the payment to such Governmental Authority of all amounts so required to be deducted or withheld from such payment.</w:t>
      </w:r>
    </w:p>
    <w:p>
      <w:pPr>
        <w:spacing w:after="0" w:line="207" w:lineRule="exact"/>
        <w:rPr>
          <w:rFonts w:ascii="Arial" w:cs="Arial" w:eastAsia="Arial" w:hAnsi="Arial"/>
          <w:sz w:val="18"/>
          <w:szCs w:val="18"/>
          <w:color w:val="auto"/>
        </w:rPr>
      </w:pPr>
    </w:p>
    <w:p>
      <w:pPr>
        <w:ind w:firstLine="656"/>
        <w:spacing w:after="0" w:line="246" w:lineRule="auto"/>
        <w:tabs>
          <w:tab w:leader="none" w:pos="934"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Credit Parties shall timely pay to the relevant Governmental Authority in accordance with applicable law, or at the option of Administrative Agent timely reimburse it for the payment of, any Other Taxes.</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(c)Subject to </w:t>
      </w:r>
      <w:r>
        <w:rPr>
          <w:rFonts w:ascii="Arial" w:cs="Arial" w:eastAsia="Arial" w:hAnsi="Arial"/>
          <w:sz w:val="18"/>
          <w:szCs w:val="18"/>
          <w:u w:val="single" w:color="auto"/>
          <w:color w:val="auto"/>
        </w:rPr>
        <w:t>Section 4.7(f)</w:t>
      </w:r>
      <w:r>
        <w:rPr>
          <w:rFonts w:ascii="Arial" w:cs="Arial" w:eastAsia="Arial" w:hAnsi="Arial"/>
          <w:sz w:val="18"/>
          <w:szCs w:val="18"/>
          <w:color w:val="auto"/>
        </w:rPr>
        <w:t xml:space="preserve">, the Credit Parties shall jointly and severally indemnify and hold harmless each Recipient, within 10 days after demand therefor, for the 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 Recipient does not notify the applicable Credit Party of any indemnification claim under this </w:t>
      </w:r>
      <w:r>
        <w:rPr>
          <w:rFonts w:ascii="Arial" w:cs="Arial" w:eastAsia="Arial" w:hAnsi="Arial"/>
          <w:sz w:val="18"/>
          <w:szCs w:val="18"/>
          <w:u w:val="single" w:color="auto"/>
          <w:color w:val="auto"/>
        </w:rPr>
        <w:t>Section 4.7(c)</w:t>
      </w:r>
      <w:r>
        <w:rPr>
          <w:rFonts w:ascii="Arial" w:cs="Arial" w:eastAsia="Arial" w:hAnsi="Arial"/>
          <w:sz w:val="18"/>
          <w:szCs w:val="18"/>
          <w:color w:val="auto"/>
        </w:rPr>
        <w:t xml:space="preserve"> within 120 days after such Recipient has received written notice of the</w:t>
      </w:r>
    </w:p>
    <w:p>
      <w:pPr>
        <w:sectPr>
          <w:pgSz w:w="11900" w:h="16838" w:orient="portrait"/>
          <w:cols w:equalWidth="0" w:num="1">
            <w:col w:w="11240"/>
          </w:cols>
          <w:pgMar w:left="320" w:top="1419" w:right="339" w:bottom="1440" w:gutter="0" w:footer="0" w:header="0"/>
        </w:sectPr>
      </w:pPr>
    </w:p>
    <w:bookmarkStart w:id="240" w:name="page241"/>
    <w:bookmarkEnd w:id="240"/>
    <w:p>
      <w:pPr>
        <w:jc w:val="both"/>
        <w:spacing w:after="0" w:line="246" w:lineRule="auto"/>
        <w:rPr>
          <w:sz w:val="20"/>
          <w:szCs w:val="20"/>
          <w:color w:val="auto"/>
        </w:rPr>
      </w:pPr>
      <w:r>
        <w:rPr>
          <w:rFonts w:ascii="Arial" w:cs="Arial" w:eastAsia="Arial" w:hAnsi="Arial"/>
          <w:sz w:val="19"/>
          <w:szCs w:val="19"/>
          <w:color w:val="auto"/>
        </w:rPr>
        <w:t>specific tax assessment by a Governmental Authority giving rise to such indemnification claim, the Credit Parties shall not be required to indemnify such Recipient for any incremental interest or penalties resulting from such Recipient’s failure to notify the applicable Credit Party within such 120-day period. A certificate delivered to the applicable Credit Party (showing in reasonable detail the basis for such calculation) as to the amount of such payment by a Recipient (with a copy to Administrative Agent if such Recipient is not Administrative Agent), absent manifest error, shall be final, conclusive, and binding upon on all parties.</w:t>
      </w:r>
    </w:p>
    <w:p>
      <w:pPr>
        <w:spacing w:after="0" w:line="203" w:lineRule="exact"/>
        <w:rPr>
          <w:sz w:val="20"/>
          <w:szCs w:val="20"/>
          <w:color w:val="auto"/>
        </w:rPr>
      </w:pPr>
    </w:p>
    <w:p>
      <w:pPr>
        <w:jc w:val="both"/>
        <w:ind w:firstLine="656"/>
        <w:spacing w:after="0" w:line="241" w:lineRule="auto"/>
        <w:tabs>
          <w:tab w:leader="none" w:pos="94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4.7(f)</w:t>
      </w:r>
      <w:r>
        <w:rPr>
          <w:rFonts w:ascii="Arial" w:cs="Arial" w:eastAsia="Arial" w:hAnsi="Arial"/>
          <w:sz w:val="19"/>
          <w:szCs w:val="19"/>
          <w:color w:val="auto"/>
        </w:rPr>
        <w:t xml:space="preserve">, each Lender shall deliver to the applicable Borrower and Administrative Agent, at such times as are reasonably requested by such Borrower or Administrative Agent, any documentation prescribed by law or information required under any administrative policy or any relevant Governmental Authority, or reasonably requested by such Borrower or Administrative Agent, certifying as to any entitlement of such Lender to an exemption from, or reduction in, any withholding Tax with respect to any payments to be made to such Lender under any Loan Document or otherwise required or reasonably necessary to establish such Lender’s status for withholding tax or information reporting purposes in an applicable jurisdiction. Each Lender shall, whenever a lapse in time or change in circumstances renders such documentation (including any specific documents required below in this </w:t>
      </w:r>
      <w:r>
        <w:rPr>
          <w:rFonts w:ascii="Arial" w:cs="Arial" w:eastAsia="Arial" w:hAnsi="Arial"/>
          <w:sz w:val="19"/>
          <w:szCs w:val="19"/>
          <w:u w:val="single" w:color="auto"/>
          <w:color w:val="auto"/>
        </w:rPr>
        <w:t>Section 4.7(d)</w:t>
      </w:r>
      <w:r>
        <w:rPr>
          <w:rFonts w:ascii="Arial" w:cs="Arial" w:eastAsia="Arial" w:hAnsi="Arial"/>
          <w:sz w:val="19"/>
          <w:szCs w:val="19"/>
          <w:color w:val="auto"/>
        </w:rPr>
        <w:t>) or information expired, obsolete or inaccurate in any material respect, deliver promptly to the applicable Borrower and Administrative Agent updated or other appropriate documentation (including any new documentation reasonably requested by the applicable withholding agent) or promptly notify such Borrower and Administrative Agent of its inability to do so.</w:t>
      </w:r>
    </w:p>
    <w:p>
      <w:pPr>
        <w:spacing w:after="0" w:line="209" w:lineRule="exact"/>
        <w:rPr>
          <w:sz w:val="20"/>
          <w:szCs w:val="20"/>
          <w:color w:val="auto"/>
        </w:rPr>
      </w:pPr>
    </w:p>
    <w:p>
      <w:pPr>
        <w:ind w:left="660" w:firstLine="648"/>
        <w:spacing w:after="0" w:line="246" w:lineRule="auto"/>
        <w:rPr>
          <w:sz w:val="20"/>
          <w:szCs w:val="20"/>
          <w:color w:val="auto"/>
        </w:rPr>
      </w:pPr>
      <w:r>
        <w:rPr>
          <w:rFonts w:ascii="Arial" w:cs="Arial" w:eastAsia="Arial" w:hAnsi="Arial"/>
          <w:sz w:val="20"/>
          <w:szCs w:val="20"/>
          <w:color w:val="auto"/>
        </w:rPr>
        <w:t>(ii)Without limiting the generality of the foregoing, with respect to each Lender receiving payments in respect of any Loans, Letters of Credit, or Commitments provided to U.S. Borrower:</w:t>
      </w:r>
    </w:p>
    <w:p>
      <w:pPr>
        <w:spacing w:after="0" w:line="204"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each such Lender, other than a Non-U.S. Lender, shall deliver to U.S. Borrower and Administrative Agent on or before the date on which it becomes a party to this Agreement, two duly executed, properly completed originals of IRS Form W-9 certifying that such Lender is exempt from U.S. federal backup withholding Tax,</w:t>
      </w:r>
    </w:p>
    <w:p>
      <w:pPr>
        <w:spacing w:after="0" w:line="21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9"/>
          <w:szCs w:val="19"/>
          <w:color w:val="auto"/>
        </w:rPr>
        <w:t>each such Lender that is a Non-U.S. Lender entitled under the Code or any applicable treaty to an exemption from or reduction of U.S. federal withholding Tax with respect to any payments hereunder or under any other Loan Document shall deliver to U.S. Borrower and Administrative Agent (in such number of copies as shall be requested by the recipient) on or prior to the date on which such Non-U.S. Lender becomes a Lender under this Agreement, whichever of the following is applicable:</w:t>
      </w:r>
    </w:p>
    <w:p>
      <w:pPr>
        <w:spacing w:after="0" w:line="204" w:lineRule="exact"/>
        <w:rPr>
          <w:sz w:val="20"/>
          <w:szCs w:val="20"/>
          <w:color w:val="auto"/>
        </w:rPr>
      </w:pPr>
    </w:p>
    <w:p>
      <w:pPr>
        <w:ind w:firstLine="1304"/>
        <w:spacing w:after="0" w:line="246" w:lineRule="auto"/>
        <w:tabs>
          <w:tab w:leader="none" w:pos="1543" w:val="left"/>
        </w:tabs>
        <w:numPr>
          <w:ilvl w:val="0"/>
          <w:numId w:val="145"/>
        </w:numPr>
        <w:rPr>
          <w:rFonts w:ascii="Arial" w:cs="Arial" w:eastAsia="Arial" w:hAnsi="Arial"/>
          <w:sz w:val="20"/>
          <w:szCs w:val="20"/>
          <w:color w:val="auto"/>
        </w:rPr>
      </w:pPr>
      <w:r>
        <w:rPr>
          <w:rFonts w:ascii="Arial" w:cs="Arial" w:eastAsia="Arial" w:hAnsi="Arial"/>
          <w:sz w:val="20"/>
          <w:szCs w:val="20"/>
          <w:color w:val="auto"/>
        </w:rPr>
        <w:t>duly executed, properly completed originals of IRS Form W-8BEN or Form W-8BEN-E, as applicable, or any successor thereto, claiming eligibility for benefits of an income tax treaty to which the United States is a party;</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(II) duly executed, properly completed originals of IRS Form W-8ECI or any successor thereto;</w:t>
      </w:r>
    </w:p>
    <w:p>
      <w:pPr>
        <w:spacing w:after="0" w:line="229" w:lineRule="exact"/>
        <w:rPr>
          <w:sz w:val="20"/>
          <w:szCs w:val="20"/>
          <w:color w:val="auto"/>
        </w:rPr>
      </w:pPr>
    </w:p>
    <w:p>
      <w:pPr>
        <w:jc w:val="both"/>
        <w:ind w:firstLine="1304"/>
        <w:spacing w:after="0" w:line="256" w:lineRule="auto"/>
        <w:tabs>
          <w:tab w:leader="none" w:pos="168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in the case of a Non-U.S. Lender claiming the benefits of the exemption for portfolio interest under Section 881(c) of the Code, (x) a certificate, in substantially the form of </w:t>
      </w:r>
      <w:r>
        <w:rPr>
          <w:rFonts w:ascii="Arial" w:cs="Arial" w:eastAsia="Arial" w:hAnsi="Arial"/>
          <w:sz w:val="18"/>
          <w:szCs w:val="18"/>
          <w:u w:val="single" w:color="auto"/>
          <w:color w:val="auto"/>
        </w:rPr>
        <w:t>Exhibit 4.7(d)</w:t>
      </w:r>
      <w:r>
        <w:rPr>
          <w:rFonts w:ascii="Arial" w:cs="Arial" w:eastAsia="Arial" w:hAnsi="Arial"/>
          <w:sz w:val="18"/>
          <w:szCs w:val="18"/>
          <w:color w:val="auto"/>
        </w:rPr>
        <w:t>, to the effect that (i) such Non-U.S. Lender is not (A) a “bank” within the meaning of Section 881(c)(3)(A) of the Code, (B) a “10 percent shareholder” of U.S. Borrower within the meaning of Section 881(c)(3)</w:t>
      </w:r>
    </w:p>
    <w:p>
      <w:pPr>
        <w:spacing w:after="0" w:line="1" w:lineRule="exact"/>
        <w:rPr>
          <w:rFonts w:ascii="Arial" w:cs="Arial" w:eastAsia="Arial" w:hAnsi="Arial"/>
          <w:sz w:val="18"/>
          <w:szCs w:val="18"/>
          <w:color w:val="auto"/>
        </w:rPr>
      </w:pPr>
    </w:p>
    <w:p>
      <w:pPr>
        <w:jc w:val="both"/>
        <w:ind w:firstLine="8"/>
        <w:spacing w:after="0" w:line="245" w:lineRule="auto"/>
        <w:tabs>
          <w:tab w:leader="none" w:pos="32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of the Code, or (C) a “controlled foreign corporation” described in Section 881(c)(3)(C) of the Code, and (ii) interest payments on the Loans are not effectively connected with the Non-U.S. Lender’s conduct of a U.S. trade or business (a “</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and (y) duly executed, properly completed copies of IRS Form W-8BEN or Form W-8BEN-E, as applicable;</w:t>
      </w:r>
    </w:p>
    <w:p>
      <w:pPr>
        <w:sectPr>
          <w:pgSz w:w="11900" w:h="16838" w:orient="portrait"/>
          <w:cols w:equalWidth="0" w:num="1">
            <w:col w:w="11240"/>
          </w:cols>
          <w:pgMar w:left="320" w:top="1419" w:right="339" w:bottom="1440" w:gutter="0" w:footer="0" w:header="0"/>
        </w:sectPr>
      </w:pPr>
    </w:p>
    <w:bookmarkStart w:id="241" w:name="page242"/>
    <w:bookmarkEnd w:id="241"/>
    <w:p>
      <w:pPr>
        <w:jc w:val="both"/>
        <w:ind w:firstLine="1296"/>
        <w:spacing w:after="0" w:line="256" w:lineRule="auto"/>
        <w:rPr>
          <w:sz w:val="20"/>
          <w:szCs w:val="20"/>
          <w:color w:val="auto"/>
        </w:rPr>
      </w:pPr>
      <w:r>
        <w:rPr>
          <w:rFonts w:ascii="Arial" w:cs="Arial" w:eastAsia="Arial" w:hAnsi="Arial"/>
          <w:sz w:val="18"/>
          <w:szCs w:val="18"/>
          <w:color w:val="auto"/>
        </w:rPr>
        <w:t xml:space="preserve">(IV) to the extent a Non-U.S. Lender is not the beneficial owner (for example, where the Non-U.S. Lender is a partnership or a participating Lender), duly executed, properly completed originals of IRS Form W-8IMY, or any successor thereto, of the Non-U.S. Lender, accompanied by IRS Form W-9, Form W-8ECI, Form W-8BEN, Form W-8BEN-E, a U.S. Tax Compliance Certificate, Form W-8IMY, or any other required information, or any successor forms, from each beneficial owner that would be required under this </w:t>
      </w:r>
      <w:r>
        <w:rPr>
          <w:rFonts w:ascii="Arial" w:cs="Arial" w:eastAsia="Arial" w:hAnsi="Arial"/>
          <w:sz w:val="18"/>
          <w:szCs w:val="18"/>
          <w:u w:val="single" w:color="auto"/>
          <w:color w:val="auto"/>
        </w:rPr>
        <w:t>Section 4.7(d)</w:t>
      </w:r>
      <w:r>
        <w:rPr>
          <w:rFonts w:ascii="Arial" w:cs="Arial" w:eastAsia="Arial" w:hAnsi="Arial"/>
          <w:sz w:val="18"/>
          <w:szCs w:val="18"/>
          <w:color w:val="auto"/>
        </w:rPr>
        <w:t xml:space="preserve"> if such beneficial owner were a Lender,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Non-U.S. Lender is a partnership for U.S. federal income tax purposes (and not a participating Lender), and one or more beneficial owners are claiming the portfolio interest exemption, the U.S. Tax Compliance Certificate may be provided by such Non-U.S. Lender on behalf of such beneficial owners, provided such certificates are duly executed and properly completed originals), or any other form prescribed by applicable law as a basis for claiming exemption from or a reduction in U.S. federal withholding tax duly completed together with such supplementary documentation as may be prescribed by applicable law to permit U.S. Borrower and Administrative Agent to determine the withholding or deduction required to be made; or</w:t>
      </w:r>
    </w:p>
    <w:p>
      <w:pPr>
        <w:spacing w:after="0" w:line="195" w:lineRule="exact"/>
        <w:rPr>
          <w:sz w:val="20"/>
          <w:szCs w:val="20"/>
          <w:color w:val="auto"/>
        </w:rPr>
      </w:pPr>
    </w:p>
    <w:p>
      <w:pPr>
        <w:jc w:val="both"/>
        <w:ind w:firstLine="1304"/>
        <w:spacing w:after="0" w:line="275" w:lineRule="auto"/>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other form prescribed by applicable requirements of U.S. federal income tax law as a basis for claiming exemption from or a reduction in U.S. federal withholding Tax duly completed together with such supplementary documentation as may be prescribed by applicable law to permit U.S. Borrower and Administrative Agent to determine the withholding or deduction required to be made.</w:t>
      </w:r>
    </w:p>
    <w:p>
      <w:pPr>
        <w:spacing w:after="0" w:line="179"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Sections 1471(b) or 1472(b) of the Code, as applicable), such Lender shall deliver to U.S. Borrower and Administrative Agent, at the time or times prescribed by law and at such time or times reasonably requested by U.S. Borrower or Administrative Agent, such documentation prescribed by applicable law (including as prescribed by Section 1471(b)(3)(C)(i) of the Code) and such additional documentation reasonably requested by U.S. Borrower or Administrative Agent as may be necessary for U.S. Borrower or Administrative Agent to comply with their obligations under FATCA, to determine whether such Lender has complied with such Lender’s obligations under FATCA or to determine or, if necessary, to determine the amount to deduct and withhold from such payment. Solely for purposes of this clause (C), “FATCA” shall include any amendments made to FATCA after the date of this Agreement.</w:t>
      </w:r>
    </w:p>
    <w:p>
      <w:pPr>
        <w:spacing w:after="0" w:line="200" w:lineRule="exact"/>
        <w:rPr>
          <w:sz w:val="20"/>
          <w:szCs w:val="20"/>
          <w:color w:val="auto"/>
        </w:rPr>
      </w:pPr>
    </w:p>
    <w:p>
      <w:pPr>
        <w:ind w:firstLine="656"/>
        <w:spacing w:after="0" w:line="246" w:lineRule="auto"/>
        <w:tabs>
          <w:tab w:leader="none" w:pos="994"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Notwithstanding any other provision of this </w:t>
      </w:r>
      <w:r>
        <w:rPr>
          <w:rFonts w:ascii="Arial" w:cs="Arial" w:eastAsia="Arial" w:hAnsi="Arial"/>
          <w:sz w:val="20"/>
          <w:szCs w:val="20"/>
          <w:u w:val="single" w:color="auto"/>
          <w:color w:val="auto"/>
        </w:rPr>
        <w:t>Section 4.7(d)</w:t>
      </w:r>
      <w:r>
        <w:rPr>
          <w:rFonts w:ascii="Arial" w:cs="Arial" w:eastAsia="Arial" w:hAnsi="Arial"/>
          <w:sz w:val="20"/>
          <w:szCs w:val="20"/>
          <w:color w:val="auto"/>
        </w:rPr>
        <w:t>, a Lender shall not be required to deliver any form that such Lender is not legally eligible to deliver.</w:t>
      </w:r>
    </w:p>
    <w:p>
      <w:pPr>
        <w:spacing w:after="0" w:line="203" w:lineRule="exact"/>
        <w:rPr>
          <w:rFonts w:ascii="Arial" w:cs="Arial" w:eastAsia="Arial" w:hAnsi="Arial"/>
          <w:sz w:val="20"/>
          <w:szCs w:val="20"/>
          <w:color w:val="auto"/>
        </w:rPr>
      </w:pPr>
    </w:p>
    <w:p>
      <w:pPr>
        <w:ind w:firstLine="656"/>
        <w:spacing w:after="0" w:line="246" w:lineRule="auto"/>
        <w:tabs>
          <w:tab w:leader="none" w:pos="1015"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Each Lender hereby authorizes each Agent to deliver to the Credit Parties and to any other Agent or successor Agent any documentation provided by such Lender to the Agent pursuant to this </w:t>
      </w:r>
      <w:r>
        <w:rPr>
          <w:rFonts w:ascii="Arial" w:cs="Arial" w:eastAsia="Arial" w:hAnsi="Arial"/>
          <w:sz w:val="20"/>
          <w:szCs w:val="20"/>
          <w:u w:val="single" w:color="auto"/>
          <w:color w:val="auto"/>
        </w:rPr>
        <w:t>Section 4.7(d)</w:t>
      </w:r>
      <w:r>
        <w:rPr>
          <w:rFonts w:ascii="Arial" w:cs="Arial" w:eastAsia="Arial" w:hAnsi="Arial"/>
          <w:sz w:val="20"/>
          <w:szCs w:val="20"/>
          <w:color w:val="auto"/>
        </w:rPr>
        <w:t>.</w:t>
      </w:r>
    </w:p>
    <w:p>
      <w:pPr>
        <w:spacing w:after="0" w:line="204" w:lineRule="exact"/>
        <w:rPr>
          <w:sz w:val="20"/>
          <w:szCs w:val="20"/>
          <w:color w:val="auto"/>
        </w:rPr>
      </w:pPr>
    </w:p>
    <w:p>
      <w:pPr>
        <w:ind w:left="920" w:hanging="264"/>
        <w:spacing w:after="0"/>
        <w:tabs>
          <w:tab w:leader="none" w:pos="920" w:val="left"/>
        </w:tabs>
        <w:numPr>
          <w:ilvl w:val="1"/>
          <w:numId w:val="150"/>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VAT</w:t>
      </w:r>
      <w:r>
        <w:rPr>
          <w:rFonts w:ascii="Arial" w:cs="Arial" w:eastAsia="Arial" w:hAnsi="Arial"/>
          <w:sz w:val="20"/>
          <w:szCs w:val="20"/>
          <w:color w:val="auto"/>
        </w:rPr>
        <w:t>:</w:t>
      </w:r>
    </w:p>
    <w:p>
      <w:pPr>
        <w:spacing w:after="0" w:line="229" w:lineRule="exact"/>
        <w:rPr>
          <w:rFonts w:ascii="Arial" w:cs="Arial" w:eastAsia="Arial" w:hAnsi="Arial"/>
          <w:sz w:val="20"/>
          <w:szCs w:val="20"/>
          <w:u w:val="single" w:color="auto"/>
          <w:color w:val="auto"/>
        </w:rPr>
      </w:pPr>
    </w:p>
    <w:p>
      <w:pPr>
        <w:jc w:val="both"/>
        <w:ind w:firstLine="8"/>
        <w:spacing w:after="0" w:line="244" w:lineRule="auto"/>
        <w:tabs>
          <w:tab w:leader="none" w:pos="236"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All amounts expressed to be payable under a Loan Document to any Recipient which (in whole or in part) constitute the consideration for any supply for VAT purposes are deemed to be exclusive of any VAT which is chargeable on that supply, and accordingly, subject to paragraph (B) below, if VAT is or becomes chargeable on any supply made by any Recipient to any Credit Party under a Loan Document and such Recipient is required to account to the relevant tax authority for the VAT, such Credit Party must pay to such Recipient (in addition to and at the same time as paying any other consideration for such supply) an amount equal to the amount of the VAT (and such Lender must promptly provide an appropriate VAT invoice to such Credit Party).</w:t>
      </w:r>
    </w:p>
    <w:p>
      <w:pPr>
        <w:sectPr>
          <w:pgSz w:w="11900" w:h="16838" w:orient="portrait"/>
          <w:cols w:equalWidth="0" w:num="1">
            <w:col w:w="11240"/>
          </w:cols>
          <w:pgMar w:left="320" w:top="1419" w:right="339" w:bottom="1440" w:gutter="0" w:footer="0" w:header="0"/>
        </w:sectPr>
      </w:pPr>
    </w:p>
    <w:bookmarkStart w:id="242" w:name="page243"/>
    <w:bookmarkEnd w:id="242"/>
    <w:p>
      <w:pPr>
        <w:jc w:val="both"/>
        <w:ind w:firstLine="8"/>
        <w:spacing w:after="0" w:line="232" w:lineRule="auto"/>
        <w:tabs>
          <w:tab w:leader="none" w:pos="291"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If VAT is or becomes chargeable on any supply made by any Recipient (solely for purposes of this </w:t>
      </w:r>
      <w:r>
        <w:rPr>
          <w:rFonts w:ascii="Arial" w:cs="Arial" w:eastAsia="Arial" w:hAnsi="Arial"/>
          <w:sz w:val="20"/>
          <w:szCs w:val="20"/>
          <w:u w:val="single" w:color="auto"/>
          <w:color w:val="auto"/>
        </w:rPr>
        <w:t>Section 4.7(e)</w:t>
      </w:r>
      <w:r>
        <w:rPr>
          <w:rFonts w:ascii="Arial" w:cs="Arial" w:eastAsia="Arial" w:hAnsi="Arial"/>
          <w:sz w:val="20"/>
          <w:szCs w:val="20"/>
          <w:color w:val="auto"/>
        </w:rPr>
        <w:t>, the “</w:t>
      </w:r>
      <w:r>
        <w:rPr>
          <w:rFonts w:ascii="Arial" w:cs="Arial" w:eastAsia="Arial" w:hAnsi="Arial"/>
          <w:sz w:val="20"/>
          <w:szCs w:val="20"/>
          <w:u w:val="single" w:color="auto"/>
          <w:color w:val="auto"/>
        </w:rPr>
        <w:t>Supplier</w:t>
      </w:r>
      <w:r>
        <w:rPr>
          <w:rFonts w:ascii="Arial" w:cs="Arial" w:eastAsia="Arial" w:hAnsi="Arial"/>
          <w:sz w:val="20"/>
          <w:szCs w:val="20"/>
          <w:color w:val="auto"/>
        </w:rPr>
        <w:t xml:space="preserve">”) to any other Recipient (solely for purposes of this </w:t>
      </w:r>
      <w:r>
        <w:rPr>
          <w:rFonts w:ascii="Arial" w:cs="Arial" w:eastAsia="Arial" w:hAnsi="Arial"/>
          <w:sz w:val="20"/>
          <w:szCs w:val="20"/>
          <w:u w:val="single" w:color="auto"/>
          <w:color w:val="auto"/>
        </w:rPr>
        <w:t>Section 4.7(e)</w:t>
      </w:r>
      <w:r>
        <w:rPr>
          <w:rFonts w:ascii="Arial" w:cs="Arial" w:eastAsia="Arial" w:hAnsi="Arial"/>
          <w:sz w:val="20"/>
          <w:szCs w:val="20"/>
          <w:color w:val="auto"/>
        </w:rPr>
        <w:t>, the “</w:t>
      </w:r>
      <w:r>
        <w:rPr>
          <w:rFonts w:ascii="Arial" w:cs="Arial" w:eastAsia="Arial" w:hAnsi="Arial"/>
          <w:sz w:val="20"/>
          <w:szCs w:val="20"/>
          <w:u w:val="single" w:color="auto"/>
          <w:color w:val="auto"/>
        </w:rPr>
        <w:t>Customer</w:t>
      </w:r>
      <w:r>
        <w:rPr>
          <w:rFonts w:ascii="Arial" w:cs="Arial" w:eastAsia="Arial" w:hAnsi="Arial"/>
          <w:sz w:val="20"/>
          <w:szCs w:val="20"/>
          <w:color w:val="auto"/>
        </w:rPr>
        <w:t xml:space="preserve">”) under a Loan Document, and any party other than the Customer (solely for purposes of this </w:t>
      </w:r>
      <w:r>
        <w:rPr>
          <w:rFonts w:ascii="Arial" w:cs="Arial" w:eastAsia="Arial" w:hAnsi="Arial"/>
          <w:sz w:val="20"/>
          <w:szCs w:val="20"/>
          <w:u w:val="single" w:color="auto"/>
          <w:color w:val="auto"/>
        </w:rPr>
        <w:t>Section 4.7(e)</w:t>
      </w:r>
      <w:r>
        <w:rPr>
          <w:rFonts w:ascii="Arial" w:cs="Arial" w:eastAsia="Arial" w:hAnsi="Arial"/>
          <w:sz w:val="20"/>
          <w:szCs w:val="20"/>
          <w:color w:val="auto"/>
        </w:rPr>
        <w:t>, the “</w:t>
      </w:r>
      <w:r>
        <w:rPr>
          <w:rFonts w:ascii="Arial" w:cs="Arial" w:eastAsia="Arial" w:hAnsi="Arial"/>
          <w:sz w:val="20"/>
          <w:szCs w:val="20"/>
          <w:u w:val="single" w:color="auto"/>
          <w:color w:val="auto"/>
        </w:rPr>
        <w:t>Relevant Party</w:t>
      </w:r>
      <w:r>
        <w:rPr>
          <w:rFonts w:ascii="Arial" w:cs="Arial" w:eastAsia="Arial" w:hAnsi="Arial"/>
          <w:sz w:val="20"/>
          <w:szCs w:val="20"/>
          <w:color w:val="auto"/>
        </w:rPr>
        <w:t>”) is required by the terms of any Loan Document to pay an amount equal to the consideration for that supply to the Supplier (rather than being required to reimburse or indemnify the Customer in respect of that consideration):</w:t>
      </w:r>
    </w:p>
    <w:p>
      <w:pPr>
        <w:spacing w:after="0" w:line="211" w:lineRule="exact"/>
        <w:rPr>
          <w:rFonts w:ascii="Arial" w:cs="Arial" w:eastAsia="Arial" w:hAnsi="Arial"/>
          <w:sz w:val="20"/>
          <w:szCs w:val="20"/>
          <w:color w:val="auto"/>
        </w:rPr>
      </w:pPr>
    </w:p>
    <w:p>
      <w:pPr>
        <w:jc w:val="both"/>
        <w:ind w:firstLine="1304"/>
        <w:spacing w:after="0" w:line="267" w:lineRule="auto"/>
        <w:tabs>
          <w:tab w:leader="none" w:pos="162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(where the Supplier is the person required to account to the relevant tax authority for the VAT) the Relevant Party must also pay to the Supplier (at the same time as paying that amount) an additional amount equal to the amount of the VAT. The Customer must (where this paragraph (A) applies) promptly pay to the Relevant Party an amount equal to any credit or repayment the Customer receives from the relevant tax authority which the Customer reasonably determines relates to the VAT chargeable on that supply; and</w:t>
      </w:r>
    </w:p>
    <w:p>
      <w:pPr>
        <w:spacing w:after="0" w:line="185" w:lineRule="exact"/>
        <w:rPr>
          <w:rFonts w:ascii="Arial" w:cs="Arial" w:eastAsia="Arial" w:hAnsi="Arial"/>
          <w:sz w:val="18"/>
          <w:szCs w:val="18"/>
          <w:color w:val="auto"/>
        </w:rPr>
      </w:pPr>
    </w:p>
    <w:p>
      <w:pPr>
        <w:jc w:val="both"/>
        <w:ind w:firstLine="1304"/>
        <w:spacing w:after="0" w:line="234" w:lineRule="auto"/>
        <w:tabs>
          <w:tab w:leader="none" w:pos="1609" w:val="left"/>
        </w:tabs>
        <w:numPr>
          <w:ilvl w:val="2"/>
          <w:numId w:val="152"/>
        </w:numPr>
        <w:rPr>
          <w:rFonts w:ascii="Arial" w:cs="Arial" w:eastAsia="Arial" w:hAnsi="Arial"/>
          <w:sz w:val="20"/>
          <w:szCs w:val="20"/>
          <w:color w:val="auto"/>
        </w:rPr>
      </w:pPr>
      <w:r>
        <w:rPr>
          <w:rFonts w:ascii="Arial" w:cs="Arial" w:eastAsia="Arial" w:hAnsi="Arial"/>
          <w:sz w:val="20"/>
          <w:szCs w:val="20"/>
          <w:color w:val="auto"/>
        </w:rPr>
        <w:t>(where the Customer is the person required to account to the relevant tax authority for the VAT) the Relevant Party must promptly, following demand from the Customer, pay to the Customer an amount equal to the VAT chargeable on that supply but only to the extent that the Customer reasonably determines that it is not entitled to credit or repayment from the relevant tax authority in respect of that VAT.</w:t>
      </w:r>
    </w:p>
    <w:p>
      <w:pPr>
        <w:spacing w:after="0" w:line="210" w:lineRule="exact"/>
        <w:rPr>
          <w:rFonts w:ascii="Arial" w:cs="Arial" w:eastAsia="Arial" w:hAnsi="Arial"/>
          <w:sz w:val="20"/>
          <w:szCs w:val="20"/>
          <w:color w:val="auto"/>
        </w:rPr>
      </w:pPr>
    </w:p>
    <w:p>
      <w:pPr>
        <w:jc w:val="both"/>
        <w:ind w:firstLine="1304"/>
        <w:spacing w:after="0" w:line="234" w:lineRule="auto"/>
        <w:tabs>
          <w:tab w:leader="none" w:pos="1623" w:val="left"/>
        </w:tabs>
        <w:numPr>
          <w:ilvl w:val="2"/>
          <w:numId w:val="152"/>
        </w:numPr>
        <w:rPr>
          <w:rFonts w:ascii="Arial" w:cs="Arial" w:eastAsia="Arial" w:hAnsi="Arial"/>
          <w:sz w:val="20"/>
          <w:szCs w:val="20"/>
          <w:color w:val="auto"/>
        </w:rPr>
      </w:pPr>
      <w:r>
        <w:rPr>
          <w:rFonts w:ascii="Arial" w:cs="Arial" w:eastAsia="Arial" w:hAnsi="Arial"/>
          <w:sz w:val="20"/>
          <w:szCs w:val="20"/>
          <w:color w:val="auto"/>
        </w:rPr>
        <w:t>Where a Loan Document requires any party to reimburse or indemnify a Recipient for any cost or expense, that party shall reimburse or indemnify (as the case may be) such Recipient for the full amount of such cost or expense, including such part thereof as represents VAT, save to the extent that such Recipient reasonably determines that it is entitled to credit or repayment in respect of such VAT from the relevant tax authority.</w:t>
      </w:r>
    </w:p>
    <w:p>
      <w:pPr>
        <w:spacing w:after="0" w:line="210" w:lineRule="exact"/>
        <w:rPr>
          <w:rFonts w:ascii="Arial" w:cs="Arial" w:eastAsia="Arial" w:hAnsi="Arial"/>
          <w:sz w:val="20"/>
          <w:szCs w:val="20"/>
          <w:color w:val="auto"/>
        </w:rPr>
      </w:pPr>
    </w:p>
    <w:p>
      <w:pPr>
        <w:jc w:val="both"/>
        <w:ind w:firstLine="1304"/>
        <w:spacing w:after="0" w:line="275" w:lineRule="auto"/>
        <w:tabs>
          <w:tab w:leader="none" w:pos="162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 xml:space="preserve">Any reference in this </w:t>
      </w:r>
      <w:r>
        <w:rPr>
          <w:rFonts w:ascii="Arial" w:cs="Arial" w:eastAsia="Arial" w:hAnsi="Arial"/>
          <w:sz w:val="18"/>
          <w:szCs w:val="18"/>
          <w:u w:val="single" w:color="auto"/>
          <w:color w:val="auto"/>
        </w:rPr>
        <w:t>Section 4.7(e)</w:t>
      </w:r>
      <w:r>
        <w:rPr>
          <w:rFonts w:ascii="Arial" w:cs="Arial" w:eastAsia="Arial" w:hAnsi="Arial"/>
          <w:sz w:val="18"/>
          <w:szCs w:val="18"/>
          <w:color w:val="auto"/>
        </w:rPr>
        <w:t xml:space="preserve"> to any party to a Loan shall, at any time when such party is treated as a member of a group for VAT purposes, include (where appropriate and unless the context otherwise requires) a reference to the representative member of such group at such time (the term “</w:t>
      </w:r>
      <w:r>
        <w:rPr>
          <w:rFonts w:ascii="Arial" w:cs="Arial" w:eastAsia="Arial" w:hAnsi="Arial"/>
          <w:sz w:val="18"/>
          <w:szCs w:val="18"/>
          <w:u w:val="single" w:color="auto"/>
          <w:color w:val="auto"/>
        </w:rPr>
        <w:t>representative member</w:t>
      </w:r>
      <w:r>
        <w:rPr>
          <w:rFonts w:ascii="Arial" w:cs="Arial" w:eastAsia="Arial" w:hAnsi="Arial"/>
          <w:sz w:val="18"/>
          <w:szCs w:val="18"/>
          <w:color w:val="auto"/>
        </w:rPr>
        <w:t>” to have the same meaning as in the Value Added Tax Act 1994).</w:t>
      </w:r>
    </w:p>
    <w:p>
      <w:pPr>
        <w:spacing w:after="0" w:line="179" w:lineRule="exact"/>
        <w:rPr>
          <w:rFonts w:ascii="Arial" w:cs="Arial" w:eastAsia="Arial" w:hAnsi="Arial"/>
          <w:sz w:val="18"/>
          <w:szCs w:val="18"/>
          <w:color w:val="auto"/>
        </w:rPr>
      </w:pPr>
    </w:p>
    <w:p>
      <w:pPr>
        <w:jc w:val="both"/>
        <w:ind w:firstLine="656"/>
        <w:spacing w:after="0" w:line="243" w:lineRule="auto"/>
        <w:tabs>
          <w:tab w:leader="none" w:pos="964" w:val="left"/>
        </w:tabs>
        <w:numPr>
          <w:ilvl w:val="1"/>
          <w:numId w:val="152"/>
        </w:numPr>
        <w:rPr>
          <w:rFonts w:ascii="Arial" w:cs="Arial" w:eastAsia="Arial" w:hAnsi="Arial"/>
          <w:sz w:val="19"/>
          <w:szCs w:val="19"/>
          <w:color w:val="auto"/>
        </w:rPr>
      </w:pPr>
      <w:r>
        <w:rPr>
          <w:rFonts w:ascii="Arial" w:cs="Arial" w:eastAsia="Arial" w:hAnsi="Arial"/>
          <w:sz w:val="19"/>
          <w:szCs w:val="19"/>
          <w:color w:val="auto"/>
        </w:rPr>
        <w:t>In relation to any supply made by a Recipient to any Credit Party under a Loan Document, if reasonably requested by such Recipient, such Credit Party must promptly provide such Recipient with details of such Credit Party’s VAT registration and such other information as is reasonably requested in connection with such Lender’s VAT reporting requirements in relation to such supply</w:t>
      </w:r>
    </w:p>
    <w:p>
      <w:pPr>
        <w:ind w:left="660"/>
        <w:spacing w:after="0" w:line="225" w:lineRule="auto"/>
        <w:rPr>
          <w:rFonts w:ascii="Arial" w:cs="Arial" w:eastAsia="Arial" w:hAnsi="Arial"/>
          <w:sz w:val="19"/>
          <w:szCs w:val="19"/>
          <w:color w:val="auto"/>
        </w:rPr>
      </w:pPr>
      <w:r>
        <w:rPr>
          <w:rFonts w:ascii="Arial" w:cs="Arial" w:eastAsia="Arial" w:hAnsi="Arial"/>
          <w:sz w:val="20"/>
          <w:szCs w:val="20"/>
          <w:color w:val="auto"/>
        </w:rPr>
        <w:t>.</w:t>
      </w:r>
    </w:p>
    <w:p>
      <w:pPr>
        <w:jc w:val="both"/>
        <w:ind w:firstLine="648"/>
        <w:spacing w:after="0" w:line="245" w:lineRule="auto"/>
        <w:rPr>
          <w:rFonts w:ascii="Arial" w:cs="Arial" w:eastAsia="Arial" w:hAnsi="Arial"/>
          <w:sz w:val="19"/>
          <w:szCs w:val="19"/>
          <w:color w:val="auto"/>
        </w:rPr>
      </w:pPr>
      <w:r>
        <w:rPr>
          <w:rFonts w:ascii="Arial" w:cs="Arial" w:eastAsia="Arial" w:hAnsi="Arial"/>
          <w:sz w:val="19"/>
          <w:szCs w:val="19"/>
          <w:u w:val="single" w:color="auto"/>
          <w:color w:val="auto"/>
        </w:rPr>
        <w:t>(f) United Kingdom Tax Matters</w:t>
      </w:r>
      <w:r>
        <w:rPr>
          <w:rFonts w:ascii="Arial" w:cs="Arial" w:eastAsia="Arial" w:hAnsi="Arial"/>
          <w:sz w:val="19"/>
          <w:szCs w:val="19"/>
          <w:color w:val="auto"/>
        </w:rPr>
        <w:t xml:space="preserve">. The provisions of </w:t>
      </w:r>
      <w:r>
        <w:rPr>
          <w:rFonts w:ascii="Arial" w:cs="Arial" w:eastAsia="Arial" w:hAnsi="Arial"/>
          <w:sz w:val="19"/>
          <w:szCs w:val="19"/>
          <w:u w:val="single" w:color="auto"/>
          <w:color w:val="auto"/>
        </w:rPr>
        <w:t>Sections 4.7(a)</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shall not apply, and instead the provisions of this </w:t>
      </w:r>
      <w:r>
        <w:rPr>
          <w:rFonts w:ascii="Arial" w:cs="Arial" w:eastAsia="Arial" w:hAnsi="Arial"/>
          <w:sz w:val="19"/>
          <w:szCs w:val="19"/>
          <w:u w:val="single" w:color="auto"/>
          <w:color w:val="auto"/>
        </w:rPr>
        <w:t>Section 4.7(f)</w:t>
      </w:r>
      <w:r>
        <w:rPr>
          <w:rFonts w:ascii="Arial" w:cs="Arial" w:eastAsia="Arial" w:hAnsi="Arial"/>
          <w:sz w:val="19"/>
          <w:szCs w:val="19"/>
          <w:color w:val="auto"/>
        </w:rPr>
        <w:t xml:space="preserve"> shall apply, on the payment of any amount of interest with respect to any advance under any Loan Document, with respect to any Loan made to any U.K. Borrower or in respect of any Letter of Credit issued with respect to any U.K. Borrower.</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Solely for the purposes of this </w:t>
      </w:r>
      <w:r>
        <w:rPr>
          <w:rFonts w:ascii="Arial" w:cs="Arial" w:eastAsia="Arial" w:hAnsi="Arial"/>
          <w:sz w:val="20"/>
          <w:szCs w:val="20"/>
          <w:u w:val="single" w:color="auto"/>
          <w:color w:val="auto"/>
        </w:rPr>
        <w:t>Section 4.7(f)</w:t>
      </w:r>
      <w:r>
        <w:rPr>
          <w:rFonts w:ascii="Arial" w:cs="Arial" w:eastAsia="Arial" w:hAnsi="Arial"/>
          <w:sz w:val="20"/>
          <w:szCs w:val="20"/>
          <w:color w:val="auto"/>
        </w:rPr>
        <w:t>, the following terms shall have the following meanings: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DTTP Filing</w:t>
      </w:r>
      <w:r>
        <w:rPr>
          <w:rFonts w:ascii="Arial" w:cs="Arial" w:eastAsia="Arial" w:hAnsi="Arial"/>
          <w:sz w:val="18"/>
          <w:szCs w:val="18"/>
          <w:color w:val="auto"/>
        </w:rPr>
        <w:t>” means an HM Revenue &amp; Customs’ Form DTTP2 duly completed and filed by a U.K. Borrower,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which:</w:t>
      </w:r>
    </w:p>
    <w:p>
      <w:pPr>
        <w:spacing w:after="0" w:line="213" w:lineRule="exact"/>
        <w:rPr>
          <w:sz w:val="20"/>
          <w:szCs w:val="20"/>
          <w:color w:val="auto"/>
        </w:rPr>
      </w:pPr>
    </w:p>
    <w:p>
      <w:pPr>
        <w:ind w:firstLine="1952"/>
        <w:spacing w:after="0" w:line="272" w:lineRule="auto"/>
        <w:tabs>
          <w:tab w:leader="none" w:pos="226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where it relates to a Treaty Lender that becomes a Lender on the date of this Agreement is entered into, contains the scheme reference number and jurisdiction of tax residence notified by the Lender to the Administrative Agent, and</w:t>
      </w:r>
    </w:p>
    <w:p>
      <w:pPr>
        <w:sectPr>
          <w:pgSz w:w="11900" w:h="16838" w:orient="portrait"/>
          <w:cols w:equalWidth="0" w:num="1">
            <w:col w:w="11240"/>
          </w:cols>
          <w:pgMar w:left="320" w:top="1419" w:right="339" w:bottom="1440" w:gutter="0" w:footer="0" w:header="0"/>
        </w:sectPr>
      </w:pPr>
    </w:p>
    <w:bookmarkStart w:id="243" w:name="page244"/>
    <w:bookmarkEnd w:id="243"/>
    <w:p>
      <w:pPr>
        <w:ind w:left="-1120" w:firstLine="1952"/>
        <w:spacing w:after="0" w:line="246" w:lineRule="auto"/>
        <w:tabs>
          <w:tab w:leader="none" w:pos="1098" w:val="left"/>
        </w:tabs>
        <w:numPr>
          <w:ilvl w:val="0"/>
          <w:numId w:val="154"/>
        </w:numPr>
        <w:rPr>
          <w:rFonts w:ascii="Arial" w:cs="Arial" w:eastAsia="Arial" w:hAnsi="Arial"/>
          <w:sz w:val="20"/>
          <w:szCs w:val="20"/>
          <w:color w:val="auto"/>
        </w:rPr>
      </w:pPr>
      <w:r>
        <w:rPr>
          <w:rFonts w:ascii="Arial" w:cs="Arial" w:eastAsia="Arial" w:hAnsi="Arial"/>
          <w:sz w:val="20"/>
          <w:szCs w:val="20"/>
          <w:color w:val="auto"/>
        </w:rPr>
        <w:t>where the U.K. Borrower becomes a Borrower on the date this Agreement is entered into, is filed with HM Revenue &amp; Customs within 30 days of the date of this Agreement; or</w:t>
      </w:r>
    </w:p>
    <w:p>
      <w:pPr>
        <w:spacing w:after="0" w:line="204" w:lineRule="exact"/>
        <w:rPr>
          <w:sz w:val="20"/>
          <w:szCs w:val="20"/>
          <w:color w:val="auto"/>
        </w:rPr>
      </w:pPr>
    </w:p>
    <w:p>
      <w:pPr>
        <w:ind w:left="-1120" w:firstLine="1952"/>
        <w:spacing w:after="0" w:line="246" w:lineRule="auto"/>
        <w:tabs>
          <w:tab w:leader="none" w:pos="115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where the U.K. Borrower becomes a Borrower after the date this Agreement is entered into, is filed with HM Revenue &amp; Customs within 30 days of the date on which that U.K. Borrower becomes a Borrower; or</w:t>
      </w:r>
    </w:p>
    <w:p>
      <w:pPr>
        <w:spacing w:after="0" w:line="204" w:lineRule="exact"/>
        <w:rPr>
          <w:sz w:val="20"/>
          <w:szCs w:val="20"/>
          <w:color w:val="auto"/>
        </w:rPr>
      </w:pPr>
    </w:p>
    <w:p>
      <w:pPr>
        <w:jc w:val="both"/>
        <w:ind w:left="-1120" w:right="20" w:firstLine="1952"/>
        <w:spacing w:after="0" w:line="237" w:lineRule="auto"/>
        <w:tabs>
          <w:tab w:leader="none" w:pos="1137" w:val="left"/>
        </w:tabs>
        <w:numPr>
          <w:ilvl w:val="0"/>
          <w:numId w:val="156"/>
        </w:numPr>
        <w:rPr>
          <w:rFonts w:ascii="Arial" w:cs="Arial" w:eastAsia="Arial" w:hAnsi="Arial"/>
          <w:sz w:val="20"/>
          <w:szCs w:val="20"/>
          <w:color w:val="auto"/>
        </w:rPr>
      </w:pPr>
      <w:r>
        <w:rPr>
          <w:rFonts w:ascii="Arial" w:cs="Arial" w:eastAsia="Arial" w:hAnsi="Arial"/>
          <w:sz w:val="20"/>
          <w:szCs w:val="20"/>
          <w:color w:val="auto"/>
        </w:rPr>
        <w:t>where it relates to a Treaty Lender that becomes a Lender after the date this Agreement is entered into, contains the scheme reference number and jurisdiction of tax residence stated in respect of that Lender in the relevant Assignment and Assumption Agreement, and</w:t>
      </w:r>
    </w:p>
    <w:p>
      <w:pPr>
        <w:spacing w:after="0" w:line="210" w:lineRule="exact"/>
        <w:rPr>
          <w:sz w:val="20"/>
          <w:szCs w:val="20"/>
          <w:color w:val="auto"/>
        </w:rPr>
      </w:pPr>
    </w:p>
    <w:p>
      <w:pPr>
        <w:ind w:left="-1120" w:firstLine="1952"/>
        <w:spacing w:after="0" w:line="233" w:lineRule="auto"/>
        <w:tabs>
          <w:tab w:leader="none" w:pos="1071" w:val="left"/>
        </w:tabs>
        <w:numPr>
          <w:ilvl w:val="0"/>
          <w:numId w:val="157"/>
        </w:numPr>
        <w:rPr>
          <w:rFonts w:ascii="Arial" w:cs="Arial" w:eastAsia="Arial" w:hAnsi="Arial"/>
          <w:sz w:val="20"/>
          <w:szCs w:val="20"/>
          <w:color w:val="auto"/>
        </w:rPr>
      </w:pPr>
      <w:r>
        <w:rPr>
          <w:rFonts w:ascii="Arial" w:cs="Arial" w:eastAsia="Arial" w:hAnsi="Arial"/>
          <w:sz w:val="20"/>
          <w:szCs w:val="20"/>
          <w:color w:val="auto"/>
        </w:rPr>
        <w:t>where the U.K. Borrower is a Borrower as at the date on which the Treaty Lender becomes a Lender, is filed with HM Revenue &amp; Customs within 30 days of that date; or</w:t>
      </w:r>
    </w:p>
    <w:p>
      <w:pPr>
        <w:spacing w:after="0" w:line="1" w:lineRule="exact"/>
        <w:rPr>
          <w:sz w:val="20"/>
          <w:szCs w:val="20"/>
          <w:color w:val="auto"/>
        </w:rPr>
      </w:pPr>
    </w:p>
    <w:p>
      <w:pPr>
        <w:ind w:left="-1120" w:firstLine="1952"/>
        <w:spacing w:after="0" w:line="234" w:lineRule="auto"/>
        <w:tabs>
          <w:tab w:leader="none" w:pos="1137" w:val="left"/>
        </w:tabs>
        <w:numPr>
          <w:ilvl w:val="0"/>
          <w:numId w:val="158"/>
        </w:numPr>
        <w:rPr>
          <w:rFonts w:ascii="Arial" w:cs="Arial" w:eastAsia="Arial" w:hAnsi="Arial"/>
          <w:sz w:val="20"/>
          <w:szCs w:val="20"/>
          <w:color w:val="auto"/>
        </w:rPr>
      </w:pPr>
      <w:r>
        <w:rPr>
          <w:rFonts w:ascii="Arial" w:cs="Arial" w:eastAsia="Arial" w:hAnsi="Arial"/>
          <w:sz w:val="20"/>
          <w:szCs w:val="20"/>
          <w:color w:val="auto"/>
        </w:rPr>
        <w:t>where the U.K. Borrower is not a Borrower as at the date on which the Treaty Lender becomes a Lender, is filed with HM Revenue &amp; Customs within 30 days of the date on which that U.K. Borrower becomes a Borrower.</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Qualifying Lender</w:t>
      </w:r>
      <w:r>
        <w:rPr>
          <w:rFonts w:ascii="Arial" w:cs="Arial" w:eastAsia="Arial" w:hAnsi="Arial"/>
          <w:sz w:val="20"/>
          <w:szCs w:val="20"/>
          <w:color w:val="auto"/>
        </w:rPr>
        <w:t>” means:</w:t>
      </w:r>
    </w:p>
    <w:p>
      <w:pPr>
        <w:spacing w:after="0" w:line="229" w:lineRule="exact"/>
        <w:rPr>
          <w:sz w:val="20"/>
          <w:szCs w:val="20"/>
          <w:color w:val="auto"/>
        </w:rPr>
      </w:pPr>
    </w:p>
    <w:p>
      <w:pPr>
        <w:ind w:left="-1120" w:firstLine="1952"/>
        <w:spacing w:after="0" w:line="246" w:lineRule="auto"/>
        <w:tabs>
          <w:tab w:leader="none" w:pos="1148"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 Lender which is beneficially entitled to interest payable to that Lender in respect of an advance under a Loan Document to a U.K. Borrower and is:</w:t>
      </w:r>
    </w:p>
    <w:p>
      <w:pPr>
        <w:spacing w:after="0" w:line="20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(I) a Lender:</w:t>
      </w:r>
    </w:p>
    <w:p>
      <w:pPr>
        <w:spacing w:after="0" w:line="2" w:lineRule="exact"/>
        <w:rPr>
          <w:sz w:val="20"/>
          <w:szCs w:val="20"/>
          <w:color w:val="auto"/>
        </w:rPr>
      </w:pPr>
    </w:p>
    <w:p>
      <w:pPr>
        <w:jc w:val="both"/>
        <w:ind w:left="-1120" w:firstLine="3248"/>
        <w:spacing w:after="0" w:line="250" w:lineRule="auto"/>
        <w:tabs>
          <w:tab w:leader="none" w:pos="24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which is a bank (as defined for the purpose of Section 879 of the ITA-UK) making an advance to a U.K. Borrower under a Loan Document and is within the charge to United Kingdom corporation tax as respects any payments of interest made in respect of that advance or would be within such charge as respects such payments apart from Section 18A of the CTA; or</w:t>
      </w:r>
    </w:p>
    <w:p>
      <w:pPr>
        <w:spacing w:after="0" w:line="1" w:lineRule="exact"/>
        <w:rPr>
          <w:rFonts w:ascii="Arial" w:cs="Arial" w:eastAsia="Arial" w:hAnsi="Arial"/>
          <w:sz w:val="18"/>
          <w:szCs w:val="18"/>
          <w:color w:val="auto"/>
        </w:rPr>
      </w:pPr>
    </w:p>
    <w:p>
      <w:pPr>
        <w:jc w:val="both"/>
        <w:ind w:left="-1120" w:firstLine="3248"/>
        <w:spacing w:after="0" w:line="231" w:lineRule="auto"/>
        <w:tabs>
          <w:tab w:leader="none" w:pos="2400" w:val="left"/>
        </w:tabs>
        <w:numPr>
          <w:ilvl w:val="1"/>
          <w:numId w:val="160"/>
        </w:numPr>
        <w:rPr>
          <w:rFonts w:ascii="Arial" w:cs="Arial" w:eastAsia="Arial" w:hAnsi="Arial"/>
          <w:sz w:val="20"/>
          <w:szCs w:val="20"/>
          <w:color w:val="auto"/>
        </w:rPr>
      </w:pPr>
      <w:r>
        <w:rPr>
          <w:rFonts w:ascii="Arial" w:cs="Arial" w:eastAsia="Arial" w:hAnsi="Arial"/>
          <w:sz w:val="20"/>
          <w:szCs w:val="20"/>
          <w:color w:val="auto"/>
        </w:rPr>
        <w:t>in respect of an advance made under a Loan Document to a U.K. Borrower by a person that was a bank (as defined for the purpose of Section 879 of the ITA-UK) at the time that that advance was made and within the charge to United Kingdom corporation tax as respects any payments of interest made in respect of that advance; or</w:t>
      </w:r>
    </w:p>
    <w:p>
      <w:pPr>
        <w:spacing w:after="0" w:line="210" w:lineRule="exact"/>
        <w:rPr>
          <w:rFonts w:ascii="Arial" w:cs="Arial" w:eastAsia="Arial" w:hAnsi="Arial"/>
          <w:sz w:val="20"/>
          <w:szCs w:val="20"/>
          <w:color w:val="auto"/>
        </w:rPr>
      </w:pPr>
    </w:p>
    <w:p>
      <w:pPr>
        <w:ind w:left="1140" w:hanging="308"/>
        <w:spacing w:after="0"/>
        <w:tabs>
          <w:tab w:leader="none" w:pos="114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a Lender which is:</w:t>
      </w:r>
    </w:p>
    <w:p>
      <w:pPr>
        <w:spacing w:after="0" w:line="229" w:lineRule="exact"/>
        <w:rPr>
          <w:rFonts w:ascii="Arial" w:cs="Arial" w:eastAsia="Arial" w:hAnsi="Arial"/>
          <w:sz w:val="20"/>
          <w:szCs w:val="20"/>
          <w:color w:val="auto"/>
        </w:rPr>
      </w:pPr>
    </w:p>
    <w:p>
      <w:pPr>
        <w:ind w:left="2400" w:hanging="272"/>
        <w:spacing w:after="0"/>
        <w:tabs>
          <w:tab w:leader="none" w:pos="2400" w:val="left"/>
        </w:tabs>
        <w:numPr>
          <w:ilvl w:val="1"/>
          <w:numId w:val="161"/>
        </w:numPr>
        <w:rPr>
          <w:rFonts w:ascii="Arial" w:cs="Arial" w:eastAsia="Arial" w:hAnsi="Arial"/>
          <w:sz w:val="20"/>
          <w:szCs w:val="20"/>
          <w:color w:val="auto"/>
        </w:rPr>
      </w:pPr>
      <w:r>
        <w:rPr>
          <w:rFonts w:ascii="Arial" w:cs="Arial" w:eastAsia="Arial" w:hAnsi="Arial"/>
          <w:sz w:val="20"/>
          <w:szCs w:val="20"/>
          <w:color w:val="auto"/>
        </w:rPr>
        <w:t>a company resident in the United Kingdom for United Kingdom tax purposes;</w:t>
      </w:r>
    </w:p>
    <w:p>
      <w:pPr>
        <w:spacing w:after="0" w:line="229" w:lineRule="exact"/>
        <w:rPr>
          <w:rFonts w:ascii="Arial" w:cs="Arial" w:eastAsia="Arial" w:hAnsi="Arial"/>
          <w:sz w:val="20"/>
          <w:szCs w:val="20"/>
          <w:color w:val="auto"/>
        </w:rPr>
      </w:pPr>
    </w:p>
    <w:p>
      <w:pPr>
        <w:ind w:left="2400" w:hanging="272"/>
        <w:spacing w:after="0"/>
        <w:tabs>
          <w:tab w:leader="none" w:pos="2400" w:val="left"/>
        </w:tabs>
        <w:numPr>
          <w:ilvl w:val="1"/>
          <w:numId w:val="161"/>
        </w:numPr>
        <w:rPr>
          <w:rFonts w:ascii="Arial" w:cs="Arial" w:eastAsia="Arial" w:hAnsi="Arial"/>
          <w:sz w:val="20"/>
          <w:szCs w:val="20"/>
          <w:color w:val="auto"/>
        </w:rPr>
      </w:pPr>
      <w:r>
        <w:rPr>
          <w:rFonts w:ascii="Arial" w:cs="Arial" w:eastAsia="Arial" w:hAnsi="Arial"/>
          <w:sz w:val="20"/>
          <w:szCs w:val="20"/>
          <w:color w:val="auto"/>
        </w:rPr>
        <w:t>a partnership each member of which is:</w:t>
      </w:r>
    </w:p>
    <w:p>
      <w:pPr>
        <w:spacing w:after="0" w:line="229" w:lineRule="exact"/>
        <w:rPr>
          <w:rFonts w:ascii="Arial" w:cs="Arial" w:eastAsia="Arial" w:hAnsi="Arial"/>
          <w:sz w:val="20"/>
          <w:szCs w:val="20"/>
          <w:color w:val="auto"/>
        </w:rPr>
      </w:pPr>
    </w:p>
    <w:p>
      <w:pPr>
        <w:ind w:left="3040" w:hanging="264"/>
        <w:spacing w:after="0"/>
        <w:tabs>
          <w:tab w:leader="none" w:pos="3040" w:val="left"/>
        </w:tabs>
        <w:numPr>
          <w:ilvl w:val="2"/>
          <w:numId w:val="161"/>
        </w:numPr>
        <w:rPr>
          <w:rFonts w:ascii="Arial" w:cs="Arial" w:eastAsia="Arial" w:hAnsi="Arial"/>
          <w:sz w:val="20"/>
          <w:szCs w:val="20"/>
          <w:color w:val="auto"/>
        </w:rPr>
      </w:pPr>
      <w:r>
        <w:rPr>
          <w:rFonts w:ascii="Arial" w:cs="Arial" w:eastAsia="Arial" w:hAnsi="Arial"/>
          <w:sz w:val="20"/>
          <w:szCs w:val="20"/>
          <w:color w:val="auto"/>
        </w:rPr>
        <w:t>a company so resident in the United Kingdom; or</w:t>
      </w:r>
    </w:p>
    <w:p>
      <w:pPr>
        <w:spacing w:after="0" w:line="229" w:lineRule="exact"/>
        <w:rPr>
          <w:rFonts w:ascii="Arial" w:cs="Arial" w:eastAsia="Arial" w:hAnsi="Arial"/>
          <w:sz w:val="20"/>
          <w:szCs w:val="20"/>
          <w:color w:val="auto"/>
        </w:rPr>
      </w:pPr>
    </w:p>
    <w:p>
      <w:pPr>
        <w:jc w:val="both"/>
        <w:ind w:left="-1120" w:firstLine="3896"/>
        <w:spacing w:after="0" w:line="275" w:lineRule="auto"/>
        <w:tabs>
          <w:tab w:leader="none" w:pos="3048" w:val="left"/>
        </w:tabs>
        <w:numPr>
          <w:ilvl w:val="2"/>
          <w:numId w:val="161"/>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179" w:lineRule="exact"/>
        <w:rPr>
          <w:rFonts w:ascii="Arial" w:cs="Arial" w:eastAsia="Arial" w:hAnsi="Arial"/>
          <w:sz w:val="18"/>
          <w:szCs w:val="18"/>
          <w:color w:val="auto"/>
        </w:rPr>
      </w:pPr>
    </w:p>
    <w:p>
      <w:pPr>
        <w:ind w:left="-1120" w:firstLine="3248"/>
        <w:spacing w:after="0" w:line="246" w:lineRule="auto"/>
        <w:tabs>
          <w:tab w:leader="none" w:pos="2441" w:val="left"/>
        </w:tabs>
        <w:numPr>
          <w:ilvl w:val="1"/>
          <w:numId w:val="161"/>
        </w:numPr>
        <w:rPr>
          <w:rFonts w:ascii="Arial" w:cs="Arial" w:eastAsia="Arial" w:hAnsi="Arial"/>
          <w:sz w:val="20"/>
          <w:szCs w:val="20"/>
          <w:color w:val="auto"/>
        </w:rPr>
      </w:pPr>
      <w:r>
        <w:rPr>
          <w:rFonts w:ascii="Arial" w:cs="Arial" w:eastAsia="Arial" w:hAnsi="Arial"/>
          <w:sz w:val="20"/>
          <w:szCs w:val="20"/>
          <w:color w:val="auto"/>
        </w:rPr>
        <w:t>a company not so resident in the United Kingdom which carries on a trade in the United Kingdom through a permanent establishment and which brings into</w:t>
      </w:r>
    </w:p>
    <w:p>
      <w:pPr>
        <w:sectPr>
          <w:pgSz w:w="11900" w:h="16838" w:orient="portrait"/>
          <w:cols w:equalWidth="0" w:num="1">
            <w:col w:w="10120"/>
          </w:cols>
          <w:pgMar w:left="1440" w:top="1419" w:right="339" w:bottom="1440" w:gutter="0" w:footer="0" w:header="0"/>
        </w:sectPr>
      </w:pPr>
    </w:p>
    <w:bookmarkStart w:id="244" w:name="page245"/>
    <w:bookmarkEnd w:id="244"/>
    <w:p>
      <w:pPr>
        <w:spacing w:after="0" w:line="246" w:lineRule="auto"/>
        <w:rPr>
          <w:sz w:val="20"/>
          <w:szCs w:val="20"/>
          <w:color w:val="auto"/>
        </w:rPr>
      </w:pPr>
      <w:r>
        <w:rPr>
          <w:rFonts w:ascii="Arial" w:cs="Arial" w:eastAsia="Arial" w:hAnsi="Arial"/>
          <w:sz w:val="20"/>
          <w:szCs w:val="20"/>
          <w:color w:val="auto"/>
        </w:rPr>
        <w:t>account interest payable in respect of that advance in computing the chargeable profits (within the meaning of Section 19 of the CTA) of that company; or</w:t>
      </w:r>
    </w:p>
    <w:p>
      <w:pPr>
        <w:spacing w:after="0" w:line="204"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(III) a Treaty Lender; or</w:t>
      </w:r>
    </w:p>
    <w:p>
      <w:pPr>
        <w:spacing w:after="0" w:line="229" w:lineRule="exact"/>
        <w:rPr>
          <w:sz w:val="20"/>
          <w:szCs w:val="20"/>
          <w:color w:val="auto"/>
        </w:rPr>
      </w:pPr>
    </w:p>
    <w:p>
      <w:pPr>
        <w:ind w:firstLine="1952"/>
        <w:spacing w:after="0" w:line="246" w:lineRule="auto"/>
        <w:tabs>
          <w:tab w:leader="none" w:pos="2284" w:val="left"/>
        </w:tabs>
        <w:numPr>
          <w:ilvl w:val="0"/>
          <w:numId w:val="162"/>
        </w:numPr>
        <w:rPr>
          <w:rFonts w:ascii="Arial" w:cs="Arial" w:eastAsia="Arial" w:hAnsi="Arial"/>
          <w:sz w:val="20"/>
          <w:szCs w:val="20"/>
          <w:color w:val="auto"/>
        </w:rPr>
      </w:pPr>
      <w:r>
        <w:rPr>
          <w:rFonts w:ascii="Arial" w:cs="Arial" w:eastAsia="Arial" w:hAnsi="Arial"/>
          <w:sz w:val="20"/>
          <w:szCs w:val="20"/>
          <w:color w:val="auto"/>
        </w:rPr>
        <w:t>a Lender which is a building society (as defined for the purpose of Section 880 of the ITA-UK) making an advance under a Loan Document.</w:t>
      </w:r>
    </w:p>
    <w:p>
      <w:pPr>
        <w:spacing w:after="0" w:line="204" w:lineRule="exact"/>
        <w:rPr>
          <w:sz w:val="20"/>
          <w:szCs w:val="20"/>
          <w:color w:val="auto"/>
        </w:rPr>
      </w:pPr>
    </w:p>
    <w:p>
      <w:pPr>
        <w:ind w:right="2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Confirmation</w:t>
      </w:r>
      <w:r>
        <w:rPr>
          <w:rFonts w:ascii="Arial" w:cs="Arial" w:eastAsia="Arial" w:hAnsi="Arial"/>
          <w:sz w:val="20"/>
          <w:szCs w:val="20"/>
          <w:color w:val="auto"/>
        </w:rPr>
        <w:t>” means a confirmation by a Lender that the person beneficially entitled to interest payable to that Lender in respect of an advance under a Loan Document to a U.K. Borrower is either:</w:t>
      </w:r>
    </w:p>
    <w:p>
      <w:pPr>
        <w:spacing w:after="0" w:line="204" w:lineRule="exact"/>
        <w:rPr>
          <w:sz w:val="20"/>
          <w:szCs w:val="20"/>
          <w:color w:val="auto"/>
        </w:rPr>
      </w:pPr>
    </w:p>
    <w:p>
      <w:pPr>
        <w:ind w:left="2280" w:hanging="328"/>
        <w:spacing w:after="0"/>
        <w:tabs>
          <w:tab w:leader="none" w:pos="228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a company resident in the United Kingdom for United Kingdom tax purposes;</w:t>
      </w:r>
    </w:p>
    <w:p>
      <w:pPr>
        <w:spacing w:after="0" w:line="229" w:lineRule="exact"/>
        <w:rPr>
          <w:rFonts w:ascii="Arial" w:cs="Arial" w:eastAsia="Arial" w:hAnsi="Arial"/>
          <w:sz w:val="20"/>
          <w:szCs w:val="20"/>
          <w:color w:val="auto"/>
        </w:rPr>
      </w:pPr>
    </w:p>
    <w:p>
      <w:pPr>
        <w:ind w:left="2260" w:hanging="308"/>
        <w:spacing w:after="0"/>
        <w:tabs>
          <w:tab w:leader="none" w:pos="226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a partnership each member of which is:</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 a company so resident in the United Kingdom; or</w:t>
      </w:r>
    </w:p>
    <w:p>
      <w:pPr>
        <w:spacing w:after="0" w:line="213" w:lineRule="exact"/>
        <w:rPr>
          <w:sz w:val="20"/>
          <w:szCs w:val="20"/>
          <w:color w:val="auto"/>
        </w:rPr>
      </w:pPr>
    </w:p>
    <w:p>
      <w:pPr>
        <w:jc w:val="both"/>
        <w:ind w:firstLine="1952"/>
        <w:spacing w:after="0" w:line="254" w:lineRule="auto"/>
        <w:tabs>
          <w:tab w:leader="none" w:pos="227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97" w:lineRule="exact"/>
        <w:rPr>
          <w:sz w:val="20"/>
          <w:szCs w:val="20"/>
          <w:color w:val="auto"/>
        </w:rPr>
      </w:pPr>
    </w:p>
    <w:p>
      <w:pPr>
        <w:jc w:val="both"/>
        <w:ind w:firstLine="1952"/>
        <w:spacing w:after="0" w:line="237" w:lineRule="auto"/>
        <w:tabs>
          <w:tab w:leader="none" w:pos="2271"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210" w:lineRule="exact"/>
        <w:rPr>
          <w:sz w:val="20"/>
          <w:szCs w:val="20"/>
          <w:color w:val="auto"/>
        </w:rPr>
      </w:pPr>
    </w:p>
    <w:p>
      <w:pPr>
        <w:ind w:right="2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Deduction</w:t>
      </w:r>
      <w:r>
        <w:rPr>
          <w:rFonts w:ascii="Arial" w:cs="Arial" w:eastAsia="Arial" w:hAnsi="Arial"/>
          <w:sz w:val="20"/>
          <w:szCs w:val="20"/>
          <w:color w:val="auto"/>
        </w:rPr>
        <w:t>” means a deduction or withholding for or on account of Taxes from a payment under a Loan Document, other than a deduction under FATCA.</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Treaty Lender</w:t>
      </w:r>
      <w:r>
        <w:rPr>
          <w:rFonts w:ascii="Arial" w:cs="Arial" w:eastAsia="Arial" w:hAnsi="Arial"/>
          <w:sz w:val="20"/>
          <w:szCs w:val="20"/>
          <w:color w:val="auto"/>
        </w:rPr>
        <w:t>” means a Lender which:</w:t>
      </w:r>
    </w:p>
    <w:p>
      <w:pPr>
        <w:spacing w:after="0" w:line="229" w:lineRule="exact"/>
        <w:rPr>
          <w:sz w:val="20"/>
          <w:szCs w:val="20"/>
          <w:color w:val="auto"/>
        </w:rPr>
      </w:pPr>
    </w:p>
    <w:p>
      <w:pPr>
        <w:ind w:left="2280" w:hanging="328"/>
        <w:spacing w:after="0"/>
        <w:tabs>
          <w:tab w:leader="none" w:pos="228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is treated as a resident of a Treaty State for the purposes of the relevant Treaty;</w:t>
      </w:r>
    </w:p>
    <w:p>
      <w:pPr>
        <w:spacing w:after="0" w:line="229" w:lineRule="exact"/>
        <w:rPr>
          <w:rFonts w:ascii="Arial" w:cs="Arial" w:eastAsia="Arial" w:hAnsi="Arial"/>
          <w:sz w:val="20"/>
          <w:szCs w:val="20"/>
          <w:color w:val="auto"/>
        </w:rPr>
      </w:pPr>
    </w:p>
    <w:p>
      <w:pPr>
        <w:ind w:firstLine="1952"/>
        <w:spacing w:after="0" w:line="246" w:lineRule="auto"/>
        <w:tabs>
          <w:tab w:leader="none" w:pos="2257" w:val="left"/>
        </w:tabs>
        <w:numPr>
          <w:ilvl w:val="0"/>
          <w:numId w:val="166"/>
        </w:numPr>
        <w:rPr>
          <w:rFonts w:ascii="Arial" w:cs="Arial" w:eastAsia="Arial" w:hAnsi="Arial"/>
          <w:sz w:val="20"/>
          <w:szCs w:val="20"/>
          <w:color w:val="auto"/>
        </w:rPr>
      </w:pPr>
      <w:r>
        <w:rPr>
          <w:rFonts w:ascii="Arial" w:cs="Arial" w:eastAsia="Arial" w:hAnsi="Arial"/>
          <w:sz w:val="20"/>
          <w:szCs w:val="20"/>
          <w:color w:val="auto"/>
        </w:rPr>
        <w:t>does not carry on a business in the United Kingdom through a permanent establishment with which that Lender’s participation in a Loan to a U.K. Borrower is effectively connected; and</w:t>
      </w:r>
    </w:p>
    <w:p>
      <w:pPr>
        <w:spacing w:after="0" w:line="203" w:lineRule="exact"/>
        <w:rPr>
          <w:rFonts w:ascii="Arial" w:cs="Arial" w:eastAsia="Arial" w:hAnsi="Arial"/>
          <w:sz w:val="20"/>
          <w:szCs w:val="20"/>
          <w:color w:val="auto"/>
        </w:rPr>
      </w:pPr>
    </w:p>
    <w:p>
      <w:pPr>
        <w:jc w:val="both"/>
        <w:ind w:firstLine="1952"/>
        <w:spacing w:after="0" w:line="231" w:lineRule="auto"/>
        <w:tabs>
          <w:tab w:leader="none" w:pos="2257" w:val="left"/>
        </w:tabs>
        <w:numPr>
          <w:ilvl w:val="0"/>
          <w:numId w:val="166"/>
        </w:numPr>
        <w:rPr>
          <w:rFonts w:ascii="Arial" w:cs="Arial" w:eastAsia="Arial" w:hAnsi="Arial"/>
          <w:sz w:val="20"/>
          <w:szCs w:val="20"/>
          <w:color w:val="auto"/>
        </w:rPr>
      </w:pPr>
      <w:r>
        <w:rPr>
          <w:rFonts w:ascii="Arial" w:cs="Arial" w:eastAsia="Arial" w:hAnsi="Arial"/>
          <w:sz w:val="20"/>
          <w:szCs w:val="20"/>
          <w:color w:val="auto"/>
        </w:rPr>
        <w:t>meets all other conditions of the relevant Treaty for full exemption from taxation on interest and other amounts which relate to the Lender (including, without limitation, its tax or other status, the manner in which or the period for which it holds any rights under this Agreement, the reasons or purposes for its acquisition of such rights and the nature of any arrangements by which it disposes of or otherwise turns to account such rights) under the Loan Documents. In this subclause (C), “conditions” shall mean conditions relating to an entity’s eligibility for full exemption under the relevant Treaty and shall not be treated as including any procedural formalities that need to be satisfied in relation to that Treaty.</w:t>
      </w:r>
    </w:p>
    <w:p>
      <w:pPr>
        <w:spacing w:after="0" w:line="211" w:lineRule="exact"/>
        <w:rPr>
          <w:sz w:val="20"/>
          <w:szCs w:val="20"/>
          <w:color w:val="auto"/>
        </w:rPr>
      </w:pPr>
    </w:p>
    <w:p>
      <w:pPr>
        <w:ind w:right="2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Treaty State</w:t>
      </w:r>
      <w:r>
        <w:rPr>
          <w:rFonts w:ascii="Arial" w:cs="Arial" w:eastAsia="Arial" w:hAnsi="Arial"/>
          <w:sz w:val="20"/>
          <w:szCs w:val="20"/>
          <w:color w:val="auto"/>
        </w:rPr>
        <w:t>” means a jurisdiction having a double taxation agreement with the United Kingdom (a “</w:t>
      </w:r>
      <w:r>
        <w:rPr>
          <w:rFonts w:ascii="Arial" w:cs="Arial" w:eastAsia="Arial" w:hAnsi="Arial"/>
          <w:sz w:val="20"/>
          <w:szCs w:val="20"/>
          <w:u w:val="single" w:color="auto"/>
          <w:color w:val="auto"/>
        </w:rPr>
        <w:t>Treaty</w:t>
      </w:r>
      <w:r>
        <w:rPr>
          <w:rFonts w:ascii="Arial" w:cs="Arial" w:eastAsia="Arial" w:hAnsi="Arial"/>
          <w:sz w:val="20"/>
          <w:szCs w:val="20"/>
          <w:color w:val="auto"/>
        </w:rPr>
        <w:t>”) which makes provision for full exemption from tax imposed by the United Kingdom on interest.</w:t>
      </w:r>
    </w:p>
    <w:p>
      <w:pPr>
        <w:sectPr>
          <w:pgSz w:w="11900" w:h="16838" w:orient="portrait"/>
          <w:cols w:equalWidth="0" w:num="1">
            <w:col w:w="11240"/>
          </w:cols>
          <w:pgMar w:left="320" w:top="1419" w:right="339" w:bottom="1440" w:gutter="0" w:footer="0" w:header="0"/>
        </w:sectPr>
      </w:pPr>
    </w:p>
    <w:bookmarkStart w:id="245" w:name="page246"/>
    <w:bookmarkEnd w:id="245"/>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Non-Bank Lender</w:t>
      </w:r>
      <w:r>
        <w:rPr>
          <w:rFonts w:ascii="Arial" w:cs="Arial" w:eastAsia="Arial" w:hAnsi="Arial"/>
          <w:sz w:val="20"/>
          <w:szCs w:val="20"/>
          <w:color w:val="auto"/>
        </w:rPr>
        <w:t>” means:</w:t>
      </w:r>
    </w:p>
    <w:p>
      <w:pPr>
        <w:spacing w:after="0" w:line="229" w:lineRule="exact"/>
        <w:rPr>
          <w:sz w:val="20"/>
          <w:szCs w:val="20"/>
          <w:color w:val="auto"/>
        </w:rPr>
      </w:pPr>
    </w:p>
    <w:p>
      <w:pPr>
        <w:ind w:firstLine="1952"/>
        <w:spacing w:after="0" w:line="300" w:lineRule="auto"/>
        <w:tabs>
          <w:tab w:leader="none" w:pos="226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Lender (which falls within paragraph (A)(II) of the definition of “Qualifying Lender”) which is a party to this Agreement on the day on which this Agreement is entered into and which has provided a Tax Confirmation to the Administrative Agent; and</w:t>
      </w:r>
    </w:p>
    <w:p>
      <w:pPr>
        <w:spacing w:after="0" w:line="157" w:lineRule="exact"/>
        <w:rPr>
          <w:rFonts w:ascii="Arial" w:cs="Arial" w:eastAsia="Arial" w:hAnsi="Arial"/>
          <w:sz w:val="18"/>
          <w:szCs w:val="18"/>
          <w:color w:val="auto"/>
        </w:rPr>
      </w:pPr>
    </w:p>
    <w:p>
      <w:pPr>
        <w:ind w:firstLine="1952"/>
        <w:spacing w:after="0" w:line="246" w:lineRule="auto"/>
        <w:tabs>
          <w:tab w:leader="none" w:pos="2257" w:val="left"/>
        </w:tabs>
        <w:numPr>
          <w:ilvl w:val="0"/>
          <w:numId w:val="167"/>
        </w:numPr>
        <w:rPr>
          <w:rFonts w:ascii="Arial" w:cs="Arial" w:eastAsia="Arial" w:hAnsi="Arial"/>
          <w:sz w:val="20"/>
          <w:szCs w:val="20"/>
          <w:color w:val="auto"/>
        </w:rPr>
      </w:pPr>
      <w:r>
        <w:rPr>
          <w:rFonts w:ascii="Arial" w:cs="Arial" w:eastAsia="Arial" w:hAnsi="Arial"/>
          <w:sz w:val="20"/>
          <w:szCs w:val="20"/>
          <w:color w:val="auto"/>
        </w:rPr>
        <w:t>where a Lender becomes a Lender after the day on which this Agreement is entered into, a Lender which gives a Tax Confirmation in the Assignment and Assumption Agreement which it executes on becoming a Lender.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 gross-up with respect to any advance</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All payments under any Loan Document, with respect to any Loan to a U.K. Borrower or in respect of any Letter of Credit issued with respect to any U.K. Borrower, shall be made without any Tax Deduction, unless a Tax Deduction is required by law.</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 U.K. Borrower shall promptly upon becoming aware that it must make a Tax Deduction (or that there is any change in the rate or the basis of a Tax Deduction) notify the Administrative Agent accordingly.</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If a Tax Deduction is required by law to be made by a U.K. Borrower or Administrative Agent, the amount of the payment due from that U.K. Borrower shall be increased to an amount which (after making any Tax Deduction) leaves an amount equal to the payment which would have been due if no Tax Deduction had been required.</w:t>
      </w:r>
    </w:p>
    <w:p>
      <w:pPr>
        <w:spacing w:after="0" w:line="21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A payment shall not be increased under paragraph (C) above by reason of a Tax Deduction on account of Taxes imposed by the United Kingdom on the payment of any amount of interest with respect to any advance under any Loan Document to any U.K. Borrower or in respect of any Letter of Credit issued in respect of any U.K. Borrower, if on the date on which the payment falls due:</w:t>
      </w:r>
    </w:p>
    <w:p>
      <w:pPr>
        <w:spacing w:after="0" w:line="197" w:lineRule="exact"/>
        <w:rPr>
          <w:sz w:val="20"/>
          <w:szCs w:val="20"/>
          <w:color w:val="auto"/>
        </w:rPr>
      </w:pPr>
    </w:p>
    <w:p>
      <w:pPr>
        <w:jc w:val="both"/>
        <w:ind w:firstLine="656"/>
        <w:spacing w:after="0" w:line="234" w:lineRule="auto"/>
        <w:tabs>
          <w:tab w:leader="none" w:pos="895"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payment could have been made to the relevant Lender without a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210" w:lineRule="exact"/>
        <w:rPr>
          <w:sz w:val="20"/>
          <w:szCs w:val="20"/>
          <w:color w:val="auto"/>
        </w:rPr>
      </w:pPr>
    </w:p>
    <w:p>
      <w:pPr>
        <w:ind w:left="960" w:hanging="304"/>
        <w:spacing w:after="0"/>
        <w:tabs>
          <w:tab w:leader="none" w:pos="96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relevant Lender is a Qualifying Lender solely by virtue of paragraph (A)(II) of the definition of “Qualifying Lender” and:</w:t>
      </w:r>
    </w:p>
    <w:p>
      <w:pPr>
        <w:spacing w:after="0" w:line="240" w:lineRule="exact"/>
        <w:rPr>
          <w:rFonts w:ascii="Arial" w:cs="Arial" w:eastAsia="Arial" w:hAnsi="Arial"/>
          <w:sz w:val="19"/>
          <w:szCs w:val="19"/>
          <w:color w:val="auto"/>
        </w:rPr>
      </w:pPr>
    </w:p>
    <w:p>
      <w:pPr>
        <w:jc w:val="both"/>
        <w:ind w:firstLine="1952"/>
        <w:spacing w:after="0" w:line="237" w:lineRule="auto"/>
        <w:tabs>
          <w:tab w:leader="none" w:pos="2251" w:val="left"/>
        </w:tabs>
        <w:numPr>
          <w:ilvl w:val="1"/>
          <w:numId w:val="169"/>
        </w:numPr>
        <w:rPr>
          <w:rFonts w:ascii="Arial" w:cs="Arial" w:eastAsia="Arial" w:hAnsi="Arial"/>
          <w:sz w:val="20"/>
          <w:szCs w:val="20"/>
          <w:color w:val="auto"/>
        </w:rPr>
      </w:pPr>
      <w:r>
        <w:rPr>
          <w:rFonts w:ascii="Arial" w:cs="Arial" w:eastAsia="Arial" w:hAnsi="Arial"/>
          <w:sz w:val="20"/>
          <w:szCs w:val="20"/>
          <w:color w:val="auto"/>
        </w:rPr>
        <w:t xml:space="preserve">an officer of H.M. Revenue &amp; Customs has given (and not revoked) a direction (solely for purposes of this </w:t>
      </w:r>
      <w:r>
        <w:rPr>
          <w:rFonts w:ascii="Arial" w:cs="Arial" w:eastAsia="Arial" w:hAnsi="Arial"/>
          <w:sz w:val="20"/>
          <w:szCs w:val="20"/>
          <w:u w:val="single" w:color="auto"/>
          <w:color w:val="auto"/>
        </w:rPr>
        <w:t>Section 4.7(f)</w:t>
      </w:r>
      <w:r>
        <w:rPr>
          <w:rFonts w:ascii="Arial" w:cs="Arial" w:eastAsia="Arial" w:hAnsi="Arial"/>
          <w:sz w:val="20"/>
          <w:szCs w:val="20"/>
          <w:color w:val="auto"/>
        </w:rPr>
        <w:t>, a “Direction”) under Section 931 of the ITA-UK which relates to the payment and that Lender has received from the U.K. Borrower making the payment a certified copy of that Direction; and</w:t>
      </w:r>
    </w:p>
    <w:p>
      <w:pPr>
        <w:spacing w:after="0" w:line="209" w:lineRule="exact"/>
        <w:rPr>
          <w:rFonts w:ascii="Arial" w:cs="Arial" w:eastAsia="Arial" w:hAnsi="Arial"/>
          <w:sz w:val="20"/>
          <w:szCs w:val="20"/>
          <w:color w:val="auto"/>
        </w:rPr>
      </w:pPr>
    </w:p>
    <w:p>
      <w:pPr>
        <w:ind w:left="2240" w:hanging="288"/>
        <w:spacing w:after="0"/>
        <w:tabs>
          <w:tab w:leader="none" w:pos="224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payment could have been made to the Lender without any Tax Deduction if that Direction had not been made;</w:t>
      </w:r>
    </w:p>
    <w:p>
      <w:pPr>
        <w:spacing w:after="0" w:line="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or</w:t>
      </w:r>
    </w:p>
    <w:p>
      <w:pPr>
        <w:spacing w:after="0" w:line="213" w:lineRule="exact"/>
        <w:rPr>
          <w:sz w:val="20"/>
          <w:szCs w:val="20"/>
          <w:color w:val="auto"/>
        </w:rPr>
      </w:pPr>
    </w:p>
    <w:p>
      <w:pPr>
        <w:ind w:left="1040" w:hanging="384"/>
        <w:spacing w:after="0"/>
        <w:tabs>
          <w:tab w:leader="none" w:pos="104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relevant Lender is a Qualifying Lender solely by virtue of paragraph (A)(II) of the definition of “Qualifying Lender” and:</w:t>
      </w:r>
    </w:p>
    <w:p>
      <w:pPr>
        <w:spacing w:after="0" w:line="240" w:lineRule="exact"/>
        <w:rPr>
          <w:rFonts w:ascii="Arial" w:cs="Arial" w:eastAsia="Arial" w:hAnsi="Arial"/>
          <w:sz w:val="19"/>
          <w:szCs w:val="19"/>
          <w:color w:val="auto"/>
        </w:rPr>
      </w:pPr>
    </w:p>
    <w:p>
      <w:pPr>
        <w:ind w:left="2240" w:hanging="288"/>
        <w:spacing w:after="0"/>
        <w:tabs>
          <w:tab w:leader="none" w:pos="2240" w:val="left"/>
        </w:tabs>
        <w:numPr>
          <w:ilvl w:val="1"/>
          <w:numId w:val="170"/>
        </w:numPr>
        <w:rPr>
          <w:rFonts w:ascii="Arial" w:cs="Arial" w:eastAsia="Arial" w:hAnsi="Arial"/>
          <w:sz w:val="20"/>
          <w:szCs w:val="20"/>
          <w:color w:val="auto"/>
        </w:rPr>
      </w:pPr>
      <w:r>
        <w:rPr>
          <w:rFonts w:ascii="Arial" w:cs="Arial" w:eastAsia="Arial" w:hAnsi="Arial"/>
          <w:sz w:val="20"/>
          <w:szCs w:val="20"/>
          <w:color w:val="auto"/>
        </w:rPr>
        <w:t>the relevant Lender has not given a Tax Confirmation to the U.K. Borrower; and</w:t>
      </w:r>
    </w:p>
    <w:p>
      <w:pPr>
        <w:sectPr>
          <w:pgSz w:w="11900" w:h="16838" w:orient="portrait"/>
          <w:cols w:equalWidth="0" w:num="1">
            <w:col w:w="11240"/>
          </w:cols>
          <w:pgMar w:left="320" w:top="1419" w:right="339" w:bottom="1440" w:gutter="0" w:footer="0" w:header="0"/>
        </w:sectPr>
      </w:pPr>
    </w:p>
    <w:bookmarkStart w:id="246" w:name="page247"/>
    <w:bookmarkEnd w:id="246"/>
    <w:p>
      <w:pPr>
        <w:jc w:val="both"/>
        <w:ind w:firstLine="1952"/>
        <w:spacing w:after="0" w:line="237" w:lineRule="auto"/>
        <w:tabs>
          <w:tab w:leader="none" w:pos="2238"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payment could have been made to the Lender without any Tax Deduction if the Lender had given a Tax Confirmation to the U.K. Borrower, on the basis that the Tax Confirmation would have enabled the U.K. Borrower to have formed a reasonable belief that the payment was an “excepted payment” for the purpose of Section 930 of the ITA-UK; or</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(IV) the relevant Lender is a Treaty Lender and the U.K. Borrower making the payment is able to demonstrate that the payment could have been made to the Lender without the Tax Deduction had that Lender complied with its obligations under paragraph (G) or (H) (as applicable) below.</w:t>
      </w:r>
    </w:p>
    <w:p>
      <w:pPr>
        <w:spacing w:after="0" w:line="21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If a U.K. Borrower is required to make a Tax Deduction, that U.K. Borrower shall make that Tax Deduction and any payment required in connection with that Tax Deduction within the time allowed and in the minimum amount required by law.</w:t>
      </w:r>
    </w:p>
    <w:p>
      <w:pPr>
        <w:spacing w:after="0" w:line="20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Within thirty days of making either a Tax Deduction or any payment required in connection with that Tax Deduction, the U.K. Borrower making that Tax Deduction shall deliver to the Administrative Agent for the benefit of the Lender entitled to the payment a statement under Section 975 of the ITA-UK or other evidence reasonably satisfactory to that Lender that the Tax Deduction has been made or (as applicable) any appropriate payment paid to the relevant taxing authority.</w:t>
      </w:r>
    </w:p>
    <w:p>
      <w:pPr>
        <w:spacing w:after="0" w:line="210" w:lineRule="exact"/>
        <w:rPr>
          <w:sz w:val="20"/>
          <w:szCs w:val="20"/>
          <w:color w:val="auto"/>
        </w:rPr>
      </w:pPr>
    </w:p>
    <w:p>
      <w:pPr>
        <w:jc w:val="both"/>
        <w:ind w:firstLine="656"/>
        <w:spacing w:after="0" w:line="237" w:lineRule="auto"/>
        <w:tabs>
          <w:tab w:leader="none" w:pos="895" w:val="left"/>
        </w:tabs>
        <w:numPr>
          <w:ilvl w:val="0"/>
          <w:numId w:val="172"/>
        </w:numPr>
        <w:rPr>
          <w:rFonts w:ascii="Arial" w:cs="Arial" w:eastAsia="Arial" w:hAnsi="Arial"/>
          <w:sz w:val="20"/>
          <w:szCs w:val="20"/>
          <w:color w:val="auto"/>
        </w:rPr>
      </w:pPr>
      <w:r>
        <w:rPr>
          <w:rFonts w:ascii="Arial" w:cs="Arial" w:eastAsia="Arial" w:hAnsi="Arial"/>
          <w:sz w:val="20"/>
          <w:szCs w:val="20"/>
          <w:color w:val="auto"/>
        </w:rPr>
        <w:t>Subject to paragraph (II) below, a Treaty Lender and each U.K. Borrower which makes a payment to which that Treaty Lender is entitled shall co-operate in completing any procedural formalities necessary for that U.K. Borrower to obtain authorisation to make that payment without a Tax Deduction.</w:t>
      </w:r>
    </w:p>
    <w:p>
      <w:pPr>
        <w:spacing w:after="0" w:line="210" w:lineRule="exact"/>
        <w:rPr>
          <w:sz w:val="20"/>
          <w:szCs w:val="20"/>
          <w:color w:val="auto"/>
        </w:rPr>
      </w:pPr>
    </w:p>
    <w:p>
      <w:pPr>
        <w:jc w:val="both"/>
        <w:ind w:firstLine="656"/>
        <w:spacing w:after="0" w:line="234" w:lineRule="auto"/>
        <w:tabs>
          <w:tab w:leader="none" w:pos="961"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(1) A Treaty Lender which becomes a Lender on the day on which this Agreement is entered into that holds a passport under the HMRC DT Treaty Passport scheme, and which wishes that scheme to apply to this Agreement, shall include an indication to that effect by including its scheme reference number and its jurisdiction of tax residence opposite its name on </w:t>
      </w:r>
      <w:r>
        <w:rPr>
          <w:rFonts w:ascii="Arial" w:cs="Arial" w:eastAsia="Arial" w:hAnsi="Arial"/>
          <w:sz w:val="20"/>
          <w:szCs w:val="20"/>
          <w:u w:val="single" w:color="auto"/>
          <w:color w:val="auto"/>
        </w:rPr>
        <w:t>Schedule 1.1(a)</w:t>
      </w:r>
      <w:r>
        <w:rPr>
          <w:rFonts w:ascii="Arial" w:cs="Arial" w:eastAsia="Arial" w:hAnsi="Arial"/>
          <w:sz w:val="20"/>
          <w:szCs w:val="20"/>
          <w:color w:val="auto"/>
        </w:rPr>
        <w:t xml:space="preserve"> under the heading “Amount of Multicurrency Revolving Commitment”; and</w:t>
      </w:r>
    </w:p>
    <w:p>
      <w:pPr>
        <w:spacing w:after="0" w:line="210" w:lineRule="exact"/>
        <w:rPr>
          <w:sz w:val="20"/>
          <w:szCs w:val="20"/>
          <w:color w:val="auto"/>
        </w:rPr>
      </w:pPr>
    </w:p>
    <w:p>
      <w:pPr>
        <w:jc w:val="both"/>
        <w:ind w:firstLine="656"/>
        <w:spacing w:after="0" w:line="254" w:lineRule="auto"/>
        <w:tabs>
          <w:tab w:leader="none" w:pos="942" w:val="left"/>
        </w:tabs>
        <w:numPr>
          <w:ilvl w:val="0"/>
          <w:numId w:val="174"/>
        </w:numPr>
        <w:rPr>
          <w:rFonts w:ascii="Arial" w:cs="Arial" w:eastAsia="Arial" w:hAnsi="Arial"/>
          <w:sz w:val="19"/>
          <w:szCs w:val="19"/>
          <w:color w:val="auto"/>
        </w:rPr>
      </w:pPr>
      <w:r>
        <w:rPr>
          <w:rFonts w:ascii="Arial" w:cs="Arial" w:eastAsia="Arial" w:hAnsi="Arial"/>
          <w:sz w:val="19"/>
          <w:szCs w:val="19"/>
          <w:color w:val="auto"/>
        </w:rPr>
        <w:t>a Treaty Lender which becomes a Lender after the day on which this Agreement is entered into that holds a passport under the HMRC DT Treaty Passport scheme, and which wishes that scheme to apply to this Agreement, shall confirm its scheme reference number and its jurisdiction of tax residence in the Assignment and Assumption Agreement which it executes,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 having done so, that Lender shall be under no obligation pursuant to paragraph (G)(I) above.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 Lender has confirmed its scheme reference number and its jurisdiction of tax residence in accordance with paragraph (G)(II)</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above and a U.K. Borrower making a payment to that Lender has made a Borrower DTTP Filing in respect of that Lender but:</w:t>
      </w:r>
    </w:p>
    <w:p>
      <w:pPr>
        <w:spacing w:after="0" w:line="213" w:lineRule="exact"/>
        <w:rPr>
          <w:sz w:val="20"/>
          <w:szCs w:val="20"/>
          <w:color w:val="auto"/>
        </w:rPr>
      </w:pPr>
    </w:p>
    <w:p>
      <w:pPr>
        <w:ind w:left="2240" w:hanging="288"/>
        <w:spacing w:after="0"/>
        <w:tabs>
          <w:tab w:leader="none" w:pos="224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that Borrower DTTP Filing has been rejected by HM Revenue &amp; Customs; or</w:t>
      </w:r>
    </w:p>
    <w:p>
      <w:pPr>
        <w:spacing w:after="0" w:line="229" w:lineRule="exact"/>
        <w:rPr>
          <w:rFonts w:ascii="Arial" w:cs="Arial" w:eastAsia="Arial" w:hAnsi="Arial"/>
          <w:sz w:val="20"/>
          <w:szCs w:val="20"/>
          <w:color w:val="auto"/>
        </w:rPr>
      </w:pPr>
    </w:p>
    <w:p>
      <w:pPr>
        <w:ind w:right="20" w:firstLine="1952"/>
        <w:spacing w:after="0" w:line="246" w:lineRule="auto"/>
        <w:tabs>
          <w:tab w:leader="none" w:pos="2224" w:val="left"/>
        </w:tabs>
        <w:numPr>
          <w:ilvl w:val="0"/>
          <w:numId w:val="175"/>
        </w:numPr>
        <w:rPr>
          <w:rFonts w:ascii="Arial" w:cs="Arial" w:eastAsia="Arial" w:hAnsi="Arial"/>
          <w:sz w:val="20"/>
          <w:szCs w:val="20"/>
          <w:color w:val="auto"/>
        </w:rPr>
      </w:pPr>
      <w:r>
        <w:rPr>
          <w:rFonts w:ascii="Arial" w:cs="Arial" w:eastAsia="Arial" w:hAnsi="Arial"/>
          <w:sz w:val="20"/>
          <w:szCs w:val="20"/>
          <w:color w:val="auto"/>
        </w:rPr>
        <w:t>HM Revenue &amp; Customs has not given the U.K. Borrower authority to make payments to that Lender without a Tax Deduction within 60 days of the date of the Borrower DTTP Filing,</w:t>
      </w:r>
    </w:p>
    <w:p>
      <w:pPr>
        <w:sectPr>
          <w:pgSz w:w="11900" w:h="16838" w:orient="portrait"/>
          <w:cols w:equalWidth="0" w:num="1">
            <w:col w:w="11240"/>
          </w:cols>
          <w:pgMar w:left="320" w:top="1419" w:right="339" w:bottom="1440" w:gutter="0" w:footer="0" w:header="0"/>
        </w:sectPr>
      </w:pPr>
    </w:p>
    <w:bookmarkStart w:id="247" w:name="page248"/>
    <w:bookmarkEnd w:id="247"/>
    <w:p>
      <w:pPr>
        <w:jc w:val="both"/>
        <w:ind w:firstLine="648"/>
        <w:spacing w:after="0" w:line="237" w:lineRule="auto"/>
        <w:rPr>
          <w:sz w:val="20"/>
          <w:szCs w:val="20"/>
          <w:color w:val="auto"/>
        </w:rPr>
      </w:pPr>
      <w:r>
        <w:rPr>
          <w:rFonts w:ascii="Arial" w:cs="Arial" w:eastAsia="Arial" w:hAnsi="Arial"/>
          <w:sz w:val="20"/>
          <w:szCs w:val="20"/>
          <w:color w:val="auto"/>
        </w:rPr>
        <w:t>and in each case, the U.K. Borrower has notified that Lender in writing, that Lender and the U.K. Borrower shall co-operate in completing any additional procedural formalities necessary for that relevant Borrower to obtain authorisation to make that payment without a Tax Deduction.</w:t>
      </w:r>
    </w:p>
    <w:p>
      <w:pPr>
        <w:spacing w:after="0" w:line="210"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9"/>
          <w:szCs w:val="19"/>
          <w:color w:val="auto"/>
        </w:rPr>
        <w:t>If a Lender has not confirmed its scheme reference number and jurisdiction of tax residence in accordance with paragraph (G)(II) above, no U.K. Borrower shall make a Borrower DTTP Filing or file any other form relating to the HMRC DT Treaty Passport scheme in respect of that Lender’s Commitment(s) or its participation in any Loan unless the Lender otherwise agrees.</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 U.K. Borrower shall, promptly on making a Borrower DTTP Filing, deliver a copy of that Borrower DTTP Filing to the Agent for delivery to the relevant Lender.</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 UK Non-Bank Lender which becomes a Lender on the day on which this Agreement is entered into gives a Tax Confirmation to the Administrative Agent by entering into this Agreement.</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 UK Non-Bank Lender shall promptly notify the Administrative Agent if there is any change in the position from that set out in the Tax Confirmation.</w:t>
      </w:r>
    </w:p>
    <w:p>
      <w:pPr>
        <w:spacing w:after="0" w:line="20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 xml:space="preserve">Nothing in </w:t>
      </w:r>
      <w:r>
        <w:rPr>
          <w:rFonts w:ascii="Arial" w:cs="Arial" w:eastAsia="Arial" w:hAnsi="Arial"/>
          <w:sz w:val="20"/>
          <w:szCs w:val="20"/>
          <w:u w:val="single" w:color="auto"/>
          <w:color w:val="auto"/>
        </w:rPr>
        <w:t>Section 4.7(f)(ii)(G)</w:t>
      </w:r>
      <w:r>
        <w:rPr>
          <w:rFonts w:ascii="Arial" w:cs="Arial" w:eastAsia="Arial" w:hAnsi="Arial"/>
          <w:sz w:val="20"/>
          <w:szCs w:val="20"/>
          <w:color w:val="auto"/>
        </w:rPr>
        <w:t xml:space="preserve"> above shall require a Lender to (I) register under the HMRC DT Treaty Passport scheme, (II) apply the HMRC DT Treaty Passport scheme to any advance, Loan, Commitment or Letter of Credit if it has so registered, or (III) file treaty forms if it has included an indication to the effect that it wishes the HMRC DT Treaty Passport scheme to apply to this Agreement in accordance with </w:t>
      </w:r>
      <w:r>
        <w:rPr>
          <w:rFonts w:ascii="Arial" w:cs="Arial" w:eastAsia="Arial" w:hAnsi="Arial"/>
          <w:sz w:val="20"/>
          <w:szCs w:val="20"/>
          <w:u w:val="single" w:color="auto"/>
          <w:color w:val="auto"/>
        </w:rPr>
        <w:t>Section 4.7(f)(ii)(G)(II)</w:t>
      </w: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 indemnity</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The U.K. Borrowers shall (within ten Business Days of demand by the Administrative Agent) pay to a Lender an amount equal to the loss, liability or cost which that Lender determines will be or has been (directly or indirectly) suffered for or on account of Taxes by that Lender in respect of a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 Lender does not notify the U.K. Borrower of any indemnification claim under this </w:t>
      </w:r>
      <w:r>
        <w:rPr>
          <w:rFonts w:ascii="Arial" w:cs="Arial" w:eastAsia="Arial" w:hAnsi="Arial"/>
          <w:sz w:val="19"/>
          <w:szCs w:val="19"/>
          <w:u w:val="single" w:color="auto"/>
          <w:color w:val="auto"/>
        </w:rPr>
        <w:t>Section 4.7(f)(iii)</w:t>
      </w:r>
      <w:r>
        <w:rPr>
          <w:rFonts w:ascii="Arial" w:cs="Arial" w:eastAsia="Arial" w:hAnsi="Arial"/>
          <w:sz w:val="19"/>
          <w:szCs w:val="19"/>
          <w:color w:val="auto"/>
        </w:rPr>
        <w:t xml:space="preserve"> within 120 days after such Lender has received written notice of the claim of a taxing authority giving rise to such indemnification claim, the U.K. Borrowers shall not be required to indemnify such Lender for any incremental interest or penalties resulting from such Lender’s failure to notify the U.K. Borrower within such 120-day period.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Paragraph (A) above shall not apply:</w:t>
      </w:r>
    </w:p>
    <w:p>
      <w:pPr>
        <w:spacing w:after="0" w:line="229" w:lineRule="exact"/>
        <w:rPr>
          <w:sz w:val="20"/>
          <w:szCs w:val="20"/>
          <w:color w:val="auto"/>
        </w:rPr>
      </w:pPr>
    </w:p>
    <w:p>
      <w:pPr>
        <w:ind w:left="900" w:hanging="244"/>
        <w:spacing w:after="0"/>
        <w:tabs>
          <w:tab w:leader="none" w:pos="90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with respect to any Taxes assessed on a Lender:</w:t>
      </w:r>
    </w:p>
    <w:p>
      <w:pPr>
        <w:spacing w:after="0" w:line="229" w:lineRule="exact"/>
        <w:rPr>
          <w:rFonts w:ascii="Arial" w:cs="Arial" w:eastAsia="Arial" w:hAnsi="Arial"/>
          <w:sz w:val="20"/>
          <w:szCs w:val="20"/>
          <w:color w:val="auto"/>
        </w:rPr>
      </w:pPr>
    </w:p>
    <w:p>
      <w:pPr>
        <w:ind w:firstLine="1952"/>
        <w:spacing w:after="0" w:line="246" w:lineRule="auto"/>
        <w:tabs>
          <w:tab w:leader="none" w:pos="2265" w:val="left"/>
        </w:tabs>
        <w:numPr>
          <w:ilvl w:val="1"/>
          <w:numId w:val="176"/>
        </w:numPr>
        <w:rPr>
          <w:rFonts w:ascii="Arial" w:cs="Arial" w:eastAsia="Arial" w:hAnsi="Arial"/>
          <w:sz w:val="20"/>
          <w:szCs w:val="20"/>
          <w:color w:val="auto"/>
        </w:rPr>
      </w:pPr>
      <w:r>
        <w:rPr>
          <w:rFonts w:ascii="Arial" w:cs="Arial" w:eastAsia="Arial" w:hAnsi="Arial"/>
          <w:sz w:val="20"/>
          <w:szCs w:val="20"/>
          <w:color w:val="auto"/>
        </w:rPr>
        <w:t>under the law of the jurisdiction in which that Lender is incorporated or, if different, the jurisdiction (or jurisdictions) in which that Lender is treated as resident for tax purposes; or</w:t>
      </w:r>
    </w:p>
    <w:p>
      <w:pPr>
        <w:spacing w:after="0" w:line="203" w:lineRule="exact"/>
        <w:rPr>
          <w:rFonts w:ascii="Arial" w:cs="Arial" w:eastAsia="Arial" w:hAnsi="Arial"/>
          <w:sz w:val="20"/>
          <w:szCs w:val="20"/>
          <w:color w:val="auto"/>
        </w:rPr>
      </w:pPr>
    </w:p>
    <w:p>
      <w:pPr>
        <w:ind w:firstLine="1952"/>
        <w:spacing w:after="0" w:line="233" w:lineRule="auto"/>
        <w:tabs>
          <w:tab w:leader="none" w:pos="2224" w:val="left"/>
        </w:tabs>
        <w:numPr>
          <w:ilvl w:val="1"/>
          <w:numId w:val="176"/>
        </w:numPr>
        <w:rPr>
          <w:rFonts w:ascii="Arial" w:cs="Arial" w:eastAsia="Arial" w:hAnsi="Arial"/>
          <w:sz w:val="20"/>
          <w:szCs w:val="20"/>
          <w:color w:val="auto"/>
        </w:rPr>
      </w:pPr>
      <w:r>
        <w:rPr>
          <w:rFonts w:ascii="Arial" w:cs="Arial" w:eastAsia="Arial" w:hAnsi="Arial"/>
          <w:sz w:val="20"/>
          <w:szCs w:val="20"/>
          <w:color w:val="auto"/>
        </w:rPr>
        <w:t>under the law of the jurisdiction in which such Lender’s lending office is located in respect of amounts received or receivable in that jurisdiction,</w:t>
      </w:r>
    </w:p>
    <w:p>
      <w:pPr>
        <w:spacing w:after="0" w:line="1" w:lineRule="exact"/>
        <w:rPr>
          <w:rFonts w:ascii="Arial" w:cs="Arial" w:eastAsia="Arial" w:hAnsi="Arial"/>
          <w:sz w:val="20"/>
          <w:szCs w:val="20"/>
          <w:color w:val="auto"/>
        </w:rPr>
      </w:pPr>
    </w:p>
    <w:p>
      <w:pPr>
        <w:ind w:right="20" w:firstLine="648"/>
        <w:spacing w:after="0" w:line="234" w:lineRule="auto"/>
        <w:rPr>
          <w:rFonts w:ascii="Arial" w:cs="Arial" w:eastAsia="Arial" w:hAnsi="Arial"/>
          <w:sz w:val="20"/>
          <w:szCs w:val="20"/>
          <w:color w:val="auto"/>
        </w:rPr>
      </w:pPr>
      <w:r>
        <w:rPr>
          <w:rFonts w:ascii="Arial" w:cs="Arial" w:eastAsia="Arial" w:hAnsi="Arial"/>
          <w:sz w:val="20"/>
          <w:szCs w:val="20"/>
          <w:color w:val="auto"/>
        </w:rPr>
        <w:t>if such Taxes are imposed on or calculated by reference to the net income received or receivable (but not any sum deemed to be received or receivable) by that Lender; or</w:t>
      </w:r>
    </w:p>
    <w:p>
      <w:pPr>
        <w:spacing w:after="0" w:line="211" w:lineRule="exact"/>
        <w:rPr>
          <w:sz w:val="20"/>
          <w:szCs w:val="20"/>
          <w:color w:val="auto"/>
        </w:rPr>
      </w:pPr>
    </w:p>
    <w:p>
      <w:pPr>
        <w:ind w:left="960" w:hanging="304"/>
        <w:spacing w:after="0"/>
        <w:tabs>
          <w:tab w:leader="none" w:pos="96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to the extent a loss, liability or cost:</w:t>
      </w:r>
    </w:p>
    <w:p>
      <w:pPr>
        <w:spacing w:after="0" w:line="229" w:lineRule="exact"/>
        <w:rPr>
          <w:rFonts w:ascii="Arial" w:cs="Arial" w:eastAsia="Arial" w:hAnsi="Arial"/>
          <w:sz w:val="20"/>
          <w:szCs w:val="20"/>
          <w:color w:val="auto"/>
        </w:rPr>
      </w:pPr>
    </w:p>
    <w:p>
      <w:pPr>
        <w:ind w:left="2240" w:hanging="288"/>
        <w:spacing w:after="0"/>
        <w:tabs>
          <w:tab w:leader="none" w:pos="224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 xml:space="preserve">is compensated for by an increased payment under </w:t>
      </w:r>
      <w:r>
        <w:rPr>
          <w:rFonts w:ascii="Arial" w:cs="Arial" w:eastAsia="Arial" w:hAnsi="Arial"/>
          <w:sz w:val="20"/>
          <w:szCs w:val="20"/>
          <w:u w:val="single" w:color="auto"/>
          <w:color w:val="auto"/>
        </w:rPr>
        <w:t>Section 4.7(f)(ii)</w:t>
      </w:r>
      <w:r>
        <w:rPr>
          <w:rFonts w:ascii="Arial" w:cs="Arial" w:eastAsia="Arial" w:hAnsi="Arial"/>
          <w:sz w:val="20"/>
          <w:szCs w:val="20"/>
          <w:color w:val="auto"/>
        </w:rPr>
        <w:t xml:space="preserve"> (</w:t>
      </w:r>
      <w:r>
        <w:rPr>
          <w:rFonts w:ascii="Arial" w:cs="Arial" w:eastAsia="Arial" w:hAnsi="Arial"/>
          <w:sz w:val="20"/>
          <w:szCs w:val="20"/>
          <w:i w:val="1"/>
          <w:iCs w:val="1"/>
          <w:color w:val="auto"/>
        </w:rPr>
        <w:t>Tax gross-up</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248" w:name="page249"/>
    <w:bookmarkEnd w:id="248"/>
    <w:p>
      <w:pPr>
        <w:ind w:firstLine="1952"/>
        <w:spacing w:after="0" w:line="246" w:lineRule="auto"/>
        <w:tabs>
          <w:tab w:leader="none" w:pos="2224" w:val="left"/>
        </w:tabs>
        <w:numPr>
          <w:ilvl w:val="0"/>
          <w:numId w:val="178"/>
        </w:numPr>
        <w:rPr>
          <w:rFonts w:ascii="Arial" w:cs="Arial" w:eastAsia="Arial" w:hAnsi="Arial"/>
          <w:sz w:val="20"/>
          <w:szCs w:val="20"/>
          <w:color w:val="auto"/>
        </w:rPr>
      </w:pPr>
      <w:r>
        <w:rPr>
          <w:rFonts w:ascii="Arial" w:cs="Arial" w:eastAsia="Arial" w:hAnsi="Arial"/>
          <w:sz w:val="20"/>
          <w:szCs w:val="20"/>
          <w:color w:val="auto"/>
        </w:rPr>
        <w:t xml:space="preserve">would have been compensated for by an increased payment under </w:t>
      </w:r>
      <w:r>
        <w:rPr>
          <w:rFonts w:ascii="Arial" w:cs="Arial" w:eastAsia="Arial" w:hAnsi="Arial"/>
          <w:sz w:val="20"/>
          <w:szCs w:val="20"/>
          <w:u w:val="single" w:color="auto"/>
          <w:color w:val="auto"/>
        </w:rPr>
        <w:t>Section 4.7(f)(ii)</w:t>
      </w:r>
      <w:r>
        <w:rPr>
          <w:rFonts w:ascii="Arial" w:cs="Arial" w:eastAsia="Arial" w:hAnsi="Arial"/>
          <w:sz w:val="20"/>
          <w:szCs w:val="20"/>
          <w:color w:val="auto"/>
        </w:rPr>
        <w:t xml:space="preserve"> (</w:t>
      </w:r>
      <w:r>
        <w:rPr>
          <w:rFonts w:ascii="Arial" w:cs="Arial" w:eastAsia="Arial" w:hAnsi="Arial"/>
          <w:sz w:val="20"/>
          <w:szCs w:val="20"/>
          <w:i w:val="1"/>
          <w:iCs w:val="1"/>
          <w:color w:val="auto"/>
        </w:rPr>
        <w:t>Tax gross-up</w:t>
      </w:r>
      <w:r>
        <w:rPr>
          <w:rFonts w:ascii="Arial" w:cs="Arial" w:eastAsia="Arial" w:hAnsi="Arial"/>
          <w:sz w:val="20"/>
          <w:szCs w:val="20"/>
          <w:color w:val="auto"/>
        </w:rPr>
        <w:t>) but was not so compensated solely because one of the exclusions in paragraph 4.7(f)(ii)(D) (</w:t>
      </w:r>
      <w:r>
        <w:rPr>
          <w:rFonts w:ascii="Arial" w:cs="Arial" w:eastAsia="Arial" w:hAnsi="Arial"/>
          <w:sz w:val="20"/>
          <w:szCs w:val="20"/>
          <w:i w:val="1"/>
          <w:iCs w:val="1"/>
          <w:color w:val="auto"/>
        </w:rPr>
        <w:t>Tax gross-up</w:t>
      </w:r>
      <w:r>
        <w:rPr>
          <w:rFonts w:ascii="Arial" w:cs="Arial" w:eastAsia="Arial" w:hAnsi="Arial"/>
          <w:sz w:val="20"/>
          <w:szCs w:val="20"/>
          <w:color w:val="auto"/>
        </w:rPr>
        <w:t>) applied; or</w:t>
      </w:r>
    </w:p>
    <w:p>
      <w:pPr>
        <w:spacing w:after="0" w:line="203" w:lineRule="exact"/>
        <w:rPr>
          <w:rFonts w:ascii="Arial" w:cs="Arial" w:eastAsia="Arial" w:hAnsi="Arial"/>
          <w:sz w:val="20"/>
          <w:szCs w:val="20"/>
          <w:color w:val="auto"/>
        </w:rPr>
      </w:pPr>
    </w:p>
    <w:p>
      <w:pPr>
        <w:ind w:left="2240" w:hanging="288"/>
        <w:spacing w:after="0"/>
        <w:tabs>
          <w:tab w:leader="none" w:pos="224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relates to a deduction pursuant to FATCA required to be made by a party.</w:t>
      </w:r>
    </w:p>
    <w:p>
      <w:pPr>
        <w:spacing w:after="0" w:line="2"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9"/>
          <w:szCs w:val="19"/>
          <w:color w:val="auto"/>
        </w:rPr>
        <w:t>A Lender making, or intending to make a claim under paragraph (iii)(A) above shall promptly notify the Administrative Agent of the event which will give, or has given, rise to the claim, following which the Administrative Agent shall notify the U.K. Borrower.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A Lender shall, on receiving a payment from a U.K. Borrower under this </w:t>
      </w:r>
      <w:r>
        <w:rPr>
          <w:rFonts w:ascii="Arial" w:cs="Arial" w:eastAsia="Arial" w:hAnsi="Arial"/>
          <w:sz w:val="20"/>
          <w:szCs w:val="20"/>
          <w:u w:val="single" w:color="auto"/>
          <w:color w:val="auto"/>
        </w:rPr>
        <w:t>Section 4.7(f)(iii)</w:t>
      </w:r>
      <w:r>
        <w:rPr>
          <w:rFonts w:ascii="Arial" w:cs="Arial" w:eastAsia="Arial" w:hAnsi="Arial"/>
          <w:sz w:val="20"/>
          <w:szCs w:val="20"/>
          <w:color w:val="auto"/>
        </w:rPr>
        <w:t>, notify the Agent.</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u w:val="single" w:color="auto"/>
          <w:color w:val="auto"/>
        </w:rPr>
        <w:t>Lender Status Confirmation</w:t>
      </w:r>
      <w:r>
        <w:rPr>
          <w:rFonts w:ascii="Arial" w:cs="Arial" w:eastAsia="Arial" w:hAnsi="Arial"/>
          <w:sz w:val="19"/>
          <w:szCs w:val="19"/>
          <w:color w:val="auto"/>
        </w:rPr>
        <w:t>. Each Lender which becomes a Lender under this Agreement, in respect of any Loan, Commitment or advance to any U.K. Borrower or in respect of any Letter of Credit issued with respect to any U.K. Borrower, after the date of this Agreement shall indicate, in the Assignment and Assumption Agreement which it executes on becoming a Lender, and for the benefit of the Administrative Agent and without liability to any Borrower, which of the following categories it falls in:</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 a Qualifying Lender;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 Qualifying Lender (other than a Treaty Lender); or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 Treaty Lender.</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If such a Lender fails to indicate its status in accordance with this </w:t>
      </w:r>
      <w:r>
        <w:rPr>
          <w:rFonts w:ascii="Arial" w:cs="Arial" w:eastAsia="Arial" w:hAnsi="Arial"/>
          <w:sz w:val="18"/>
          <w:szCs w:val="18"/>
          <w:u w:val="single" w:color="auto"/>
          <w:color w:val="auto"/>
        </w:rPr>
        <w:t>Section 4.7(f)(iv)</w:t>
      </w:r>
      <w:r>
        <w:rPr>
          <w:rFonts w:ascii="Arial" w:cs="Arial" w:eastAsia="Arial" w:hAnsi="Arial"/>
          <w:sz w:val="18"/>
          <w:szCs w:val="18"/>
          <w:color w:val="auto"/>
        </w:rPr>
        <w:t xml:space="preserve"> then such Lender shall be treated for the purposes of this Agreement (including by each Borrower) as if it is not a Qualifying Lender until such time as it notifies the Administrative Agent which category applies (and the Administrative Agent, upon receipt of such notification, shall inform the Borrowers). For the avoidance of doubt, an Assignment and Assumption Agreement shall not be invalidated by any failure of a Lender to comply with this </w:t>
      </w:r>
      <w:r>
        <w:rPr>
          <w:rFonts w:ascii="Arial" w:cs="Arial" w:eastAsia="Arial" w:hAnsi="Arial"/>
          <w:sz w:val="18"/>
          <w:szCs w:val="18"/>
          <w:u w:val="single" w:color="auto"/>
          <w:color w:val="auto"/>
        </w:rPr>
        <w:t>Section 4.7(f)(iv)</w:t>
      </w:r>
      <w:r>
        <w:rPr>
          <w:rFonts w:ascii="Arial" w:cs="Arial" w:eastAsia="Arial" w:hAnsi="Arial"/>
          <w:sz w:val="18"/>
          <w:szCs w:val="18"/>
          <w:color w:val="auto"/>
        </w:rPr>
        <w:t>.</w:t>
      </w:r>
    </w:p>
    <w:p>
      <w:pPr>
        <w:spacing w:after="0" w:line="186" w:lineRule="exact"/>
        <w:rPr>
          <w:sz w:val="20"/>
          <w:szCs w:val="20"/>
          <w:color w:val="auto"/>
        </w:rPr>
      </w:pPr>
    </w:p>
    <w:p>
      <w:pPr>
        <w:ind w:left="940" w:hanging="284"/>
        <w:spacing w:after="0"/>
        <w:tabs>
          <w:tab w:leader="none" w:pos="94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xml:space="preserve">For purposes of this </w:t>
      </w:r>
      <w:r>
        <w:rPr>
          <w:rFonts w:ascii="Arial" w:cs="Arial" w:eastAsia="Arial" w:hAnsi="Arial"/>
          <w:sz w:val="20"/>
          <w:szCs w:val="20"/>
          <w:u w:val="single" w:color="auto"/>
          <w:color w:val="auto"/>
        </w:rPr>
        <w:t>Section 4.7</w:t>
      </w:r>
      <w:r>
        <w:rPr>
          <w:rFonts w:ascii="Arial" w:cs="Arial" w:eastAsia="Arial" w:hAnsi="Arial"/>
          <w:sz w:val="20"/>
          <w:szCs w:val="20"/>
          <w:color w:val="auto"/>
        </w:rPr>
        <w:t>, the term “Lender” shall include any Swing Line Lender and any Facing Agent.</w:t>
      </w:r>
    </w:p>
    <w:p>
      <w:pPr>
        <w:spacing w:after="0" w:line="229" w:lineRule="exact"/>
        <w:rPr>
          <w:rFonts w:ascii="Arial" w:cs="Arial" w:eastAsia="Arial" w:hAnsi="Arial"/>
          <w:sz w:val="20"/>
          <w:szCs w:val="20"/>
          <w:color w:val="auto"/>
        </w:rPr>
      </w:pPr>
    </w:p>
    <w:p>
      <w:pPr>
        <w:ind w:left="660" w:hanging="4"/>
        <w:spacing w:after="0" w:line="246" w:lineRule="auto"/>
        <w:tabs>
          <w:tab w:leader="none" w:pos="956"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xml:space="preserve">Each party’s obligations under this </w:t>
      </w:r>
      <w:r>
        <w:rPr>
          <w:rFonts w:ascii="Arial" w:cs="Arial" w:eastAsia="Arial" w:hAnsi="Arial"/>
          <w:sz w:val="20"/>
          <w:szCs w:val="20"/>
          <w:u w:val="single" w:color="auto"/>
          <w:color w:val="auto"/>
        </w:rPr>
        <w:t>Section 4.7</w:t>
      </w:r>
      <w:r>
        <w:rPr>
          <w:rFonts w:ascii="Arial" w:cs="Arial" w:eastAsia="Arial" w:hAnsi="Arial"/>
          <w:sz w:val="20"/>
          <w:szCs w:val="20"/>
          <w:color w:val="auto"/>
        </w:rPr>
        <w:t xml:space="preserve"> shall survive the resignation or replacement of any Agent or any assignment of rights by, or the replacement of, a Lender.</w:t>
      </w:r>
    </w:p>
    <w:p>
      <w:pPr>
        <w:spacing w:after="0" w:line="203" w:lineRule="exact"/>
        <w:rPr>
          <w:rFonts w:ascii="Arial" w:cs="Arial" w:eastAsia="Arial" w:hAnsi="Arial"/>
          <w:sz w:val="20"/>
          <w:szCs w:val="20"/>
          <w:color w:val="auto"/>
        </w:rPr>
      </w:pPr>
    </w:p>
    <w:p>
      <w:pPr>
        <w:jc w:val="both"/>
        <w:ind w:left="660" w:hanging="4"/>
        <w:spacing w:after="0" w:line="234" w:lineRule="auto"/>
        <w:tabs>
          <w:tab w:leader="none" w:pos="914" w:val="left"/>
        </w:tabs>
        <w:numPr>
          <w:ilvl w:val="0"/>
          <w:numId w:val="179"/>
        </w:numPr>
        <w:rPr>
          <w:rFonts w:ascii="Arial" w:cs="Arial" w:eastAsia="Arial" w:hAnsi="Arial"/>
          <w:sz w:val="20"/>
          <w:szCs w:val="20"/>
          <w:color w:val="auto"/>
        </w:rPr>
      </w:pPr>
      <w:r>
        <w:rPr>
          <w:rFonts w:ascii="Arial" w:cs="Arial" w:eastAsia="Arial" w:hAnsi="Arial"/>
          <w:sz w:val="20"/>
          <w:szCs w:val="20"/>
          <w:color w:val="auto"/>
        </w:rPr>
        <w:t>For the avoidance of doubt, for purposes of FATCA, from and after the Incremental Amendment No. 2 and Third Amendment Effective Date, the Borrowers and the Administrative Agent agree to treat (and the Lenders hereby authorize the Agent to treat) this Agreement and the Loans as not qualifying as “grandfathered obligations” within the meaning of Treasury Regulations Section 1.1471-2(b)(2)(i).</w:t>
      </w:r>
    </w:p>
    <w:p>
      <w:pPr>
        <w:spacing w:after="0" w:line="210" w:lineRule="exact"/>
        <w:rPr>
          <w:rFonts w:ascii="Arial" w:cs="Arial" w:eastAsia="Arial" w:hAnsi="Arial"/>
          <w:sz w:val="20"/>
          <w:szCs w:val="20"/>
          <w:color w:val="auto"/>
        </w:rPr>
      </w:pPr>
    </w:p>
    <w:p>
      <w:pPr>
        <w:jc w:val="both"/>
        <w:ind w:left="660" w:hanging="4"/>
        <w:spacing w:after="0" w:line="237" w:lineRule="auto"/>
        <w:tabs>
          <w:tab w:leader="none" w:pos="903" w:val="left"/>
        </w:tabs>
        <w:numPr>
          <w:ilvl w:val="0"/>
          <w:numId w:val="179"/>
        </w:numPr>
        <w:rPr>
          <w:rFonts w:ascii="Arial" w:cs="Arial" w:eastAsia="Arial" w:hAnsi="Arial"/>
          <w:sz w:val="20"/>
          <w:szCs w:val="20"/>
          <w:color w:val="auto"/>
        </w:rPr>
      </w:pPr>
      <w:r>
        <w:rPr>
          <w:rFonts w:ascii="Arial" w:cs="Arial" w:eastAsia="Arial" w:hAnsi="Arial"/>
          <w:sz w:val="20"/>
          <w:szCs w:val="20"/>
          <w:color w:val="auto"/>
        </w:rPr>
        <w:t>For the avoidance of doubt, from and after the Incremental Amendment No. 2 and Third Amendment Effective Date, the Term A Loans will constitute a single separate, fungible tranche for U.S. federal income tax purposes and the Term Euro Loans will constitute a single separate, fungible tranche for U.S. federal income tax purposes.</w:t>
      </w:r>
    </w:p>
    <w:p>
      <w:pPr>
        <w:spacing w:after="0" w:line="210"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ARTICLE V</w:t>
      </w:r>
    </w:p>
    <w:p>
      <w:pPr>
        <w:spacing w:after="0" w:line="2" w:lineRule="exact"/>
        <w:rPr>
          <w:sz w:val="20"/>
          <w:szCs w:val="20"/>
          <w:color w:val="auto"/>
        </w:rPr>
      </w:pPr>
    </w:p>
    <w:p>
      <w:pPr>
        <w:ind w:left="4480"/>
        <w:spacing w:after="0"/>
        <w:rPr>
          <w:sz w:val="20"/>
          <w:szCs w:val="20"/>
          <w:color w:val="auto"/>
        </w:rPr>
      </w:pPr>
      <w:r>
        <w:rPr>
          <w:rFonts w:ascii="Arial" w:cs="Arial" w:eastAsia="Arial" w:hAnsi="Arial"/>
          <w:sz w:val="20"/>
          <w:szCs w:val="20"/>
          <w:u w:val="single" w:color="auto"/>
          <w:color w:val="auto"/>
        </w:rPr>
        <w:t>CONDITIONS OF CREDIT</w:t>
      </w:r>
    </w:p>
    <w:p>
      <w:pPr>
        <w:sectPr>
          <w:pgSz w:w="11900" w:h="16838" w:orient="portrait"/>
          <w:cols w:equalWidth="0" w:num="1">
            <w:col w:w="11240"/>
          </w:cols>
          <w:pgMar w:left="320" w:top="1419" w:right="339" w:bottom="1440" w:gutter="0" w:footer="0" w:header="0"/>
        </w:sectPr>
      </w:pPr>
    </w:p>
    <w:bookmarkStart w:id="249" w:name="page250"/>
    <w:bookmarkEnd w:id="249"/>
    <w:p>
      <w:pPr>
        <w:jc w:val="both"/>
        <w:ind w:firstLine="648"/>
        <w:spacing w:after="0" w:line="275" w:lineRule="auto"/>
        <w:rPr>
          <w:sz w:val="20"/>
          <w:szCs w:val="20"/>
          <w:color w:val="auto"/>
        </w:rPr>
      </w:pPr>
      <w:r>
        <w:rPr>
          <w:rFonts w:ascii="Arial" w:cs="Arial" w:eastAsia="Arial" w:hAnsi="Arial"/>
          <w:sz w:val="18"/>
          <w:szCs w:val="18"/>
          <w:u w:val="single" w:color="auto"/>
          <w:color w:val="auto"/>
        </w:rPr>
        <w:t>5.1 Conditions Precedent to the Effective Date</w:t>
      </w:r>
      <w:r>
        <w:rPr>
          <w:rFonts w:ascii="Arial" w:cs="Arial" w:eastAsia="Arial" w:hAnsi="Arial"/>
          <w:sz w:val="18"/>
          <w:szCs w:val="18"/>
          <w:color w:val="auto"/>
        </w:rPr>
        <w:t xml:space="preserve">. The obligation of the Lenders to make the Initial Loans and the obligation of the respective Facing Agent to issue and the Lenders to participate in Letters of Credit under this Agreement shall be subject to the fulfillment of each of the conditions, except as permitted to be completed on a post-closing basis pursuant to </w:t>
      </w:r>
      <w:r>
        <w:rPr>
          <w:rFonts w:ascii="Arial" w:cs="Arial" w:eastAsia="Arial" w:hAnsi="Arial"/>
          <w:sz w:val="18"/>
          <w:szCs w:val="18"/>
          <w:u w:val="single" w:color="auto"/>
          <w:color w:val="auto"/>
        </w:rPr>
        <w:t>Section 7.19</w:t>
      </w:r>
      <w:r>
        <w:rPr>
          <w:rFonts w:ascii="Arial" w:cs="Arial" w:eastAsia="Arial" w:hAnsi="Arial"/>
          <w:sz w:val="18"/>
          <w:szCs w:val="18"/>
          <w:color w:val="auto"/>
        </w:rPr>
        <w:t xml:space="preserve">, set forth in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(a)Principal Loan Documents</w:t>
      </w:r>
      <w:r>
        <w:rPr>
          <w:rFonts w:ascii="Arial" w:cs="Arial" w:eastAsia="Arial" w:hAnsi="Arial"/>
          <w:sz w:val="20"/>
          <w:szCs w:val="20"/>
          <w:color w:val="auto"/>
        </w:rPr>
        <w:t>.</w:t>
      </w:r>
    </w:p>
    <w:p>
      <w:pPr>
        <w:spacing w:after="0" w:line="22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u w:val="single" w:color="auto"/>
          <w:color w:val="auto"/>
        </w:rPr>
        <w:t>Credit Agreement and Notes</w:t>
      </w:r>
      <w:r>
        <w:rPr>
          <w:rFonts w:ascii="Arial" w:cs="Arial" w:eastAsia="Arial" w:hAnsi="Arial"/>
          <w:sz w:val="20"/>
          <w:szCs w:val="20"/>
          <w:color w:val="auto"/>
        </w:rPr>
        <w:t>. Crown Holdings and each Borrower shall have duly executed and delivered to Administrative Agent, with a signed counterpart for each Lender, this Agreement (including all schedules, exhibits, certificates, opinions and financial statements required to be delivered on the Effective Date) and, if requested, the Notes payable to the order of each applicable Lender in the amount of their respective Commitments all of which shall be in full force and effect;</w:t>
      </w:r>
    </w:p>
    <w:p>
      <w:pPr>
        <w:spacing w:after="0" w:line="210" w:lineRule="exact"/>
        <w:rPr>
          <w:sz w:val="20"/>
          <w:szCs w:val="20"/>
          <w:color w:val="auto"/>
        </w:rPr>
      </w:pPr>
    </w:p>
    <w:p>
      <w:pPr>
        <w:ind w:firstLine="8"/>
        <w:spacing w:after="0" w:line="246" w:lineRule="auto"/>
        <w:tabs>
          <w:tab w:leader="none" w:pos="345"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Reaffirmation Agreement</w:t>
      </w:r>
      <w:r>
        <w:rPr>
          <w:rFonts w:ascii="Arial" w:cs="Arial" w:eastAsia="Arial" w:hAnsi="Arial"/>
          <w:sz w:val="20"/>
          <w:szCs w:val="20"/>
          <w:color w:val="auto"/>
        </w:rPr>
        <w:t>. Each applicable Credit Party shall have duly authorized, executed and delivered counterparts to the Reaffirmation Agreement in form and substance reasonably acceptable to the Administrative Agent.</w:t>
      </w:r>
    </w:p>
    <w:p>
      <w:pPr>
        <w:spacing w:after="0" w:line="203" w:lineRule="exact"/>
        <w:rPr>
          <w:rFonts w:ascii="Arial" w:cs="Arial" w:eastAsia="Arial" w:hAnsi="Arial"/>
          <w:sz w:val="20"/>
          <w:szCs w:val="20"/>
          <w:color w:val="auto"/>
        </w:rPr>
      </w:pPr>
    </w:p>
    <w:p>
      <w:pPr>
        <w:jc w:val="both"/>
        <w:ind w:firstLine="8"/>
        <w:spacing w:after="0" w:line="230" w:lineRule="auto"/>
        <w:tabs>
          <w:tab w:leader="none" w:pos="360"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Euro Security Documents</w:t>
      </w:r>
      <w:r>
        <w:rPr>
          <w:rFonts w:ascii="Arial" w:cs="Arial" w:eastAsia="Arial" w:hAnsi="Arial"/>
          <w:sz w:val="20"/>
          <w:szCs w:val="20"/>
          <w:color w:val="auto"/>
        </w:rPr>
        <w:t>. Each applicable Euro Credit Party shall have duly authorized, executed and delivered counterparts of each Euro Security Document or amendments thereto reasonably requested by the Administrative Agent, together with, to the extent required by such Euro Security Document, the following:</w:t>
      </w:r>
    </w:p>
    <w:p>
      <w:pPr>
        <w:spacing w:after="0" w:line="2" w:lineRule="exact"/>
        <w:rPr>
          <w:rFonts w:ascii="Arial" w:cs="Arial" w:eastAsia="Arial" w:hAnsi="Arial"/>
          <w:sz w:val="20"/>
          <w:szCs w:val="20"/>
          <w:color w:val="auto"/>
        </w:rPr>
      </w:pPr>
    </w:p>
    <w:p>
      <w:pPr>
        <w:ind w:firstLine="1296"/>
        <w:spacing w:after="0" w:line="234" w:lineRule="auto"/>
        <w:rPr>
          <w:rFonts w:ascii="Arial" w:cs="Arial" w:eastAsia="Arial" w:hAnsi="Arial"/>
          <w:sz w:val="20"/>
          <w:szCs w:val="20"/>
          <w:color w:val="auto"/>
        </w:rPr>
      </w:pPr>
      <w:r>
        <w:rPr>
          <w:rFonts w:ascii="Arial" w:cs="Arial" w:eastAsia="Arial" w:hAnsi="Arial"/>
          <w:sz w:val="20"/>
          <w:szCs w:val="20"/>
          <w:color w:val="auto"/>
        </w:rPr>
        <w:t>to the extent applicable, certificates representing all certificated Pledged Securities, together with executed and undated stock powers and/or assignments in blank or other instruments of transfer customary in the applicable jurisdiction;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appropriate financing statements or comparable documents of, and executed by, the appropriate entities in proper form for filing under the provisions of the applicable or local laws, rules or regulations in each of the offices where such filing is necessary or appropriate to grant to the Euro Collateral Agent a perfected first priority Lien on such Collateral, superior and prior to the rights of all third persons other than the holders of Permitted Liens;</w:t>
      </w:r>
    </w:p>
    <w:p>
      <w:pPr>
        <w:spacing w:after="0" w:line="21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auto"/>
        </w:rPr>
        <w:t>judgment and tax lien, bankruptcy and pending lawsuit search reports listing all effective financing statements or comparable documents which name any applicable Credit Party as debtor and which are filed in those jurisdictions in which any of such Collateral is located and the jurisdictions in which any applicable Credit Party’s principal place of business is located, together with copies of such existing financing statements, none of which shall encumber such Collateral covered or intended or purported to be covered by such Euro Security Document other than Permitted Liens; and</w:t>
      </w:r>
    </w:p>
    <w:p>
      <w:pPr>
        <w:spacing w:after="0" w:line="21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evidence that all other actions reasonably necessary or desirable to perfect the security interest created by the Euro Security Documents have been taken.</w:t>
      </w:r>
    </w:p>
    <w:p>
      <w:pPr>
        <w:spacing w:after="0" w:line="204" w:lineRule="exact"/>
        <w:rPr>
          <w:sz w:val="20"/>
          <w:szCs w:val="20"/>
          <w:color w:val="auto"/>
        </w:rPr>
      </w:pPr>
    </w:p>
    <w:p>
      <w:pPr>
        <w:ind w:left="340" w:hanging="332"/>
        <w:spacing w:after="0"/>
        <w:tabs>
          <w:tab w:leader="none" w:pos="340" w:val="left"/>
        </w:tabs>
        <w:numPr>
          <w:ilvl w:val="0"/>
          <w:numId w:val="181"/>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29" w:lineRule="exact"/>
        <w:rPr>
          <w:sz w:val="20"/>
          <w:szCs w:val="20"/>
          <w:color w:val="auto"/>
        </w:rPr>
      </w:pPr>
    </w:p>
    <w:p>
      <w:pPr>
        <w:ind w:left="280" w:hanging="272"/>
        <w:spacing w:after="0"/>
        <w:tabs>
          <w:tab w:leader="none" w:pos="280" w:val="left"/>
        </w:tabs>
        <w:numPr>
          <w:ilvl w:val="0"/>
          <w:numId w:val="182"/>
        </w:numPr>
        <w:rPr>
          <w:rFonts w:ascii="Arial" w:cs="Arial" w:eastAsia="Arial" w:hAnsi="Arial"/>
          <w:sz w:val="20"/>
          <w:szCs w:val="20"/>
          <w:color w:val="auto"/>
        </w:rPr>
      </w:pPr>
      <w:r>
        <w:rPr>
          <w:rFonts w:ascii="Arial" w:cs="Arial" w:eastAsia="Arial" w:hAnsi="Arial"/>
          <w:sz w:val="20"/>
          <w:szCs w:val="20"/>
          <w:u w:val="single" w:color="auto"/>
          <w:color w:val="auto"/>
        </w:rPr>
        <w:t>Perfection on Personal Property Collateral</w:t>
      </w:r>
      <w:r>
        <w:rPr>
          <w:rFonts w:ascii="Arial" w:cs="Arial" w:eastAsia="Arial" w:hAnsi="Arial"/>
          <w:sz w:val="20"/>
          <w:szCs w:val="20"/>
          <w:color w:val="auto"/>
        </w:rPr>
        <w:t>. Administrative Agent shall have received:</w:t>
      </w:r>
    </w:p>
    <w:p>
      <w:pPr>
        <w:spacing w:after="0" w:line="229" w:lineRule="exact"/>
        <w:rPr>
          <w:rFonts w:ascii="Arial" w:cs="Arial" w:eastAsia="Arial" w:hAnsi="Arial"/>
          <w:sz w:val="20"/>
          <w:szCs w:val="20"/>
          <w:color w:val="auto"/>
        </w:rPr>
      </w:pPr>
    </w:p>
    <w:p>
      <w:pPr>
        <w:ind w:left="1960" w:hanging="8"/>
        <w:spacing w:after="0" w:line="246" w:lineRule="auto"/>
        <w:tabs>
          <w:tab w:leader="none" w:pos="2199" w:val="left"/>
        </w:tabs>
        <w:numPr>
          <w:ilvl w:val="1"/>
          <w:numId w:val="182"/>
        </w:numPr>
        <w:rPr>
          <w:rFonts w:ascii="Arial" w:cs="Arial" w:eastAsia="Arial" w:hAnsi="Arial"/>
          <w:sz w:val="20"/>
          <w:szCs w:val="20"/>
          <w:color w:val="auto"/>
        </w:rPr>
      </w:pPr>
      <w:r>
        <w:rPr>
          <w:rFonts w:ascii="Arial" w:cs="Arial" w:eastAsia="Arial" w:hAnsi="Arial"/>
          <w:sz w:val="20"/>
          <w:szCs w:val="20"/>
          <w:color w:val="auto"/>
        </w:rPr>
        <w:t>from U.S. Borrower, Crown Holdings and all of the U.S. Subsidiaries of Crown Holdings, executed and delivered Perfection Certificates dated the Effective Date;</w:t>
      </w:r>
    </w:p>
    <w:p>
      <w:pPr>
        <w:sectPr>
          <w:pgSz w:w="11900" w:h="16838" w:orient="portrait"/>
          <w:cols w:equalWidth="0" w:num="1">
            <w:col w:w="11240"/>
          </w:cols>
          <w:pgMar w:left="320" w:top="1419" w:right="339" w:bottom="1440" w:gutter="0" w:footer="0" w:header="0"/>
        </w:sectPr>
      </w:pPr>
    </w:p>
    <w:bookmarkStart w:id="250" w:name="page251"/>
    <w:bookmarkEnd w:id="250"/>
    <w:p>
      <w:pPr>
        <w:jc w:val="both"/>
        <w:ind w:left="1304" w:hanging="8"/>
        <w:spacing w:after="0" w:line="246" w:lineRule="auto"/>
        <w:tabs>
          <w:tab w:leader="none" w:pos="1626" w:val="left"/>
        </w:tabs>
        <w:numPr>
          <w:ilvl w:val="0"/>
          <w:numId w:val="183"/>
        </w:numPr>
        <w:rPr>
          <w:rFonts w:ascii="Arial" w:cs="Arial" w:eastAsia="Arial" w:hAnsi="Arial"/>
          <w:sz w:val="19"/>
          <w:szCs w:val="19"/>
          <w:color w:val="auto"/>
        </w:rPr>
      </w:pPr>
      <w:r>
        <w:rPr>
          <w:rFonts w:ascii="Arial" w:cs="Arial" w:eastAsia="Arial" w:hAnsi="Arial"/>
          <w:sz w:val="19"/>
          <w:szCs w:val="19"/>
          <w:color w:val="auto"/>
        </w:rPr>
        <w:t>from U.S. Borrower, Crown Holdings and all of the U.S. Subsidiaries of Crown Holdings party to the U.S. Security Agreement, proper financing statements (Form UCC-1 or such other financing statements or similar notices as shall be required by local law, if any) for filing under the UCC or other appropriate filing offices of each foreign and domestic jurisdiction as may be necessary or, in the opinion of U.S. Collateral Agent, desirable to perfect the security interests purported to be created by the U.S. Security Documents;</w:t>
      </w:r>
    </w:p>
    <w:p>
      <w:pPr>
        <w:spacing w:after="0" w:line="203" w:lineRule="exact"/>
        <w:rPr>
          <w:sz w:val="20"/>
          <w:szCs w:val="20"/>
          <w:color w:val="auto"/>
        </w:rPr>
      </w:pPr>
    </w:p>
    <w:p>
      <w:pPr>
        <w:jc w:val="both"/>
        <w:ind w:left="1304"/>
        <w:spacing w:after="0" w:line="241" w:lineRule="auto"/>
        <w:rPr>
          <w:sz w:val="20"/>
          <w:szCs w:val="20"/>
          <w:color w:val="auto"/>
        </w:rPr>
      </w:pPr>
      <w:r>
        <w:rPr>
          <w:rFonts w:ascii="Arial" w:cs="Arial" w:eastAsia="Arial" w:hAnsi="Arial"/>
          <w:sz w:val="19"/>
          <w:szCs w:val="19"/>
          <w:color w:val="auto"/>
        </w:rPr>
        <w:t>(iii)from U.S. Borrower, Crown Holdings and all of the U.S. Subsidiaries of Crown Holdings party to the U.S. Security Agreement, copies of Requests for Information or Copies (Form UCC-1), or equivalent reports, listing all effective financing statements or similar notices that name any such Person (by its actual name or any trade name, fictitious name or similar name), or any division or other operating unit thereof, as debtor (whether filed in the jurisdiction referred to in clause (i) or elsewhere), together with copies of such other financing statements (none of which shall cover the U.S. Collateral except to the extent evidencing Permitted Liens or for which U.S. Collateral Agent shall have received written authorization from the secured party to file termination statements (Form UCC-3 or such other termination statements as shall be required by local law), such termination statements fully executed for filing where necessary);</w:t>
      </w:r>
    </w:p>
    <w:p>
      <w:pPr>
        <w:spacing w:after="0" w:line="212" w:lineRule="exact"/>
        <w:rPr>
          <w:sz w:val="20"/>
          <w:szCs w:val="20"/>
          <w:color w:val="auto"/>
        </w:rPr>
      </w:pPr>
    </w:p>
    <w:p>
      <w:pPr>
        <w:jc w:val="both"/>
        <w:ind w:left="1304"/>
        <w:spacing w:after="0" w:line="232" w:lineRule="auto"/>
        <w:rPr>
          <w:sz w:val="20"/>
          <w:szCs w:val="20"/>
          <w:color w:val="auto"/>
        </w:rPr>
      </w:pPr>
      <w:r>
        <w:rPr>
          <w:rFonts w:ascii="Arial" w:cs="Arial" w:eastAsia="Arial" w:hAnsi="Arial"/>
          <w:sz w:val="20"/>
          <w:szCs w:val="20"/>
          <w:color w:val="auto"/>
        </w:rPr>
        <w:t>(iv)evidence of the completion of, or arrangements satisfactory to U.S. Collateral Agent for, all other recordings and filings of, or with respect to, the Security Documents with all Governmental Authorities and all other actions as may be necessary or, in the reasonable opinion of U.S. Collateral Agent, desirable to perfect the security interests intended to be created by the U.S. Security Documents and to release or modify UCC filings that do not constitute Permitted Liens; and</w:t>
      </w:r>
    </w:p>
    <w:p>
      <w:pPr>
        <w:spacing w:after="0" w:line="211" w:lineRule="exact"/>
        <w:rPr>
          <w:sz w:val="20"/>
          <w:szCs w:val="20"/>
          <w:color w:val="auto"/>
        </w:rPr>
      </w:pPr>
    </w:p>
    <w:p>
      <w:pPr>
        <w:jc w:val="both"/>
        <w:ind w:left="1304"/>
        <w:spacing w:after="0" w:line="237" w:lineRule="auto"/>
        <w:rPr>
          <w:sz w:val="20"/>
          <w:szCs w:val="20"/>
          <w:color w:val="auto"/>
        </w:rPr>
      </w:pPr>
      <w:r>
        <w:rPr>
          <w:rFonts w:ascii="Arial" w:cs="Arial" w:eastAsia="Arial" w:hAnsi="Arial"/>
          <w:sz w:val="20"/>
          <w:szCs w:val="20"/>
          <w:color w:val="auto"/>
        </w:rPr>
        <w:t>(v)evidence that all other actions necessary, or in the reasonable opinion of U.S. Collateral Agent and the Required Lenders, desirable to perfect the security interests purported to be taken by the U.S. Security Documents have been taken.</w:t>
      </w:r>
    </w:p>
    <w:p>
      <w:pPr>
        <w:spacing w:after="0" w:line="210" w:lineRule="exact"/>
        <w:rPr>
          <w:sz w:val="20"/>
          <w:szCs w:val="20"/>
          <w:color w:val="auto"/>
        </w:rPr>
      </w:pPr>
    </w:p>
    <w:p>
      <w:pPr>
        <w:jc w:val="both"/>
        <w:ind w:left="4"/>
        <w:spacing w:after="0" w:line="260" w:lineRule="auto"/>
        <w:rPr>
          <w:sz w:val="20"/>
          <w:szCs w:val="20"/>
          <w:color w:val="auto"/>
        </w:rPr>
      </w:pPr>
      <w:r>
        <w:rPr>
          <w:rFonts w:ascii="Arial" w:cs="Arial" w:eastAsia="Arial" w:hAnsi="Arial"/>
          <w:sz w:val="18"/>
          <w:szCs w:val="18"/>
          <w:u w:val="single" w:color="auto"/>
          <w:color w:val="auto"/>
        </w:rPr>
        <w:t>(c)Existing Credit Agreement</w:t>
      </w:r>
      <w:r>
        <w:rPr>
          <w:rFonts w:ascii="Arial" w:cs="Arial" w:eastAsia="Arial" w:hAnsi="Arial"/>
          <w:sz w:val="18"/>
          <w:szCs w:val="18"/>
          <w:color w:val="auto"/>
        </w:rPr>
        <w:t xml:space="preserve">. All commitments under the Existing Credit Agreement shall have been terminated, and all loans and accrued and unpaid interest, fees and any other amounts outstanding under the Existing Credit Agreement shall have been paid in full;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accrued and unpaid interest, fees and other amounts outstanding under the Existing Credit Agreement (other than principal amount of loans) may be paid within ten (10) Business Days following the receipt by Crown Holdings of an invoice from the Administrative Agent regarding any such accrued and unpaid interest, fees or other amounts outstanding (it being understood that such amounts shall be due and payable on such tenth Business Day if not paid prior to such date).</w:t>
      </w:r>
    </w:p>
    <w:p>
      <w:pPr>
        <w:spacing w:after="0" w:line="194" w:lineRule="exact"/>
        <w:rPr>
          <w:sz w:val="20"/>
          <w:szCs w:val="20"/>
          <w:color w:val="auto"/>
        </w:rPr>
      </w:pPr>
    </w:p>
    <w:p>
      <w:pPr>
        <w:jc w:val="both"/>
        <w:ind w:left="4" w:hanging="4"/>
        <w:spacing w:after="0" w:line="243" w:lineRule="auto"/>
        <w:tabs>
          <w:tab w:leader="none" w:pos="307" w:val="left"/>
        </w:tabs>
        <w:numPr>
          <w:ilvl w:val="0"/>
          <w:numId w:val="18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Opinions of Counsel</w:t>
      </w:r>
      <w:r>
        <w:rPr>
          <w:rFonts w:ascii="Arial" w:cs="Arial" w:eastAsia="Arial" w:hAnsi="Arial"/>
          <w:sz w:val="19"/>
          <w:szCs w:val="19"/>
          <w:color w:val="auto"/>
        </w:rPr>
        <w:t xml:space="preserve">. Administrative Agent shall have received from (i) Dechert LLP, special counsel to the Credit Parties, a customary opinion addressed to Administrative Agent and each of the Lenders and dated the Effective Date, which shall be in form and substance reasonably satisfactory to Administrative Agent and which shall cover such matters related to the transactions contemplated herein as Administrative Agent may reasonably request, and (ii) opinions of local counsel to the Credit Parties and/or the Administrative Agent, as is customary in the respective jurisdiction and as specified on </w:t>
      </w:r>
      <w:r>
        <w:rPr>
          <w:rFonts w:ascii="Arial" w:cs="Arial" w:eastAsia="Arial" w:hAnsi="Arial"/>
          <w:sz w:val="19"/>
          <w:szCs w:val="19"/>
          <w:u w:val="single" w:color="auto"/>
          <w:color w:val="auto"/>
        </w:rPr>
        <w:t>Schedule 5.1(d)</w:t>
      </w:r>
      <w:r>
        <w:rPr>
          <w:rFonts w:ascii="Arial" w:cs="Arial" w:eastAsia="Arial" w:hAnsi="Arial"/>
          <w:sz w:val="19"/>
          <w:szCs w:val="19"/>
          <w:color w:val="auto"/>
        </w:rPr>
        <w:t>, addressed to Administrative Agent and each of the Lenders dated the Effective Date, each of which shall be in form and substance reasonably satisfactory to Administrative Agent, which opinions shall cover such matters related</w:t>
      </w:r>
    </w:p>
    <w:p>
      <w:pPr>
        <w:sectPr>
          <w:pgSz w:w="11900" w:h="16838" w:orient="portrait"/>
          <w:cols w:equalWidth="0" w:num="1">
            <w:col w:w="10584"/>
          </w:cols>
          <w:pgMar w:left="976" w:top="1419" w:right="339" w:bottom="1440" w:gutter="0" w:footer="0" w:header="0"/>
        </w:sectPr>
      </w:pPr>
    </w:p>
    <w:bookmarkStart w:id="251" w:name="page252"/>
    <w:bookmarkEnd w:id="251"/>
    <w:p>
      <w:pPr>
        <w:ind w:left="660"/>
        <w:spacing w:after="0"/>
        <w:rPr>
          <w:sz w:val="20"/>
          <w:szCs w:val="20"/>
          <w:color w:val="auto"/>
        </w:rPr>
      </w:pPr>
      <w:r>
        <w:rPr>
          <w:rFonts w:ascii="Arial" w:cs="Arial" w:eastAsia="Arial" w:hAnsi="Arial"/>
          <w:sz w:val="19"/>
          <w:szCs w:val="19"/>
          <w:color w:val="auto"/>
        </w:rPr>
        <w:t>to the transactions contemplated herein and in the other Loan Documents as Administrative Agent may reasonably request.</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(e) Corporate Documents and Financial Matters</w:t>
      </w:r>
      <w:r>
        <w:rPr>
          <w:rFonts w:ascii="Arial" w:cs="Arial" w:eastAsia="Arial" w:hAnsi="Arial"/>
          <w:sz w:val="20"/>
          <w:szCs w:val="20"/>
          <w:color w:val="auto"/>
        </w:rPr>
        <w:t>.</w:t>
      </w:r>
    </w:p>
    <w:p>
      <w:pPr>
        <w:spacing w:after="0" w:line="22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xml:space="preserve">. Administrative Agent shall have received a certificate executed by a Financial Officer (or a Responsible Officer in the case of any non-U.S. Borrower) of each of the Borrowers, dated the Effective Date and in the form of </w:t>
      </w:r>
      <w:r>
        <w:rPr>
          <w:rFonts w:ascii="Arial" w:cs="Arial" w:eastAsia="Arial" w:hAnsi="Arial"/>
          <w:sz w:val="20"/>
          <w:szCs w:val="20"/>
          <w:u w:val="single" w:color="auto"/>
          <w:color w:val="auto"/>
        </w:rPr>
        <w:t>Exhibit 5.1(e)(i)</w:t>
      </w:r>
      <w:r>
        <w:rPr>
          <w:rFonts w:ascii="Arial" w:cs="Arial" w:eastAsia="Arial" w:hAnsi="Arial"/>
          <w:sz w:val="20"/>
          <w:szCs w:val="20"/>
          <w:color w:val="auto"/>
        </w:rPr>
        <w:t xml:space="preserve">, stating that the representations and warranties set forth in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hereof are true and correct in all material respects as of the date of the certificate, except to the extent such representations and warranties are expressly made as of a specified date in which event such representations and warranties were true and correct in all material respects as of such specified date, that no Event of Default or Unmatured Event of Default has occurred and is continuing and that the conditions of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hereof have been fully satisfied or waived, subject to the proviso at the end of this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(except that no opinion need be expressed as to Administrative Agent’s or Required Lenders’ satisfaction with any document, instrument or other matter).</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xml:space="preserve">. On the Effective Date, Administrative Agent shall have received from each Credit Party a certificate, dated the Effective Date, signed by the secretary or any assistant secretary (or, if no secretary or assistant secretary exists, a Responsible Officer or if customary in the applicable jurisdiction any director or authorized signatory), of such Credit Party, in the form of </w:t>
      </w:r>
      <w:r>
        <w:rPr>
          <w:rFonts w:ascii="Arial" w:cs="Arial" w:eastAsia="Arial" w:hAnsi="Arial"/>
          <w:sz w:val="18"/>
          <w:szCs w:val="18"/>
          <w:u w:val="single" w:color="auto"/>
          <w:color w:val="auto"/>
        </w:rPr>
        <w:t>Exhibit 5.1(e)(ii)</w:t>
      </w:r>
      <w:r>
        <w:rPr>
          <w:rFonts w:ascii="Arial" w:cs="Arial" w:eastAsia="Arial" w:hAnsi="Arial"/>
          <w:sz w:val="18"/>
          <w:szCs w:val="18"/>
          <w:color w:val="auto"/>
        </w:rPr>
        <w:t xml:space="preserve"> with appropriate insertions, as to the incumbency and signature of the officers/managers of each such Credit Party executing any Loan Document as of the Effective Date (in customary form and substance) and any certificate or other document or instrument to be delivered pursuant hereto or thereto by or on behalf of such Credit Party, together with evidence of the incumbency of such secretary or assistant secretary (or, if no secretary or assistant secretary exists, such Responsible Officer), and certifying as true and correct, attached copies of the certificate of incorporation, certificate of amalgamation or other equivalent document (certified as of recent date by the Secretary of State or other comparable authority where customary in such jurisdiction) and by-laws (or other Organic Documents of such Credit Party), up-to-date copies of a corporate extract (</w:t>
      </w:r>
      <w:r>
        <w:rPr>
          <w:rFonts w:ascii="Arial" w:cs="Arial" w:eastAsia="Arial" w:hAnsi="Arial"/>
          <w:sz w:val="18"/>
          <w:szCs w:val="18"/>
          <w:i w:val="1"/>
          <w:iCs w:val="1"/>
          <w:color w:val="auto"/>
        </w:rPr>
        <w:t>extrait</w:t>
      </w:r>
      <w:r>
        <w:rPr>
          <w:rFonts w:ascii="Arial" w:cs="Arial" w:eastAsia="Arial" w:hAnsi="Arial"/>
          <w:sz w:val="18"/>
          <w:szCs w:val="18"/>
          <w:color w:val="auto"/>
        </w:rPr>
        <w:t>) and a certificate of non-inscription of a judicial decision (</w:t>
      </w:r>
      <w:r>
        <w:rPr>
          <w:rFonts w:ascii="Arial" w:cs="Arial" w:eastAsia="Arial" w:hAnsi="Arial"/>
          <w:sz w:val="18"/>
          <w:szCs w:val="18"/>
          <w:i w:val="1"/>
          <w:iCs w:val="1"/>
          <w:color w:val="auto"/>
        </w:rPr>
        <w:t>certificat de non-inscription d’une decision</w:t>
      </w:r>
      <w:r>
        <w:rPr>
          <w:rFonts w:ascii="Arial" w:cs="Arial" w:eastAsia="Arial" w:hAnsi="Arial"/>
          <w:sz w:val="18"/>
          <w:szCs w:val="18"/>
          <w:color w:val="auto"/>
        </w:rPr>
        <w:t xml:space="preserve"> </w:t>
      </w:r>
      <w:r>
        <w:rPr>
          <w:rFonts w:ascii="Arial" w:cs="Arial" w:eastAsia="Arial" w:hAnsi="Arial"/>
          <w:sz w:val="18"/>
          <w:szCs w:val="18"/>
          <w:i w:val="1"/>
          <w:iCs w:val="1"/>
          <w:color w:val="auto"/>
        </w:rPr>
        <w:t>judiciaire</w:t>
      </w:r>
      <w:r>
        <w:rPr>
          <w:rFonts w:ascii="Arial" w:cs="Arial" w:eastAsia="Arial" w:hAnsi="Arial"/>
          <w:sz w:val="18"/>
          <w:szCs w:val="18"/>
          <w:color w:val="auto"/>
        </w:rPr>
        <w:t>) issued by the</w:t>
      </w:r>
      <w:r>
        <w:rPr>
          <w:rFonts w:ascii="Arial" w:cs="Arial" w:eastAsia="Arial" w:hAnsi="Arial"/>
          <w:sz w:val="18"/>
          <w:szCs w:val="18"/>
          <w:i w:val="1"/>
          <w:iCs w:val="1"/>
          <w:color w:val="auto"/>
        </w:rPr>
        <w:t xml:space="preserve"> Registre de Commerce et Sociétes, Luxembourg </w:t>
      </w:r>
      <w:r>
        <w:rPr>
          <w:rFonts w:ascii="Arial" w:cs="Arial" w:eastAsia="Arial" w:hAnsi="Arial"/>
          <w:sz w:val="18"/>
          <w:szCs w:val="18"/>
          <w:color w:val="auto"/>
        </w:rPr>
        <w:t>for any Credit Party incorporated under the laws of Luxembourg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resolutions of such Credit Party and, to the extent required, of the equity holders of such Credit Party, referred to in such certificate.</w:t>
      </w:r>
    </w:p>
    <w:p>
      <w:pPr>
        <w:spacing w:after="0" w:line="19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u w:val="single" w:color="auto"/>
          <w:color w:val="auto"/>
        </w:rPr>
        <w:t>Good Standing</w:t>
      </w:r>
      <w:r>
        <w:rPr>
          <w:rFonts w:ascii="Arial" w:cs="Arial" w:eastAsia="Arial" w:hAnsi="Arial"/>
          <w:sz w:val="20"/>
          <w:szCs w:val="20"/>
          <w:color w:val="auto"/>
        </w:rPr>
        <w:t>. A customary good standing certificate or certificate of status or comparable certificate of each Credit Party from the Secretary of State (or other governmental authority) of its state, territory or province of organization or such equivalent document issued by any foreign Governmental Authority if applicable in such foreign jurisdiction and, in each case, solely to the extent available on a commercially reasonable basis in such jurisdiction.</w:t>
      </w: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u w:val="single" w:color="auto"/>
          <w:color w:val="auto"/>
        </w:rPr>
        <w:t>Solvency</w:t>
      </w:r>
      <w:r>
        <w:rPr>
          <w:rFonts w:ascii="Arial" w:cs="Arial" w:eastAsia="Arial" w:hAnsi="Arial"/>
          <w:sz w:val="20"/>
          <w:szCs w:val="20"/>
          <w:color w:val="auto"/>
        </w:rPr>
        <w:t xml:space="preserve">. On the Effective Date, Administrative Agent shall have received a solvency certificate substantially in the form of </w:t>
      </w:r>
      <w:r>
        <w:rPr>
          <w:rFonts w:ascii="Arial" w:cs="Arial" w:eastAsia="Arial" w:hAnsi="Arial"/>
          <w:sz w:val="20"/>
          <w:szCs w:val="20"/>
          <w:u w:val="single" w:color="auto"/>
          <w:color w:val="auto"/>
        </w:rPr>
        <w:t>Exhibit 5.1(e)</w:t>
      </w:r>
      <w:r>
        <w:rPr>
          <w:rFonts w:ascii="Arial" w:cs="Arial" w:eastAsia="Arial" w:hAnsi="Arial"/>
          <w:sz w:val="20"/>
          <w:szCs w:val="20"/>
          <w:color w:val="auto"/>
        </w:rPr>
        <w:t xml:space="preserve"> </w:t>
      </w:r>
      <w:r>
        <w:rPr>
          <w:rFonts w:ascii="Arial" w:cs="Arial" w:eastAsia="Arial" w:hAnsi="Arial"/>
          <w:sz w:val="20"/>
          <w:szCs w:val="20"/>
          <w:u w:val="single" w:color="auto"/>
          <w:color w:val="auto"/>
        </w:rPr>
        <w:t>(iv)</w:t>
      </w:r>
      <w:r>
        <w:rPr>
          <w:rFonts w:ascii="Arial" w:cs="Arial" w:eastAsia="Arial" w:hAnsi="Arial"/>
          <w:sz w:val="20"/>
          <w:szCs w:val="20"/>
          <w:color w:val="auto"/>
        </w:rPr>
        <w:t>, and signed by the chief financial officer of Crown Holdings confirming the solvency of (i) Crown Holdings and its Subsidiaries, (ii) U.S. Borrower and its Subsidiaries, (iii) European Borrower and its Subsidiaries, and (iv) Canadian Borrower and its Subsidiaries, in each case, on a consolidated basis after giving effect to the Transactions.</w:t>
      </w:r>
    </w:p>
    <w:p>
      <w:pPr>
        <w:spacing w:after="0" w:line="210" w:lineRule="exact"/>
        <w:rPr>
          <w:sz w:val="20"/>
          <w:szCs w:val="20"/>
          <w:color w:val="auto"/>
        </w:rPr>
      </w:pPr>
    </w:p>
    <w:p>
      <w:pPr>
        <w:ind w:left="900" w:hanging="244"/>
        <w:spacing w:after="0"/>
        <w:tabs>
          <w:tab w:leader="none" w:pos="900" w:val="left"/>
        </w:tabs>
        <w:numPr>
          <w:ilvl w:val="1"/>
          <w:numId w:val="18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Other Closing Conditions</w:t>
      </w:r>
      <w:r>
        <w:rPr>
          <w:rFonts w:ascii="Arial" w:cs="Arial" w:eastAsia="Arial" w:hAnsi="Arial"/>
          <w:sz w:val="20"/>
          <w:szCs w:val="20"/>
          <w:color w:val="auto"/>
        </w:rPr>
        <w:t>.</w:t>
      </w:r>
    </w:p>
    <w:p>
      <w:pPr>
        <w:spacing w:after="0" w:line="229" w:lineRule="exact"/>
        <w:rPr>
          <w:rFonts w:ascii="Arial" w:cs="Arial" w:eastAsia="Arial" w:hAnsi="Arial"/>
          <w:sz w:val="20"/>
          <w:szCs w:val="20"/>
          <w:u w:val="single" w:color="auto"/>
          <w:color w:val="auto"/>
        </w:rPr>
      </w:pPr>
    </w:p>
    <w:p>
      <w:pPr>
        <w:jc w:val="both"/>
        <w:ind w:firstLine="8"/>
        <w:spacing w:after="0" w:line="237" w:lineRule="auto"/>
        <w:tabs>
          <w:tab w:leader="none" w:pos="236"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Fees</w:t>
      </w:r>
      <w:r>
        <w:rPr>
          <w:rFonts w:ascii="Arial" w:cs="Arial" w:eastAsia="Arial" w:hAnsi="Arial"/>
          <w:sz w:val="20"/>
          <w:szCs w:val="20"/>
          <w:color w:val="auto"/>
        </w:rPr>
        <w:t>. The payment in full of all fees, and all expenses expressly due and payable on or before the Effective Date under the Fee Letter to the extent invoiced at least two (2) Business Days prior to the Effective Date (which amounts shall be offset against the proceeds of the Initial Borrowings hereunder).</w:t>
      </w:r>
    </w:p>
    <w:p>
      <w:pPr>
        <w:sectPr>
          <w:pgSz w:w="11900" w:h="16838" w:orient="portrait"/>
          <w:cols w:equalWidth="0" w:num="1">
            <w:col w:w="11240"/>
          </w:cols>
          <w:pgMar w:left="320" w:top="1419" w:right="339" w:bottom="1440" w:gutter="0" w:footer="0" w:header="0"/>
        </w:sectPr>
      </w:pPr>
    </w:p>
    <w:bookmarkStart w:id="252" w:name="page253"/>
    <w:bookmarkEnd w:id="252"/>
    <w:p>
      <w:pPr>
        <w:jc w:val="both"/>
        <w:ind w:firstLine="8"/>
        <w:spacing w:after="0" w:line="234" w:lineRule="auto"/>
        <w:tabs>
          <w:tab w:leader="none" w:pos="291"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USA Patriot Act</w:t>
      </w:r>
      <w:r>
        <w:rPr>
          <w:rFonts w:ascii="Arial" w:cs="Arial" w:eastAsia="Arial" w:hAnsi="Arial"/>
          <w:sz w:val="20"/>
          <w:szCs w:val="20"/>
          <w:i w:val="1"/>
          <w:iCs w:val="1"/>
          <w:color w:val="auto"/>
        </w:rPr>
        <w:t>.</w:t>
      </w:r>
      <w:r>
        <w:rPr>
          <w:rFonts w:ascii="Arial" w:cs="Arial" w:eastAsia="Arial" w:hAnsi="Arial"/>
          <w:sz w:val="20"/>
          <w:szCs w:val="20"/>
          <w:color w:val="auto"/>
        </w:rPr>
        <w:t xml:space="preserve"> The Administrative Agent and Arrangers shall have received, at least three (3) Business Days prior to the Effective Date (to the extent reasonably requested in writing on a timely basis at least ten (10) Business Days prior to the Effective Date), all documentation and other information required by the applicable Governmental Authorities under applicable “</w:t>
      </w:r>
      <w:r>
        <w:rPr>
          <w:rFonts w:ascii="Arial" w:cs="Arial" w:eastAsia="Arial" w:hAnsi="Arial"/>
          <w:sz w:val="20"/>
          <w:szCs w:val="20"/>
          <w:i w:val="1"/>
          <w:iCs w:val="1"/>
          <w:color w:val="auto"/>
        </w:rPr>
        <w:t>know your customer</w:t>
      </w:r>
      <w:r>
        <w:rPr>
          <w:rFonts w:ascii="Arial" w:cs="Arial" w:eastAsia="Arial" w:hAnsi="Arial"/>
          <w:sz w:val="20"/>
          <w:szCs w:val="20"/>
          <w:color w:val="auto"/>
        </w:rPr>
        <w:t>” and anti-money laundering rules and regulations, including, without limitation, the Patriot Act.</w:t>
      </w:r>
    </w:p>
    <w:p>
      <w:pPr>
        <w:spacing w:after="0" w:line="210" w:lineRule="exact"/>
        <w:rPr>
          <w:rFonts w:ascii="Arial" w:cs="Arial" w:eastAsia="Arial" w:hAnsi="Arial"/>
          <w:sz w:val="20"/>
          <w:szCs w:val="20"/>
          <w:color w:val="auto"/>
        </w:rPr>
      </w:pPr>
    </w:p>
    <w:p>
      <w:pPr>
        <w:ind w:firstLine="8"/>
        <w:spacing w:after="0" w:line="246" w:lineRule="auto"/>
        <w:tabs>
          <w:tab w:leader="none" w:pos="360"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Notice of Borrowing</w:t>
      </w:r>
      <w:r>
        <w:rPr>
          <w:rFonts w:ascii="Arial" w:cs="Arial" w:eastAsia="Arial" w:hAnsi="Arial"/>
          <w:sz w:val="20"/>
          <w:szCs w:val="20"/>
          <w:color w:val="auto"/>
        </w:rPr>
        <w:t xml:space="preserve">. Prior to the making of each Loan on the Effective Date, Administrative Agent shall have received a Notice of Borrowing meeting the requirements of </w:t>
      </w:r>
      <w:r>
        <w:rPr>
          <w:rFonts w:ascii="Arial" w:cs="Arial" w:eastAsia="Arial" w:hAnsi="Arial"/>
          <w:sz w:val="20"/>
          <w:szCs w:val="20"/>
          <w:u w:val="single" w:color="auto"/>
          <w:color w:val="auto"/>
        </w:rPr>
        <w:t>Section 2.5</w:t>
      </w:r>
      <w:r>
        <w:rPr>
          <w:rFonts w:ascii="Arial" w:cs="Arial" w:eastAsia="Arial" w:hAnsi="Arial"/>
          <w:sz w:val="20"/>
          <w:szCs w:val="20"/>
          <w:color w:val="auto"/>
        </w:rPr>
        <w:t>.</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5.2 Conditions Precedent to All Credit Events</w:t>
      </w:r>
      <w:r>
        <w:rPr>
          <w:rFonts w:ascii="Arial" w:cs="Arial" w:eastAsia="Arial" w:hAnsi="Arial"/>
          <w:sz w:val="18"/>
          <w:szCs w:val="18"/>
          <w:color w:val="auto"/>
        </w:rPr>
        <w:t>. The obligation of each Lender to make Loans (other than Loans made on the Effective Date) and the obligation of any Facing Agent to issue or any Lender to participate in any Letter of Credit hereunder in each case shall be subject to the fulfillment at or prior to the time of each such Credit Event of each of the following conditions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Additional Facility incurred in connection with a Limited Condition Transaction, such conditions shall be limited as set forth in </w:t>
      </w:r>
      <w:r>
        <w:rPr>
          <w:rFonts w:ascii="Arial" w:cs="Arial" w:eastAsia="Arial" w:hAnsi="Arial"/>
          <w:sz w:val="18"/>
          <w:szCs w:val="18"/>
          <w:u w:val="single" w:color="auto"/>
          <w:color w:val="auto"/>
        </w:rPr>
        <w:t>Section</w:t>
      </w:r>
    </w:p>
    <w:p>
      <w:pPr>
        <w:spacing w:after="0"/>
        <w:rPr>
          <w:sz w:val="20"/>
          <w:szCs w:val="20"/>
          <w:color w:val="auto"/>
        </w:rPr>
      </w:pPr>
      <w:r>
        <w:rPr>
          <w:rFonts w:ascii="Arial" w:cs="Arial" w:eastAsia="Arial" w:hAnsi="Arial"/>
          <w:sz w:val="20"/>
          <w:szCs w:val="20"/>
          <w:u w:val="single" w:color="auto"/>
          <w:color w:val="auto"/>
        </w:rPr>
        <w:t>2.9</w:t>
      </w:r>
      <w:r>
        <w:rPr>
          <w:rFonts w:ascii="Arial" w:cs="Arial" w:eastAsia="Arial" w:hAnsi="Arial"/>
          <w:sz w:val="20"/>
          <w:szCs w:val="20"/>
          <w:color w:val="auto"/>
        </w:rPr>
        <w:t>):</w:t>
      </w:r>
    </w:p>
    <w:p>
      <w:pPr>
        <w:spacing w:after="0" w:line="213"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The representations and warranties contained in this Agreement and the other Loan Documents shall each be true and correct in all material respects at and as of such time, as though made on and as of such time except to the extent such representations and warranties are expressly made as of a specified date in which event such representation and warranties shall be true and correct in all material respects as of such specified date.</w:t>
      </w:r>
    </w:p>
    <w:p>
      <w:pPr>
        <w:spacing w:after="0" w:line="21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Event of Default or Unmatured Event of Default shall have occurred and shall then be continuing on such date or will occur after giving effect to such Credit Event.</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Notice of Borrowing; Notice of Issuance</w:t>
      </w:r>
      <w:r>
        <w:rPr>
          <w:rFonts w:ascii="Arial" w:cs="Arial" w:eastAsia="Arial" w:hAnsi="Arial"/>
          <w:sz w:val="20"/>
          <w:szCs w:val="20"/>
          <w:color w:val="auto"/>
        </w:rPr>
        <w:t>.</w:t>
      </w:r>
    </w:p>
    <w:p>
      <w:pPr>
        <w:spacing w:after="0" w:line="229" w:lineRule="exact"/>
        <w:rPr>
          <w:sz w:val="20"/>
          <w:szCs w:val="20"/>
          <w:color w:val="auto"/>
        </w:rPr>
      </w:pPr>
    </w:p>
    <w:p>
      <w:pPr>
        <w:jc w:val="both"/>
        <w:ind w:left="1300" w:firstLine="4"/>
        <w:spacing w:after="0" w:line="237" w:lineRule="auto"/>
        <w:tabs>
          <w:tab w:leader="none" w:pos="1585"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Prior to the making of each Loan, Administrative Agent shall have received a Notice of Borrowing meeting the requirements of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or Canadian Administrative Agent shall have received a Notice of Canadian Borrowing meeting the requirements of </w:t>
      </w:r>
      <w:r>
        <w:rPr>
          <w:rFonts w:ascii="Arial" w:cs="Arial" w:eastAsia="Arial" w:hAnsi="Arial"/>
          <w:sz w:val="20"/>
          <w:szCs w:val="20"/>
          <w:u w:val="single" w:color="auto"/>
          <w:color w:val="auto"/>
        </w:rPr>
        <w:t>Section 2A.5</w:t>
      </w:r>
      <w:r>
        <w:rPr>
          <w:rFonts w:ascii="Arial" w:cs="Arial" w:eastAsia="Arial" w:hAnsi="Arial"/>
          <w:sz w:val="20"/>
          <w:szCs w:val="20"/>
          <w:color w:val="auto"/>
        </w:rPr>
        <w:t>, as applicable.</w:t>
      </w:r>
    </w:p>
    <w:p>
      <w:pPr>
        <w:spacing w:after="0" w:line="210" w:lineRule="exact"/>
        <w:rPr>
          <w:sz w:val="20"/>
          <w:szCs w:val="20"/>
          <w:color w:val="auto"/>
        </w:rPr>
      </w:pPr>
    </w:p>
    <w:p>
      <w:pPr>
        <w:ind w:left="1300"/>
        <w:spacing w:after="0" w:line="246" w:lineRule="auto"/>
        <w:rPr>
          <w:sz w:val="20"/>
          <w:szCs w:val="20"/>
          <w:color w:val="auto"/>
        </w:rPr>
      </w:pPr>
      <w:r>
        <w:rPr>
          <w:rFonts w:ascii="Arial" w:cs="Arial" w:eastAsia="Arial" w:hAnsi="Arial"/>
          <w:sz w:val="20"/>
          <w:szCs w:val="20"/>
          <w:color w:val="auto"/>
        </w:rPr>
        <w:t xml:space="preserve">(ii)Prior to the issuance of each Letter of Credit, Administrative Agent and the respective Facing Agent shall have received a Notice of Issuance meeting the requirements of </w:t>
      </w:r>
      <w:r>
        <w:rPr>
          <w:rFonts w:ascii="Arial" w:cs="Arial" w:eastAsia="Arial" w:hAnsi="Arial"/>
          <w:sz w:val="20"/>
          <w:szCs w:val="20"/>
          <w:u w:val="single" w:color="auto"/>
          <w:color w:val="auto"/>
        </w:rPr>
        <w:t>Section 2.10(c)</w:t>
      </w:r>
      <w:r>
        <w:rPr>
          <w:rFonts w:ascii="Arial" w:cs="Arial" w:eastAsia="Arial" w:hAnsi="Arial"/>
          <w:sz w:val="20"/>
          <w:szCs w:val="20"/>
          <w:color w:val="auto"/>
        </w:rPr>
        <w:t>.</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 xml:space="preserve">The acceptance of the benefits of each such Credit Event by the applicable Borrower shall be deemed to constitute a representation and warranty by it to the effect of </w:t>
      </w:r>
      <w:r>
        <w:rPr>
          <w:rFonts w:ascii="Arial" w:cs="Arial" w:eastAsia="Arial" w:hAnsi="Arial"/>
          <w:sz w:val="20"/>
          <w:szCs w:val="20"/>
          <w:u w:val="single" w:color="auto"/>
          <w:color w:val="auto"/>
        </w:rPr>
        <w:t>paragraphs (a)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(except that no opinion need be expressed as to Administrative Agent’s or Required Lenders’ satisfaction with any document, instrument or other matter).</w:t>
      </w:r>
    </w:p>
    <w:p>
      <w:pPr>
        <w:spacing w:after="0" w:line="210"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0"/>
          <w:szCs w:val="20"/>
          <w:color w:val="auto"/>
        </w:rPr>
        <w:t xml:space="preserve">Each Lender hereby agrees that by its execution and delivery of its signature page hereto and by the funding of its Loan to be made on the Effective Date, such Lender approves of and consents to each of the matters set forth in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which must be approved by, or which must be satisfactory to, Administrative Agent or the Required Lenders or Lenders, as the case may be;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any agreement or document which must be approved by, or which must be satisfactory to, the Required Lenders, Administrative Agent or Crown Holdings shall have delivered or caused to be delivered a copy of such agreement or document to such Lender on or prior to the Effective Date if requested.</w:t>
      </w:r>
    </w:p>
    <w:p>
      <w:pPr>
        <w:jc w:val="center"/>
        <w:ind w:right="-19"/>
        <w:spacing w:after="0" w:line="226" w:lineRule="auto"/>
        <w:rPr>
          <w:sz w:val="20"/>
          <w:szCs w:val="20"/>
          <w:color w:val="auto"/>
        </w:rPr>
      </w:pPr>
      <w:r>
        <w:rPr>
          <w:rFonts w:ascii="Arial" w:cs="Arial" w:eastAsia="Arial" w:hAnsi="Arial"/>
          <w:sz w:val="20"/>
          <w:szCs w:val="20"/>
          <w:color w:val="auto"/>
        </w:rPr>
        <w:t>ARTICLE VI</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REPRESENTATIONS AND WARRANTIES</w:t>
      </w:r>
    </w:p>
    <w:p>
      <w:pPr>
        <w:sectPr>
          <w:pgSz w:w="11900" w:h="16838" w:orient="portrait"/>
          <w:cols w:equalWidth="0" w:num="1">
            <w:col w:w="11240"/>
          </w:cols>
          <w:pgMar w:left="320" w:top="1419" w:right="339" w:bottom="1440" w:gutter="0" w:footer="0" w:header="0"/>
        </w:sectPr>
      </w:pPr>
    </w:p>
    <w:bookmarkStart w:id="253" w:name="page254"/>
    <w:bookmarkEnd w:id="253"/>
    <w:p>
      <w:pPr>
        <w:jc w:val="both"/>
        <w:ind w:firstLine="648"/>
        <w:spacing w:after="0" w:line="244" w:lineRule="auto"/>
        <w:rPr>
          <w:sz w:val="20"/>
          <w:szCs w:val="20"/>
          <w:color w:val="auto"/>
        </w:rPr>
      </w:pPr>
      <w:r>
        <w:rPr>
          <w:rFonts w:ascii="Arial" w:cs="Arial" w:eastAsia="Arial" w:hAnsi="Arial"/>
          <w:sz w:val="19"/>
          <w:szCs w:val="19"/>
          <w:color w:val="auto"/>
        </w:rPr>
        <w:t>In order to induce the Lenders to enter into this Agreement and to make the Loans, and issue (or participate in) the Letters of Credit as provided herein, each Credit Party makes the following representations and warranties as of the Incremental Amendment No. 2 and Third Amendment Effective Date (both before and after giving effect to the consummation of the Transactions) and as of the date of each subsequent Credit Event (except to the extent such representations and warranties are expressly made as of a specified date, in which case such representations and warranties shall be made as of such specified date), all of which shall survive the execution and delivery of this Agreement and the Notes and the making of the Loans and issuance of the Letters of Credit:</w:t>
      </w:r>
    </w:p>
    <w:p>
      <w:pPr>
        <w:spacing w:after="0" w:line="206" w:lineRule="exact"/>
        <w:rPr>
          <w:sz w:val="20"/>
          <w:szCs w:val="20"/>
          <w:color w:val="auto"/>
        </w:rPr>
      </w:pPr>
    </w:p>
    <w:p>
      <w:pPr>
        <w:jc w:val="both"/>
        <w:ind w:left="660"/>
        <w:spacing w:after="0" w:line="285" w:lineRule="auto"/>
        <w:rPr>
          <w:sz w:val="20"/>
          <w:szCs w:val="20"/>
          <w:color w:val="auto"/>
        </w:rPr>
      </w:pPr>
      <w:r>
        <w:rPr>
          <w:rFonts w:ascii="Arial" w:cs="Arial" w:eastAsia="Arial" w:hAnsi="Arial"/>
          <w:sz w:val="16"/>
          <w:szCs w:val="16"/>
          <w:u w:val="single" w:color="auto"/>
          <w:color w:val="auto"/>
        </w:rPr>
        <w:t>6.1 Corporate Status</w:t>
      </w:r>
      <w:r>
        <w:rPr>
          <w:rFonts w:ascii="Arial" w:cs="Arial" w:eastAsia="Arial" w:hAnsi="Arial"/>
          <w:sz w:val="16"/>
          <w:szCs w:val="16"/>
          <w:color w:val="auto"/>
        </w:rPr>
        <w:t>. Each Credit Party (a) is a corporation, partnership or other form of legal entity, duly organized and validly existing and, to the extent such concept exists in such jurisdiction, in good standing under the laws of the jurisdiction of its incorporation or organization, as the case may be, (b) has all requisite corporate or other organizational power and authority to carry on its business as now conducted, and (c) is duly qualified to do business and, to the extent such concept exists in such jurisdiction, is in good standing in each other jurisdiction where the conduct of its business requires such qualification, except in the case of clauses</w:t>
      </w:r>
    </w:p>
    <w:p>
      <w:pPr>
        <w:spacing w:after="0" w:line="4" w:lineRule="exact"/>
        <w:rPr>
          <w:sz w:val="20"/>
          <w:szCs w:val="20"/>
          <w:color w:val="auto"/>
        </w:rPr>
      </w:pPr>
    </w:p>
    <w:p>
      <w:pPr>
        <w:ind w:left="660" w:hanging="4"/>
        <w:spacing w:after="0" w:line="234" w:lineRule="auto"/>
        <w:tabs>
          <w:tab w:leader="none" w:pos="954" w:val="left"/>
        </w:tabs>
        <w:numPr>
          <w:ilvl w:val="0"/>
          <w:numId w:val="189"/>
        </w:numPr>
        <w:rPr>
          <w:rFonts w:ascii="Arial" w:cs="Arial" w:eastAsia="Arial" w:hAnsi="Arial"/>
          <w:sz w:val="20"/>
          <w:szCs w:val="20"/>
          <w:color w:val="auto"/>
        </w:rPr>
      </w:pPr>
      <w:r>
        <w:rPr>
          <w:rFonts w:ascii="Arial" w:cs="Arial" w:eastAsia="Arial" w:hAnsi="Arial"/>
          <w:sz w:val="20"/>
          <w:szCs w:val="20"/>
          <w:color w:val="auto"/>
        </w:rPr>
        <w:t>(as to good standing), (b) and (c), where such failures in the aggregate would not reasonably be expected to have a Material Adverse Effect.</w:t>
      </w:r>
    </w:p>
    <w:p>
      <w:pPr>
        <w:spacing w:after="0" w:line="211"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u w:val="single" w:color="auto"/>
          <w:color w:val="auto"/>
        </w:rPr>
        <w:t>6.2 Corporate Power and Authority</w:t>
      </w:r>
      <w:r>
        <w:rPr>
          <w:rFonts w:ascii="Arial" w:cs="Arial" w:eastAsia="Arial" w:hAnsi="Arial"/>
          <w:sz w:val="18"/>
          <w:szCs w:val="18"/>
          <w:color w:val="auto"/>
        </w:rPr>
        <w:t>. Each Credit Party has the corporate or other organizational power and authority to execute and deliver each of the Loan Documents to which it is a party and to perform its obligations thereunder and has taken all necessary action to authorize the execution, delivery and performance by it of each of such Loan Documents. Each Credit Party has duly executed and delivered each of the Loan Documents to which it is a party, and each of such Loan Documents constitutes its legal, valid and binding obligation, enforceable in accordance with its terms, except to the extent that the enforceability thereof may be limited by applicable bankruptcy, insolvency, reorganization, moratorium or similar laws generally affecting creditors’ rights and by equitable principles (regardless of whether enforcement is sought in equity or at law).</w:t>
      </w:r>
    </w:p>
    <w:p>
      <w:pPr>
        <w:spacing w:after="0" w:line="197" w:lineRule="exact"/>
        <w:rPr>
          <w:sz w:val="20"/>
          <w:szCs w:val="20"/>
          <w:color w:val="auto"/>
        </w:rPr>
      </w:pPr>
    </w:p>
    <w:p>
      <w:pPr>
        <w:jc w:val="both"/>
        <w:ind w:left="660"/>
        <w:spacing w:after="0" w:line="241" w:lineRule="auto"/>
        <w:rPr>
          <w:sz w:val="20"/>
          <w:szCs w:val="20"/>
          <w:color w:val="auto"/>
        </w:rPr>
      </w:pPr>
      <w:r>
        <w:rPr>
          <w:rFonts w:ascii="Arial" w:cs="Arial" w:eastAsia="Arial" w:hAnsi="Arial"/>
          <w:sz w:val="19"/>
          <w:szCs w:val="19"/>
          <w:u w:val="single" w:color="auto"/>
          <w:color w:val="auto"/>
        </w:rPr>
        <w:t>6.3 No Violation</w:t>
      </w:r>
      <w:r>
        <w:rPr>
          <w:rFonts w:ascii="Arial" w:cs="Arial" w:eastAsia="Arial" w:hAnsi="Arial"/>
          <w:sz w:val="19"/>
          <w:szCs w:val="19"/>
          <w:color w:val="auto"/>
        </w:rPr>
        <w:t>. The execution and delivery by any Credit Party of the Loan Documents to which it is a party (including, without limitation, the granting of Liens pursuant to the Security Documents), and the performance of such Credit Party’s obligations thereunder do not contravene any provision of any Requirement of Law applicable to such Credit Party, conflict with or result in any breach of any material Contractual Obligation or other material instrument binding upon such Credit Party, or result in the creation or imposition of (or the obligation to create or impose) any Lien (except pursuant to the Security Documents or Permitted Liens) upon any of the property or assets of any Credit Party pursuant to the terms of any Contractual Obligation to which any Credit Party is a party or by which it or any of its property or assets is bound, or violate any provision of any Organic Document of any Credit Party, except, in each case, for any contravention, conflict, breach, default or violation that would not reasonably be expected to have a Material Adverse Effect.</w:t>
      </w:r>
    </w:p>
    <w:p>
      <w:pPr>
        <w:spacing w:after="0" w:line="212" w:lineRule="exact"/>
        <w:rPr>
          <w:sz w:val="20"/>
          <w:szCs w:val="20"/>
          <w:color w:val="auto"/>
        </w:rPr>
      </w:pPr>
    </w:p>
    <w:p>
      <w:pPr>
        <w:jc w:val="both"/>
        <w:ind w:left="660"/>
        <w:spacing w:after="0" w:line="243" w:lineRule="auto"/>
        <w:rPr>
          <w:sz w:val="20"/>
          <w:szCs w:val="20"/>
          <w:color w:val="auto"/>
        </w:rPr>
      </w:pPr>
      <w:r>
        <w:rPr>
          <w:rFonts w:ascii="Arial" w:cs="Arial" w:eastAsia="Arial" w:hAnsi="Arial"/>
          <w:sz w:val="19"/>
          <w:szCs w:val="19"/>
          <w:u w:val="single" w:color="auto"/>
          <w:color w:val="auto"/>
        </w:rPr>
        <w:t>6.4 Governmental and Other Approvals</w:t>
      </w:r>
      <w:r>
        <w:rPr>
          <w:rFonts w:ascii="Arial" w:cs="Arial" w:eastAsia="Arial" w:hAnsi="Arial"/>
          <w:sz w:val="19"/>
          <w:szCs w:val="19"/>
          <w:color w:val="auto"/>
        </w:rPr>
        <w:t>. Except for filings necessary to create or perfect security interests in the Collateral, except as have been obtained, waived or made prior to the Incremental Amendment No. 2 and Third Amendment Effective Date, and except any such failure that would not reasonably be expected to have a Material Adverse Effect, no material order, consent, approval, license, authorization or validation of, or filing, recording or registration with (except as have been obtained or made on or prior to the Incremental Amendment No. 2 and Third Amendment Effective Date and except for any reports required to be filed by any Credit Party with the SEC), or exemption by, any Governmental Authority, is required to authorize, or is required in connection with, (i) the execution and delivery of any Loan Document or the</w:t>
      </w:r>
    </w:p>
    <w:p>
      <w:pPr>
        <w:sectPr>
          <w:pgSz w:w="11900" w:h="16838" w:orient="portrait"/>
          <w:cols w:equalWidth="0" w:num="1">
            <w:col w:w="11240"/>
          </w:cols>
          <w:pgMar w:left="320" w:top="1419" w:right="339" w:bottom="1440" w:gutter="0" w:footer="0" w:header="0"/>
        </w:sectPr>
      </w:pPr>
    </w:p>
    <w:bookmarkStart w:id="254" w:name="page255"/>
    <w:bookmarkEnd w:id="254"/>
    <w:p>
      <w:pPr>
        <w:ind w:left="660"/>
        <w:spacing w:after="0"/>
        <w:rPr>
          <w:sz w:val="20"/>
          <w:szCs w:val="20"/>
          <w:color w:val="auto"/>
        </w:rPr>
      </w:pPr>
      <w:r>
        <w:rPr>
          <w:rFonts w:ascii="Arial" w:cs="Arial" w:eastAsia="Arial" w:hAnsi="Arial"/>
          <w:sz w:val="18"/>
          <w:szCs w:val="18"/>
          <w:color w:val="auto"/>
        </w:rPr>
        <w:t>performance of the obligations thereunder or (ii) the legality, validity, binding effect or enforceability of any such Loan Document.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6.5 Financial Statements; Financial Condition; Undisclosed Liabilities Projections; Etc</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(a) Financial Statements</w:t>
      </w:r>
      <w:r>
        <w:rPr>
          <w:rFonts w:ascii="Arial" w:cs="Arial" w:eastAsia="Arial" w:hAnsi="Arial"/>
          <w:sz w:val="20"/>
          <w:szCs w:val="20"/>
          <w:color w:val="auto"/>
        </w:rPr>
        <w:t>.</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consolidated balance sheets of Crown Holdings and its consolidated Subsidiaries and the related statements of income, cash flows and shareholders’ equity of Crown Holdings for December 31, 2016, fairly present in all material respects the consolidated financial condition and results of operation and cash flows of Crown Holdings and its consolidated Subsidiaries as of such date and for such period. Copies of such statements have been furnished to the Lenders prior to the Effective Date and, in the case of the December 31, 2016 statements, have been reported on by Pricewaterhouse Coopers LLP, independent certified public accountants.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and as of the Effective Date, immediately following the making of each Loan and after giving effect to the application of the proceeds of such Loans, (I) (a) the sum of the assets of Crown Holdings and its Subsidiaries (taken as a whole), at a fair valuation, will exceed its debts;</w:t>
      </w:r>
    </w:p>
    <w:p>
      <w:pPr>
        <w:spacing w:after="0" w:line="1" w:lineRule="exact"/>
        <w:rPr>
          <w:sz w:val="20"/>
          <w:szCs w:val="20"/>
          <w:color w:val="auto"/>
        </w:rPr>
      </w:pPr>
    </w:p>
    <w:p>
      <w:pPr>
        <w:jc w:val="both"/>
        <w:ind w:firstLine="8"/>
        <w:spacing w:after="0" w:line="251" w:lineRule="auto"/>
        <w:tabs>
          <w:tab w:leader="none" w:pos="28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present fair saleable value of the property of Crown Holdings and its Subsidiaries (taken as a whole) will be greater than the amount that will be required to pay the probable liability of its debts and other liabilities, subordinated, contingent or otherwise, as such debts and other liabilities become absolute and matured and specifically, no German Borrower or Non-U.S. Guarantee Subsidiary organized under the Laws of the Federal Republic of Germany is illiquid, threatened with illiquidity or overindebted within the meaning of section 17, 18 or 19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or overindebted within the meaning of the German proper accounting standards (</w:t>
      </w:r>
      <w:r>
        <w:rPr>
          <w:rFonts w:ascii="Arial" w:cs="Arial" w:eastAsia="Arial" w:hAnsi="Arial"/>
          <w:sz w:val="18"/>
          <w:szCs w:val="18"/>
          <w:i w:val="1"/>
          <w:iCs w:val="1"/>
          <w:color w:val="auto"/>
        </w:rPr>
        <w:t>Grundsätze ordentlicher Buchführung</w:t>
      </w:r>
      <w:r>
        <w:rPr>
          <w:rFonts w:ascii="Arial" w:cs="Arial" w:eastAsia="Arial" w:hAnsi="Arial"/>
          <w:sz w:val="18"/>
          <w:szCs w:val="18"/>
          <w:color w:val="auto"/>
        </w:rPr>
        <w:t xml:space="preserve">); (c) Crown Holdings and its Subsidiaries (taken as a whole) will be able to pay its debts and liabilities, subordinated, contingent or otherwise, as such debts and liabilities become absolute and matured; and (d) Crown Holdings and its Subsidiaries (taken as a whole) will not have unreasonably small capital with which to conduct the business in which it is engaged as such business is now conducted and is proposed to be conducted following the Effective Date and (II) (i) no Credit Party will be subject to any proceedings for its administration (with respect to a Credit Party organized under the laws of France, </w:t>
      </w:r>
      <w:r>
        <w:rPr>
          <w:rFonts w:ascii="Arial" w:cs="Arial" w:eastAsia="Arial" w:hAnsi="Arial"/>
          <w:sz w:val="18"/>
          <w:szCs w:val="18"/>
          <w:i w:val="1"/>
          <w:iCs w:val="1"/>
          <w:color w:val="auto"/>
        </w:rPr>
        <w:t>redressement judiciaire</w:t>
      </w:r>
      <w:r>
        <w:rPr>
          <w:rFonts w:ascii="Arial" w:cs="Arial" w:eastAsia="Arial" w:hAnsi="Arial"/>
          <w:sz w:val="18"/>
          <w:szCs w:val="18"/>
          <w:color w:val="auto"/>
        </w:rPr>
        <w:t xml:space="preserve">), or will be subject to a plan for the transfer of the whole or part of its business, or is or will be subject to liquidation (with respect to a Credit Party organized under the laws of France, </w:t>
      </w:r>
      <w:r>
        <w:rPr>
          <w:rFonts w:ascii="Arial" w:cs="Arial" w:eastAsia="Arial" w:hAnsi="Arial"/>
          <w:sz w:val="18"/>
          <w:szCs w:val="18"/>
          <w:i w:val="1"/>
          <w:iCs w:val="1"/>
          <w:color w:val="auto"/>
        </w:rPr>
        <w:t>liquidation judiciaire</w:t>
      </w:r>
      <w:r>
        <w:rPr>
          <w:rFonts w:ascii="Arial" w:cs="Arial" w:eastAsia="Arial" w:hAnsi="Arial"/>
          <w:sz w:val="18"/>
          <w:szCs w:val="18"/>
          <w:color w:val="auto"/>
        </w:rPr>
        <w:t>) and no claim has been made requesting implementation of such proceedings; (ii) no Credit Party will be subject to the administration of a court appointed mediator (</w:t>
      </w:r>
      <w:r>
        <w:rPr>
          <w:rFonts w:ascii="Arial" w:cs="Arial" w:eastAsia="Arial" w:hAnsi="Arial"/>
          <w:sz w:val="18"/>
          <w:szCs w:val="18"/>
          <w:i w:val="1"/>
          <w:iCs w:val="1"/>
          <w:color w:val="auto"/>
        </w:rPr>
        <w:t>conciliateur</w:t>
      </w:r>
      <w:r>
        <w:rPr>
          <w:rFonts w:ascii="Arial" w:cs="Arial" w:eastAsia="Arial" w:hAnsi="Arial"/>
          <w:sz w:val="18"/>
          <w:szCs w:val="18"/>
          <w:color w:val="auto"/>
        </w:rPr>
        <w:t>), judicial condition, compulsory manager, receiver (</w:t>
      </w:r>
      <w:r>
        <w:rPr>
          <w:rFonts w:ascii="Arial" w:cs="Arial" w:eastAsia="Arial" w:hAnsi="Arial"/>
          <w:sz w:val="18"/>
          <w:szCs w:val="18"/>
          <w:i w:val="1"/>
          <w:iCs w:val="1"/>
          <w:color w:val="auto"/>
        </w:rPr>
        <w:t>administrateur judiciaire</w:t>
      </w:r>
      <w:r>
        <w:rPr>
          <w:rFonts w:ascii="Arial" w:cs="Arial" w:eastAsia="Arial" w:hAnsi="Arial"/>
          <w:sz w:val="18"/>
          <w:szCs w:val="18"/>
          <w:color w:val="auto"/>
        </w:rPr>
        <w:t>), administrator, liquidator (</w:t>
      </w:r>
      <w:r>
        <w:rPr>
          <w:rFonts w:ascii="Arial" w:cs="Arial" w:eastAsia="Arial" w:hAnsi="Arial"/>
          <w:sz w:val="18"/>
          <w:szCs w:val="18"/>
          <w:i w:val="1"/>
          <w:iCs w:val="1"/>
          <w:color w:val="auto"/>
        </w:rPr>
        <w:t>liquidateur judiciaire</w:t>
      </w:r>
      <w:r>
        <w:rPr>
          <w:rFonts w:ascii="Arial" w:cs="Arial" w:eastAsia="Arial" w:hAnsi="Arial"/>
          <w:sz w:val="18"/>
          <w:szCs w:val="18"/>
          <w:color w:val="auto"/>
        </w:rPr>
        <w:t xml:space="preserve">) or other similar office (with respect to a Credit Party organized under the laws of France, </w:t>
      </w:r>
      <w:r>
        <w:rPr>
          <w:rFonts w:ascii="Arial" w:cs="Arial" w:eastAsia="Arial" w:hAnsi="Arial"/>
          <w:sz w:val="18"/>
          <w:szCs w:val="18"/>
          <w:i w:val="1"/>
          <w:iCs w:val="1"/>
          <w:color w:val="auto"/>
        </w:rPr>
        <w:t>mandataire ad hoc</w:t>
      </w:r>
      <w:r>
        <w:rPr>
          <w:rFonts w:ascii="Arial" w:cs="Arial" w:eastAsia="Arial" w:hAnsi="Arial"/>
          <w:sz w:val="18"/>
          <w:szCs w:val="18"/>
          <w:color w:val="auto"/>
        </w:rPr>
        <w:t xml:space="preserve">), and no request will have been filed and no negotiations envisaged for the rehabilitation, administration, custodianship, liquidation, winding-up or dissolution of such Credit Party; (iii) no Credit Party will be unable to settle its debts (contingent or otherwise) with realizable assets (with respect to a Credit Party organized under the laws of France, </w:t>
      </w:r>
      <w:r>
        <w:rPr>
          <w:rFonts w:ascii="Arial" w:cs="Arial" w:eastAsia="Arial" w:hAnsi="Arial"/>
          <w:sz w:val="18"/>
          <w:szCs w:val="18"/>
          <w:i w:val="1"/>
          <w:iCs w:val="1"/>
          <w:color w:val="auto"/>
        </w:rPr>
        <w:t>en état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 cessation des paiements </w:t>
      </w:r>
      <w:r>
        <w:rPr>
          <w:rFonts w:ascii="Arial" w:cs="Arial" w:eastAsia="Arial" w:hAnsi="Arial"/>
          <w:sz w:val="18"/>
          <w:szCs w:val="18"/>
          <w:color w:val="auto"/>
        </w:rPr>
        <w:t>within the meaning of article L 631-1 of the French Commercial Code) or will have admitted in writing its</w:t>
      </w:r>
      <w:r>
        <w:rPr>
          <w:rFonts w:ascii="Arial" w:cs="Arial" w:eastAsia="Arial" w:hAnsi="Arial"/>
          <w:sz w:val="18"/>
          <w:szCs w:val="18"/>
          <w:i w:val="1"/>
          <w:iCs w:val="1"/>
          <w:color w:val="auto"/>
        </w:rPr>
        <w:t xml:space="preserve"> </w:t>
      </w:r>
      <w:r>
        <w:rPr>
          <w:rFonts w:ascii="Arial" w:cs="Arial" w:eastAsia="Arial" w:hAnsi="Arial"/>
          <w:sz w:val="18"/>
          <w:szCs w:val="18"/>
          <w:color w:val="auto"/>
        </w:rPr>
        <w:t>inability to pay its debts as they fall due; (iv) no Credit Party organized under the laws of France will be subject to safeguard proceedings (</w:t>
      </w:r>
      <w:r>
        <w:rPr>
          <w:rFonts w:ascii="Arial" w:cs="Arial" w:eastAsia="Arial" w:hAnsi="Arial"/>
          <w:sz w:val="18"/>
          <w:szCs w:val="18"/>
          <w:i w:val="1"/>
          <w:iCs w:val="1"/>
          <w:color w:val="auto"/>
        </w:rPr>
        <w:t>procédure de sauvegarde</w:t>
      </w:r>
      <w:r>
        <w:rPr>
          <w:rFonts w:ascii="Arial" w:cs="Arial" w:eastAsia="Arial" w:hAnsi="Arial"/>
          <w:sz w:val="18"/>
          <w:szCs w:val="18"/>
          <w:color w:val="auto"/>
        </w:rPr>
        <w:t xml:space="preserve">), within the meaning of Article L. 620-1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of the French Commercial Code (which shall include, for the avoidance of doubt, </w:t>
      </w:r>
      <w:r>
        <w:rPr>
          <w:rFonts w:ascii="Arial" w:cs="Arial" w:eastAsia="Arial" w:hAnsi="Arial"/>
          <w:sz w:val="18"/>
          <w:szCs w:val="18"/>
          <w:i w:val="1"/>
          <w:iCs w:val="1"/>
          <w:color w:val="auto"/>
        </w:rPr>
        <w:t>sauvegarde accélérée</w:t>
      </w:r>
      <w:r>
        <w:rPr>
          <w:rFonts w:ascii="Arial" w:cs="Arial" w:eastAsia="Arial" w:hAnsi="Arial"/>
          <w:sz w:val="18"/>
          <w:szCs w:val="18"/>
          <w:color w:val="auto"/>
        </w:rPr>
        <w:t xml:space="preserve"> and </w:t>
      </w:r>
      <w:r>
        <w:rPr>
          <w:rFonts w:ascii="Arial" w:cs="Arial" w:eastAsia="Arial" w:hAnsi="Arial"/>
          <w:sz w:val="18"/>
          <w:szCs w:val="18"/>
          <w:i w:val="1"/>
          <w:iCs w:val="1"/>
          <w:color w:val="auto"/>
        </w:rPr>
        <w:t>sauvegarde financière accélérée</w:t>
      </w:r>
      <w:r>
        <w:rPr>
          <w:rFonts w:ascii="Arial" w:cs="Arial" w:eastAsia="Arial" w:hAnsi="Arial"/>
          <w:sz w:val="18"/>
          <w:szCs w:val="18"/>
          <w:color w:val="auto"/>
        </w:rPr>
        <w:t xml:space="preserve">); and (v) no Credit Party will have commenced negotiations with any of its creditors with a view to the general readjustment or rescheduling of any of its indebtedness or will have made a general assignment for the benefit of any of its creditors and/or will have entered into any settlement agreement or amicable arrangement with any of its creditors (with respect to a Credit Party organized under the laws of France, transactions, </w:t>
      </w:r>
      <w:r>
        <w:rPr>
          <w:rFonts w:ascii="Arial" w:cs="Arial" w:eastAsia="Arial" w:hAnsi="Arial"/>
          <w:sz w:val="18"/>
          <w:szCs w:val="18"/>
          <w:i w:val="1"/>
          <w:iCs w:val="1"/>
          <w:color w:val="auto"/>
        </w:rPr>
        <w:t>accord de conciliation</w:t>
      </w:r>
      <w:r>
        <w:rPr>
          <w:rFonts w:ascii="Arial" w:cs="Arial" w:eastAsia="Arial" w:hAnsi="Arial"/>
          <w:sz w:val="18"/>
          <w:szCs w:val="18"/>
          <w:color w:val="auto"/>
        </w:rPr>
        <w:t>), or will have stopped or suspended payment of all or substantially all of its debts or will have announced an intention to do so, or will have a moratorium declared in respect of any of its indebtedness.</w:t>
      </w:r>
    </w:p>
    <w:p>
      <w:pPr>
        <w:sectPr>
          <w:pgSz w:w="11900" w:h="16838" w:orient="portrait"/>
          <w:cols w:equalWidth="0" w:num="1">
            <w:col w:w="11240"/>
          </w:cols>
          <w:pgMar w:left="320" w:top="1419" w:right="339" w:bottom="1440" w:gutter="0" w:footer="0" w:header="0"/>
        </w:sectPr>
      </w:pPr>
    </w:p>
    <w:bookmarkStart w:id="255" w:name="page256"/>
    <w:bookmarkEnd w:id="255"/>
    <w:p>
      <w:pPr>
        <w:jc w:val="both"/>
        <w:ind w:firstLine="656"/>
        <w:spacing w:after="0" w:line="253" w:lineRule="auto"/>
        <w:tabs>
          <w:tab w:leader="none" w:pos="928" w:val="left"/>
        </w:tabs>
        <w:numPr>
          <w:ilvl w:val="1"/>
          <w:numId w:val="19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Set forth on (i) </w:t>
      </w:r>
      <w:r>
        <w:rPr>
          <w:rFonts w:ascii="Arial" w:cs="Arial" w:eastAsia="Arial" w:hAnsi="Arial"/>
          <w:sz w:val="18"/>
          <w:szCs w:val="18"/>
          <w:u w:val="single" w:color="auto"/>
          <w:color w:val="auto"/>
        </w:rPr>
        <w:t>Schedule 6.5(b)(i)</w:t>
      </w:r>
      <w:r>
        <w:rPr>
          <w:rFonts w:ascii="Arial" w:cs="Arial" w:eastAsia="Arial" w:hAnsi="Arial"/>
          <w:sz w:val="18"/>
          <w:szCs w:val="18"/>
          <w:color w:val="auto"/>
        </w:rPr>
        <w:t xml:space="preserve"> hereto is a list and description of all Indebtedness of the Credit Parties and their respective Subsidiaries (other than the Loans), in each case, with an aggregate outstanding principal amount in excess of $5,000,000 that will be outstanding as of the Incremental Amendment No. 2 and Third Amendment Effective Date; (ii) </w:t>
      </w:r>
      <w:r>
        <w:rPr>
          <w:rFonts w:ascii="Arial" w:cs="Arial" w:eastAsia="Arial" w:hAnsi="Arial"/>
          <w:sz w:val="18"/>
          <w:szCs w:val="18"/>
          <w:u w:val="single" w:color="auto"/>
          <w:color w:val="auto"/>
        </w:rPr>
        <w:t>Schedule 6.5(b)(ii)</w:t>
      </w:r>
      <w:r>
        <w:rPr>
          <w:rFonts w:ascii="Arial" w:cs="Arial" w:eastAsia="Arial" w:hAnsi="Arial"/>
          <w:sz w:val="18"/>
          <w:szCs w:val="18"/>
          <w:color w:val="auto"/>
        </w:rPr>
        <w:t xml:space="preserve"> hereto is a list and description of the Existing Non-U.S. Facilities and the obligations of any Subsidiary of Crown Holdings that has any Guarantee Obligations with respect to, is an obligor under or provides credit support in respect of such Existing Non-U.S. Facilities, in each case, with an aggregate outstanding principal amount in excess of $5,000,000, as of the Incremental Amendment No. 2 and Third Amendment Effective Date; and</w:t>
      </w:r>
    </w:p>
    <w:p>
      <w:pPr>
        <w:spacing w:after="0" w:line="2" w:lineRule="exact"/>
        <w:rPr>
          <w:rFonts w:ascii="Arial" w:cs="Arial" w:eastAsia="Arial" w:hAnsi="Arial"/>
          <w:sz w:val="18"/>
          <w:szCs w:val="18"/>
          <w:u w:val="single" w:color="auto"/>
          <w:color w:val="auto"/>
        </w:rPr>
      </w:pPr>
    </w:p>
    <w:p>
      <w:pPr>
        <w:jc w:val="both"/>
        <w:ind w:firstLine="8"/>
        <w:spacing w:after="0" w:line="239" w:lineRule="auto"/>
        <w:tabs>
          <w:tab w:leader="none" w:pos="387"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Schedule 6.5(b)(iii)</w:t>
      </w:r>
      <w:r>
        <w:rPr>
          <w:rFonts w:ascii="Arial" w:cs="Arial" w:eastAsia="Arial" w:hAnsi="Arial"/>
          <w:sz w:val="19"/>
          <w:szCs w:val="19"/>
          <w:color w:val="auto"/>
        </w:rPr>
        <w:t xml:space="preserve"> hereto is a list and description of the Existing Factoring Facilities of the Credit Parties and their respective Subsidiaries and the obligations of any Subsidiary of Crown Holdings that has any Guarantee Obligations with respect to, is an obligor under or provides credit support in respect of such Existing Factoring Facilities, in each case, with an aggregate outstanding principal amount in excess of $5,000,000, as of the Incremental Amendment No. 2 and Third Amendment Effective Date (collectively, including such Indebtedness described in this </w:t>
      </w:r>
      <w:r>
        <w:rPr>
          <w:rFonts w:ascii="Arial" w:cs="Arial" w:eastAsia="Arial" w:hAnsi="Arial"/>
          <w:sz w:val="19"/>
          <w:szCs w:val="19"/>
          <w:u w:val="single" w:color="auto"/>
          <w:color w:val="auto"/>
        </w:rPr>
        <w:t>Section 6.5(b)</w:t>
      </w:r>
      <w:r>
        <w:rPr>
          <w:rFonts w:ascii="Arial" w:cs="Arial" w:eastAsia="Arial" w:hAnsi="Arial"/>
          <w:sz w:val="19"/>
          <w:szCs w:val="19"/>
          <w:color w:val="auto"/>
        </w:rPr>
        <w:t xml:space="preserve"> and not required to be scheduled, the “</w:t>
      </w:r>
      <w:r>
        <w:rPr>
          <w:rFonts w:ascii="Arial" w:cs="Arial" w:eastAsia="Arial" w:hAnsi="Arial"/>
          <w:sz w:val="19"/>
          <w:szCs w:val="19"/>
          <w:u w:val="single" w:color="auto"/>
          <w:color w:val="auto"/>
        </w:rPr>
        <w:t>Indebtedness to Remain Outstanding</w:t>
      </w:r>
      <w:r>
        <w:rPr>
          <w:rFonts w:ascii="Arial" w:cs="Arial" w:eastAsia="Arial" w:hAnsi="Arial"/>
          <w:sz w:val="19"/>
          <w:szCs w:val="19"/>
          <w:color w:val="auto"/>
        </w:rPr>
        <w:t xml:space="preserve">”), in each case showing the outstanding aggregate principal amount thereof (and the aggregate amount of any undrawn commitments with respect thereto) and the name of the respective obligor and any other entity which directly or indirectly guaranteed such debt. No Indebtedness to Remain Outstanding has been incurred in connection with, or in contemplation of, the Transactions or the other transactions contemplated hereby. Crown Holdings has delivered or caused to be delivered to Administrative Agent a true and complete copy of the form of each material instrument evidencing Indebtedness for money borrowed listed on </w:t>
      </w:r>
      <w:r>
        <w:rPr>
          <w:rFonts w:ascii="Arial" w:cs="Arial" w:eastAsia="Arial" w:hAnsi="Arial"/>
          <w:sz w:val="19"/>
          <w:szCs w:val="19"/>
          <w:u w:val="single" w:color="auto"/>
          <w:color w:val="auto"/>
        </w:rPr>
        <w:t>Schedule 6.5(b)(i)</w:t>
      </w:r>
      <w:r>
        <w:rPr>
          <w:rFonts w:ascii="Arial" w:cs="Arial" w:eastAsia="Arial" w:hAnsi="Arial"/>
          <w:sz w:val="19"/>
          <w:szCs w:val="19"/>
          <w:color w:val="auto"/>
        </w:rPr>
        <w:t xml:space="preserve"> and of each material agreement or instrument pursuant to which such Indebtedness for money borrowed was issued.</w:t>
      </w:r>
    </w:p>
    <w:p>
      <w:pPr>
        <w:spacing w:after="0" w:line="21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u w:val="single" w:color="auto"/>
          <w:color w:val="auto"/>
        </w:rPr>
        <w:t>(c)Projections</w:t>
      </w:r>
      <w:r>
        <w:rPr>
          <w:rFonts w:ascii="Arial" w:cs="Arial" w:eastAsia="Arial" w:hAnsi="Arial"/>
          <w:sz w:val="19"/>
          <w:szCs w:val="19"/>
          <w:color w:val="auto"/>
        </w:rPr>
        <w:t>. On and as of the Effective Date, the financial projections previously delivered to Administrative Agent for further distribution to the Lenders (the “</w:t>
      </w:r>
      <w:r>
        <w:rPr>
          <w:rFonts w:ascii="Arial" w:cs="Arial" w:eastAsia="Arial" w:hAnsi="Arial"/>
          <w:sz w:val="19"/>
          <w:szCs w:val="19"/>
          <w:u w:val="single" w:color="auto"/>
          <w:color w:val="auto"/>
        </w:rPr>
        <w:t>Projections</w:t>
      </w:r>
      <w:r>
        <w:rPr>
          <w:rFonts w:ascii="Arial" w:cs="Arial" w:eastAsia="Arial" w:hAnsi="Arial"/>
          <w:sz w:val="19"/>
          <w:szCs w:val="19"/>
          <w:color w:val="auto"/>
        </w:rPr>
        <w:t xml:space="preserve">”) and each of the budgets and projections delivered after the Effective Date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7.2(c)</w:t>
      </w:r>
      <w:r>
        <w:rPr>
          <w:rFonts w:ascii="Arial" w:cs="Arial" w:eastAsia="Arial" w:hAnsi="Arial"/>
          <w:sz w:val="19"/>
          <w:szCs w:val="19"/>
          <w:color w:val="auto"/>
        </w:rPr>
        <w:t xml:space="preserve"> are, at the time made, based on good faith estimates and assumptions made by the management of Crown Holdings, which assumptions were believed by management of Crown Holdings to be reasonable at the time made, it being understood that uncertainty is inherent in any forecasts or projections, such projections are not to be viewed as facts, that actual results during the period or periods covered by such projections may differ from such projections and the differences may be material, and that no assurance can be given that the results set forth in the Projections will actually be obtained.</w:t>
      </w:r>
    </w:p>
    <w:p>
      <w:pPr>
        <w:spacing w:after="0" w:line="206" w:lineRule="exact"/>
        <w:rPr>
          <w:sz w:val="20"/>
          <w:szCs w:val="20"/>
          <w:color w:val="auto"/>
        </w:rPr>
      </w:pPr>
    </w:p>
    <w:p>
      <w:pPr>
        <w:ind w:firstLine="656"/>
        <w:spacing w:after="0" w:line="246" w:lineRule="auto"/>
        <w:tabs>
          <w:tab w:leader="none" w:pos="935" w:val="left"/>
        </w:tabs>
        <w:numPr>
          <w:ilvl w:val="0"/>
          <w:numId w:val="19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Since December 31, 2016, there has been no material adverse change in the financial condition of Crown Holdings and its Subsidiaries, taken as a whole.</w:t>
      </w:r>
    </w:p>
    <w:p>
      <w:pPr>
        <w:spacing w:after="0" w:line="204" w:lineRule="exact"/>
        <w:rPr>
          <w:sz w:val="20"/>
          <w:szCs w:val="20"/>
          <w:color w:val="auto"/>
        </w:rPr>
      </w:pPr>
    </w:p>
    <w:p>
      <w:pPr>
        <w:jc w:val="both"/>
        <w:ind w:left="660"/>
        <w:spacing w:after="0" w:line="275" w:lineRule="auto"/>
        <w:rPr>
          <w:sz w:val="20"/>
          <w:szCs w:val="20"/>
          <w:color w:val="auto"/>
        </w:rPr>
      </w:pPr>
      <w:r>
        <w:rPr>
          <w:rFonts w:ascii="Arial" w:cs="Arial" w:eastAsia="Arial" w:hAnsi="Arial"/>
          <w:sz w:val="18"/>
          <w:szCs w:val="18"/>
          <w:u w:val="single" w:color="auto"/>
          <w:color w:val="auto"/>
        </w:rPr>
        <w:t>6.6 Litigation</w:t>
      </w:r>
      <w:r>
        <w:rPr>
          <w:rFonts w:ascii="Arial" w:cs="Arial" w:eastAsia="Arial" w:hAnsi="Arial"/>
          <w:sz w:val="18"/>
          <w:szCs w:val="18"/>
          <w:color w:val="auto"/>
        </w:rPr>
        <w:t>. There are no actions or proceedings pending or, to the knowledge of any of the Credit Parties, threatened in writing against any Credit Party (i) that would reasonably be expected to have a Material Adverse Effect, or (ii) which purports to affect the legality, validity or enforceability of this Agreement, any Loan Document or the transactions contemplated hereby or thereby.</w:t>
      </w:r>
    </w:p>
    <w:p>
      <w:pPr>
        <w:spacing w:after="0" w:line="179" w:lineRule="exact"/>
        <w:rPr>
          <w:sz w:val="20"/>
          <w:szCs w:val="20"/>
          <w:color w:val="auto"/>
        </w:rPr>
      </w:pPr>
    </w:p>
    <w:p>
      <w:pPr>
        <w:jc w:val="both"/>
        <w:ind w:left="660"/>
        <w:spacing w:after="0" w:line="242" w:lineRule="auto"/>
        <w:rPr>
          <w:sz w:val="20"/>
          <w:szCs w:val="20"/>
          <w:color w:val="auto"/>
        </w:rPr>
      </w:pPr>
      <w:r>
        <w:rPr>
          <w:rFonts w:ascii="Arial" w:cs="Arial" w:eastAsia="Arial" w:hAnsi="Arial"/>
          <w:sz w:val="19"/>
          <w:szCs w:val="19"/>
          <w:u w:val="single" w:color="auto"/>
          <w:color w:val="auto"/>
        </w:rPr>
        <w:t>6.7 True and Complete Disclosure</w:t>
      </w:r>
      <w:r>
        <w:rPr>
          <w:rFonts w:ascii="Arial" w:cs="Arial" w:eastAsia="Arial" w:hAnsi="Arial"/>
          <w:sz w:val="19"/>
          <w:szCs w:val="19"/>
          <w:color w:val="auto"/>
        </w:rPr>
        <w:t xml:space="preserve">. To Crown Holding’s knowledge, all written information (taken as a whole) heretofore or contemporaneously furnished by or on behalf of any Credit Party in writing to any Lender (including, without limitation, all information contained in the Loan Documents) (other than the Projections, as to which </w:t>
      </w:r>
      <w:r>
        <w:rPr>
          <w:rFonts w:ascii="Arial" w:cs="Arial" w:eastAsia="Arial" w:hAnsi="Arial"/>
          <w:sz w:val="19"/>
          <w:szCs w:val="19"/>
          <w:u w:val="single" w:color="auto"/>
          <w:color w:val="auto"/>
        </w:rPr>
        <w:t>Section 6.5(c)</w:t>
      </w:r>
      <w:r>
        <w:rPr>
          <w:rFonts w:ascii="Arial" w:cs="Arial" w:eastAsia="Arial" w:hAnsi="Arial"/>
          <w:sz w:val="19"/>
          <w:szCs w:val="19"/>
          <w:color w:val="auto"/>
        </w:rPr>
        <w:t xml:space="preserve"> applies, and any forecast, estimates, pro forma information, projections and statements as to anticipated future performance or conditions and other than information of a general economic or industry specific nature or financial information) for purposes of or in connection with this Agreement or any transaction contemplated herein is, as modified or supplemented by other information (taken as a whole) so furnished from time to time, when taken as a whole, do not contain as of the date furnished (or, if such information expressly related to a specific date, as of such specific date) any untrue</w:t>
      </w:r>
    </w:p>
    <w:p>
      <w:pPr>
        <w:sectPr>
          <w:pgSz w:w="11900" w:h="16838" w:orient="portrait"/>
          <w:cols w:equalWidth="0" w:num="1">
            <w:col w:w="11240"/>
          </w:cols>
          <w:pgMar w:left="320" w:top="1419" w:right="339" w:bottom="1440" w:gutter="0" w:footer="0" w:header="0"/>
        </w:sectPr>
      </w:pPr>
    </w:p>
    <w:bookmarkStart w:id="256" w:name="page257"/>
    <w:bookmarkEnd w:id="256"/>
    <w:p>
      <w:pPr>
        <w:jc w:val="both"/>
        <w:ind w:left="4"/>
        <w:spacing w:after="0" w:line="258" w:lineRule="auto"/>
        <w:rPr>
          <w:sz w:val="20"/>
          <w:szCs w:val="20"/>
          <w:color w:val="auto"/>
        </w:rPr>
      </w:pPr>
      <w:r>
        <w:rPr>
          <w:rFonts w:ascii="Arial" w:cs="Arial" w:eastAsia="Arial" w:hAnsi="Arial"/>
          <w:sz w:val="18"/>
          <w:szCs w:val="18"/>
          <w:color w:val="auto"/>
        </w:rPr>
        <w:t xml:space="preserve">statement of material fact or omit to state a material fact necessary in order to make the statements contained herein or therein, in light of the circumstances under which they were made, not materially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this or any such document, certificate or statement was based upon or constitutes a forecast estimate, pro forma information or projection, statement as to anticipated future performance or conditions or general economic, industry specific or financial information, it is understood that such document, certificate or statement is not to be viewed as fact, that actual results during the period or periods covered by such document, certificate or statement may differ from such document, certificate or statement and the differences may be material, and that no assurance can be given that the results set forth in such document, certificate or statement will actually be obtained.</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20"/>
          <w:szCs w:val="20"/>
          <w:u w:val="single" w:color="auto"/>
          <w:color w:val="auto"/>
        </w:rPr>
        <w:t>6.8 Use of Proceeds; Margin Regulations</w:t>
      </w:r>
    </w:p>
    <w:p>
      <w:pPr>
        <w:ind w:left="4"/>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left="-656" w:firstLine="656"/>
        <w:spacing w:after="0" w:line="230" w:lineRule="auto"/>
        <w:tabs>
          <w:tab w:leader="none" w:pos="261" w:val="left"/>
        </w:tabs>
        <w:numPr>
          <w:ilvl w:val="0"/>
          <w:numId w:val="194"/>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Effective Date Proceeds</w:t>
      </w:r>
      <w:r>
        <w:rPr>
          <w:rFonts w:ascii="Arial" w:cs="Arial" w:eastAsia="Arial" w:hAnsi="Arial"/>
          <w:sz w:val="20"/>
          <w:szCs w:val="20"/>
          <w:color w:val="auto"/>
        </w:rPr>
        <w:t>. The proceeds of (x) the Term Loans and Revolving Loans incurred on the Effective Date hereunder shall be used by the Borrowers (i) to refinance all Indebtedness and other obligations under the Existing Credit Agreement, (ii) to pay transaction costs and expenses in connection with this Agreement and the transactions contemplated hereby and (iii) with regard to any remaining amount, for general corporate purposes.</w:t>
      </w:r>
    </w:p>
    <w:p>
      <w:pPr>
        <w:spacing w:after="0" w:line="209" w:lineRule="exact"/>
        <w:rPr>
          <w:rFonts w:ascii="Arial" w:cs="Arial" w:eastAsia="Arial" w:hAnsi="Arial"/>
          <w:sz w:val="20"/>
          <w:szCs w:val="20"/>
          <w:u w:val="single" w:color="auto"/>
          <w:color w:val="auto"/>
        </w:rPr>
      </w:pPr>
    </w:p>
    <w:p>
      <w:pPr>
        <w:jc w:val="both"/>
        <w:ind w:left="-656" w:firstLine="656"/>
        <w:spacing w:after="0" w:line="231" w:lineRule="auto"/>
        <w:tabs>
          <w:tab w:leader="none" w:pos="295" w:val="left"/>
        </w:tabs>
        <w:numPr>
          <w:ilvl w:val="0"/>
          <w:numId w:val="194"/>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Revolving Loan Proceeds</w:t>
      </w:r>
      <w:r>
        <w:rPr>
          <w:rFonts w:ascii="Arial" w:cs="Arial" w:eastAsia="Arial" w:hAnsi="Arial"/>
          <w:sz w:val="20"/>
          <w:szCs w:val="20"/>
          <w:color w:val="auto"/>
        </w:rPr>
        <w:t>. All proceeds of the Revolving Loans incurred hereunder shall be used by Crown Holdings and its Subsidiaries for ongoing working capital needs, acquisitions, share repurchases and other general corporate purposes, including, but not limited to, (x) the refinancing in part or in full of the Loans as defined and as outstanding under this Agreement immediately prior to giving effect to the Incremental Amendment No. 2 and Third Amendment and (y) to pay fees and expenses incurred in connection with the Incremental Amendment No. 2 and Third Amendment and any other transactions contemplated by or otherwise permitted under this Agreement.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9"/>
          <w:szCs w:val="19"/>
          <w:u w:val="single" w:color="auto"/>
          <w:color w:val="auto"/>
        </w:rPr>
        <w:t>(c)Margin Regulations</w:t>
      </w:r>
      <w:r>
        <w:rPr>
          <w:rFonts w:ascii="Arial" w:cs="Arial" w:eastAsia="Arial" w:hAnsi="Arial"/>
          <w:sz w:val="19"/>
          <w:szCs w:val="19"/>
          <w:color w:val="auto"/>
        </w:rPr>
        <w:t>. No proceeds of any Loan will be used in a violation of any provision of Regulation U or X of the Board.</w:t>
      </w:r>
    </w:p>
    <w:p>
      <w:pPr>
        <w:spacing w:after="0" w:line="241" w:lineRule="exact"/>
        <w:rPr>
          <w:sz w:val="20"/>
          <w:szCs w:val="20"/>
          <w:color w:val="auto"/>
        </w:rPr>
      </w:pPr>
    </w:p>
    <w:p>
      <w:pPr>
        <w:ind w:left="4"/>
        <w:spacing w:after="0"/>
        <w:rPr>
          <w:sz w:val="20"/>
          <w:szCs w:val="20"/>
          <w:color w:val="auto"/>
        </w:rPr>
      </w:pPr>
      <w:r>
        <w:rPr>
          <w:rFonts w:ascii="Arial" w:cs="Arial" w:eastAsia="Arial" w:hAnsi="Arial"/>
          <w:sz w:val="20"/>
          <w:szCs w:val="20"/>
          <w:u w:val="single" w:color="auto"/>
          <w:color w:val="auto"/>
        </w:rPr>
        <w:t>(d)[Reserved]</w:t>
      </w:r>
      <w:r>
        <w:rPr>
          <w:rFonts w:ascii="Arial" w:cs="Arial" w:eastAsia="Arial" w:hAnsi="Arial"/>
          <w:sz w:val="20"/>
          <w:szCs w:val="20"/>
          <w:color w:val="auto"/>
        </w:rPr>
        <w:t>.</w:t>
      </w:r>
    </w:p>
    <w:p>
      <w:pPr>
        <w:spacing w:after="0" w:line="229" w:lineRule="exact"/>
        <w:rPr>
          <w:sz w:val="20"/>
          <w:szCs w:val="20"/>
          <w:color w:val="auto"/>
        </w:rPr>
      </w:pPr>
    </w:p>
    <w:p>
      <w:pPr>
        <w:jc w:val="both"/>
        <w:ind w:left="-656" w:firstLine="656"/>
        <w:spacing w:after="0" w:line="237" w:lineRule="auto"/>
        <w:tabs>
          <w:tab w:leader="none" w:pos="293" w:val="left"/>
        </w:tabs>
        <w:numPr>
          <w:ilvl w:val="0"/>
          <w:numId w:val="19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Incremental Amendment No. 2 and Third Amendment Proceeds</w:t>
      </w:r>
      <w:r>
        <w:rPr>
          <w:rFonts w:ascii="Arial" w:cs="Arial" w:eastAsia="Arial" w:hAnsi="Arial"/>
          <w:sz w:val="20"/>
          <w:szCs w:val="20"/>
          <w:color w:val="auto"/>
        </w:rPr>
        <w:t>. The proceeds of the Term A Loans and Term Euro Loans incurred on the Incremental Amendment No. 2 and Third Amendment Effective Date shall be used by the U.S. Borrower and European Borrower as set forth in the Incremental Amendment No. 2 and Third Amendment.</w:t>
      </w:r>
    </w:p>
    <w:p>
      <w:pPr>
        <w:spacing w:after="0" w:line="210"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u w:val="single" w:color="auto"/>
          <w:color w:val="auto"/>
        </w:rPr>
        <w:t>6.9 Taxes</w:t>
      </w:r>
      <w:r>
        <w:rPr>
          <w:rFonts w:ascii="Arial" w:cs="Arial" w:eastAsia="Arial" w:hAnsi="Arial"/>
          <w:sz w:val="18"/>
          <w:szCs w:val="18"/>
          <w:color w:val="auto"/>
        </w:rPr>
        <w:t>. Each of Crown Holdings and its Subsidiaries has timely filed all federal income, foreign country income and other material Tax returns and reports required by law to have been filed by it. Each of Crown Holdings and its Subsidiaries has paid all Taxes payable by it before they have become delinquent other than (i) such Taxes that are being contested in good faith by proper proceedings diligently conducted and for which adequate reserves have been established in conformity with GAAP and (ii) such Taxes that, individually or in the aggregate, would not reasonably be expected to have a Material Adverse Effect.</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20"/>
          <w:szCs w:val="20"/>
          <w:u w:val="single" w:color="auto"/>
          <w:color w:val="auto"/>
        </w:rPr>
        <w:t>6.20 Compliance With ERISA; Foreign Pension Plans</w:t>
      </w:r>
    </w:p>
    <w:p>
      <w:pPr>
        <w:ind w:left="4"/>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left="-656" w:firstLine="656"/>
        <w:spacing w:after="0" w:line="230" w:lineRule="auto"/>
        <w:tabs>
          <w:tab w:leader="none" w:pos="275" w:val="left"/>
        </w:tabs>
        <w:numPr>
          <w:ilvl w:val="0"/>
          <w:numId w:val="196"/>
        </w:numPr>
        <w:rPr>
          <w:rFonts w:ascii="Arial" w:cs="Arial" w:eastAsia="Arial" w:hAnsi="Arial"/>
          <w:sz w:val="20"/>
          <w:szCs w:val="20"/>
          <w:color w:val="auto"/>
        </w:rPr>
      </w:pPr>
      <w:r>
        <w:rPr>
          <w:rFonts w:ascii="Arial" w:cs="Arial" w:eastAsia="Arial" w:hAnsi="Arial"/>
          <w:sz w:val="20"/>
          <w:szCs w:val="20"/>
          <w:color w:val="auto"/>
        </w:rPr>
        <w:t>No Termination Event has occurred or is reasonably expected to occur which would reasonably be expected to have a Material Adverse Effect or give rise to a Lien other than a Permitted Lien. Crown Holdings and its Subsidiaries or any ERISA Affiliates are in compliance in all material respects with the presently applicable provisions of applicable law, including ERISA and the Code, with respect to each Plan. No condition exists or event or transaction has occurred with respect to any Plan</w:t>
      </w:r>
    </w:p>
    <w:p>
      <w:pPr>
        <w:sectPr>
          <w:pgSz w:w="11900" w:h="16838" w:orient="portrait"/>
          <w:cols w:equalWidth="0" w:num="1">
            <w:col w:w="10584"/>
          </w:cols>
          <w:pgMar w:left="976" w:top="1419" w:right="339" w:bottom="1440" w:gutter="0" w:footer="0" w:header="0"/>
        </w:sectPr>
      </w:pPr>
    </w:p>
    <w:bookmarkStart w:id="257" w:name="page258"/>
    <w:bookmarkEnd w:id="257"/>
    <w:p>
      <w:pPr>
        <w:jc w:val="both"/>
        <w:spacing w:after="0" w:line="246" w:lineRule="auto"/>
        <w:rPr>
          <w:sz w:val="20"/>
          <w:szCs w:val="20"/>
          <w:color w:val="auto"/>
        </w:rPr>
      </w:pPr>
      <w:r>
        <w:rPr>
          <w:rFonts w:ascii="Arial" w:cs="Arial" w:eastAsia="Arial" w:hAnsi="Arial"/>
          <w:sz w:val="19"/>
          <w:szCs w:val="19"/>
          <w:color w:val="auto"/>
        </w:rPr>
        <w:t>which reasonably might result in the incurrence by Crown Holdings and its Subsidiaries or any ERISA Affiliates of any liability, fine or penalty which would reasonably be expected to have a Material Adverse Effect. Crown Holdings and its Subsidiaries or any ERISA Affiliates have no contingent liability with respect to post-retirement benefits provided by Crown Holdings and its Subsidiaries or any ERISA Affiliates under a Welfare Plan, other than (i) liability for continuation coverage described in Part 6 of Subtitle B of Title I of ERISA and (ii) liabilities that, individually or in the aggregate, would not reasonably be expected to have a Material Adverse Effect.</w:t>
      </w:r>
    </w:p>
    <w:p>
      <w:pPr>
        <w:spacing w:after="0" w:line="203" w:lineRule="exact"/>
        <w:rPr>
          <w:sz w:val="20"/>
          <w:szCs w:val="20"/>
          <w:color w:val="auto"/>
        </w:rPr>
      </w:pPr>
    </w:p>
    <w:p>
      <w:pPr>
        <w:jc w:val="both"/>
        <w:ind w:firstLine="656"/>
        <w:spacing w:after="0" w:line="256" w:lineRule="auto"/>
        <w:tabs>
          <w:tab w:leader="none" w:pos="95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a Material Adverse Effect, (i) each Foreign Plan has been established, registered, amended, funded, invested and administered in compliance with its terms and with the requirements of any and all applicable laws, statutes, rules, regulations and orders, including all funding and contribution requirements, and has been maintained, where required, in good standing with applicable regulatory authorities, (ii) neither any Credit Party nor any Subsidiary has incurred any obligation in connection with the termination of or withdrawal from any Foreign Plan, (iii) all employer and employee payments, contributions and premiums required to be remitted or paid to or in respect of each Foreign Plan have been paid or remitted in accordance with its terms and all applicable laws and (iv) there is no investigation by a Governmental Authority or claim (other than routine claims for payment of benefits) pending or, to the knowledge of any Credit Party, threatened involving any Foreign Plan or its assets, and no facts exist which could reasonably be expected to give rise to any such investigation or claim (other than routine claims for payment of benefits).</w:t>
      </w:r>
    </w:p>
    <w:p>
      <w:pPr>
        <w:spacing w:after="0" w:line="2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u w:val="single" w:color="auto"/>
          <w:color w:val="auto"/>
        </w:rPr>
        <w:t>(c)Schedule 6.10(c)</w:t>
      </w:r>
      <w:r>
        <w:rPr>
          <w:rFonts w:ascii="Arial" w:cs="Arial" w:eastAsia="Arial" w:hAnsi="Arial"/>
          <w:sz w:val="18"/>
          <w:szCs w:val="18"/>
          <w:color w:val="auto"/>
        </w:rPr>
        <w:t xml:space="preserve"> lists all of the Canadian Defined Benefit Plans as of the Effective Date. As of the Effective Date, the hypothetical wind-up deficiency, going concern deficiency and solvency deficiency of each Canadian Defined Benefit Plan as of the date of the most recently filed actuarial valuation for such plan prior to the Effective Date is set out in </w:t>
      </w:r>
      <w:r>
        <w:rPr>
          <w:rFonts w:ascii="Arial" w:cs="Arial" w:eastAsia="Arial" w:hAnsi="Arial"/>
          <w:sz w:val="18"/>
          <w:szCs w:val="18"/>
          <w:u w:val="single" w:color="auto"/>
          <w:color w:val="auto"/>
        </w:rPr>
        <w:t>Schedule 6.10(c)</w:t>
      </w:r>
      <w:r>
        <w:rPr>
          <w:rFonts w:ascii="Arial" w:cs="Arial" w:eastAsia="Arial" w:hAnsi="Arial"/>
          <w:sz w:val="18"/>
          <w:szCs w:val="18"/>
          <w:color w:val="auto"/>
        </w:rPr>
        <w:t xml:space="preserve"> or has otherwise been disclosed to the Canadian Administrative Agent. As of the Effective Date, the wind-up deficiency related to any prior wind-up or partial wind-up of a Canadian Defined Benefit Plan as of the date of the most recently filed actuarial valuation for such plan prior to the Effective Date is set out in </w:t>
      </w:r>
      <w:r>
        <w:rPr>
          <w:rFonts w:ascii="Arial" w:cs="Arial" w:eastAsia="Arial" w:hAnsi="Arial"/>
          <w:sz w:val="18"/>
          <w:szCs w:val="18"/>
          <w:u w:val="single" w:color="auto"/>
          <w:color w:val="auto"/>
        </w:rPr>
        <w:t>Schedule 6.10(c)</w:t>
      </w:r>
      <w:r>
        <w:rPr>
          <w:rFonts w:ascii="Arial" w:cs="Arial" w:eastAsia="Arial" w:hAnsi="Arial"/>
          <w:sz w:val="18"/>
          <w:szCs w:val="18"/>
          <w:color w:val="auto"/>
        </w:rPr>
        <w:t xml:space="preserve"> or has otherwise been disclosed to the Canadian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disclosure shall not be required where a Canadian Defined Benefit Plan has been wound-up or partially wound-up and all plan assets and benefits owing to affected members, including any surplus, attributable to such wind-up or partial wind-up have been fully distributed or paid out in accordance with all applicable laws. With respect to each Canadian Defined Benefit Plan (i) except as disclosed in </w:t>
      </w:r>
      <w:r>
        <w:rPr>
          <w:rFonts w:ascii="Arial" w:cs="Arial" w:eastAsia="Arial" w:hAnsi="Arial"/>
          <w:sz w:val="18"/>
          <w:szCs w:val="18"/>
          <w:u w:val="single" w:color="auto"/>
          <w:color w:val="auto"/>
        </w:rPr>
        <w:t>Schedule 6.10(c)</w:t>
      </w:r>
      <w:r>
        <w:rPr>
          <w:rFonts w:ascii="Arial" w:cs="Arial" w:eastAsia="Arial" w:hAnsi="Arial"/>
          <w:sz w:val="18"/>
          <w:szCs w:val="18"/>
          <w:color w:val="auto"/>
        </w:rPr>
        <w:t>, no Canadian Pension Termination Event has occurred, (ii) all reports and disclosures relating to the Canadian Defined Benefit Plan required by any applicable laws have been filed or distributed in a timely fashion, except as would not reasonably be expected to have a Material Adverse Effect and (iii) all obligations of any Canadian Credit Party required to be performed in connection with the Canadian Defined Benefit Plans or the funding agreements therefor have been performed in a timely fashion and there are no outstanding disputes concerning the assets held pursuant to any such funding agreement, except as would not reasonably be expected to have a Material Adverse Effect. No Canadian Credit Party contributes to, or has any obligation to contribute to, any Multiple Employer Plan.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6.11 Security Documents</w:t>
      </w:r>
    </w:p>
    <w:p>
      <w:pPr>
        <w:ind w:left="66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firstLine="656"/>
        <w:spacing w:after="0" w:line="228" w:lineRule="auto"/>
        <w:tabs>
          <w:tab w:leader="none" w:pos="943"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The U.S. Pledge Agreement is effective to create in favor of the U.S. Collateral Agent, for its benefit and the benefit of the Secured Creditors named therein, a legal, valid and enforceable (subject to clause (a) in the definition of Legal Reservations) security interest in the Collateral securing the Obligations (as defined in the U.S. Pledge Agreement). In the case of the Pledged Securities to the extent represented by certificated securities (the “</w:t>
      </w:r>
      <w:r>
        <w:rPr>
          <w:rFonts w:ascii="Arial" w:cs="Arial" w:eastAsia="Arial" w:hAnsi="Arial"/>
          <w:sz w:val="20"/>
          <w:szCs w:val="20"/>
          <w:u w:val="single" w:color="auto"/>
          <w:color w:val="auto"/>
        </w:rPr>
        <w:t>Certificated Pledged Stock</w:t>
      </w:r>
      <w:r>
        <w:rPr>
          <w:rFonts w:ascii="Arial" w:cs="Arial" w:eastAsia="Arial" w:hAnsi="Arial"/>
          <w:sz w:val="20"/>
          <w:szCs w:val="20"/>
          <w:color w:val="auto"/>
        </w:rPr>
        <w:t>”) described in the U.S. Pledge Agreement, as a result of certificates representing such Certificated Pledged Stock having been delivered to the Collateral Agent, the security interests created by the U.S. Pledge Agreement in such Certificated</w:t>
      </w:r>
    </w:p>
    <w:p>
      <w:pPr>
        <w:sectPr>
          <w:pgSz w:w="11900" w:h="16838" w:orient="portrait"/>
          <w:cols w:equalWidth="0" w:num="1">
            <w:col w:w="11240"/>
          </w:cols>
          <w:pgMar w:left="320" w:top="1419" w:right="339" w:bottom="1440" w:gutter="0" w:footer="0" w:header="0"/>
        </w:sectPr>
      </w:pPr>
    </w:p>
    <w:bookmarkStart w:id="258" w:name="page259"/>
    <w:bookmarkEnd w:id="258"/>
    <w:p>
      <w:pPr>
        <w:jc w:val="both"/>
        <w:spacing w:after="0" w:line="246" w:lineRule="auto"/>
        <w:rPr>
          <w:sz w:val="20"/>
          <w:szCs w:val="20"/>
          <w:color w:val="auto"/>
        </w:rPr>
      </w:pPr>
      <w:r>
        <w:rPr>
          <w:rFonts w:ascii="Arial" w:cs="Arial" w:eastAsia="Arial" w:hAnsi="Arial"/>
          <w:sz w:val="20"/>
          <w:szCs w:val="20"/>
          <w:color w:val="auto"/>
        </w:rPr>
        <w:t>Pledged Stock constitute a fully perfected Lien (to the extent such Lien can be perfected by possession) having the priority set forth therein (subject to Permitted Liens).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 [Reserved].</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(c)The U.S. Security Agreement is effective to create in favor of the U.S. Collateral Agent, for its benefit and the benefit of the Secured Creditors named therein, a legal, valid and enforceable (subject to clause (a) in the definition of Legal Reservations) security interest in the Collateral securing the Obligations (as defined in the U.S. Security Agreement). As a result of financing statements in appropriate form having been filed with the appropriate offices, the security interest in the Collateral (including registered trademarks and registered patents, but excluding registered copyrights) described in the U.S. Security Agreement constitutes a fully perfected Lien (to the extent such Lien can be perfected by filing, recording or registering under the UCC) on, and security interest in, all right, title and interest of the grantors thereunder in such Collateral (including registered trademarks and registered patents, but excluding registered copyrights), in each case having the priority set forth therein (except Permitted Liens).</w:t>
      </w:r>
    </w:p>
    <w:p>
      <w:pPr>
        <w:spacing w:after="0" w:line="209" w:lineRule="exact"/>
        <w:rPr>
          <w:sz w:val="20"/>
          <w:szCs w:val="20"/>
          <w:color w:val="auto"/>
        </w:rPr>
      </w:pPr>
    </w:p>
    <w:p>
      <w:pPr>
        <w:jc w:val="both"/>
        <w:ind w:firstLine="656"/>
        <w:spacing w:after="0" w:line="260" w:lineRule="auto"/>
        <w:tabs>
          <w:tab w:leader="none" w:pos="93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As a result of security agreements, financing statements and/or analogous documents in appropriate form having been filed with the appropriate offices, including the United States Copyright Office, the security interest in the Collateral described in the U.S. Security Agreement that are registered copyrights constitutes a fully perfected Lien (to the extent such Lien can be perfected by filing, recording or registering in such appropriate offices, including the United States Copyright Office), in each case having the priority set forth therein (except Permitted Liens) (it being understood that subsequent recordings in the United States Copyright Office may be necessary to perfect a Lien on registered copyrights acquired by the Credit Parties after the Incremental Amendment No. 2 and Third Amendment Effective Date).</w:t>
      </w:r>
    </w:p>
    <w:p>
      <w:pPr>
        <w:spacing w:after="0" w:line="193" w:lineRule="exact"/>
        <w:rPr>
          <w:rFonts w:ascii="Arial" w:cs="Arial" w:eastAsia="Arial" w:hAnsi="Arial"/>
          <w:sz w:val="18"/>
          <w:szCs w:val="18"/>
          <w:color w:val="auto"/>
        </w:rPr>
      </w:pPr>
    </w:p>
    <w:p>
      <w:pPr>
        <w:jc w:val="both"/>
        <w:ind w:firstLine="656"/>
        <w:spacing w:after="0" w:line="241" w:lineRule="auto"/>
        <w:tabs>
          <w:tab w:leader="none" w:pos="924"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security agreements entered into by the Canadian Credit Parties are effective (subject to the Legal Reservations) to create in favor of the Canadian Administrative Agent, for its benefit and the benefit of the Secured Creditors named in the applicable security agreement, a legal, valid and enforceable security interest in the Collateral securing the Obligations (as defined in the each applicable security agreement) having the priority set forth therein and, upon the taking of possession or control by the Canadian Administrative Agent of any such Collateral in which a security interest may be perfected only by possession or control (which possession or control shall be given to the Canadian Administrative Agent to the extent possession or control by the Canadian Administrative Agent is required by any Security Document), the Canadian Administrative Agent, constitutes a fully perfected Lien on, and security interest in, all right, title and interest of the grantors thereunder in such Collateral, to the extent such Lien and security interest can be perfected by the filing of a financing statement pursuant to the UCC or by possession or control by the Canadian Administrative Agent, in each case prior and superior in right to any other Person, other than with respect to Permitted Liens.</w:t>
      </w:r>
    </w:p>
    <w:p>
      <w:pPr>
        <w:spacing w:after="0" w:line="209" w:lineRule="exact"/>
        <w:rPr>
          <w:rFonts w:ascii="Arial" w:cs="Arial" w:eastAsia="Arial" w:hAnsi="Arial"/>
          <w:sz w:val="19"/>
          <w:szCs w:val="19"/>
          <w:color w:val="auto"/>
        </w:rPr>
      </w:pPr>
    </w:p>
    <w:p>
      <w:pPr>
        <w:jc w:val="both"/>
        <w:ind w:firstLine="656"/>
        <w:spacing w:after="0" w:line="241" w:lineRule="auto"/>
        <w:tabs>
          <w:tab w:leader="none" w:pos="896"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Subject to the filings, amendments, undertakings and other actions set forth in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of the Incremental Amendment No. 2 and Third Amendment, each Euro Security Document is effective (subject to the Legal Reservations) to create in favor of the Euro Collateral Agent, for the benefit of the Secured Creditors named therein, a legal, valid and enforceable security interest in the assets purported to be encumbered thereby having the priority set forth therein and, when (x) all appropriate filings, notices or recordings are made in the appropriate offices, corporate records or with the appropriate Persons as may be required under applicable laws and/or any Euro Security Document, (y) upon the taking of possession or control by the Euro Collateral Agent of any such Collateral in which a security interest may be perfected only by possession or control (which possession or control shall be given to the Euro Collateral Agent to the extent possession or control by the Euro Collateral Agent is required by any Euro Security Document) and (z) any further action required under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are taken, each Euro Security</w:t>
      </w:r>
    </w:p>
    <w:p>
      <w:pPr>
        <w:sectPr>
          <w:pgSz w:w="11900" w:h="16838" w:orient="portrait"/>
          <w:cols w:equalWidth="0" w:num="1">
            <w:col w:w="11240"/>
          </w:cols>
          <w:pgMar w:left="320" w:top="1419" w:right="339" w:bottom="1440" w:gutter="0" w:footer="0" w:header="0"/>
        </w:sectPr>
      </w:pPr>
    </w:p>
    <w:bookmarkStart w:id="259" w:name="page260"/>
    <w:bookmarkEnd w:id="259"/>
    <w:p>
      <w:pPr>
        <w:jc w:val="both"/>
        <w:ind w:right="20"/>
        <w:spacing w:after="0" w:line="272" w:lineRule="auto"/>
        <w:rPr>
          <w:sz w:val="20"/>
          <w:szCs w:val="20"/>
          <w:color w:val="auto"/>
        </w:rPr>
      </w:pPr>
      <w:r>
        <w:rPr>
          <w:rFonts w:ascii="Arial" w:cs="Arial" w:eastAsia="Arial" w:hAnsi="Arial"/>
          <w:sz w:val="19"/>
          <w:szCs w:val="19"/>
          <w:color w:val="auto"/>
        </w:rPr>
        <w:t>Document shall constitute a fully perfected Lien on, and security interest in, all right, title and interest of the grantors thereunder in such Collateral, in each case prior and superior in right to any other Person, other than with respect to Permitted Liens.</w:t>
      </w:r>
    </w:p>
    <w:p>
      <w:pPr>
        <w:spacing w:after="0" w:line="180"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u w:val="single" w:color="auto"/>
          <w:color w:val="auto"/>
        </w:rPr>
        <w:t>6.12 Ownership of Property</w:t>
      </w:r>
      <w:r>
        <w:rPr>
          <w:rFonts w:ascii="Arial" w:cs="Arial" w:eastAsia="Arial" w:hAnsi="Arial"/>
          <w:sz w:val="20"/>
          <w:szCs w:val="20"/>
          <w:color w:val="auto"/>
        </w:rPr>
        <w:t>. Crown Holdings and each of its Material Subsidiaries has good and marketable title to, a subsisting leasehold interest in, or right to use, all items of material real and tangible personal property used in its operations, free and clear of all Liens (except as to leasehold interests), except Permitted Liens and except as would not reasonably be expected to have a Material Adverse Effect. Substantially all items of real property owned by, leased to or used by Crown Holdings and each of its Material Subsidiaries are free and clear of any known defects in title except such defects as do not substantially interfere with the continued use thereof in the conduct of normal operations, and except Permitted Real Property Encumbrances except as would reasonably be expected to have a Material Adverse Effect.</w:t>
      </w:r>
    </w:p>
    <w:p>
      <w:pPr>
        <w:spacing w:after="0" w:line="212" w:lineRule="exact"/>
        <w:rPr>
          <w:sz w:val="20"/>
          <w:szCs w:val="20"/>
          <w:color w:val="auto"/>
        </w:rPr>
      </w:pPr>
    </w:p>
    <w:p>
      <w:pPr>
        <w:jc w:val="both"/>
        <w:ind w:left="660"/>
        <w:spacing w:after="0"/>
        <w:rPr>
          <w:sz w:val="20"/>
          <w:szCs w:val="20"/>
          <w:color w:val="auto"/>
        </w:rPr>
      </w:pPr>
      <w:r>
        <w:rPr>
          <w:rFonts w:ascii="Arial" w:cs="Arial" w:eastAsia="Arial" w:hAnsi="Arial"/>
          <w:sz w:val="19"/>
          <w:szCs w:val="19"/>
          <w:u w:val="single" w:color="auto"/>
          <w:color w:val="auto"/>
        </w:rPr>
        <w:t>6.13 Capitalization of Credit Parties</w:t>
      </w:r>
      <w:r>
        <w:rPr>
          <w:rFonts w:ascii="Arial" w:cs="Arial" w:eastAsia="Arial" w:hAnsi="Arial"/>
          <w:sz w:val="19"/>
          <w:szCs w:val="19"/>
          <w:color w:val="auto"/>
        </w:rPr>
        <w:t>. As of the Effective Date, all outstanding shares of Capital Stock of each Credit Party’s Subsidiaries have been duly authorized and validly issued and are fully paid and non-assessable (to the extent applicable) and are owned, directly or indirectly by a Credit Party, free and clear of all Liens other than those created by the Security Documents and Permitted Liens. As of the Effective Date, except as otherwise permitted by this Agreement, no authorized but unissued or treasury shares of Capital Stock of each Credit Party’s Subsidiaries are subject to any option, warrant, right to call or commitment of any kind or character. As of the Effective Date, except as otherwise permitted by the Agreement, none of any Credit Party’s Subsidiaries has any outstanding stock or securities convertible into or exchangeable for any shares of its Capital Stock, or any rights issued to any Person (either preemptive or other) to subscribe for or to purchase, or any options for the purchase of, or any agreements providing for the issuance (contingent or otherwise) of, or any calls, commitments or claims of any character relating to any of its Capital Stock or any stock or securities convertible into or exchangeable for any of its Capital Stock (other than as disclosed to the Lenders prior to the Effective Date).</w:t>
      </w:r>
    </w:p>
    <w:p>
      <w:pPr>
        <w:spacing w:after="0" w:line="216"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u w:val="single" w:color="auto"/>
          <w:color w:val="auto"/>
        </w:rPr>
        <w:t>6.14 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6.14</w:t>
      </w:r>
      <w:r>
        <w:rPr>
          <w:rFonts w:ascii="Arial" w:cs="Arial" w:eastAsia="Arial" w:hAnsi="Arial"/>
          <w:sz w:val="18"/>
          <w:szCs w:val="18"/>
          <w:color w:val="auto"/>
        </w:rPr>
        <w:t xml:space="preserve"> hereto sets forth a true, complete and correct list as of the Effective Date of all Subsidiaries of any Credit Party after giving effect to the Transactions and indicates for each such Subsidiary (i) its jurisdiction of organization and federal employer identification number (where applicable) or equivalent organizational number in its jurisdiction of organization and exact legal name as it appears on the certificate of incorporation or other state, provincial, territorial or applicable Governmental Authority issued Organic Document, (ii) its ownership (by holder and percentage interest), (iii) whether such Subsidiary is a U.S. Subsidiary or a Non-U.S. Subsidiary and (iv) whether such Subsidiary is a Material Subsidiary.</w:t>
      </w:r>
    </w:p>
    <w:p>
      <w:pPr>
        <w:spacing w:after="0" w:line="194" w:lineRule="exact"/>
        <w:rPr>
          <w:sz w:val="20"/>
          <w:szCs w:val="20"/>
          <w:color w:val="auto"/>
        </w:rPr>
      </w:pPr>
    </w:p>
    <w:p>
      <w:pPr>
        <w:jc w:val="both"/>
        <w:ind w:left="660"/>
        <w:spacing w:after="0" w:line="231" w:lineRule="auto"/>
        <w:rPr>
          <w:sz w:val="20"/>
          <w:szCs w:val="20"/>
          <w:color w:val="auto"/>
        </w:rPr>
      </w:pPr>
      <w:r>
        <w:rPr>
          <w:rFonts w:ascii="Arial" w:cs="Arial" w:eastAsia="Arial" w:hAnsi="Arial"/>
          <w:sz w:val="20"/>
          <w:szCs w:val="20"/>
          <w:u w:val="single" w:color="auto"/>
          <w:color w:val="auto"/>
        </w:rPr>
        <w:t>6.15 Compliance With Laws, Etc</w:t>
      </w:r>
      <w:r>
        <w:rPr>
          <w:rFonts w:ascii="Arial" w:cs="Arial" w:eastAsia="Arial" w:hAnsi="Arial"/>
          <w:sz w:val="20"/>
          <w:szCs w:val="20"/>
          <w:color w:val="auto"/>
        </w:rPr>
        <w:t xml:space="preserve">. Neither Crown Holdings nor any of its Material Subsidiaries is in default under or in violation of any Requirement of Law (other than Taxes, ERISA and Foreign Plans or Environmental Laws, which are covered exclusively by </w:t>
      </w:r>
      <w:r>
        <w:rPr>
          <w:rFonts w:ascii="Arial" w:cs="Arial" w:eastAsia="Arial" w:hAnsi="Arial"/>
          <w:sz w:val="20"/>
          <w:szCs w:val="20"/>
          <w:u w:val="single" w:color="auto"/>
          <w:color w:val="auto"/>
        </w:rPr>
        <w:t>Sections 6.9</w:t>
      </w:r>
      <w:r>
        <w:rPr>
          <w:rFonts w:ascii="Arial" w:cs="Arial" w:eastAsia="Arial" w:hAnsi="Arial"/>
          <w:sz w:val="20"/>
          <w:szCs w:val="20"/>
          <w:color w:val="auto"/>
        </w:rPr>
        <w:t xml:space="preserve">, </w:t>
      </w:r>
      <w:r>
        <w:rPr>
          <w:rFonts w:ascii="Arial" w:cs="Arial" w:eastAsia="Arial" w:hAnsi="Arial"/>
          <w:sz w:val="20"/>
          <w:szCs w:val="20"/>
          <w:u w:val="single" w:color="auto"/>
          <w:color w:val="auto"/>
        </w:rPr>
        <w:t>6.10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6.18</w:t>
      </w:r>
      <w:r>
        <w:rPr>
          <w:rFonts w:ascii="Arial" w:cs="Arial" w:eastAsia="Arial" w:hAnsi="Arial"/>
          <w:sz w:val="20"/>
          <w:szCs w:val="20"/>
          <w:color w:val="auto"/>
        </w:rPr>
        <w:t>, respectively) applicable to any of them or Contractual Obligation applicable to any of them (other than Contractual Obligations related to Indebtedness (other than Material Indebtedness)), as the case may be, in each case the consequences of which default or violation, individually or in the aggregate with all such other deficits and violations, would reasonably be expected to have a Material Adverse Effect.</w:t>
      </w:r>
    </w:p>
    <w:p>
      <w:pPr>
        <w:spacing w:after="0" w:line="211" w:lineRule="exact"/>
        <w:rPr>
          <w:sz w:val="20"/>
          <w:szCs w:val="20"/>
          <w:color w:val="auto"/>
        </w:rPr>
      </w:pPr>
    </w:p>
    <w:p>
      <w:pPr>
        <w:jc w:val="both"/>
        <w:ind w:left="660" w:right="20"/>
        <w:spacing w:after="0" w:line="300" w:lineRule="auto"/>
        <w:rPr>
          <w:sz w:val="20"/>
          <w:szCs w:val="20"/>
          <w:color w:val="auto"/>
        </w:rPr>
      </w:pPr>
      <w:r>
        <w:rPr>
          <w:rFonts w:ascii="Arial" w:cs="Arial" w:eastAsia="Arial" w:hAnsi="Arial"/>
          <w:sz w:val="18"/>
          <w:szCs w:val="18"/>
          <w:u w:val="single" w:color="auto"/>
          <w:color w:val="auto"/>
        </w:rPr>
        <w:t>6.16 Investment Company Act</w:t>
      </w:r>
      <w:r>
        <w:rPr>
          <w:rFonts w:ascii="Arial" w:cs="Arial" w:eastAsia="Arial" w:hAnsi="Arial"/>
          <w:sz w:val="18"/>
          <w:szCs w:val="18"/>
          <w:color w:val="auto"/>
        </w:rPr>
        <w:t>. None of the Borrowers nor any of their respective Subsidiaries is an “investment company” or a company “controlled” by an “investment company,” within the meaning of the Investment Company Act of 1940, as amended.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6.7 [Reserved]</w:t>
      </w:r>
    </w:p>
    <w:p>
      <w:pPr>
        <w:sectPr>
          <w:pgSz w:w="11900" w:h="16838" w:orient="portrait"/>
          <w:cols w:equalWidth="0" w:num="1">
            <w:col w:w="11240"/>
          </w:cols>
          <w:pgMar w:left="320" w:top="1419" w:right="339" w:bottom="1440" w:gutter="0" w:footer="0" w:header="0"/>
        </w:sectPr>
      </w:pPr>
    </w:p>
    <w:bookmarkStart w:id="260" w:name="page261"/>
    <w:bookmarkEnd w:id="260"/>
    <w:p>
      <w:pPr>
        <w:ind w:left="66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6.18 Environmental Matters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Except for any matters that, individually or in the aggregate, would not reasonably be expected to have a Material Adverse Effect:</w:t>
      </w:r>
    </w:p>
    <w:p>
      <w:pPr>
        <w:spacing w:after="0" w:line="25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All facilities and property owned, leased or operated by Crown Holdings or any of its Subsidiaries, and all operations conducted thereon, are in compliance with all Environmental Laws.</w:t>
      </w:r>
    </w:p>
    <w:p>
      <w:pPr>
        <w:spacing w:after="0" w:line="20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There are no pending or threatened written claims, complaints, notices or inquiries received by Crown Holdings or any of its Subsidiaries regarding any Environmental Liability.</w:t>
      </w:r>
    </w:p>
    <w:p>
      <w:pPr>
        <w:spacing w:after="0" w:line="20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There have been no Releases of Hazardous Materials at, on, under or from any property now or, to any Credit Party’s knowledge, previously owned or leased or operated by Crown Holdings or any of its Subsidiaries.</w:t>
      </w:r>
    </w:p>
    <w:p>
      <w:pPr>
        <w:spacing w:after="0" w:line="204" w:lineRule="exact"/>
        <w:rPr>
          <w:sz w:val="20"/>
          <w:szCs w:val="20"/>
          <w:color w:val="auto"/>
        </w:rPr>
      </w:pPr>
    </w:p>
    <w:p>
      <w:pPr>
        <w:jc w:val="both"/>
        <w:ind w:right="20" w:firstLine="1296"/>
        <w:spacing w:after="0" w:line="246" w:lineRule="auto"/>
        <w:rPr>
          <w:sz w:val="20"/>
          <w:szCs w:val="20"/>
          <w:color w:val="auto"/>
        </w:rPr>
      </w:pPr>
      <w:r>
        <w:rPr>
          <w:rFonts w:ascii="Arial" w:cs="Arial" w:eastAsia="Arial" w:hAnsi="Arial"/>
          <w:sz w:val="20"/>
          <w:szCs w:val="20"/>
          <w:color w:val="auto"/>
        </w:rPr>
        <w:t>Crown Holdings and its Subsidiaries have been issued and are in compliance with all Environmental Permits necessary for their operations, facilities and businesses and each is in full force and effect.</w:t>
      </w:r>
    </w:p>
    <w:p>
      <w:pPr>
        <w:spacing w:after="0" w:line="204"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No property now or, to any Credit Party’s knowledge, previously owned, leased or operated by Crown Holdings or any of its Subsidiaries is listed or proposed (with respect to owned property only) for listing on the SEMs or on any similar state, provincial or territorial list of sites requiring investigation or clean-up, or on the National Priorities List pursuant to CERCLA.</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[Reserved].</w:t>
      </w:r>
    </w:p>
    <w:p>
      <w:pPr>
        <w:spacing w:after="0" w:line="229"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8"/>
          <w:szCs w:val="18"/>
          <w:color w:val="auto"/>
        </w:rPr>
        <w:t>Neither Crown Holdings nor any Subsidiary has transported or arranged for the transportation of any Hazardous Material to any location which is listed or proposed for listing on the National Priorities List pursuant to CERCLA, on the SEMs or on any similar state, provincial or territorial list or which is the subject of federal, state, provincial, territorial or local enforcement actions or other investigations which would reasonably be expected to lead to any Environmental Liability against Crown Holdings or such Subsidiary.</w:t>
      </w:r>
    </w:p>
    <w:p>
      <w:pPr>
        <w:spacing w:after="0" w:line="186"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To the knowledge of any Credit Party, there are no past or present actions, activities, conditions or occurrences that would reasonably be expected to prevent Crown Holdings or any of its Subsidiaries from complying with, or to result in the liability of Crown Holdings or any of its Subsidiaries under, any Environmental Law.</w:t>
      </w:r>
    </w:p>
    <w:p>
      <w:pPr>
        <w:spacing w:after="0" w:line="21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No Environmental Liens have been recorded pursuant to any Environmental Law with respect to any property or other assets owned or leased by Crown Holdings or any of its Subsidiaries that impair the current use or marketability thereof.</w:t>
      </w:r>
    </w:p>
    <w:p>
      <w:pPr>
        <w:spacing w:after="0" w:line="204"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Neither Crown Holdings nor any of its Subsidiaries is currently conducting any Remedial Action pursuant to any Environmental Law, nor has Crown Holdings or any of its Subsidiaries assumed by contract, agreement or operation of law any obligation under Environmental Law which is unresolved.</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[Reserved].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6.19 [Reserved]</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261" w:name="page262"/>
    <w:bookmarkEnd w:id="261"/>
    <w:p>
      <w:pPr>
        <w:spacing w:after="0" w:line="200" w:lineRule="exact"/>
        <w:rPr>
          <w:sz w:val="20"/>
          <w:szCs w:val="20"/>
          <w:color w:val="auto"/>
        </w:rPr>
      </w:pPr>
    </w:p>
    <w:p>
      <w:pPr>
        <w:spacing w:after="0" w:line="265" w:lineRule="exact"/>
        <w:rPr>
          <w:sz w:val="20"/>
          <w:szCs w:val="20"/>
          <w:color w:val="auto"/>
        </w:rPr>
      </w:pPr>
    </w:p>
    <w:p>
      <w:pPr>
        <w:jc w:val="both"/>
        <w:ind w:left="660"/>
        <w:spacing w:after="0" w:line="231" w:lineRule="auto"/>
        <w:rPr>
          <w:sz w:val="20"/>
          <w:szCs w:val="20"/>
          <w:color w:val="auto"/>
        </w:rPr>
      </w:pPr>
      <w:r>
        <w:rPr>
          <w:rFonts w:ascii="Arial" w:cs="Arial" w:eastAsia="Arial" w:hAnsi="Arial"/>
          <w:sz w:val="20"/>
          <w:szCs w:val="20"/>
          <w:u w:val="single" w:color="auto"/>
          <w:color w:val="auto"/>
        </w:rPr>
        <w:t>6.20 Intellectual Property, Licenses, Franchises and Formulas</w:t>
      </w:r>
      <w:r>
        <w:rPr>
          <w:rFonts w:ascii="Arial" w:cs="Arial" w:eastAsia="Arial" w:hAnsi="Arial"/>
          <w:sz w:val="20"/>
          <w:szCs w:val="20"/>
          <w:color w:val="auto"/>
        </w:rPr>
        <w:t>. Each of Crown Holdings and its Material Subsidiaries owns or possesses, is licensed or otherwise has the right to use, or could obtain ownership or possession of, on terms not materially adverse to it, all patents, trademarks, service marks, trade names, copyrights, licenses and rights with respect thereto (collectively, “</w:t>
      </w:r>
      <w:r>
        <w:rPr>
          <w:rFonts w:ascii="Arial" w:cs="Arial" w:eastAsia="Arial" w:hAnsi="Arial"/>
          <w:sz w:val="20"/>
          <w:szCs w:val="20"/>
          <w:u w:val="single" w:color="auto"/>
          <w:color w:val="auto"/>
        </w:rPr>
        <w:t>Intellectual</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Property</w:t>
      </w:r>
      <w:r>
        <w:rPr>
          <w:rFonts w:ascii="Arial" w:cs="Arial" w:eastAsia="Arial" w:hAnsi="Arial"/>
          <w:sz w:val="20"/>
          <w:szCs w:val="20"/>
          <w:color w:val="auto"/>
        </w:rPr>
        <w:t>”) necessary for the present conduct of its business, without any known conflict with the rights of others, except where such conflicts, individually or in the aggregate with all such other conflicts, would not reasonably be expected to have a Material Adverse Effect.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6.21 Anti-Terrorism Laws</w:t>
      </w:r>
    </w:p>
    <w:p>
      <w:pPr>
        <w:ind w:left="66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left="1300"/>
        <w:spacing w:after="0" w:line="250" w:lineRule="auto"/>
        <w:rPr>
          <w:sz w:val="20"/>
          <w:szCs w:val="20"/>
          <w:color w:val="auto"/>
        </w:rPr>
      </w:pPr>
      <w:r>
        <w:rPr>
          <w:rFonts w:ascii="Arial" w:cs="Arial" w:eastAsia="Arial" w:hAnsi="Arial"/>
          <w:sz w:val="18"/>
          <w:szCs w:val="18"/>
          <w:color w:val="auto"/>
        </w:rPr>
        <w:t>(a)None of the Credit Parties or any of their Subsidiaries or Unrestricted Entities, officers or directors, or to the knowledge of any of the Credit Parties, any of their employees, agents or Affiliates, are in violation of any Anti-Corruption Laws or any laws relating to terrorism or money laundering (“</w:t>
      </w:r>
      <w:r>
        <w:rPr>
          <w:rFonts w:ascii="Arial" w:cs="Arial" w:eastAsia="Arial" w:hAnsi="Arial"/>
          <w:sz w:val="18"/>
          <w:szCs w:val="18"/>
          <w:u w:val="single" w:color="auto"/>
          <w:color w:val="auto"/>
        </w:rPr>
        <w:t>Anti-Terrorism Laws</w:t>
      </w:r>
      <w:r>
        <w:rPr>
          <w:rFonts w:ascii="Arial" w:cs="Arial" w:eastAsia="Arial" w:hAnsi="Arial"/>
          <w:sz w:val="18"/>
          <w:szCs w:val="18"/>
          <w:color w:val="auto"/>
        </w:rPr>
        <w:t>”), including the economic or financial sanctions or trade embargoes imposed, administered or enforced from time to time by (i) the United States Treasury Department’s Office of Foreign Asset Control (“</w:t>
      </w:r>
      <w:r>
        <w:rPr>
          <w:rFonts w:ascii="Arial" w:cs="Arial" w:eastAsia="Arial" w:hAnsi="Arial"/>
          <w:sz w:val="18"/>
          <w:szCs w:val="18"/>
          <w:u w:val="single" w:color="auto"/>
          <w:color w:val="auto"/>
        </w:rPr>
        <w:t>OFAC</w:t>
      </w:r>
      <w:r>
        <w:rPr>
          <w:rFonts w:ascii="Arial" w:cs="Arial" w:eastAsia="Arial" w:hAnsi="Arial"/>
          <w:sz w:val="18"/>
          <w:szCs w:val="18"/>
          <w:color w:val="auto"/>
        </w:rPr>
        <w:t>”), the State Department and the Commerce Department (including Executive Order No. 13224 on Terrorist Financing, effective September 24, 2001 (the “</w:t>
      </w:r>
      <w:r>
        <w:rPr>
          <w:rFonts w:ascii="Arial" w:cs="Arial" w:eastAsia="Arial" w:hAnsi="Arial"/>
          <w:sz w:val="18"/>
          <w:szCs w:val="18"/>
          <w:u w:val="single" w:color="auto"/>
          <w:color w:val="auto"/>
        </w:rPr>
        <w:t>Executive Order</w:t>
      </w:r>
      <w:r>
        <w:rPr>
          <w:rFonts w:ascii="Arial" w:cs="Arial" w:eastAsia="Arial" w:hAnsi="Arial"/>
          <w:sz w:val="18"/>
          <w:szCs w:val="18"/>
          <w:color w:val="auto"/>
        </w:rPr>
        <w:t>”)), and the Uniting and Strengthening America by Providing Appropriate Tools Required to Intercept and Obstruct Terrorism Act of 2001, Public Law 107-56 and</w:t>
      </w:r>
    </w:p>
    <w:p>
      <w:pPr>
        <w:spacing w:after="0" w:line="3" w:lineRule="exact"/>
        <w:rPr>
          <w:sz w:val="20"/>
          <w:szCs w:val="20"/>
          <w:color w:val="auto"/>
        </w:rPr>
      </w:pPr>
    </w:p>
    <w:p>
      <w:pPr>
        <w:jc w:val="both"/>
        <w:ind w:left="1300" w:firstLine="4"/>
        <w:spacing w:after="0" w:line="229" w:lineRule="auto"/>
        <w:tabs>
          <w:tab w:leader="none" w:pos="1657" w:val="left"/>
        </w:tabs>
        <w:numPr>
          <w:ilvl w:val="0"/>
          <w:numId w:val="200"/>
        </w:numPr>
        <w:rPr>
          <w:rFonts w:ascii="Arial" w:cs="Arial" w:eastAsia="Arial" w:hAnsi="Arial"/>
          <w:sz w:val="20"/>
          <w:szCs w:val="20"/>
          <w:color w:val="auto"/>
        </w:rPr>
      </w:pPr>
      <w:r>
        <w:rPr>
          <w:rFonts w:ascii="Arial" w:cs="Arial" w:eastAsia="Arial" w:hAnsi="Arial"/>
          <w:sz w:val="20"/>
          <w:szCs w:val="20"/>
          <w:color w:val="auto"/>
        </w:rPr>
        <w:t>the United Nations Security Council, the European Union or Her Majesty’s Treasury of the United Kingdom (collectively, the “</w:t>
      </w:r>
      <w:r>
        <w:rPr>
          <w:rFonts w:ascii="Arial" w:cs="Arial" w:eastAsia="Arial" w:hAnsi="Arial"/>
          <w:sz w:val="20"/>
          <w:szCs w:val="20"/>
          <w:u w:val="single" w:color="auto"/>
          <w:color w:val="auto"/>
        </w:rPr>
        <w:t>Sanctions</w:t>
      </w:r>
      <w:r>
        <w:rPr>
          <w:rFonts w:ascii="Arial" w:cs="Arial" w:eastAsia="Arial" w:hAnsi="Arial"/>
          <w:sz w:val="20"/>
          <w:szCs w:val="20"/>
          <w:color w:val="auto"/>
        </w:rPr>
        <w:t>”). No part of the proceeds of the Loans or Letters of Credit will be used, directly or indirectly by any Borrower for the purpose of funding, financing or facilitating any activities, business or transaction of or with any Sanctioned Person, or in any Sanctioned Country, or in any manner that would result in the violation of any Anti-Corruption Laws or Sanctions applicable to any party hereto.</w:t>
      </w:r>
    </w:p>
    <w:p>
      <w:pPr>
        <w:spacing w:after="0" w:line="210" w:lineRule="exact"/>
        <w:rPr>
          <w:sz w:val="20"/>
          <w:szCs w:val="20"/>
          <w:color w:val="auto"/>
        </w:rPr>
      </w:pPr>
    </w:p>
    <w:p>
      <w:pPr>
        <w:ind w:left="660" w:firstLine="644"/>
        <w:spacing w:after="0" w:line="300" w:lineRule="auto"/>
        <w:tabs>
          <w:tab w:leader="none" w:pos="159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 Credit Party or any of their Subsidiaries or Unrestricted Entities or any of their officers or directors, to the knowledge of any of the Credit Parties, any of their employees, Affiliates or their respective brokers or other agents, is any of the following:</w:t>
      </w:r>
    </w:p>
    <w:p>
      <w:pPr>
        <w:spacing w:after="0" w:line="158"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auto"/>
        </w:rPr>
        <w:t>a Person or entity that is listed in the annex to, or is otherwise subject to the prohibitions contained in, the Executive Order or the OFAC regulations;</w:t>
      </w:r>
    </w:p>
    <w:p>
      <w:pPr>
        <w:spacing w:after="0" w:line="204"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auto"/>
        </w:rPr>
        <w:t>a Person or entity owned or controlled by, or acting for or on behalf of, any Person or entity that is listed in the annex to, or is otherwise subject to the prohibitions contained in, the Executive Order or the OFAC regulations;</w:t>
      </w:r>
    </w:p>
    <w:p>
      <w:pPr>
        <w:spacing w:after="0" w:line="204"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auto"/>
        </w:rPr>
        <w:t>a Person or entity with which any Lender is prohibited from dealing or otherwise engaging in any transaction by any Anti-Terrorism Law or Sanctions;</w:t>
      </w:r>
    </w:p>
    <w:p>
      <w:pPr>
        <w:spacing w:after="0" w:line="204" w:lineRule="exact"/>
        <w:rPr>
          <w:sz w:val="20"/>
          <w:szCs w:val="20"/>
          <w:color w:val="auto"/>
        </w:rPr>
      </w:pPr>
    </w:p>
    <w:p>
      <w:pPr>
        <w:ind w:right="20" w:firstLine="1296"/>
        <w:spacing w:after="0" w:line="246" w:lineRule="auto"/>
        <w:rPr>
          <w:sz w:val="20"/>
          <w:szCs w:val="20"/>
          <w:color w:val="auto"/>
        </w:rPr>
      </w:pPr>
      <w:r>
        <w:rPr>
          <w:rFonts w:ascii="Arial" w:cs="Arial" w:eastAsia="Arial" w:hAnsi="Arial"/>
          <w:sz w:val="20"/>
          <w:szCs w:val="20"/>
          <w:color w:val="auto"/>
        </w:rPr>
        <w:t>a Person or entity that commits, threatens or conspires to commit or supports “terrorism” as defined in the Executive Order or the OFAC regulations;</w:t>
      </w:r>
    </w:p>
    <w:p>
      <w:pPr>
        <w:spacing w:after="0" w:line="204" w:lineRule="exact"/>
        <w:rPr>
          <w:sz w:val="20"/>
          <w:szCs w:val="20"/>
          <w:color w:val="auto"/>
        </w:rPr>
      </w:pPr>
    </w:p>
    <w:p>
      <w:pPr>
        <w:ind w:firstLine="1296"/>
        <w:spacing w:after="0" w:line="272" w:lineRule="auto"/>
        <w:rPr>
          <w:sz w:val="20"/>
          <w:szCs w:val="20"/>
          <w:color w:val="auto"/>
        </w:rPr>
      </w:pPr>
      <w:r>
        <w:rPr>
          <w:rFonts w:ascii="Arial" w:cs="Arial" w:eastAsia="Arial" w:hAnsi="Arial"/>
          <w:sz w:val="19"/>
          <w:szCs w:val="19"/>
          <w:color w:val="auto"/>
        </w:rPr>
        <w:t>a Person or entity that is named on the most current list of “Specially Designated Nationals and Blocked Persons” published by OFAC at its official website or any replacement website or other replacement official publication of such list; or</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 Sanctioned Person.</w:t>
      </w:r>
    </w:p>
    <w:p>
      <w:pPr>
        <w:sectPr>
          <w:pgSz w:w="11900" w:h="16838" w:orient="portrait"/>
          <w:cols w:equalWidth="0" w:num="1">
            <w:col w:w="11240"/>
          </w:cols>
          <w:pgMar w:left="320" w:top="1440" w:right="339" w:bottom="1440" w:gutter="0" w:footer="0" w:header="0"/>
        </w:sectPr>
      </w:pPr>
    </w:p>
    <w:bookmarkStart w:id="262" w:name="page263"/>
    <w:bookmarkEnd w:id="262"/>
    <w:p>
      <w:pPr>
        <w:jc w:val="both"/>
        <w:ind w:firstLine="648"/>
        <w:spacing w:after="0" w:line="237" w:lineRule="auto"/>
        <w:rPr>
          <w:sz w:val="20"/>
          <w:szCs w:val="20"/>
          <w:color w:val="auto"/>
        </w:rPr>
      </w:pPr>
      <w:r>
        <w:rPr>
          <w:rFonts w:ascii="Arial" w:cs="Arial" w:eastAsia="Arial" w:hAnsi="Arial"/>
          <w:sz w:val="20"/>
          <w:szCs w:val="20"/>
          <w:color w:val="auto"/>
        </w:rPr>
        <w:t>(c)The Credit Parties are subject to and will remain subject to policies and procedures designed to ensure compliance by the Credit Parties, their respective Subsidiaries and Unrestricted Entities and their respective directors, officers, employees and agents with Anti-Corruption Laws and applicable Sanctions.</w:t>
      </w:r>
    </w:p>
    <w:p>
      <w:pPr>
        <w:spacing w:after="0" w:line="210" w:lineRule="exact"/>
        <w:rPr>
          <w:sz w:val="20"/>
          <w:szCs w:val="20"/>
          <w:color w:val="auto"/>
        </w:rPr>
      </w:pPr>
    </w:p>
    <w:p>
      <w:pPr>
        <w:jc w:val="both"/>
        <w:ind w:firstLine="656"/>
        <w:spacing w:after="0" w:line="231" w:lineRule="auto"/>
        <w:tabs>
          <w:tab w:leader="none" w:pos="93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No Credit Party or Subsidiary and Unrestricted Entities or to the knowledge of any Credit Party, any of its brokers or other agents acting in any capacity in connection with the Loans (i) conducts any business or engages in making or receiving any contribution of funds, goods or services to or for the benefit of any Person described in clause (b) above, (ii) deals in, or otherwise engages in any transaction relating to, any property or interests in property blocked pursuant to the Executive Order, OFAC regulations or Sanctions, or (iii) engages in or conspires to engage in any transaction that evades or avoids, or has the purpose of evading or avoiding, or attempts to violate, any of the prohibitions set forth in any Anti-Terrorism Law.</w:t>
      </w:r>
    </w:p>
    <w:p>
      <w:pPr>
        <w:spacing w:after="0" w:line="211"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u w:val="single" w:color="auto"/>
          <w:color w:val="auto"/>
        </w:rPr>
        <w:t>6.22Patriot Act; Foreign Corrupt Practices Act</w:t>
      </w:r>
      <w:r>
        <w:rPr>
          <w:rFonts w:ascii="Arial" w:cs="Arial" w:eastAsia="Arial" w:hAnsi="Arial"/>
          <w:sz w:val="20"/>
          <w:szCs w:val="20"/>
          <w:color w:val="auto"/>
        </w:rPr>
        <w:t>. To the extent applicable, each of the Borrowers and their respective Subsidiaries and Unrestricted Entities is in compliance, in all material respects, with (a) Sanctions, (b) the USA Patriot Improvement and Reauthorization Act, Title III of Pub. L. 109-177 (signed into law March 9, 2006) (the “</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(c) the </w:t>
      </w:r>
      <w:r>
        <w:rPr>
          <w:rFonts w:ascii="Arial" w:cs="Arial" w:eastAsia="Arial" w:hAnsi="Arial"/>
          <w:sz w:val="20"/>
          <w:szCs w:val="20"/>
          <w:i w:val="1"/>
          <w:iCs w:val="1"/>
          <w:color w:val="auto"/>
        </w:rPr>
        <w:t>Proceeds of Crime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(Money Laundering) and Terrorist Financing Act </w:t>
      </w:r>
      <w:r>
        <w:rPr>
          <w:rFonts w:ascii="Arial" w:cs="Arial" w:eastAsia="Arial" w:hAnsi="Arial"/>
          <w:sz w:val="20"/>
          <w:szCs w:val="20"/>
          <w:color w:val="auto"/>
        </w:rPr>
        <w:t xml:space="preserve">(Canada), (d) the Proceeds of Crime Act 2002 (United Kingdom) and (e) Anti-Corruption Laws. No part of the proceeds of the Loans or Letters of Credit will be used, directly or indirectly, by any Borrower,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w:t>
      </w:r>
      <w:r>
        <w:rPr>
          <w:rFonts w:ascii="Arial" w:cs="Arial" w:eastAsia="Arial" w:hAnsi="Arial"/>
          <w:sz w:val="20"/>
          <w:szCs w:val="20"/>
          <w:i w:val="1"/>
          <w:iCs w:val="1"/>
          <w:color w:val="auto"/>
        </w:rPr>
        <w:t>Corruption of Foreign Public Officials Act</w:t>
      </w:r>
      <w:r>
        <w:rPr>
          <w:rFonts w:ascii="Arial" w:cs="Arial" w:eastAsia="Arial" w:hAnsi="Arial"/>
          <w:sz w:val="20"/>
          <w:szCs w:val="20"/>
          <w:color w:val="auto"/>
        </w:rPr>
        <w:t xml:space="preserve"> (Canada), or Anti-Corruption Laws.</w:t>
      </w:r>
    </w:p>
    <w:p>
      <w:pPr>
        <w:spacing w:after="0" w:line="212"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u w:val="single" w:color="auto"/>
          <w:color w:val="auto"/>
        </w:rPr>
        <w:t>6.23 Insolvency Proceedings</w:t>
      </w:r>
      <w:r>
        <w:rPr>
          <w:rFonts w:ascii="Arial" w:cs="Arial" w:eastAsia="Arial" w:hAnsi="Arial"/>
          <w:sz w:val="20"/>
          <w:szCs w:val="20"/>
          <w:color w:val="auto"/>
        </w:rPr>
        <w:t>. On the Incremental Amendment No. 2 and Third Amendment Effective Date, no Insolvency Proceeding has occurred and is continuing.</w:t>
      </w:r>
    </w:p>
    <w:p>
      <w:pPr>
        <w:spacing w:after="0" w:line="204" w:lineRule="exact"/>
        <w:rPr>
          <w:sz w:val="20"/>
          <w:szCs w:val="20"/>
          <w:color w:val="auto"/>
        </w:rPr>
      </w:pPr>
    </w:p>
    <w:p>
      <w:pPr>
        <w:jc w:val="both"/>
        <w:ind w:left="660" w:right="20"/>
        <w:spacing w:after="0" w:line="246" w:lineRule="auto"/>
        <w:rPr>
          <w:sz w:val="20"/>
          <w:szCs w:val="20"/>
          <w:color w:val="auto"/>
        </w:rPr>
      </w:pPr>
      <w:r>
        <w:rPr>
          <w:rFonts w:ascii="Arial" w:cs="Arial" w:eastAsia="Arial" w:hAnsi="Arial"/>
          <w:sz w:val="20"/>
          <w:szCs w:val="20"/>
          <w:u w:val="single" w:color="auto"/>
          <w:color w:val="auto"/>
        </w:rPr>
        <w:t>6.24 Beneficial Ownership Certification</w:t>
      </w:r>
      <w:r>
        <w:rPr>
          <w:rFonts w:ascii="Arial" w:cs="Arial" w:eastAsia="Arial" w:hAnsi="Arial"/>
          <w:sz w:val="20"/>
          <w:szCs w:val="20"/>
          <w:color w:val="auto"/>
        </w:rPr>
        <w:t>. As of the Incremental Amendment No. 2 and Third Amendment Effective Date, the information included in each Beneficial Ownership Certification, if any, is true and correct in all material respects.</w:t>
      </w:r>
    </w:p>
    <w:p>
      <w:pPr>
        <w:spacing w:after="0" w:line="204"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ARTICLE VII</w:t>
      </w:r>
    </w:p>
    <w:p>
      <w:pPr>
        <w:spacing w:after="0" w:line="2" w:lineRule="exact"/>
        <w:rPr>
          <w:sz w:val="20"/>
          <w:szCs w:val="20"/>
          <w:color w:val="auto"/>
        </w:rPr>
      </w:pPr>
    </w:p>
    <w:p>
      <w:pPr>
        <w:ind w:left="4340"/>
        <w:spacing w:after="0"/>
        <w:rPr>
          <w:sz w:val="20"/>
          <w:szCs w:val="20"/>
          <w:color w:val="auto"/>
        </w:rPr>
      </w:pPr>
      <w:r>
        <w:rPr>
          <w:rFonts w:ascii="Arial" w:cs="Arial" w:eastAsia="Arial" w:hAnsi="Arial"/>
          <w:sz w:val="20"/>
          <w:szCs w:val="20"/>
          <w:u w:val="single" w:color="auto"/>
          <w:color w:val="auto"/>
        </w:rPr>
        <w:t>AFFIRMATIVE COVENANTS</w:t>
      </w:r>
    </w:p>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From and after the Incremental Amendment No. 2 and Third Amendment Effective Date, each Credit Party, jointly and severally, hereby agrees, that, so long as (a) any of the Commitments remain in effect, (b) any Loan (other than any Unasserted Contingent Obligations) remains outstanding and unpaid, (c) any Letter of Credit has not (w) expired, (x) been terminated, (y) been cash collateralized or (z) been backstopped in a manner satisfactory to the relevant Facing Agent in its sole discretion, (d) any Unpaid Drawing remains outstanding and unpaid or (e) any other Obligation (other than any Unasserted Contingent Obligations or obligations and liabilities under any Hedging Agreement) is owing to any Lender or Administrative Agent hereunder, that:</w:t>
      </w:r>
    </w:p>
    <w:p>
      <w:pPr>
        <w:spacing w:after="0" w:line="206"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u w:val="single" w:color="auto"/>
          <w:color w:val="auto"/>
        </w:rPr>
        <w:t>7.1 Financial Statements</w:t>
      </w:r>
      <w:r>
        <w:rPr>
          <w:rFonts w:ascii="Arial" w:cs="Arial" w:eastAsia="Arial" w:hAnsi="Arial"/>
          <w:sz w:val="20"/>
          <w:szCs w:val="20"/>
          <w:color w:val="auto"/>
        </w:rPr>
        <w:t>. Crown Holdings will furnish, or cause to be furnished, to the Administrative Agent (for further distribution to each Lender):</w:t>
      </w:r>
    </w:p>
    <w:p>
      <w:pPr>
        <w:spacing w:after="0" w:line="20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8"/>
          <w:szCs w:val="18"/>
          <w:u w:val="single" w:color="auto"/>
          <w:color w:val="auto"/>
        </w:rPr>
        <w:t>Quarterly Financial Statements</w:t>
      </w:r>
      <w:r>
        <w:rPr>
          <w:rFonts w:ascii="Arial" w:cs="Arial" w:eastAsia="Arial" w:hAnsi="Arial"/>
          <w:sz w:val="18"/>
          <w:szCs w:val="18"/>
          <w:color w:val="auto"/>
        </w:rPr>
        <w:t>. (i) As soon as available, and in any event within 45 days (or such shorter period for the filing of Crown Holdings’ Form 10-Q as may be required by the SEC) after the end of each of the first three Fiscal Quarters of each Fiscal Year of Crown Holdings (commencing with the first Fiscal Quarter ending after the Effective Date), an unaudited consolidated</w:t>
      </w:r>
    </w:p>
    <w:p>
      <w:pPr>
        <w:sectPr>
          <w:pgSz w:w="11900" w:h="16838" w:orient="portrait"/>
          <w:cols w:equalWidth="0" w:num="1">
            <w:col w:w="11240"/>
          </w:cols>
          <w:pgMar w:left="320" w:top="1419" w:right="339" w:bottom="1440" w:gutter="0" w:footer="0" w:header="0"/>
        </w:sectPr>
      </w:pPr>
    </w:p>
    <w:bookmarkStart w:id="263" w:name="page264"/>
    <w:bookmarkEnd w:id="263"/>
    <w:p>
      <w:pPr>
        <w:jc w:val="both"/>
        <w:spacing w:after="0" w:line="254" w:lineRule="auto"/>
        <w:rPr>
          <w:sz w:val="20"/>
          <w:szCs w:val="20"/>
          <w:color w:val="auto"/>
        </w:rPr>
      </w:pPr>
      <w:r>
        <w:rPr>
          <w:rFonts w:ascii="Arial" w:cs="Arial" w:eastAsia="Arial" w:hAnsi="Arial"/>
          <w:sz w:val="18"/>
          <w:szCs w:val="18"/>
          <w:color w:val="auto"/>
        </w:rPr>
        <w:t>balance sheet of Crown Holdings and its consolidated Subsidiaries as of the end of such Fiscal Quarter and consolidated statements of earnings and of cash flow of Crown Holdings and its consolidated Subsidiaries for such Fiscal Quarter and the related unaudited consolidated statements of earnings and cash flow of Crown Holdings and its consolidated Subsidiaries for the period commencing at the end of the previous Fiscal Year and ending with the end of such Fiscal Quarter certified by a Financial Officer of Crown Holdings as of the dates indicated and for the periods indicated, subject to normal year-end audit adjustments and the absence of footnotes, it being understood and agreed that the filing of Crown Holdings’ Form 10-Q with the SEC, if certified as required in this clause (a), shall satisfy the requirements set forth in this clause when posted to the SEC website; (ii) as soon as available and in any event within 60 days after the end of each of the first three Fiscal Quarters of each Fiscal Year of Crown Holdings (commencing with the first Fiscal Quarter ending after the Effective Date), an unaudited consolidating balance sheet of Crown Holdings and its consolidated Subsidiaries as of the end of such Fiscal Quarter and consolidating statements of earnings and cash flows of Crown Holdings and its Subsidiaries for such Fiscal Quarter and for the period commencing at the end of the previous Fiscal Year and ending with the end of such Fiscal Quarter, certified by a Financial Officer of Crown Holdings (it being understood and agreed that such financial statements need only break out (A) U.S. Borrower and its U.S. Subsidiaries (other than any Excluded Subsidiary), on a consolidated basis; (B) European Borrower and the Euro Subsidiary Credit Parties, on a consolidated basis; and (C) each Subsidiary of European Borrower that is not a Euro Subsidiary Credit Party, on a consolidated basis);</w:t>
      </w:r>
    </w:p>
    <w:p>
      <w:pPr>
        <w:spacing w:after="0" w:line="20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(i) As soon as available, but in any event within 90 days (or such shorter period for the filing of the Crown Holdings’ Form 10-K as may be required by the SEC) after the end of each Fiscal Year of Crown Holdings (commencing with the first Fiscal Year ended after the Effective Date), a copy of the annual audit report for such Fiscal Year for Crown Holdings and its consolidated Subsidiaries, including therein a consolidated balance sheet of Crown Holdings and its Subsidiaries as at the end of such Fiscal Year and consolidated statements of earnings and cash flow of Crown Holdings and its consolidated Subsidiaries for such Fiscal Year (it being understood and agreed that the filing of Crown Holdings’ 10-K with the SEC shall satisfy such delivery requirements in this clause when posted to the SEC website); (ii) as soon as available and in any event within 105 days after the end of each Fiscal Year of Crown Holdings (commencing with the first Fiscal Year ended after the Effective Date), an unaudited consolidating balance sheet of Crown Holdings and its consolidated Subsidiaries as of the end of such Fiscal Year and consolidating statements of earnings and cash flow of Crown Holdings and its Subsidiaries for such Fiscal Year, certified by a Financial Officer of Crown Holdings (it being understood and agreed that such financial statements need only break out (A) U.S. Borrower and its U.S. Subsidiaries (other than any Excluded Subsidiary), on a consolidated basis; (B) European Borrower and the Euro Subsidiary Credit Parties, on a consolidated basis; and (C) each Subsidiary of European Borrower that is not a Euro Subsidiary Credit Party, on a consolidated basis);</w:t>
      </w:r>
    </w:p>
    <w:p>
      <w:pPr>
        <w:spacing w:after="0" w:line="20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All such financial statements shall be complete and correct in all material respects and shall be prepared in accordance with GAAP applied consistently (except as approved by the accountants preparing such statements or the Chief Financial Officer, as the case may be, and disclosed therein or otherwise disclosed in writing by Crown Holdings to the Lenders) and, in the case of the consolidated financial statements referred to in </w:t>
      </w:r>
      <w:r>
        <w:rPr>
          <w:rFonts w:ascii="Arial" w:cs="Arial" w:eastAsia="Arial" w:hAnsi="Arial"/>
          <w:sz w:val="20"/>
          <w:szCs w:val="20"/>
          <w:u w:val="single" w:color="auto"/>
          <w:color w:val="auto"/>
        </w:rPr>
        <w:t>Section 7.1(b)</w:t>
      </w:r>
      <w:r>
        <w:rPr>
          <w:rFonts w:ascii="Arial" w:cs="Arial" w:eastAsia="Arial" w:hAnsi="Arial"/>
          <w:sz w:val="20"/>
          <w:szCs w:val="20"/>
          <w:color w:val="auto"/>
        </w:rPr>
        <w:t>, shall be accompanied by a report thereon of independent certified public accountants of recognized national standing, which report shall contain no Impermissible Qualifications and shall state that such financial statements present fairly in all material respects the financial position of Crown Holdings and its consolidated Subsidiaries as at the dates indicated and the results of their operations and cash flow for the periods indicated in conformity with GAAP (except as approved by the accountants preparing such statements or the Chief Financial Officer, as the case may be, and disclosed therein or otherwise disclosed in writing by Crown Holdings to the Lenders).</w:t>
      </w:r>
    </w:p>
    <w:p>
      <w:pPr>
        <w:spacing w:after="0" w:line="212" w:lineRule="exact"/>
        <w:rPr>
          <w:sz w:val="20"/>
          <w:szCs w:val="20"/>
          <w:color w:val="auto"/>
        </w:rPr>
      </w:pPr>
    </w:p>
    <w:p>
      <w:pPr>
        <w:ind w:right="140" w:firstLine="648"/>
        <w:spacing w:after="0" w:line="246" w:lineRule="auto"/>
        <w:rPr>
          <w:sz w:val="20"/>
          <w:szCs w:val="20"/>
          <w:color w:val="auto"/>
        </w:rPr>
      </w:pPr>
      <w:r>
        <w:rPr>
          <w:rFonts w:ascii="Arial" w:cs="Arial" w:eastAsia="Arial" w:hAnsi="Arial"/>
          <w:sz w:val="20"/>
          <w:szCs w:val="20"/>
          <w:u w:val="single" w:color="auto"/>
          <w:color w:val="auto"/>
        </w:rPr>
        <w:t>7.2 Certificates; Other Information</w:t>
      </w:r>
      <w:r>
        <w:rPr>
          <w:rFonts w:ascii="Arial" w:cs="Arial" w:eastAsia="Arial" w:hAnsi="Arial"/>
          <w:sz w:val="20"/>
          <w:szCs w:val="20"/>
          <w:color w:val="auto"/>
        </w:rPr>
        <w:t>. Crown Holdings will furnish, or will cause to be furnished, to Administrative Agent (for further delivery to each Lender, as applicable):</w:t>
      </w:r>
    </w:p>
    <w:p>
      <w:pPr>
        <w:sectPr>
          <w:pgSz w:w="11900" w:h="16838" w:orient="portrait"/>
          <w:cols w:equalWidth="0" w:num="1">
            <w:col w:w="11240"/>
          </w:cols>
          <w:pgMar w:left="320" w:top="1419" w:right="339" w:bottom="1440" w:gutter="0" w:footer="0" w:header="0"/>
        </w:sectPr>
      </w:pPr>
    </w:p>
    <w:bookmarkStart w:id="264" w:name="page265"/>
    <w:bookmarkEnd w:id="264"/>
    <w:p>
      <w:pPr>
        <w:jc w:val="both"/>
        <w:ind w:firstLine="1296"/>
        <w:spacing w:after="0" w:line="254" w:lineRule="auto"/>
        <w:rPr>
          <w:sz w:val="20"/>
          <w:szCs w:val="20"/>
          <w:color w:val="auto"/>
        </w:rPr>
      </w:pPr>
      <w:r>
        <w:rPr>
          <w:rFonts w:ascii="Arial" w:cs="Arial" w:eastAsia="Arial" w:hAnsi="Arial"/>
          <w:sz w:val="18"/>
          <w:szCs w:val="18"/>
          <w:u w:val="single" w:color="auto"/>
          <w:color w:val="auto"/>
        </w:rPr>
        <w:t>Officer’s Certificates</w:t>
      </w:r>
      <w:r>
        <w:rPr>
          <w:rFonts w:ascii="Arial" w:cs="Arial" w:eastAsia="Arial" w:hAnsi="Arial"/>
          <w:sz w:val="18"/>
          <w:szCs w:val="18"/>
          <w:color w:val="auto"/>
        </w:rPr>
        <w:t xml:space="preserve">. Concurrently with the delivery of the financial statements referred to in </w:t>
      </w:r>
      <w:r>
        <w:rPr>
          <w:rFonts w:ascii="Arial" w:cs="Arial" w:eastAsia="Arial" w:hAnsi="Arial"/>
          <w:sz w:val="18"/>
          <w:szCs w:val="18"/>
          <w:u w:val="single" w:color="auto"/>
          <w:color w:val="auto"/>
        </w:rPr>
        <w:t>Sections 7.1(a)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7.1(b)</w:t>
      </w:r>
      <w:r>
        <w:rPr>
          <w:rFonts w:ascii="Arial" w:cs="Arial" w:eastAsia="Arial" w:hAnsi="Arial"/>
          <w:sz w:val="18"/>
          <w:szCs w:val="18"/>
          <w:color w:val="auto"/>
        </w:rPr>
        <w:t xml:space="preserve">, (A) a certificate from a Responsible Financial Officer of Crown Holdings substantially in the form of </w:t>
      </w:r>
      <w:r>
        <w:rPr>
          <w:rFonts w:ascii="Arial" w:cs="Arial" w:eastAsia="Arial" w:hAnsi="Arial"/>
          <w:sz w:val="18"/>
          <w:szCs w:val="18"/>
          <w:u w:val="single" w:color="auto"/>
          <w:color w:val="auto"/>
        </w:rPr>
        <w:t>Exhibit 7.2(a)</w:t>
      </w:r>
      <w:r>
        <w:rPr>
          <w:rFonts w:ascii="Arial" w:cs="Arial" w:eastAsia="Arial" w:hAnsi="Arial"/>
          <w:sz w:val="18"/>
          <w:szCs w:val="18"/>
          <w:color w:val="auto"/>
        </w:rPr>
        <w:t xml:space="preserve"> (or such other form as mutually agreed by Crown Holdings and the Administrative Agent) (a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stating that, to such officer’s knowledge, (i) such financial statements present fairly, in accordance with GAAP, or, in the case of financial statements of any Non-U.S. Subsidiary delivered pursuant to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generally accepted accounting principles in such Person’s jurisdiction of organization (in each case, except as approved by the accountants preparing such statements or the Chief Financial Officer, as the case may be, and disclosed therein or otherwise disclosed in writing by Crown Holdings to the Lenders), the financial condition and results of operations of Crown Holdings and its consolidated Subsidiaries for the period referred to therein (subject, in the case of interim statements, to normal year-end adjustments and absence of footnotes) and (ii) no Event of Default or Unmatured Event of Default exists and is continuing, except as specified in such certificate and, if so specified, the action which Crown Holdings proposes to take with respect thereto, which certificate shall set forth reasonably detailed computations to the extent necessary to establish Crown Holdings’ compliance with the covenant set forth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Agreement and (B) if there are any Unrestricted Entities, (i) a summary of the adjustments necessary to eliminate the accounts of Unrestricted Entities (if any) from such financial statements and (ii) a list identifying each subsidiary of Crown Holdings as a Subsidiary or an Unrestricted Entity as of the date of delivery of such Compliance Certificate or confirmation that there is no change in such information since the later of the Effective Date and the date of the last such list;</w:t>
      </w:r>
    </w:p>
    <w:p>
      <w:pPr>
        <w:spacing w:after="0" w:line="197"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u w:val="single" w:color="auto"/>
          <w:color w:val="auto"/>
        </w:rPr>
        <w:t>Reports; Management Letters</w:t>
      </w:r>
      <w:r>
        <w:rPr>
          <w:rFonts w:ascii="Arial" w:cs="Arial" w:eastAsia="Arial" w:hAnsi="Arial"/>
          <w:sz w:val="20"/>
          <w:szCs w:val="20"/>
          <w:color w:val="auto"/>
        </w:rPr>
        <w:t>. Promptly upon receipt thereof, copies of all significant reports submitted to Crown Holdings by independent certified public accountants in connection with each annual, interim or special audit of the books of Crown Holdings and its consolidated Subsidiaries made by such accountants, including any management letters submitted by such accountants to management in connection with their annual audit;</w:t>
      </w:r>
    </w:p>
    <w:p>
      <w:pPr>
        <w:spacing w:after="0" w:line="21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u w:val="single" w:color="auto"/>
          <w:color w:val="auto"/>
        </w:rPr>
        <w:t>Budgets</w:t>
      </w:r>
      <w:r>
        <w:rPr>
          <w:rFonts w:ascii="Arial" w:cs="Arial" w:eastAsia="Arial" w:hAnsi="Arial"/>
          <w:sz w:val="20"/>
          <w:szCs w:val="20"/>
          <w:color w:val="auto"/>
        </w:rPr>
        <w:t>. Within sixty (60) days following the first day of each Fiscal Year of Crown Holdings (commencing with the first Fiscal Year ended after the Effective Date) an annual consolidated budget of Crown Holdings and its Subsidiaries prepared for each Fiscal Quarter of such Fiscal Year (including a projected consolidated balance sheet and related statements of projected operations and cash flow as of the end of and for each Fiscal Quarter during such Fiscal Year) (it being understood that Crown Holdings shall have no obligation to update or revise such budget);</w:t>
      </w:r>
    </w:p>
    <w:p>
      <w:pPr>
        <w:spacing w:after="0" w:line="21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u w:val="single" w:color="auto"/>
          <w:color w:val="auto"/>
        </w:rPr>
        <w:t>Securityholder Communications</w:t>
      </w:r>
      <w:r>
        <w:rPr>
          <w:rFonts w:ascii="Arial" w:cs="Arial" w:eastAsia="Arial" w:hAnsi="Arial"/>
          <w:sz w:val="20"/>
          <w:szCs w:val="20"/>
          <w:color w:val="auto"/>
        </w:rPr>
        <w:t xml:space="preserve">. Promptly after the sending or filing thereof, copies of all reports which any Credit Party sends to any of its security holders (other than a report by a Wholly-Owned Subsidiary to its parent security holders) and all reports, registration statements (other than on Form S-8 or any successor form) or other materials which any Credit Party or any of their officers file with the SEC or any national securities exchange (other than the Luxembourg Stock Exchange)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materials filed with the SEC shall be deemed delivered when posted to the SEC website; and</w:t>
      </w:r>
    </w:p>
    <w:p>
      <w:pPr>
        <w:spacing w:after="0" w:line="211"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8"/>
          <w:szCs w:val="18"/>
          <w:u w:val="single" w:color="auto"/>
          <w:color w:val="auto"/>
        </w:rPr>
        <w:t>Other Requested Information</w:t>
      </w:r>
      <w:r>
        <w:rPr>
          <w:rFonts w:ascii="Arial" w:cs="Arial" w:eastAsia="Arial" w:hAnsi="Arial"/>
          <w:sz w:val="18"/>
          <w:szCs w:val="18"/>
          <w:color w:val="auto"/>
        </w:rPr>
        <w:t>. Such information and documentation reasonably requested by the Administrative Agent or any Lender necessary for compliance with applicable “know your customer” requirements under the PATRIOT Act or other applicable anti-money laundering laws and such other information respecting the condition or operations, financial or otherwise, of Crown Holdings, any Borrower, or any of their Subsidiaries that any Lender through Administrative Agent may from time to time reasonably request.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7.3 Notices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265" w:name="page266"/>
    <w:bookmarkEnd w:id="265"/>
    <w:p>
      <w:pPr>
        <w:jc w:val="both"/>
        <w:ind w:firstLine="656"/>
        <w:spacing w:after="0" w:line="230" w:lineRule="auto"/>
        <w:tabs>
          <w:tab w:leader="none" w:pos="924" w:val="left"/>
        </w:tabs>
        <w:numPr>
          <w:ilvl w:val="0"/>
          <w:numId w:val="20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Event of Default or Unmatured Event of Default</w:t>
      </w:r>
      <w:r>
        <w:rPr>
          <w:rFonts w:ascii="Arial" w:cs="Arial" w:eastAsia="Arial" w:hAnsi="Arial"/>
          <w:sz w:val="20"/>
          <w:szCs w:val="20"/>
          <w:color w:val="auto"/>
        </w:rPr>
        <w:t>. Promptly and in any event within the earlier of three (3) Business Days after a Responsible Officer of Crown Holdings or U.S. Borrower or five (5) Business Days after a Responsible Officer of European Borrower obtains knowledge thereof, Crown Holdings will give written notice to Administrative Agent (which shall promptly provide a copy of such notice to each Lender) of the occurrence of any Event of Default or Unmatured Event of Default, accompanied by a statement of a Financial Officer of Crown Holdings, U.S. Borrower or European Borrower, as applicable, setting forth details of the occurrence referred to therein and stating what action Crown Holdings, U.S. Borrower or European Borrower, as applicable, have taken and propose to take with respect thereto;</w:t>
      </w:r>
    </w:p>
    <w:p>
      <w:pPr>
        <w:spacing w:after="0" w:line="212" w:lineRule="exact"/>
        <w:rPr>
          <w:rFonts w:ascii="Arial" w:cs="Arial" w:eastAsia="Arial" w:hAnsi="Arial"/>
          <w:sz w:val="20"/>
          <w:szCs w:val="20"/>
          <w:u w:val="single" w:color="auto"/>
          <w:color w:val="auto"/>
        </w:rPr>
      </w:pPr>
    </w:p>
    <w:p>
      <w:pPr>
        <w:jc w:val="both"/>
        <w:ind w:firstLine="656"/>
        <w:spacing w:after="0" w:line="258" w:lineRule="auto"/>
        <w:tabs>
          <w:tab w:leader="none" w:pos="942" w:val="left"/>
        </w:tabs>
        <w:numPr>
          <w:ilvl w:val="0"/>
          <w:numId w:val="20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Litigation and Related Matters</w:t>
      </w:r>
      <w:r>
        <w:rPr>
          <w:rFonts w:ascii="Arial" w:cs="Arial" w:eastAsia="Arial" w:hAnsi="Arial"/>
          <w:sz w:val="18"/>
          <w:szCs w:val="18"/>
          <w:color w:val="auto"/>
        </w:rPr>
        <w:t>. Promptly, and in any event within five (5) Business Days after a Responsible Officer of Crown Holdings, U.S. Borrower or European Borrower obtains knowledge thereof, Crown Holdings will give written notice to Administrative Agent (which shall promptly provide a copy of such notice to each Lender) of the commencement of, or any material development in, any action, suit, proceeding or investigation pending or threatened in writing against or involving Crown Holdings or any of its Material Subsidiaries before any arbitrator or Governmental Authority, or purport to affect the legality, validity or enforcement of this Agreement or any other Loan Document or the transactions contemplated hereby or thereby, which, individually or in the aggregate with any other action, suit, proceeding or investigation, would reasonably be expected to have a Material Adverse Effect;</w:t>
      </w:r>
    </w:p>
    <w:p>
      <w:pPr>
        <w:spacing w:after="0" w:line="197" w:lineRule="exact"/>
        <w:rPr>
          <w:sz w:val="20"/>
          <w:szCs w:val="20"/>
          <w:color w:val="auto"/>
        </w:rPr>
      </w:pPr>
    </w:p>
    <w:p>
      <w:pPr>
        <w:ind w:right="20" w:firstLine="656"/>
        <w:spacing w:after="0" w:line="246" w:lineRule="auto"/>
        <w:tabs>
          <w:tab w:leader="none" w:pos="848" w:val="left"/>
        </w:tabs>
        <w:numPr>
          <w:ilvl w:val="0"/>
          <w:numId w:val="204"/>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Material Adverse Effect</w:t>
      </w:r>
      <w:r>
        <w:rPr>
          <w:rFonts w:ascii="Arial" w:cs="Arial" w:eastAsia="Arial" w:hAnsi="Arial"/>
          <w:sz w:val="20"/>
          <w:szCs w:val="20"/>
          <w:color w:val="auto"/>
        </w:rPr>
        <w:t>. As soon as possible, Crown Holdings will give notice to Administrative Agent of any other development that would reasonably be expected to have a Material Adverse Effect.</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(d)Sustainability Rating</w:t>
      </w:r>
      <w:r>
        <w:rPr>
          <w:rFonts w:ascii="Arial" w:cs="Arial" w:eastAsia="Arial" w:hAnsi="Arial"/>
          <w:sz w:val="20"/>
          <w:szCs w:val="20"/>
          <w:color w:val="auto"/>
        </w:rPr>
        <w:t>. Crown Holdings will give prompt notice to the Administrative Agent (which the Administrative Agent shall promptly provide to the Lenders) of any material adverse change in or discontinuation of the Sustainability Rating.</w:t>
      </w:r>
    </w:p>
    <w:p>
      <w:pPr>
        <w:spacing w:after="0" w:line="20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u w:val="single" w:color="auto"/>
          <w:color w:val="auto"/>
        </w:rPr>
        <w:t>7.4 Conduct of Business and Maintenance of Existence</w:t>
      </w:r>
      <w:r>
        <w:rPr>
          <w:rFonts w:ascii="Arial" w:cs="Arial" w:eastAsia="Arial" w:hAnsi="Arial"/>
          <w:sz w:val="19"/>
          <w:szCs w:val="19"/>
          <w:color w:val="auto"/>
        </w:rPr>
        <w:t xml:space="preserve">. Each Credit Party will do or cause to be done all things necessary to preserve, renew and keep in full force and effect its organizational existence and take all reasonable action to maintain the rights, licenses, permits, privileges, franchises and Intellectual Property material to the conduct of its business, except, in each case, as (a) would not reasonably be expected to have a Material Adverse Effect and (b) permitted under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8.5</w:t>
      </w:r>
      <w:r>
        <w:rPr>
          <w:rFonts w:ascii="Arial" w:cs="Arial" w:eastAsia="Arial" w:hAnsi="Arial"/>
          <w:sz w:val="19"/>
          <w:szCs w:val="19"/>
          <w:color w:val="auto"/>
        </w:rPr>
        <w:t>.</w:t>
      </w:r>
    </w:p>
    <w:p>
      <w:pPr>
        <w:spacing w:after="0" w:line="204" w:lineRule="exact"/>
        <w:rPr>
          <w:sz w:val="20"/>
          <w:szCs w:val="20"/>
          <w:color w:val="auto"/>
        </w:rPr>
      </w:pPr>
    </w:p>
    <w:p>
      <w:pPr>
        <w:jc w:val="both"/>
        <w:ind w:left="660"/>
        <w:spacing w:after="0" w:line="237" w:lineRule="auto"/>
        <w:rPr>
          <w:sz w:val="20"/>
          <w:szCs w:val="20"/>
          <w:color w:val="auto"/>
        </w:rPr>
      </w:pPr>
      <w:r>
        <w:rPr>
          <w:rFonts w:ascii="Arial" w:cs="Arial" w:eastAsia="Arial" w:hAnsi="Arial"/>
          <w:sz w:val="20"/>
          <w:szCs w:val="20"/>
          <w:u w:val="single" w:color="auto"/>
          <w:color w:val="auto"/>
        </w:rPr>
        <w:t>7.5 Compliance with Laws, etc</w:t>
      </w:r>
      <w:r>
        <w:rPr>
          <w:rFonts w:ascii="Arial" w:cs="Arial" w:eastAsia="Arial" w:hAnsi="Arial"/>
          <w:sz w:val="20"/>
          <w:szCs w:val="20"/>
          <w:color w:val="auto"/>
        </w:rPr>
        <w:t>.Each Credit Party will, and will cause each of its Subsidiaries to, comply in all respects with all applicable laws, rules, regulations and orders, except where such noncompliance, individually or in the aggregate, would not reasonably be expected to have a Material Adverse Effect.</w:t>
      </w:r>
    </w:p>
    <w:p>
      <w:pPr>
        <w:spacing w:after="0" w:line="21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u w:val="single" w:color="auto"/>
          <w:color w:val="auto"/>
        </w:rPr>
        <w:t>7.6 Maintenance of Properties</w:t>
      </w:r>
      <w:r>
        <w:rPr>
          <w:rFonts w:ascii="Arial" w:cs="Arial" w:eastAsia="Arial" w:hAnsi="Arial"/>
          <w:sz w:val="18"/>
          <w:szCs w:val="18"/>
          <w:color w:val="auto"/>
        </w:rPr>
        <w:t xml:space="preserve">. Each Credit Party will, and will cause each of its Material Subsidiaries to, maintain, preserve, protect and keep its material tangible properties and assets in good repair, working order and condition (ordinary wear and tear, condemnation and damage by casualty and transactions permitted under </w:t>
      </w:r>
      <w:r>
        <w:rPr>
          <w:rFonts w:ascii="Arial" w:cs="Arial" w:eastAsia="Arial" w:hAnsi="Arial"/>
          <w:sz w:val="18"/>
          <w:szCs w:val="18"/>
          <w:u w:val="single" w:color="auto"/>
          <w:color w:val="auto"/>
        </w:rPr>
        <w:t>Sections 8.3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8.5</w:t>
      </w:r>
      <w:r>
        <w:rPr>
          <w:rFonts w:ascii="Arial" w:cs="Arial" w:eastAsia="Arial" w:hAnsi="Arial"/>
          <w:sz w:val="18"/>
          <w:szCs w:val="18"/>
          <w:color w:val="auto"/>
        </w:rPr>
        <w:t xml:space="preserve"> excluded), and make necessary and proper repairs, renewals and replacements so that its business carried on in connection therewith may be properly conducted at all times, except, in each case, as would not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shall prevent any Credit Party from discontinuing the operation and maintenance of any of its properties or any of those of its Material Subsidiaries if such discontinuance is, in the judgment of such Credit Party, desirable in the conduct of its or their business and, in the aggregate, would not reasonably be expected to have a Material Adverse Effect.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7.7[Reserved.</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266" w:name="page267"/>
    <w:bookmarkEnd w:id="266"/>
    <w:p>
      <w:pPr>
        <w:jc w:val="both"/>
        <w:ind w:left="4"/>
        <w:spacing w:after="0" w:line="257" w:lineRule="auto"/>
        <w:rPr>
          <w:sz w:val="20"/>
          <w:szCs w:val="20"/>
          <w:color w:val="auto"/>
        </w:rPr>
      </w:pPr>
      <w:r>
        <w:rPr>
          <w:rFonts w:ascii="Arial" w:cs="Arial" w:eastAsia="Arial" w:hAnsi="Arial"/>
          <w:sz w:val="18"/>
          <w:szCs w:val="18"/>
          <w:u w:val="single" w:color="auto"/>
          <w:color w:val="auto"/>
        </w:rPr>
        <w:t>7.8 Payment of Taxes</w:t>
      </w:r>
      <w:r>
        <w:rPr>
          <w:rFonts w:ascii="Arial" w:cs="Arial" w:eastAsia="Arial" w:hAnsi="Arial"/>
          <w:sz w:val="18"/>
          <w:szCs w:val="18"/>
          <w:color w:val="auto"/>
        </w:rPr>
        <w:t xml:space="preserve">. Each Credit Party will, and will cause each of its Material Subsidiaries to, pay, discharge or otherwise satisfy all material Taxes imposed upon it or upon its income or profits, or upon any properties belonging to it, prior to the date on which material penalties attach thereto, and all lawful claims which, if unpaid, might become a Lien or charge upon any properties of such Person or cause a failure or forfeiture of title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Credit Party nor any of its Subsidiaries shall be required to pay, discharge or otherwise satisfy any such Tax that is being contested in good faith and by appropriate proceedings diligently conducted, if it has maintained adequate reserves with respect thereto in accordance with and to the extent required under GAAP or their equivalent in the relevant jurisdiction of the taxing authority with respect thereto or to the extent failure to pay, discharge or otherwise satisfy such obligations would not reasonably be expected to have a Material Adverse Effect.</w:t>
      </w:r>
    </w:p>
    <w:p>
      <w:pPr>
        <w:spacing w:after="0" w:line="198"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u w:val="single" w:color="auto"/>
          <w:color w:val="auto"/>
        </w:rPr>
        <w:t>7.9 Inspection of Property, Books and Records</w:t>
      </w:r>
      <w:r>
        <w:rPr>
          <w:rFonts w:ascii="Arial" w:cs="Arial" w:eastAsia="Arial" w:hAnsi="Arial"/>
          <w:sz w:val="18"/>
          <w:szCs w:val="18"/>
          <w:color w:val="auto"/>
        </w:rPr>
        <w:t xml:space="preserve">. Each Credit Party will, and will cause each of its Subsidiaries to, keep books and records which accurately reflect all of its business affairs and material transactions and permit the Administrative Agent or any of its representatives, at reasonable times and intervals during normal business hours, but no more frequently than once annually if no Event of Default exists, at the reasonable request of the Administrative Agent made to Borrowers, and at the Administrative Agent’s expense and upon reasonable notice, to visit all of its offices, to discuss its financial matters with its principal officers and to examine any of its books or other corporate or partnership records and, if an Event of Default exists and is continuing, permit, and cause each of its Subsidiaries to permit, the Administrative Agent or the Required Lenders access, in the presence of Crown Holdings, to their independent public accountants (and by this provision Borrowers authorize such accountants to discuss with the Administrative Agent or the Required Lenders and such representatives the affairs, finances and accounts of Crown Holdings and its Subsidiaries), in the case of each of the foregoing, so long as the Administrative Agent, such Lenders, and such representatives agree to treat such information and documents in accordance with </w:t>
      </w:r>
      <w:r>
        <w:rPr>
          <w:rFonts w:ascii="Arial" w:cs="Arial" w:eastAsia="Arial" w:hAnsi="Arial"/>
          <w:sz w:val="18"/>
          <w:szCs w:val="18"/>
          <w:u w:val="single" w:color="auto"/>
          <w:color w:val="auto"/>
        </w:rPr>
        <w:t>Section 12.16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in this Agreement or any other Loan Document, neither Crown Holdings, any of its Subsidiaries or Affiliates, nor any of its or their respective directors, officers, managers, employees, independent auditors, or other experts and advisors, including accountants, legal counsel and other advisors, will be required to disclose, permit the inspection, examination or making of copies or extracts of, or permit discussions of, any documents, information or other matter that (i) constitutes non-financial trade secrets or non-financial proprietary information, (ii) in respect of which disclosure to any Agent, any Facing Agent, any Lender or any of their respective Related Parties or contractors is then prohibited by any Requirement of Law or any binding agreement or (iii) is subject to attorney-client or similar privilege or constitutes attorney work product.</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20"/>
          <w:szCs w:val="20"/>
          <w:u w:val="single" w:color="auto"/>
          <w:color w:val="auto"/>
        </w:rPr>
        <w:t>7.10 ERISA; Foreign Pension Plan</w:t>
      </w:r>
    </w:p>
    <w:p>
      <w:pPr>
        <w:ind w:left="4"/>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left="-656" w:firstLine="656"/>
        <w:spacing w:after="0" w:line="254" w:lineRule="auto"/>
        <w:tabs>
          <w:tab w:leader="none" w:pos="28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Crown Holdings will furnish, or will cause to be furnished, to each Lender and the Administrative Agent notice thereof and copies of all documentation relating thereto, immediately upon becoming aware of any of the following events: (i) the taking of any specific actions by Crown Holdings or any other Person to terminate any Pension Plan (other than a termination pursuant to Section 4041(b) of ERISA which can be completed without Crown Holdings or any ERISA Affiliate having to provide more than $25,000,000 in addition to the normal contribution required for the plan year in which termination occurs to make such Pension Plan sufficient), (ii) the occurrence of a Termination Event which could result in a Lien or in the incurrence by a Credit Party of any liability, fine or penalty which would reasonably be expected to have a Material Adverse Effect, or (iii) any increase in the contingent liability of a Credit Party with respect to any post-retirement Welfare Plan benefit if the increase in such contingent liability would reasonably be expected to have a Material Adverse Effect.</w:t>
      </w:r>
    </w:p>
    <w:p>
      <w:pPr>
        <w:sectPr>
          <w:pgSz w:w="11900" w:h="16838" w:orient="portrait"/>
          <w:cols w:equalWidth="0" w:num="1">
            <w:col w:w="10584"/>
          </w:cols>
          <w:pgMar w:left="976" w:top="1419" w:right="339" w:bottom="1440" w:gutter="0" w:footer="0" w:header="0"/>
        </w:sectPr>
      </w:pPr>
    </w:p>
    <w:bookmarkStart w:id="267" w:name="page268"/>
    <w:bookmarkEnd w:id="267"/>
    <w:p>
      <w:pPr>
        <w:jc w:val="both"/>
        <w:ind w:firstLine="656"/>
        <w:spacing w:after="0" w:line="244" w:lineRule="auto"/>
        <w:tabs>
          <w:tab w:leader="none" w:pos="945" w:val="left"/>
        </w:tabs>
        <w:numPr>
          <w:ilvl w:val="0"/>
          <w:numId w:val="206"/>
        </w:numPr>
        <w:rPr>
          <w:rFonts w:ascii="Arial" w:cs="Arial" w:eastAsia="Arial" w:hAnsi="Arial"/>
          <w:sz w:val="19"/>
          <w:szCs w:val="19"/>
          <w:color w:val="auto"/>
        </w:rPr>
      </w:pPr>
      <w:r>
        <w:rPr>
          <w:rFonts w:ascii="Arial" w:cs="Arial" w:eastAsia="Arial" w:hAnsi="Arial"/>
          <w:sz w:val="19"/>
          <w:szCs w:val="19"/>
          <w:color w:val="auto"/>
        </w:rPr>
        <w:t>Crown Holdings will furnish, or will cause to be furnished, upon request by the Administrative Agent, to each Lender and the Administrative Agent, copies of: (i) each Schedule B (Actuarial Information) to the annual report (Form 5500 Series) filed by any Credit Party or ERISA Affiliate with the United States Internal Revenue Service with respect to each Pension Plan; (ii) the most recent actuarial valuation report for each Pension Plan or Foreign Plan; (iii) all notices received by any Credit Party or ERISA Affiliate from a Multiemployer Plan sponsor or any governmental agency concerning a Termination Event; and (iv) such other documents or governmental reports or filings relating to any Plan as the Administrative Agent shall reasonably request.</w:t>
      </w:r>
    </w:p>
    <w:p>
      <w:pPr>
        <w:spacing w:after="0" w:line="20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(c)Each Credit Party will (i) correct any failure to satisfy the minimum funding standards, or make any required installment, under Section 412 of the Code within ninety (90) days after the occurrence thereof, except where the failure to so satisfy would not reasonably be expected to have a Material Adverse Effect, and (ii) establish, maintain and operate all Foreign Plans in compliance in all material respects with all requirements of law and the respective requirements of the governing documents for such Foreign Plans (including, for greater certainty, to pay all contributions, premiums and payments when due in accordance with its terms and all applicable laws), except for failures to comply which, in the aggregate, would not reasonably be expected to have a Material Adverse Effect.</w:t>
      </w:r>
    </w:p>
    <w:p>
      <w:pPr>
        <w:spacing w:after="0" w:line="194" w:lineRule="exact"/>
        <w:rPr>
          <w:sz w:val="20"/>
          <w:szCs w:val="20"/>
          <w:color w:val="auto"/>
        </w:rPr>
      </w:pPr>
    </w:p>
    <w:p>
      <w:pPr>
        <w:jc w:val="both"/>
        <w:ind w:firstLine="656"/>
        <w:spacing w:after="0" w:line="232" w:lineRule="auto"/>
        <w:tabs>
          <w:tab w:leader="none" w:pos="958" w:val="left"/>
        </w:tabs>
        <w:numPr>
          <w:ilvl w:val="0"/>
          <w:numId w:val="207"/>
        </w:numPr>
        <w:rPr>
          <w:rFonts w:ascii="Arial" w:cs="Arial" w:eastAsia="Arial" w:hAnsi="Arial"/>
          <w:sz w:val="20"/>
          <w:szCs w:val="20"/>
          <w:color w:val="auto"/>
        </w:rPr>
      </w:pPr>
      <w:r>
        <w:rPr>
          <w:rFonts w:ascii="Arial" w:cs="Arial" w:eastAsia="Arial" w:hAnsi="Arial"/>
          <w:sz w:val="20"/>
          <w:szCs w:val="20"/>
          <w:color w:val="auto"/>
        </w:rPr>
        <w:t>Each Canadian Credit Party shall provide the Canadian Administrative Agent and each Lender with (i) upon request by the Canadian Administrative Agent, copies of all annual information returns, actuarial reports and any other reports which have been filed with a Governmental Authority with respect to each Canadian Defined Benefit Plan, promptly after filing, and (ii) any direction, order, notice, ruling or opinion that any Canadian Credit Party may receive from a Governmental Authority with respect to any Canadian Defined Benefit Plan, promptly after receipt.</w:t>
      </w:r>
    </w:p>
    <w:p>
      <w:pPr>
        <w:spacing w:after="0" w:line="211" w:lineRule="exact"/>
        <w:rPr>
          <w:rFonts w:ascii="Arial" w:cs="Arial" w:eastAsia="Arial" w:hAnsi="Arial"/>
          <w:sz w:val="20"/>
          <w:szCs w:val="20"/>
          <w:color w:val="auto"/>
        </w:rPr>
      </w:pPr>
    </w:p>
    <w:p>
      <w:pPr>
        <w:jc w:val="both"/>
        <w:ind w:firstLine="656"/>
        <w:spacing w:after="0" w:line="256" w:lineRule="auto"/>
        <w:tabs>
          <w:tab w:leader="none" w:pos="9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Each Canadian Credit Party will promptly notify the Canadian Administrative Agent and each Lender on becoming aware of (i) a Canadian Pension Termination Event, (ii) the failure to make a required contribution or payment under any Canadian Defined Benefit Plan when due in accordance with its terms and applicable laws, (iii) the occurrence of any event which is reasonably likely to result in any Canadian Credit Party incurring any liability, fine or penalty with respect to any Canadian Defined Benefit Plan, (iv) the establishment of any new plan which, if it currently existed, would be a Canadian Defined Benefit Plan, or any change to an existing Canadian Defined Benefit Plan which would materially affect the funding obligations or funded status of such plan, (v) the acquisition of an interest in any Person if such Person sponsors, administers, or participates in, or has any liability in respect of, any Canadian Defined Benefit Plan or Multiple Employer Plan; or (vi) any increase in the contingent liability of a Canadian Credit Party with respect to any post-retirement Foreign Plan benefit if the increase in such contingent liability would reasonably be expected to have a Material Adverse Effect. In the notice to the Canadian Administrative Agent and each Lender of the foregoing, copies of all documentation relating thereto shall be provided.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7.11 </w:t>
      </w:r>
      <w:r>
        <w:rPr>
          <w:rFonts w:ascii="Arial" w:cs="Arial" w:eastAsia="Arial" w:hAnsi="Arial"/>
          <w:sz w:val="20"/>
          <w:szCs w:val="20"/>
          <w:u w:val="single" w:color="auto"/>
          <w:color w:val="auto"/>
        </w:rPr>
        <w:t>Insurance</w:t>
      </w:r>
    </w:p>
    <w:p>
      <w:pPr>
        <w:ind w:left="66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left="1300"/>
        <w:spacing w:after="0" w:line="239" w:lineRule="auto"/>
        <w:rPr>
          <w:sz w:val="20"/>
          <w:szCs w:val="20"/>
          <w:color w:val="auto"/>
        </w:rPr>
      </w:pPr>
      <w:r>
        <w:rPr>
          <w:rFonts w:ascii="Arial" w:cs="Arial" w:eastAsia="Arial" w:hAnsi="Arial"/>
          <w:sz w:val="19"/>
          <w:szCs w:val="19"/>
          <w:color w:val="auto"/>
        </w:rPr>
        <w:t xml:space="preserve">(a)Each Credit Party will maintain or cause to be maintained, and shall cause each of its Material Subsidiaries to maintain or cause to be maintained, with insurers such Credit Party believes are reputable at the time the relevant coverage is placed or renewed, insurance with respect to its material properties and business against loss or damage of the kinds customarily insured against by Persons engaged in the same or similar business, of such types and in such amounts as are customarily carried under similar circumstances by such other Persons, except that a portion of such insurance program (not to exceed that which is customary in the case of companies engaged in the same or similar business or having similar properties similarly situated) may be effected through self-insurance,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adequate reserves therefor, in accordance with GAAP, are maintained,</w:t>
      </w:r>
    </w:p>
    <w:p>
      <w:pPr>
        <w:sectPr>
          <w:pgSz w:w="11900" w:h="16838" w:orient="portrait"/>
          <w:cols w:equalWidth="0" w:num="1">
            <w:col w:w="11240"/>
          </w:cols>
          <w:pgMar w:left="320" w:top="1419" w:right="339" w:bottom="1440" w:gutter="0" w:footer="0" w:header="0"/>
        </w:sectPr>
      </w:pPr>
    </w:p>
    <w:bookmarkStart w:id="268" w:name="page269"/>
    <w:bookmarkEnd w:id="268"/>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 [Reserved], and</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(c)All insurance policies or certificates (or certified copies thereof) with respect to such insurance issued by third parties:</w:t>
      </w:r>
    </w:p>
    <w:p>
      <w:pPr>
        <w:sectPr>
          <w:pgSz w:w="11900" w:h="16838" w:orient="portrait"/>
          <w:cols w:equalWidth="0" w:num="1">
            <w:col w:w="11240"/>
          </w:cols>
          <w:pgMar w:left="320" w:top="1440" w:right="339" w:bottom="1440" w:gutter="0" w:footer="0" w:header="0"/>
        </w:sectPr>
      </w:pPr>
    </w:p>
    <w:p>
      <w:pPr>
        <w:spacing w:after="0" w:line="252" w:lineRule="exact"/>
        <w:rPr>
          <w:sz w:val="20"/>
          <w:szCs w:val="20"/>
          <w:color w:val="auto"/>
        </w:rPr>
      </w:pPr>
    </w:p>
    <w:p>
      <w:pPr>
        <w:ind w:left="1960" w:firstLine="324"/>
        <w:spacing w:after="0" w:line="246" w:lineRule="auto"/>
        <w:rPr>
          <w:sz w:val="20"/>
          <w:szCs w:val="20"/>
          <w:color w:val="auto"/>
        </w:rPr>
      </w:pPr>
      <w:r>
        <w:rPr>
          <w:rFonts w:ascii="Arial" w:cs="Arial" w:eastAsia="Arial" w:hAnsi="Arial"/>
          <w:sz w:val="20"/>
          <w:szCs w:val="20"/>
          <w:color w:val="auto"/>
        </w:rPr>
        <w:t>i. shall provide that Collateral Agent is a loss payee for all property and insured for all liability policies; and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casualty policies and additional</w:t>
      </w:r>
    </w:p>
    <w:p>
      <w:pPr>
        <w:spacing w:after="0" w:line="464" w:lineRule="exact"/>
        <w:rPr>
          <w:sz w:val="20"/>
          <w:szCs w:val="20"/>
          <w:color w:val="auto"/>
        </w:rPr>
      </w:pPr>
    </w:p>
    <w:p>
      <w:pPr>
        <w:sectPr>
          <w:pgSz w:w="11900" w:h="16838" w:orient="portrait"/>
          <w:cols w:equalWidth="0" w:num="2">
            <w:col w:w="8340" w:space="340"/>
            <w:col w:w="2560"/>
          </w:cols>
          <w:pgMar w:left="320" w:top="1440" w:right="339" w:bottom="1440" w:gutter="0" w:footer="0" w:header="0"/>
          <w:type w:val="continuous"/>
        </w:sectPr>
      </w:pPr>
    </w:p>
    <w:p>
      <w:pPr>
        <w:spacing w:after="0" w:line="4" w:lineRule="exact"/>
        <w:rPr>
          <w:sz w:val="20"/>
          <w:szCs w:val="20"/>
          <w:color w:val="auto"/>
        </w:rPr>
      </w:pPr>
    </w:p>
    <w:p>
      <w:pPr>
        <w:jc w:val="both"/>
        <w:ind w:left="1960" w:hanging="8"/>
        <w:spacing w:after="0" w:line="237" w:lineRule="auto"/>
        <w:tabs>
          <w:tab w:leader="none" w:pos="215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shall state that such insurance policy shall not be canceled or revised without thirty days’ (or ten days’, with respect to cancellation in connection with nonpayment) prior to written notice thereof by the insurer to the Collateral Agent.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7.2 Environmental Laws</w:t>
      </w:r>
      <w:r>
        <w:rPr>
          <w:rFonts w:ascii="Arial" w:cs="Arial" w:eastAsia="Arial" w:hAnsi="Arial"/>
          <w:sz w:val="20"/>
          <w:szCs w:val="20"/>
          <w:color w:val="auto"/>
        </w:rPr>
        <w:t>. Each Credit Party will, and will cause each of its Subsidiaries to:</w:t>
      </w:r>
    </w:p>
    <w:p>
      <w:pPr>
        <w:spacing w:after="0" w:line="22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use and operate all of its facilities and properties in compliance with all Environmental Laws, keep all Environmental Permits required by Environmental Laws for the operation of its facilities in effect and remain in compliance therewith, and handle all Hazardous Materials in compliance with all Environmental Laws, except for any such noncompliance or failure to keep that, individually or in the aggregate, would not reasonably be expected to have a Material Adverse Effect;</w:t>
      </w:r>
    </w:p>
    <w:p>
      <w:pPr>
        <w:spacing w:after="0" w:line="210"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promptly notify Administrative Agent and provide copies of all written inquiries, claims, assessments, complaints or notices from any Person relating to the environmental condition of its facilities and properties or compliance with or liability under any Environmental Law which would reasonably be expected to have a Material Adverse Effect, and promptly cure and have dismissed with prejudice or contest in good faith any actions and proceedings relating thereto; and</w:t>
      </w:r>
    </w:p>
    <w:p>
      <w:pPr>
        <w:spacing w:after="0" w:line="21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provide such information and certifications which Administrative Agent may reasonably request from time to time to evidence compliance with this </w:t>
      </w:r>
      <w:r>
        <w:rPr>
          <w:rFonts w:ascii="Arial" w:cs="Arial" w:eastAsia="Arial" w:hAnsi="Arial"/>
          <w:sz w:val="20"/>
          <w:szCs w:val="20"/>
          <w:u w:val="single" w:color="auto"/>
          <w:color w:val="auto"/>
        </w:rPr>
        <w:t>Section 7.12</w:t>
      </w:r>
      <w:r>
        <w:rPr>
          <w:rFonts w:ascii="Arial" w:cs="Arial" w:eastAsia="Arial" w:hAnsi="Arial"/>
          <w:sz w:val="20"/>
          <w:szCs w:val="20"/>
          <w:color w:val="auto"/>
        </w:rPr>
        <w: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7.13 Use of Proceeds</w:t>
      </w:r>
      <w:r>
        <w:rPr>
          <w:rFonts w:ascii="Arial" w:cs="Arial" w:eastAsia="Arial" w:hAnsi="Arial"/>
          <w:sz w:val="20"/>
          <w:szCs w:val="20"/>
          <w:color w:val="auto"/>
        </w:rPr>
        <w:t xml:space="preserve">. Borrowers will use all proceeds of the Loans as provided in </w:t>
      </w:r>
      <w:r>
        <w:rPr>
          <w:rFonts w:ascii="Arial" w:cs="Arial" w:eastAsia="Arial" w:hAnsi="Arial"/>
          <w:sz w:val="20"/>
          <w:szCs w:val="20"/>
          <w:u w:val="single" w:color="auto"/>
          <w:color w:val="auto"/>
        </w:rPr>
        <w:t>Sections 6.8</w:t>
      </w:r>
      <w:r>
        <w:rPr>
          <w:rFonts w:ascii="Arial" w:cs="Arial" w:eastAsia="Arial" w:hAnsi="Arial"/>
          <w:sz w:val="20"/>
          <w:szCs w:val="20"/>
          <w:color w:val="auto"/>
        </w:rPr>
        <w:t xml:space="preserve">, </w:t>
      </w:r>
      <w:r>
        <w:rPr>
          <w:rFonts w:ascii="Arial" w:cs="Arial" w:eastAsia="Arial" w:hAnsi="Arial"/>
          <w:sz w:val="20"/>
          <w:szCs w:val="20"/>
          <w:u w:val="single" w:color="auto"/>
          <w:color w:val="auto"/>
        </w:rPr>
        <w:t>6.21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6.22</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7.14 Guarantees; Pledge of Additional Collateral</w:t>
      </w:r>
    </w:p>
    <w:p>
      <w:pPr>
        <w:ind w:left="66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firstLine="656"/>
        <w:spacing w:after="0" w:line="238" w:lineRule="auto"/>
        <w:tabs>
          <w:tab w:leader="none" w:pos="923"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Subject to the Agreed Guaranty and Security Principles, in the event that any U.S. Subsidiary of Crown Holdings existing on the Incremental Amendment No. 2 and Third Amendment Effective Date (other than any Excluded Subsidiary and other than a U.S. Subsidiary that executes a U.S. Borrower Joinder Agreement) has not previously executed the U.S. Guarantee Agreement or in the event that any Person becomes a U.S. Material Subsidiary (other than any Excluded Subsidiary) of Crown Holdings, Crown Holdings will promptly notify Administrative Agent of that fact and cause such Subsidiary to execute and deliver to Administrative Agent a counterpart of the U.S. Guarantee Agreement and cause such Subsidiary (other than, solely with respect to any U.S. Obligations of U.S. Borrower in its capacity as a Borrower, any Disregarded Subsidiary) to deliver to U.S. Collateral Agent a counterpart of the U.S. Security Agreement and the U.S. Pledge Agreement and to take all such further actions and execute all such further documents and instruments (including actions, documents and certificates comparable to those described in </w:t>
      </w:r>
      <w:r>
        <w:rPr>
          <w:rFonts w:ascii="Arial" w:cs="Arial" w:eastAsia="Arial" w:hAnsi="Arial"/>
          <w:sz w:val="19"/>
          <w:szCs w:val="19"/>
          <w:u w:val="single" w:color="auto"/>
          <w:color w:val="auto"/>
        </w:rPr>
        <w:t>Section 5.1(b)</w:t>
      </w:r>
      <w:r>
        <w:rPr>
          <w:rFonts w:ascii="Arial" w:cs="Arial" w:eastAsia="Arial" w:hAnsi="Arial"/>
          <w:sz w:val="19"/>
          <w:szCs w:val="19"/>
          <w:color w:val="auto"/>
        </w:rPr>
        <w:t>) as may be necessary or, in the reasonable opinion of Administrative Agent, desirable to create in favor of U.S. Collateral Agent, for the benefit of the Secured Creditors, a valid and perfected first priority Lien on all of the property and assets (excluding, however, any Real Property) of such Subsidiary described in the applicable forms of U.S. Security Documents.</w:t>
      </w:r>
    </w:p>
    <w:p>
      <w:pPr>
        <w:sectPr>
          <w:pgSz w:w="11900" w:h="16838" w:orient="portrait"/>
          <w:cols w:equalWidth="0" w:num="1">
            <w:col w:w="11240"/>
          </w:cols>
          <w:pgMar w:left="320" w:top="1440" w:right="339" w:bottom="1440" w:gutter="0" w:footer="0" w:header="0"/>
          <w:type w:val="continuous"/>
        </w:sectPr>
      </w:pPr>
    </w:p>
    <w:bookmarkStart w:id="269" w:name="page270"/>
    <w:bookmarkEnd w:id="269"/>
    <w:p>
      <w:pPr>
        <w:jc w:val="both"/>
        <w:ind w:firstLine="656"/>
        <w:spacing w:after="0"/>
        <w:tabs>
          <w:tab w:leader="none" w:pos="929" w:val="left"/>
        </w:tabs>
        <w:numPr>
          <w:ilvl w:val="0"/>
          <w:numId w:val="210"/>
        </w:numPr>
        <w:rPr>
          <w:rFonts w:ascii="Arial" w:cs="Arial" w:eastAsia="Arial" w:hAnsi="Arial"/>
          <w:sz w:val="19"/>
          <w:szCs w:val="19"/>
          <w:color w:val="auto"/>
        </w:rPr>
      </w:pPr>
      <w:r>
        <w:rPr>
          <w:rFonts w:ascii="Arial" w:cs="Arial" w:eastAsia="Arial" w:hAnsi="Arial"/>
          <w:sz w:val="19"/>
          <w:szCs w:val="19"/>
          <w:color w:val="auto"/>
        </w:rPr>
        <w:t>Subject to the Agreed Guaranty and Security Principles, in any event within 60 days (or within such longer period of time that the U.S. Collateral Agent may agree in its sole discretion) after the acquisition of assets of the type that would have constituted U.S. Collateral on the Original Closing Date pursuant to the U.S. Security Agreement or the U.S. Pledge Agreement (the “</w:t>
      </w:r>
      <w:r>
        <w:rPr>
          <w:rFonts w:ascii="Arial" w:cs="Arial" w:eastAsia="Arial" w:hAnsi="Arial"/>
          <w:sz w:val="19"/>
          <w:szCs w:val="19"/>
          <w:u w:val="single" w:color="auto"/>
          <w:color w:val="auto"/>
        </w:rPr>
        <w:t>Additional U.S. Collateral</w:t>
      </w:r>
      <w:r>
        <w:rPr>
          <w:rFonts w:ascii="Arial" w:cs="Arial" w:eastAsia="Arial" w:hAnsi="Arial"/>
          <w:sz w:val="19"/>
          <w:szCs w:val="19"/>
          <w:color w:val="auto"/>
        </w:rPr>
        <w:t xml:space="preserve">”), Crown Holdings will, and will cause each appropriate U.S. Material Subsidiary to, take all necessary action, including the filing of appropriate financing statements under the provisions of the UCC, applicable domestic or local laws, rules or regulations in each of the offices where such filing is necessary or appropriate, or entering into or amending the U.S. Guarantee Agreement, the U.S. Security Agreement or the U.S. Pledge Agreement, to grant to U.S. Collateral Agent for its benefit and the benefit of the Secured Creditors a perfected Lien (having the priority set forth in the U.S. Security Agreement or the U.S. Pledge Agreement, as applicable) on such Additional U.S. Collateral pursuant to and to the full extent required by the U.S. Security Agreement or the U.S. Pledge Agreement and this Agreement (including, without limitation, to the extent requested by the U.S. Collateral Agent, satisfaction of the conditions set forth in subsections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5.1</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(c)Subject to the provisos set forth below in this section and the Agreed Guaranty and Security Principles, in the event that any Non-U.S. Guarantee Subsidiary existing on the Incremental Amendment No. 2 and Third Amendment Effective Date has not previously executed the Non-U.S. Guarantee Agreement (or a supplement or counterpart thereto) or in the event that any Person becomes a Non-U.S. Guarantee Subsidiary after the Effective Date, European Borrower will promptly notify Administrative Agent of that fact and, to the extent permitted by applicable law, cause such Non-U.S. Subsidiary to execute and deliver to Administrative Agent a counterpart of the Non-U.S. Guarantee Agreement (or as required by local law, such local law equivalent document) and (x) if such Non-U.S. Subsidiary is a Specified Foreign Credit Party, deliver to Euro Collateral Agent a counterpart of the applicable Euro Security Documents and such documents and instruments and take such further actions (including actions, documents and instruments comparable to those referred to in </w:t>
      </w:r>
      <w:r>
        <w:rPr>
          <w:rFonts w:ascii="Arial" w:cs="Arial" w:eastAsia="Arial" w:hAnsi="Arial"/>
          <w:sz w:val="18"/>
          <w:szCs w:val="18"/>
          <w:u w:val="single" w:color="auto"/>
          <w:color w:val="auto"/>
        </w:rPr>
        <w:t>Section 5.1(b)(v)</w:t>
      </w:r>
      <w:r>
        <w:rPr>
          <w:rFonts w:ascii="Arial" w:cs="Arial" w:eastAsia="Arial" w:hAnsi="Arial"/>
          <w:sz w:val="18"/>
          <w:szCs w:val="18"/>
          <w:color w:val="auto"/>
        </w:rPr>
        <w:t xml:space="preserve">) as may be necessary or, in the reasonable opinion of Administrative Agent, desirable to create in favor of Euro Collateral Agent, for the benefit of the applicable Secured Creditors, a valid and perfected first priority Lien (subject to Permitted Liens) on all of the property and assets (excluding, however, any Real Property) of such Non-U.S. Subsidiary that would have constituted Euro Collateral on the Original Closing Date under the applicable Euro Security Documents of other Non-U.S. Guarantee Subsidiaries organized in the same jurisdiction to the extent legally permissible and (y) if such Non-U.S. Subsidiary is not a Specified Foreign Credit Party, create in favor of the Euro Collateral Agent for the benefit of the applicable Secured Creditors, a valid and perfected first priority Lien (subject to Permitted Liens) on all Capital Stock of its Subsidiaries, together with executed and undated stock powers and/or assignments in blank or other instruments of transfer customary in the applicable jurisdiction and customary local law pledge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all Non-U.S. Subsidiary Guarantors other than those organized in England, Canada, France, Germany, Mexico, Switzerland, The Netherlands or The Grand Duchy of Luxembourg, in addition to the foregoing requirements, the Administrative Agent shall have either (1) given prior written consent (not to be unreasonably conditioned, withheld or delayed) with respect to adding such Non-U.S. Subsidiary as a new Credit Party or (2) received (A) legal opinions from local counsel in each relevant jurisdiction confirming the availability, validity and enforceability of guarantees and collateral support to be provided by each such Non-U.S. Subsidiary Guarantor in form and substance reasonably satisfactory to the Administrative Agent and (B) confirmation from the applicable Lenders that the addition of such Non-U.S. Subsidiary as a new Credit Party does not conflict with or violate applicable law or the internal policies of each applicable Lender.</w:t>
      </w:r>
    </w:p>
    <w:p>
      <w:pPr>
        <w:spacing w:after="0" w:line="212" w:lineRule="exact"/>
        <w:rPr>
          <w:sz w:val="20"/>
          <w:szCs w:val="20"/>
          <w:color w:val="auto"/>
        </w:rPr>
      </w:pPr>
    </w:p>
    <w:p>
      <w:pPr>
        <w:jc w:val="both"/>
        <w:ind w:firstLine="656"/>
        <w:spacing w:after="0" w:line="248" w:lineRule="auto"/>
        <w:tabs>
          <w:tab w:leader="none" w:pos="929" w:val="left"/>
        </w:tabs>
        <w:numPr>
          <w:ilvl w:val="0"/>
          <w:numId w:val="211"/>
        </w:numPr>
        <w:rPr>
          <w:rFonts w:ascii="Arial" w:cs="Arial" w:eastAsia="Arial" w:hAnsi="Arial"/>
          <w:sz w:val="19"/>
          <w:szCs w:val="19"/>
          <w:color w:val="auto"/>
        </w:rPr>
      </w:pPr>
      <w:r>
        <w:rPr>
          <w:rFonts w:ascii="Arial" w:cs="Arial" w:eastAsia="Arial" w:hAnsi="Arial"/>
          <w:sz w:val="19"/>
          <w:szCs w:val="19"/>
          <w:color w:val="auto"/>
        </w:rPr>
        <w:t>Subject to the Agreed Guaranty and Security Principles, in any event within 60 days (or within such longer period of time that the Euro Collateral Agent may agree in its sole discretion) after the acquisition of assets of the type that would have constituted Euro Collateral on the Original Closing Date (other than any intercompany loans or Indebtedness not otherwise required to be pledged under this Agreement) pursuant to any Euro Security Document (the “</w:t>
      </w:r>
      <w:r>
        <w:rPr>
          <w:rFonts w:ascii="Arial" w:cs="Arial" w:eastAsia="Arial" w:hAnsi="Arial"/>
          <w:sz w:val="19"/>
          <w:szCs w:val="19"/>
          <w:u w:val="single" w:color="auto"/>
          <w:color w:val="auto"/>
        </w:rPr>
        <w:t>Additional Euro Collateral</w:t>
      </w:r>
      <w:r>
        <w:rPr>
          <w:rFonts w:ascii="Arial" w:cs="Arial" w:eastAsia="Arial" w:hAnsi="Arial"/>
          <w:sz w:val="19"/>
          <w:szCs w:val="19"/>
          <w:color w:val="auto"/>
        </w:rPr>
        <w:t>” and together with</w:t>
      </w:r>
    </w:p>
    <w:p>
      <w:pPr>
        <w:sectPr>
          <w:pgSz w:w="11900" w:h="16838" w:orient="portrait"/>
          <w:cols w:equalWidth="0" w:num="1">
            <w:col w:w="11240"/>
          </w:cols>
          <w:pgMar w:left="320" w:top="1419" w:right="339" w:bottom="1440" w:gutter="0" w:footer="0" w:header="0"/>
        </w:sectPr>
      </w:pPr>
    </w:p>
    <w:bookmarkStart w:id="270" w:name="page271"/>
    <w:bookmarkEnd w:id="270"/>
    <w:p>
      <w:pPr>
        <w:jc w:val="both"/>
        <w:spacing w:after="0" w:line="260" w:lineRule="auto"/>
        <w:rPr>
          <w:sz w:val="20"/>
          <w:szCs w:val="20"/>
          <w:color w:val="auto"/>
        </w:rPr>
      </w:pPr>
      <w:r>
        <w:rPr>
          <w:rFonts w:ascii="Arial" w:cs="Arial" w:eastAsia="Arial" w:hAnsi="Arial"/>
          <w:sz w:val="18"/>
          <w:szCs w:val="18"/>
          <w:color w:val="auto"/>
        </w:rPr>
        <w:t>the Additional U.S. Collateral, the “</w:t>
      </w:r>
      <w:r>
        <w:rPr>
          <w:rFonts w:ascii="Arial" w:cs="Arial" w:eastAsia="Arial" w:hAnsi="Arial"/>
          <w:sz w:val="18"/>
          <w:szCs w:val="18"/>
          <w:u w:val="single" w:color="auto"/>
          <w:color w:val="auto"/>
        </w:rPr>
        <w:t>Additional Collateral</w:t>
      </w:r>
      <w:r>
        <w:rPr>
          <w:rFonts w:ascii="Arial" w:cs="Arial" w:eastAsia="Arial" w:hAnsi="Arial"/>
          <w:sz w:val="18"/>
          <w:szCs w:val="18"/>
          <w:color w:val="auto"/>
        </w:rPr>
        <w:t xml:space="preserve">”), European Borrower will, and will cause each appropriate Subsidiary to, to the extent legally permissible, take all necessary action, including the filing of appropriate financing statements, under the provisions of applicable laws, rules or regulations in each of the offices where such filing is necessary or appropriate, or entering into or amending any Euro Security Document, to grant to Euro Collateral Agent for its benefit and the benefit of the Secured Creditors a perfected Lien on such Additional Euro Collateral pursuant to and to the full extent required by this Agreement (including, without limitation, to the extent requested by U.K. Administrative Agent, satisfaction of the conditions set forth in subsection </w:t>
      </w:r>
      <w:r>
        <w:rPr>
          <w:rFonts w:ascii="Arial" w:cs="Arial" w:eastAsia="Arial" w:hAnsi="Arial"/>
          <w:sz w:val="18"/>
          <w:szCs w:val="18"/>
          <w:u w:val="single" w:color="auto"/>
          <w:color w:val="auto"/>
        </w:rPr>
        <w:t>(a)(iii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94" w:lineRule="exact"/>
        <w:rPr>
          <w:sz w:val="20"/>
          <w:szCs w:val="20"/>
          <w:color w:val="auto"/>
        </w:rPr>
      </w:pPr>
    </w:p>
    <w:p>
      <w:pPr>
        <w:ind w:left="840" w:hanging="184"/>
        <w:spacing w:after="0"/>
        <w:tabs>
          <w:tab w:leader="none" w:pos="84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[Reserved].</w:t>
      </w:r>
    </w:p>
    <w:p>
      <w:pPr>
        <w:spacing w:after="0" w:line="229" w:lineRule="exact"/>
        <w:rPr>
          <w:rFonts w:ascii="Arial" w:cs="Arial" w:eastAsia="Arial" w:hAnsi="Arial"/>
          <w:sz w:val="20"/>
          <w:szCs w:val="20"/>
          <w:color w:val="auto"/>
        </w:rPr>
      </w:pPr>
    </w:p>
    <w:p>
      <w:pPr>
        <w:ind w:left="820" w:hanging="164"/>
        <w:spacing w:after="0"/>
        <w:tabs>
          <w:tab w:leader="none" w:pos="82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[Reserved].</w:t>
      </w:r>
    </w:p>
    <w:p>
      <w:pPr>
        <w:spacing w:after="0" w:line="229" w:lineRule="exact"/>
        <w:rPr>
          <w:rFonts w:ascii="Arial" w:cs="Arial" w:eastAsia="Arial" w:hAnsi="Arial"/>
          <w:sz w:val="20"/>
          <w:szCs w:val="20"/>
          <w:color w:val="auto"/>
        </w:rPr>
      </w:pPr>
    </w:p>
    <w:p>
      <w:pPr>
        <w:jc w:val="both"/>
        <w:ind w:firstLine="656"/>
        <w:spacing w:after="0" w:line="232" w:lineRule="auto"/>
        <w:tabs>
          <w:tab w:leader="none" w:pos="847" w:val="left"/>
        </w:tabs>
        <w:numPr>
          <w:ilvl w:val="0"/>
          <w:numId w:val="212"/>
        </w:numPr>
        <w:rPr>
          <w:rFonts w:ascii="Arial" w:cs="Arial" w:eastAsia="Arial" w:hAnsi="Arial"/>
          <w:sz w:val="20"/>
          <w:szCs w:val="20"/>
          <w:color w:val="auto"/>
        </w:rPr>
      </w:pPr>
      <w:r>
        <w:rPr>
          <w:rFonts w:ascii="Arial" w:cs="Arial" w:eastAsia="Arial" w:hAnsi="Arial"/>
          <w:sz w:val="20"/>
          <w:szCs w:val="20"/>
          <w:color w:val="auto"/>
        </w:rPr>
        <w:t>If, for any reason after the Original Closing Date, any debt securities of Crown Holdings or any of its Subsidiaries become secured by a Lien on Principal Property, each Credit Party shall, and shall cause each of its Subsidiaries to, take all necessary action so that any limitation on the Lien of the applicable Collateral Agent and the applicable Lenders on such Principal Property is eliminated from the Security Documents and the applicable Collateral Agent and the applicable Secured Creditors enjoy a full and unconditional Lien on all such Principal Property.</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u w:val="single" w:color="auto"/>
          <w:color w:val="auto"/>
        </w:rPr>
        <w:t>h.Documentation for Additional Security</w:t>
      </w:r>
      <w:r>
        <w:rPr>
          <w:rFonts w:ascii="Arial" w:cs="Arial" w:eastAsia="Arial" w:hAnsi="Arial"/>
          <w:sz w:val="18"/>
          <w:szCs w:val="18"/>
          <w:color w:val="auto"/>
        </w:rPr>
        <w:t xml:space="preserve">. The security interests required to be granted pursuant to this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shall be granted pursuant to such security documentation (which shall be subject to the Agreed Guaranty and Security Principles and be substantially similar to the Security Documents already executed and delivered in the applicable jurisdiction by Crown Holdings or the applicable Borrower or otherwise reasonably satisfactory in form and substance to the Administrative Agent) shall constitute valid and enforceable perfected security interests (to the extent such concepts exist in the relevant jurisdictions) subject to no other Liens except Permitted Liens,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in any Loan Document, each Additional Security Document shall be limited to the extent necessary to comply with the Agreed Guaranty and Security Principles, including as may be required pursuant thereto by limiting the maximum amount of the Obligations guaranteed by such Person or secured under such Additional Security Document. The Additional Security Documents and other instruments related thereto shall be duly recorded or filed in such manner and in such places and at such times as are required by law to establish, perfect, preserve and protect the Liens, in favor of Collateral Agent for the benefit of the Secured Creditors, required to be granted pursuant to the Additional Security Document and, all taxes, duties, levies, imposes, deductions, assessments, charges, withholdings, fees and other charges payable in connection therewith shall be paid in full by Crown Holdings. At the time of the execution and delivery of the Additional Security Documents, Crown Holdings shall cause to be delivered to Administrative Agent such agreements, opinions of counsel, and other related documents as may be reasonably requested by Administrative Agent or the Required Lenders to assure themselves that this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has been complied with.</w:t>
      </w:r>
    </w:p>
    <w:p>
      <w:pPr>
        <w:spacing w:after="0" w:line="19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Each Credit Party will, and will cause each of its Subsidiaries to, execute any and all further documents, financing statements, agreements and instruments, and take all such further actions (including the filing and recording of financing statements, notarizations, mortgages, deeds of trust and other documents and the delivery of appropriate opinions of counsel), which may be required under any applicable law, or which Administrative Agent or the Required Lenders may reasonably request, to effectuate the transactions contemplated by the Loan Documents or to grant, preserve, protect or perfect the Liens created by the Security Documents or the validity or priority of any such Lien, all at the expense of the Credit Parties. Each Credit Party also agrees to provide to Administrative Agent, from time to time upon request, evidence reasonably satisfactory to Administrative Agent as to the perfection and priority of the Liens created or intended to be created by the Security Documents.</w:t>
      </w:r>
    </w:p>
    <w:p>
      <w:pPr>
        <w:sectPr>
          <w:pgSz w:w="11900" w:h="16838" w:orient="portrait"/>
          <w:cols w:equalWidth="0" w:num="1">
            <w:col w:w="11240"/>
          </w:cols>
          <w:pgMar w:left="320" w:top="1419" w:right="339" w:bottom="1440" w:gutter="0" w:footer="0" w:header="0"/>
        </w:sectPr>
      </w:pPr>
    </w:p>
    <w:bookmarkStart w:id="271" w:name="page272"/>
    <w:bookmarkEnd w:id="271"/>
    <w:p>
      <w:pPr>
        <w:ind w:left="652"/>
        <w:spacing w:after="0"/>
        <w:rPr>
          <w:sz w:val="20"/>
          <w:szCs w:val="20"/>
          <w:color w:val="auto"/>
        </w:rPr>
      </w:pPr>
      <w:r>
        <w:rPr>
          <w:rFonts w:ascii="Arial" w:cs="Arial" w:eastAsia="Arial" w:hAnsi="Arial"/>
          <w:sz w:val="18"/>
          <w:szCs w:val="18"/>
          <w:color w:val="auto"/>
        </w:rPr>
        <w:t xml:space="preserve">Notwithstanding anything to the contrary, the provisions in this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are subject to the exceptions set forth in </w:t>
      </w:r>
      <w:r>
        <w:rPr>
          <w:rFonts w:ascii="Arial" w:cs="Arial" w:eastAsia="Arial" w:hAnsi="Arial"/>
          <w:sz w:val="18"/>
          <w:szCs w:val="18"/>
          <w:u w:val="single" w:color="auto"/>
          <w:color w:val="auto"/>
        </w:rPr>
        <w:t>Section 7.20</w:t>
      </w:r>
      <w:r>
        <w:rPr>
          <w:rFonts w:ascii="Arial" w:cs="Arial" w:eastAsia="Arial" w:hAnsi="Arial"/>
          <w:sz w:val="18"/>
          <w:szCs w:val="18"/>
          <w:color w:val="auto"/>
        </w:rPr>
        <w:t>.</w:t>
      </w:r>
    </w:p>
    <w:p>
      <w:pPr>
        <w:spacing w:after="0" w:line="252" w:lineRule="exact"/>
        <w:rPr>
          <w:sz w:val="20"/>
          <w:szCs w:val="20"/>
          <w:color w:val="auto"/>
        </w:rPr>
      </w:pPr>
    </w:p>
    <w:p>
      <w:pPr>
        <w:jc w:val="both"/>
        <w:ind w:left="652"/>
        <w:spacing w:after="0" w:line="242" w:lineRule="auto"/>
        <w:rPr>
          <w:sz w:val="20"/>
          <w:szCs w:val="20"/>
          <w:color w:val="auto"/>
        </w:rPr>
      </w:pPr>
      <w:r>
        <w:rPr>
          <w:rFonts w:ascii="Arial" w:cs="Arial" w:eastAsia="Arial" w:hAnsi="Arial"/>
          <w:sz w:val="19"/>
          <w:szCs w:val="19"/>
          <w:u w:val="single" w:color="auto"/>
          <w:color w:val="auto"/>
        </w:rPr>
        <w:t>7.15 End of Fiscal Years; Fiscal Quarters</w:t>
      </w:r>
      <w:r>
        <w:rPr>
          <w:rFonts w:ascii="Arial" w:cs="Arial" w:eastAsia="Arial" w:hAnsi="Arial"/>
          <w:sz w:val="19"/>
          <w:szCs w:val="19"/>
          <w:color w:val="auto"/>
        </w:rPr>
        <w:t>. Except as otherwise (x) required by any Requirement of Law or to qualify for any exemption therefrom or (y) agreed between Crown Holdings and the Administrative Agent (and in the case of clauses (x) and (y), subject to such adjustments to this Agreement as Crown Holdings and the Administrative Agent shall reasonably agree are necessary or appropriate in connection with such changes (and, notwithstanding anything to the contrary contained herein, the parties hereto hereby authorize Crown Holdings and the Administrative Agent to make any such amendments to this Agreement as they jointly deem necessary or appropriate to give effect to the foregoing)), Crown Holdings will cause each of its and the Borrowers’ annual accounting periods to end on December 31 of each year (each a “</w:t>
      </w:r>
      <w:r>
        <w:rPr>
          <w:rFonts w:ascii="Arial" w:cs="Arial" w:eastAsia="Arial" w:hAnsi="Arial"/>
          <w:sz w:val="19"/>
          <w:szCs w:val="19"/>
          <w:u w:val="single" w:color="auto"/>
          <w:color w:val="auto"/>
        </w:rPr>
        <w:t>Fiscal Year</w:t>
      </w:r>
      <w:r>
        <w:rPr>
          <w:rFonts w:ascii="Arial" w:cs="Arial" w:eastAsia="Arial" w:hAnsi="Arial"/>
          <w:sz w:val="19"/>
          <w:szCs w:val="19"/>
          <w:color w:val="auto"/>
        </w:rPr>
        <w:t>”), with quarterly accounting periods ending on March 31, June 30 and September 30, of each Fiscal Year (each a “</w:t>
      </w:r>
      <w:r>
        <w:rPr>
          <w:rFonts w:ascii="Arial" w:cs="Arial" w:eastAsia="Arial" w:hAnsi="Arial"/>
          <w:sz w:val="19"/>
          <w:szCs w:val="19"/>
          <w:u w:val="single" w:color="auto"/>
          <w:color w:val="auto"/>
        </w:rPr>
        <w:t>Fiscal Quarter</w:t>
      </w:r>
      <w:r>
        <w:rPr>
          <w:rFonts w:ascii="Arial" w:cs="Arial" w:eastAsia="Arial" w:hAnsi="Arial"/>
          <w:sz w:val="19"/>
          <w:szCs w:val="19"/>
          <w:color w:val="auto"/>
        </w:rPr>
        <w:t>”).</w:t>
      </w:r>
    </w:p>
    <w:p>
      <w:pPr>
        <w:spacing w:after="0" w:line="209" w:lineRule="exact"/>
        <w:rPr>
          <w:sz w:val="20"/>
          <w:szCs w:val="20"/>
          <w:color w:val="auto"/>
        </w:rPr>
      </w:pPr>
    </w:p>
    <w:p>
      <w:pPr>
        <w:ind w:left="652"/>
        <w:spacing w:after="0"/>
        <w:rPr>
          <w:sz w:val="20"/>
          <w:szCs w:val="20"/>
          <w:color w:val="auto"/>
        </w:rPr>
      </w:pPr>
      <w:r>
        <w:rPr>
          <w:rFonts w:ascii="Arial" w:cs="Arial" w:eastAsia="Arial" w:hAnsi="Arial"/>
          <w:sz w:val="20"/>
          <w:szCs w:val="20"/>
          <w:u w:val="single" w:color="auto"/>
          <w:color w:val="auto"/>
        </w:rPr>
        <w:t>7.16 Information Regarding Collateral</w:t>
      </w:r>
    </w:p>
    <w:p>
      <w:pPr>
        <w:ind w:left="652"/>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ind w:left="932" w:hanging="284"/>
        <w:spacing w:after="0"/>
        <w:tabs>
          <w:tab w:leader="none" w:pos="932" w:val="left"/>
        </w:tabs>
        <w:numPr>
          <w:ilvl w:val="1"/>
          <w:numId w:val="213"/>
        </w:numPr>
        <w:rPr>
          <w:rFonts w:ascii="Arial" w:cs="Arial" w:eastAsia="Arial" w:hAnsi="Arial"/>
          <w:sz w:val="18"/>
          <w:szCs w:val="18"/>
          <w:color w:val="auto"/>
        </w:rPr>
      </w:pPr>
      <w:r>
        <w:rPr>
          <w:rFonts w:ascii="Arial" w:cs="Arial" w:eastAsia="Arial" w:hAnsi="Arial"/>
          <w:sz w:val="18"/>
          <w:szCs w:val="18"/>
          <w:color w:val="auto"/>
        </w:rPr>
        <w:t>Each Credit Party will furnish to Administrative Agent prompt written notice of any change (i) in any Credit Party’s legal name,</w:t>
      </w:r>
    </w:p>
    <w:p>
      <w:pPr>
        <w:spacing w:after="0" w:line="9" w:lineRule="exact"/>
        <w:rPr>
          <w:rFonts w:ascii="Arial" w:cs="Arial" w:eastAsia="Arial" w:hAnsi="Arial"/>
          <w:sz w:val="18"/>
          <w:szCs w:val="18"/>
          <w:color w:val="auto"/>
        </w:rPr>
      </w:pPr>
    </w:p>
    <w:p>
      <w:pPr>
        <w:jc w:val="both"/>
        <w:ind w:left="-8" w:firstLine="8"/>
        <w:spacing w:after="0" w:line="241" w:lineRule="auto"/>
        <w:tabs>
          <w:tab w:leader="none" w:pos="301" w:val="left"/>
        </w:tabs>
        <w:numPr>
          <w:ilvl w:val="0"/>
          <w:numId w:val="214"/>
        </w:numPr>
        <w:rPr>
          <w:rFonts w:ascii="Arial" w:cs="Arial" w:eastAsia="Arial" w:hAnsi="Arial"/>
          <w:sz w:val="19"/>
          <w:szCs w:val="19"/>
          <w:color w:val="auto"/>
        </w:rPr>
      </w:pPr>
      <w:r>
        <w:rPr>
          <w:rFonts w:ascii="Arial" w:cs="Arial" w:eastAsia="Arial" w:hAnsi="Arial"/>
          <w:sz w:val="19"/>
          <w:szCs w:val="19"/>
          <w:color w:val="auto"/>
        </w:rPr>
        <w:t>in the location of any Credit Party’s chief executive office or (iii) in any Credit Party’s jurisdiction of organization. Each Credit Party agrees not to effect or permit any change referred to in the preceding sentence unless all filings have been made under the UCC or otherwise that are required in order for the applicable Collateral Agent to continue at all times following such change to have a valid, legal and perfected security interest in all relevant Collateral unless not required under the applicable Security Documents. Each Credit Party also agrees promptly to notify Administrative Agent if any material portion of the Collateral is damaged or destroyed.</w:t>
      </w:r>
    </w:p>
    <w:p>
      <w:pPr>
        <w:spacing w:after="0" w:line="210" w:lineRule="exact"/>
        <w:rPr>
          <w:rFonts w:ascii="Arial" w:cs="Arial" w:eastAsia="Arial" w:hAnsi="Arial"/>
          <w:sz w:val="19"/>
          <w:szCs w:val="19"/>
          <w:color w:val="auto"/>
        </w:rPr>
      </w:pPr>
    </w:p>
    <w:p>
      <w:pPr>
        <w:ind w:left="932" w:hanging="284"/>
        <w:spacing w:after="0"/>
        <w:tabs>
          <w:tab w:leader="none" w:pos="932" w:val="left"/>
        </w:tabs>
        <w:numPr>
          <w:ilvl w:val="1"/>
          <w:numId w:val="214"/>
        </w:numPr>
        <w:rPr>
          <w:rFonts w:ascii="Arial" w:cs="Arial" w:eastAsia="Arial" w:hAnsi="Arial"/>
          <w:sz w:val="20"/>
          <w:szCs w:val="20"/>
          <w:color w:val="auto"/>
        </w:rPr>
      </w:pPr>
      <w:r>
        <w:rPr>
          <w:rFonts w:ascii="Arial" w:cs="Arial" w:eastAsia="Arial" w:hAnsi="Arial"/>
          <w:sz w:val="20"/>
          <w:szCs w:val="20"/>
          <w:color w:val="auto"/>
        </w:rPr>
        <w:t>[Reserved].</w:t>
      </w:r>
    </w:p>
    <w:p>
      <w:pPr>
        <w:spacing w:after="0" w:line="229" w:lineRule="exact"/>
        <w:rPr>
          <w:sz w:val="20"/>
          <w:szCs w:val="20"/>
          <w:color w:val="auto"/>
        </w:rPr>
      </w:pPr>
    </w:p>
    <w:p>
      <w:pPr>
        <w:jc w:val="both"/>
        <w:ind w:left="652"/>
        <w:spacing w:after="0" w:line="263" w:lineRule="auto"/>
        <w:rPr>
          <w:sz w:val="20"/>
          <w:szCs w:val="20"/>
          <w:color w:val="auto"/>
        </w:rPr>
      </w:pPr>
      <w:r>
        <w:rPr>
          <w:rFonts w:ascii="Arial" w:cs="Arial" w:eastAsia="Arial" w:hAnsi="Arial"/>
          <w:sz w:val="18"/>
          <w:szCs w:val="18"/>
          <w:u w:val="single" w:color="auto"/>
          <w:color w:val="auto"/>
        </w:rPr>
        <w:t>7.17 Excluded Companies</w:t>
      </w:r>
      <w:r>
        <w:rPr>
          <w:rFonts w:ascii="Arial" w:cs="Arial" w:eastAsia="Arial" w:hAnsi="Arial"/>
          <w:sz w:val="18"/>
          <w:szCs w:val="18"/>
          <w:color w:val="auto"/>
        </w:rPr>
        <w:t>. Notwithstanding anything to the contrary set forth herein, Crown Holdings shall ensure that each Excluded U.K. Company remains (i) a Dormant Company and shall remain a Dormant Company until such time as it is dissolved in accordance with the laws of England or (ii) a trust company which is involved only in the business of holding assets on behalf of beneficiaries in a trustee relationship, as applicable, and shall continue to exist as a Dormant Company until it is dissolved or act in such capacity and in no other capacity until such time as all of the Obligations hereunder are discharged pursuant to this Agreement.</w:t>
      </w:r>
    </w:p>
    <w:p>
      <w:pPr>
        <w:spacing w:after="0" w:line="189" w:lineRule="exact"/>
        <w:rPr>
          <w:sz w:val="20"/>
          <w:szCs w:val="20"/>
          <w:color w:val="auto"/>
        </w:rPr>
      </w:pPr>
    </w:p>
    <w:p>
      <w:pPr>
        <w:jc w:val="both"/>
        <w:ind w:left="652"/>
        <w:spacing w:after="0" w:line="254" w:lineRule="auto"/>
        <w:rPr>
          <w:sz w:val="20"/>
          <w:szCs w:val="20"/>
          <w:color w:val="auto"/>
        </w:rPr>
      </w:pPr>
      <w:r>
        <w:rPr>
          <w:rFonts w:ascii="Arial" w:cs="Arial" w:eastAsia="Arial" w:hAnsi="Arial"/>
          <w:sz w:val="19"/>
          <w:szCs w:val="19"/>
          <w:u w:val="single" w:color="auto"/>
          <w:color w:val="auto"/>
        </w:rPr>
        <w:t>7.18 Facilities Rating</w:t>
      </w:r>
      <w:r>
        <w:rPr>
          <w:rFonts w:ascii="Arial" w:cs="Arial" w:eastAsia="Arial" w:hAnsi="Arial"/>
          <w:sz w:val="19"/>
          <w:szCs w:val="19"/>
          <w:color w:val="auto"/>
        </w:rPr>
        <w:t>. Crown Holdings shall use its commercially reasonable efforts to provide that the Indebtedness under this Agreement remains rated by each of S&amp;P and Moody’s at all times and without regard to the level of such ratings, and to promptly deliver to Administrative Agent written notice of any change in the rating thereof by S&amp;P or Moody’s.</w:t>
      </w:r>
    </w:p>
    <w:p>
      <w:pPr>
        <w:spacing w:after="0" w:line="197" w:lineRule="exact"/>
        <w:rPr>
          <w:sz w:val="20"/>
          <w:szCs w:val="20"/>
          <w:color w:val="auto"/>
        </w:rPr>
      </w:pPr>
    </w:p>
    <w:p>
      <w:pPr>
        <w:ind w:left="652"/>
        <w:spacing w:after="0"/>
        <w:rPr>
          <w:sz w:val="20"/>
          <w:szCs w:val="20"/>
          <w:color w:val="auto"/>
        </w:rPr>
      </w:pPr>
      <w:r>
        <w:rPr>
          <w:rFonts w:ascii="Arial" w:cs="Arial" w:eastAsia="Arial" w:hAnsi="Arial"/>
          <w:sz w:val="20"/>
          <w:szCs w:val="20"/>
          <w:u w:val="single" w:color="auto"/>
          <w:color w:val="auto"/>
        </w:rPr>
        <w:t>7.19[Reserved]</w:t>
      </w:r>
    </w:p>
    <w:p>
      <w:pPr>
        <w:ind w:left="652"/>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ind w:left="652"/>
        <w:spacing w:after="0"/>
        <w:rPr>
          <w:sz w:val="20"/>
          <w:szCs w:val="20"/>
          <w:color w:val="auto"/>
        </w:rPr>
      </w:pPr>
      <w:r>
        <w:rPr>
          <w:rFonts w:ascii="Arial" w:cs="Arial" w:eastAsia="Arial" w:hAnsi="Arial"/>
          <w:sz w:val="20"/>
          <w:szCs w:val="20"/>
          <w:u w:val="single" w:color="auto"/>
          <w:color w:val="auto"/>
        </w:rPr>
        <w:t>7.20Release and Reinstatement of Collateral</w:t>
      </w:r>
      <w:r>
        <w:rPr>
          <w:rFonts w:ascii="Arial" w:cs="Arial" w:eastAsia="Arial" w:hAnsi="Arial"/>
          <w:sz w:val="20"/>
          <w:szCs w:val="20"/>
          <w:color w:val="auto"/>
        </w:rPr>
        <w:t>.</w:t>
      </w:r>
    </w:p>
    <w:p>
      <w:pPr>
        <w:spacing w:after="0" w:line="213" w:lineRule="exact"/>
        <w:rPr>
          <w:sz w:val="20"/>
          <w:szCs w:val="20"/>
          <w:color w:val="auto"/>
        </w:rPr>
      </w:pPr>
    </w:p>
    <w:p>
      <w:pPr>
        <w:jc w:val="both"/>
        <w:ind w:left="-8" w:firstLine="656"/>
        <w:spacing w:after="0" w:line="255" w:lineRule="auto"/>
        <w:tabs>
          <w:tab w:leader="none" w:pos="945" w:val="left"/>
        </w:tabs>
        <w:numPr>
          <w:ilvl w:val="1"/>
          <w:numId w:val="21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or any Loan Document, if at any time a Non-Stock Collateral Release Event shall have occurred and be continuing, then all Collateral (other than Pledged Securities) shall be released automatically and the provisions in the Security Documents with respect to such Collateral shall be terminated without any further action. In connection with the foregoing, the Administrative Agent shall, at Crown Holdings’ sole expense and at Crown Holdings’ request, promptly</w:t>
      </w:r>
    </w:p>
    <w:p>
      <w:pPr>
        <w:ind w:left="-8" w:right="20" w:firstLine="8"/>
        <w:spacing w:after="0" w:line="234" w:lineRule="auto"/>
        <w:tabs>
          <w:tab w:leader="none" w:pos="261" w:val="left"/>
        </w:tabs>
        <w:numPr>
          <w:ilvl w:val="0"/>
          <w:numId w:val="216"/>
        </w:numPr>
        <w:rPr>
          <w:rFonts w:ascii="Arial" w:cs="Arial" w:eastAsia="Arial" w:hAnsi="Arial"/>
          <w:sz w:val="20"/>
          <w:szCs w:val="20"/>
          <w:color w:val="auto"/>
        </w:rPr>
      </w:pPr>
      <w:r>
        <w:rPr>
          <w:rFonts w:ascii="Arial" w:cs="Arial" w:eastAsia="Arial" w:hAnsi="Arial"/>
          <w:sz w:val="20"/>
          <w:szCs w:val="20"/>
          <w:color w:val="auto"/>
        </w:rPr>
        <w:t>execute and file in the appropriate location and deliver to Crown Holdings such termination and release statements or confirmation thereof, as applicable, and (ii) do such</w:t>
      </w:r>
    </w:p>
    <w:p>
      <w:pPr>
        <w:sectPr>
          <w:pgSz w:w="11900" w:h="16838" w:orient="portrait"/>
          <w:cols w:equalWidth="0" w:num="1">
            <w:col w:w="11232"/>
          </w:cols>
          <w:pgMar w:left="328" w:top="1419" w:right="339" w:bottom="1440" w:gutter="0" w:footer="0" w:header="0"/>
        </w:sectPr>
      </w:pPr>
    </w:p>
    <w:bookmarkStart w:id="272" w:name="page273"/>
    <w:bookmarkEnd w:id="272"/>
    <w:p>
      <w:pPr>
        <w:jc w:val="both"/>
        <w:spacing w:after="0" w:line="246" w:lineRule="auto"/>
        <w:rPr>
          <w:sz w:val="20"/>
          <w:szCs w:val="20"/>
          <w:color w:val="auto"/>
        </w:rPr>
      </w:pPr>
      <w:r>
        <w:rPr>
          <w:rFonts w:ascii="Arial" w:cs="Arial" w:eastAsia="Arial" w:hAnsi="Arial"/>
          <w:sz w:val="20"/>
          <w:szCs w:val="20"/>
          <w:color w:val="auto"/>
        </w:rPr>
        <w:t>other things as are reasonably necessary to release the Liens to be released pursuant hereto promptly upon the effectiveness of any such release.</w:t>
      </w:r>
    </w:p>
    <w:p>
      <w:pPr>
        <w:spacing w:after="0" w:line="20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(b)Notwithstanding anything to the contrary contained in this Agreement or any Loan Document (including after a Collateral Reinstatement Event shall have previously occurred), if at any time a Collateral Release Event shall have occurred and be continuing, then all Collateral and the Security Documents shall be released automatically and the provisions in the Security Documents with respect to such Collateral shall be terminated without any further action. In connection with the foregoing, the Administrative Agent shall, at Crown Holdings’ sole expense and at Crown Holdings’ request, promptly (i) return to Crown Holdings all certificates and instruments evidencing pledged Collateral, (ii) execute and file in the appropriate location and deliver to Crown Holdings such termination and full or partial release statements or confirmation thereof, as applicable, and (iii) do such other things as are reasonably necessary to release the Liens to be released pursuant hereto promptly upon the effectiveness of any such release.</w:t>
      </w:r>
    </w:p>
    <w:p>
      <w:pPr>
        <w:spacing w:after="0" w:line="209"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 xml:space="preserve">(c)Notwithstanding clause (b) above, if a Collateral Reinstatement Event shall have occurred, all Pledged Securities and Security Documents to the extent related thereto shall, at Crown Holdings’ sole cost and expense, be reinstated and all actions reasonably necessary, or reasonably requested by the Administrative Agent to provide to the Administrative Agent for the benefit of the Secured Creditors valid, perfected, first priority security interests (subject to Permitted Liens) in such Collateral (including without limitation the delivery of applicable documentation and taking of applicable actions described in </w:t>
      </w:r>
      <w:r>
        <w:rPr>
          <w:rFonts w:ascii="Arial" w:cs="Arial" w:eastAsia="Arial" w:hAnsi="Arial"/>
          <w:sz w:val="20"/>
          <w:szCs w:val="20"/>
          <w:u w:val="single" w:color="auto"/>
          <w:color w:val="auto"/>
        </w:rPr>
        <w:t>Sections 7.14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7.16</w:t>
      </w:r>
      <w:r>
        <w:rPr>
          <w:rFonts w:ascii="Arial" w:cs="Arial" w:eastAsia="Arial" w:hAnsi="Arial"/>
          <w:sz w:val="20"/>
          <w:szCs w:val="20"/>
          <w:color w:val="auto"/>
        </w:rPr>
        <w:t xml:space="preserve"> to the extent applicable to such Collateral) shall be taken within sixty (60) days (or such longer period as agreed to by the Administrative Agent) after such Collateral Reinstatement Event.</w:t>
      </w:r>
    </w:p>
    <w:p>
      <w:pPr>
        <w:spacing w:after="0" w:line="212"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ARTICLE VII</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20"/>
          <w:szCs w:val="20"/>
          <w:u w:val="single" w:color="auto"/>
          <w:color w:val="auto"/>
          <w:highlight w:val="yellow"/>
        </w:rPr>
        <w:t>NEGATIVE COVENANTS</w:t>
      </w:r>
    </w:p>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From and after the Incremental Amendment No. 2 and Third Amendment Effective Date, each Credit Party, jointly and severally, hereby agrees, that, so long as (a) any of the Commitments remain in effect, (b) any Loan (other than any Unasserted Contingent Obligations) remains outstanding and unpaid, (c) any Letter of Credit has not (w) expired, (x) been terminated, (y) been cash collateralized or (z) been backstopped in a manner satisfactory to the relevant Facing Agent in its sole discretion, (d) any Unpaid Drawing remains outstanding and unpaid or (e) any other Obligation (other than any Unasserted Contingent Obligations or obligations and liabilities under any Hedging Agreement) is owing to any Lender or Administrative Agent hereunder, that: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8.1 Indebtedness; Certain Equity Securities</w:t>
      </w:r>
    </w:p>
    <w:p>
      <w:pPr>
        <w:ind w:left="66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ind w:firstLine="656"/>
        <w:spacing w:after="0" w:line="234" w:lineRule="auto"/>
        <w:tabs>
          <w:tab w:leader="none" w:pos="932" w:val="left"/>
        </w:tabs>
        <w:numPr>
          <w:ilvl w:val="0"/>
          <w:numId w:val="217"/>
        </w:numPr>
        <w:rPr>
          <w:rFonts w:ascii="Arial" w:cs="Arial" w:eastAsia="Arial" w:hAnsi="Arial"/>
          <w:sz w:val="20"/>
          <w:szCs w:val="20"/>
          <w:color w:val="auto"/>
        </w:rPr>
      </w:pPr>
      <w:r>
        <w:rPr>
          <w:rFonts w:ascii="Arial" w:cs="Arial" w:eastAsia="Arial" w:hAnsi="Arial"/>
          <w:sz w:val="20"/>
          <w:szCs w:val="20"/>
          <w:color w:val="auto"/>
        </w:rPr>
        <w:t>The Credit Parties will not, and will not permit any Subsidiary to create, incur, assume or permit to exist (including by way of Guarantee Obligations) any Indebtedness, except:</w:t>
      </w:r>
    </w:p>
    <w:p>
      <w:pPr>
        <w:spacing w:after="0" w:line="211" w:lineRule="exact"/>
        <w:rPr>
          <w:sz w:val="20"/>
          <w:szCs w:val="20"/>
          <w:color w:val="auto"/>
        </w:rPr>
      </w:pPr>
    </w:p>
    <w:p>
      <w:pPr>
        <w:jc w:val="both"/>
        <w:ind w:left="1960"/>
        <w:spacing w:after="0" w:line="237" w:lineRule="auto"/>
        <w:rPr>
          <w:sz w:val="20"/>
          <w:szCs w:val="20"/>
          <w:color w:val="auto"/>
        </w:rPr>
      </w:pPr>
      <w:r>
        <w:rPr>
          <w:rFonts w:ascii="Arial" w:cs="Arial" w:eastAsia="Arial" w:hAnsi="Arial"/>
          <w:sz w:val="20"/>
          <w:szCs w:val="20"/>
          <w:color w:val="auto"/>
        </w:rPr>
        <w:t xml:space="preserve">(i)Indebtedness incurred and outstanding under the Loan Documents, including, without limitation, Obligations incurred under Additional Facilities created pursuant to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obligations incurred pursuant to </w:t>
      </w:r>
      <w:r>
        <w:rPr>
          <w:rFonts w:ascii="Arial" w:cs="Arial" w:eastAsia="Arial" w:hAnsi="Arial"/>
          <w:sz w:val="20"/>
          <w:szCs w:val="20"/>
          <w:u w:val="single" w:color="auto"/>
          <w:color w:val="auto"/>
        </w:rPr>
        <w:t>Sections 2.13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2.14</w:t>
      </w:r>
      <w:r>
        <w:rPr>
          <w:rFonts w:ascii="Arial" w:cs="Arial" w:eastAsia="Arial" w:hAnsi="Arial"/>
          <w:sz w:val="20"/>
          <w:szCs w:val="20"/>
          <w:color w:val="auto"/>
        </w:rPr>
        <w:t xml:space="preserve"> and any extension of the Obligations pursuant to </w:t>
      </w:r>
      <w:r>
        <w:rPr>
          <w:rFonts w:ascii="Arial" w:cs="Arial" w:eastAsia="Arial" w:hAnsi="Arial"/>
          <w:sz w:val="20"/>
          <w:szCs w:val="20"/>
          <w:u w:val="single" w:color="auto"/>
          <w:color w:val="auto"/>
        </w:rPr>
        <w:t>Section 2.15</w:t>
      </w:r>
      <w:r>
        <w:rPr>
          <w:rFonts w:ascii="Arial" w:cs="Arial" w:eastAsia="Arial" w:hAnsi="Arial"/>
          <w:sz w:val="20"/>
          <w:szCs w:val="20"/>
          <w:color w:val="auto"/>
        </w:rPr>
        <w:t>;</w:t>
      </w:r>
    </w:p>
    <w:p>
      <w:pPr>
        <w:spacing w:after="0" w:line="210" w:lineRule="exact"/>
        <w:rPr>
          <w:sz w:val="20"/>
          <w:szCs w:val="20"/>
          <w:color w:val="auto"/>
        </w:rPr>
      </w:pPr>
    </w:p>
    <w:p>
      <w:pPr>
        <w:jc w:val="both"/>
        <w:ind w:left="1960"/>
        <w:spacing w:after="0" w:line="234" w:lineRule="auto"/>
        <w:rPr>
          <w:sz w:val="20"/>
          <w:szCs w:val="20"/>
          <w:color w:val="auto"/>
        </w:rPr>
      </w:pPr>
      <w:r>
        <w:rPr>
          <w:rFonts w:ascii="Arial" w:cs="Arial" w:eastAsia="Arial" w:hAnsi="Arial"/>
          <w:sz w:val="20"/>
          <w:szCs w:val="20"/>
          <w:color w:val="auto"/>
        </w:rPr>
        <w:t xml:space="preserve">(ii)Indebtedness incurred pursuant to Uncommitted Short Term Lines of Credit, the principal amount of such Indebtedness not to exceed in the aggregate at any time outstanding the greater of (1) the Dollar Equivalent of $300,000,000 and (2) 2% of the Consolidated Total Assets as set forth in the financial statements last delivered by Crown Holdings pursuant to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273" w:name="page274"/>
    <w:bookmarkEnd w:id="273"/>
    <w:p>
      <w:pPr>
        <w:ind w:left="840" w:firstLine="648"/>
        <w:spacing w:after="0" w:line="246" w:lineRule="auto"/>
        <w:rPr>
          <w:sz w:val="20"/>
          <w:szCs w:val="20"/>
          <w:color w:val="auto"/>
        </w:rPr>
      </w:pPr>
      <w:r>
        <w:rPr>
          <w:rFonts w:ascii="Arial" w:cs="Arial" w:eastAsia="Arial" w:hAnsi="Arial"/>
          <w:sz w:val="20"/>
          <w:szCs w:val="20"/>
          <w:color w:val="auto"/>
        </w:rPr>
        <w:t>(iii)Indebtedness evidenced by the Senior Notes, including any Guarantee Obligations in respect thereof, and any Permitted Refinancing Indebtedness thereof;</w:t>
      </w:r>
    </w:p>
    <w:p>
      <w:pPr>
        <w:spacing w:after="0" w:line="204" w:lineRule="exact"/>
        <w:rPr>
          <w:sz w:val="20"/>
          <w:szCs w:val="20"/>
          <w:color w:val="auto"/>
        </w:rPr>
      </w:pPr>
    </w:p>
    <w:p>
      <w:pPr>
        <w:jc w:val="both"/>
        <w:ind w:left="840" w:firstLine="640"/>
        <w:spacing w:after="0" w:line="267" w:lineRule="auto"/>
        <w:tabs>
          <w:tab w:leader="none" w:pos="184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Indebtedness evidenced by the Debentures, including any Guarantee Obligations in respect thereof, in each case, existing on the Incremental Amendment No. 2 and Third Amendment Effective Date or required to be incurred after the Incremental Amendment No. 2 and Third Amendment Effective Date pursuant to the terms of the documents governing such Indebtedness, and any Permitted Refinancing Indebtedness thereof;</w:t>
      </w:r>
    </w:p>
    <w:p>
      <w:pPr>
        <w:spacing w:after="0" w:line="185" w:lineRule="exact"/>
        <w:rPr>
          <w:rFonts w:ascii="Arial" w:cs="Arial" w:eastAsia="Arial" w:hAnsi="Arial"/>
          <w:sz w:val="18"/>
          <w:szCs w:val="18"/>
          <w:color w:val="auto"/>
        </w:rPr>
      </w:pPr>
    </w:p>
    <w:p>
      <w:pPr>
        <w:ind w:left="1760" w:hanging="280"/>
        <w:spacing w:after="0"/>
        <w:tabs>
          <w:tab w:leader="none" w:pos="176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[reserved];</w:t>
      </w:r>
    </w:p>
    <w:p>
      <w:pPr>
        <w:spacing w:after="0" w:line="229" w:lineRule="exact"/>
        <w:rPr>
          <w:sz w:val="20"/>
          <w:szCs w:val="20"/>
          <w:color w:val="auto"/>
        </w:rPr>
      </w:pPr>
    </w:p>
    <w:p>
      <w:pPr>
        <w:jc w:val="both"/>
        <w:ind w:left="840" w:firstLine="648"/>
        <w:spacing w:after="0" w:line="237" w:lineRule="auto"/>
        <w:rPr>
          <w:sz w:val="20"/>
          <w:szCs w:val="20"/>
          <w:color w:val="auto"/>
        </w:rPr>
      </w:pPr>
      <w:r>
        <w:rPr>
          <w:rFonts w:ascii="Arial" w:cs="Arial" w:eastAsia="Arial" w:hAnsi="Arial"/>
          <w:sz w:val="20"/>
          <w:szCs w:val="20"/>
          <w:color w:val="auto"/>
        </w:rPr>
        <w:t xml:space="preserve">(vi)Indebtedness to Remain Outstanding (other than Indebtedness under </w:t>
      </w:r>
      <w:r>
        <w:rPr>
          <w:rFonts w:ascii="Arial" w:cs="Arial" w:eastAsia="Arial" w:hAnsi="Arial"/>
          <w:sz w:val="20"/>
          <w:szCs w:val="20"/>
          <w:u w:val="single" w:color="auto"/>
          <w:color w:val="auto"/>
        </w:rPr>
        <w:t>Sections 8.1(a)(iii)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iv)</w:t>
      </w:r>
      <w:r>
        <w:rPr>
          <w:rFonts w:ascii="Arial" w:cs="Arial" w:eastAsia="Arial" w:hAnsi="Arial"/>
          <w:sz w:val="20"/>
          <w:szCs w:val="20"/>
          <w:color w:val="auto"/>
        </w:rPr>
        <w:t xml:space="preserve"> above), in each case up to the amounts set forth on the applicable </w:t>
      </w:r>
      <w:r>
        <w:rPr>
          <w:rFonts w:ascii="Arial" w:cs="Arial" w:eastAsia="Arial" w:hAnsi="Arial"/>
          <w:sz w:val="20"/>
          <w:szCs w:val="20"/>
          <w:u w:val="single" w:color="auto"/>
          <w:color w:val="auto"/>
        </w:rPr>
        <w:t>Schedule 6.5(b)</w:t>
      </w:r>
      <w:r>
        <w:rPr>
          <w:rFonts w:ascii="Arial" w:cs="Arial" w:eastAsia="Arial" w:hAnsi="Arial"/>
          <w:sz w:val="20"/>
          <w:szCs w:val="20"/>
          <w:color w:val="auto"/>
        </w:rPr>
        <w:t xml:space="preserve"> if required to be disclosed pursuant to </w:t>
      </w:r>
      <w:r>
        <w:rPr>
          <w:rFonts w:ascii="Arial" w:cs="Arial" w:eastAsia="Arial" w:hAnsi="Arial"/>
          <w:sz w:val="20"/>
          <w:szCs w:val="20"/>
          <w:u w:val="single" w:color="auto"/>
          <w:color w:val="auto"/>
        </w:rPr>
        <w:t>Section 6.5(b)</w:t>
      </w:r>
      <w:r>
        <w:rPr>
          <w:rFonts w:ascii="Arial" w:cs="Arial" w:eastAsia="Arial" w:hAnsi="Arial"/>
          <w:sz w:val="20"/>
          <w:szCs w:val="20"/>
          <w:color w:val="auto"/>
        </w:rPr>
        <w:t>, and any Permitted Refinancing Indebtedness thereof;</w:t>
      </w:r>
    </w:p>
    <w:p>
      <w:pPr>
        <w:spacing w:after="0" w:line="210" w:lineRule="exact"/>
        <w:rPr>
          <w:sz w:val="20"/>
          <w:szCs w:val="20"/>
          <w:color w:val="auto"/>
        </w:rPr>
      </w:pPr>
    </w:p>
    <w:p>
      <w:pPr>
        <w:jc w:val="both"/>
        <w:ind w:left="840" w:firstLine="648"/>
        <w:spacing w:after="0" w:line="237" w:lineRule="auto"/>
        <w:rPr>
          <w:sz w:val="20"/>
          <w:szCs w:val="20"/>
          <w:color w:val="auto"/>
        </w:rPr>
      </w:pPr>
      <w:r>
        <w:rPr>
          <w:rFonts w:ascii="Arial" w:cs="Arial" w:eastAsia="Arial" w:hAnsi="Arial"/>
          <w:sz w:val="20"/>
          <w:szCs w:val="20"/>
          <w:color w:val="auto"/>
        </w:rPr>
        <w:t>(vii)Indebtedness (including Indebtedness outstanding and available as of the Incremental Amendment No. 2 and Third Amendment Effective Date) under one or more Permitted Receivables or Factoring Financings (other than Indebtedness incurred under 8.1(a)(vi);</w:t>
      </w:r>
    </w:p>
    <w:p>
      <w:pPr>
        <w:spacing w:after="0" w:line="210"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(viii)Indebtedness constituting Permitted Guarantee Obligations;</w:t>
      </w:r>
    </w:p>
    <w:p>
      <w:pPr>
        <w:spacing w:after="0" w:line="229" w:lineRule="exact"/>
        <w:rPr>
          <w:sz w:val="20"/>
          <w:szCs w:val="20"/>
          <w:color w:val="auto"/>
        </w:rPr>
      </w:pPr>
    </w:p>
    <w:p>
      <w:pPr>
        <w:jc w:val="both"/>
        <w:ind w:left="840" w:firstLine="640"/>
        <w:spacing w:after="0" w:line="237" w:lineRule="auto"/>
        <w:tabs>
          <w:tab w:leader="none" w:pos="1886" w:val="left"/>
        </w:tabs>
        <w:numPr>
          <w:ilvl w:val="0"/>
          <w:numId w:val="219"/>
        </w:numPr>
        <w:rPr>
          <w:rFonts w:ascii="Arial" w:cs="Arial" w:eastAsia="Arial" w:hAnsi="Arial"/>
          <w:sz w:val="20"/>
          <w:szCs w:val="20"/>
          <w:color w:val="auto"/>
        </w:rPr>
      </w:pPr>
      <w:r>
        <w:rPr>
          <w:rFonts w:ascii="Arial" w:cs="Arial" w:eastAsia="Arial" w:hAnsi="Arial"/>
          <w:sz w:val="20"/>
          <w:szCs w:val="20"/>
          <w:color w:val="auto"/>
        </w:rPr>
        <w:t>Indebtedness consisting of (1) the financing of insurance premiums, (2) take-or-pay obligations contained in supply arrangements and/or (3) obligations to reacquire assets or inventory in connection with customer financing arrangements, in each case, in the ordinary course of business;</w:t>
      </w:r>
    </w:p>
    <w:p>
      <w:pPr>
        <w:spacing w:after="0" w:line="210" w:lineRule="exact"/>
        <w:rPr>
          <w:sz w:val="20"/>
          <w:szCs w:val="20"/>
          <w:color w:val="auto"/>
        </w:rPr>
      </w:pPr>
    </w:p>
    <w:p>
      <w:pPr>
        <w:jc w:val="both"/>
        <w:ind w:left="840" w:firstLine="648"/>
        <w:spacing w:after="0" w:line="246" w:lineRule="auto"/>
        <w:rPr>
          <w:sz w:val="20"/>
          <w:szCs w:val="20"/>
          <w:color w:val="auto"/>
        </w:rPr>
      </w:pPr>
      <w:r>
        <w:rPr>
          <w:rFonts w:ascii="Arial" w:cs="Arial" w:eastAsia="Arial" w:hAnsi="Arial"/>
          <w:sz w:val="19"/>
          <w:szCs w:val="19"/>
          <w:color w:val="auto"/>
        </w:rPr>
        <w:t xml:space="preserve">(x.) (a) Indebtedness of any Credit Party to any other Credit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Indebtedness owed by a Subsidiary Credit Party of U.S. Borrower or U.S. Borrower to a Subsidiary Credit Party of European Borrower or European Borrower shall be subordinated to the U.S. Obligations (but only to the extent permitted by applicable law) in a manner reasonably acceptable to Administrative Agent; and (b) Indebtedness of any Subsidiary that is not a Credit Party owed to another Subsidiary that is not a Credit Party;</w:t>
      </w:r>
    </w:p>
    <w:p>
      <w:pPr>
        <w:spacing w:after="0" w:line="203" w:lineRule="exact"/>
        <w:rPr>
          <w:sz w:val="20"/>
          <w:szCs w:val="20"/>
          <w:color w:val="auto"/>
        </w:rPr>
      </w:pPr>
    </w:p>
    <w:p>
      <w:pPr>
        <w:jc w:val="both"/>
        <w:ind w:left="840" w:firstLine="648"/>
        <w:spacing w:after="0" w:line="246" w:lineRule="auto"/>
        <w:rPr>
          <w:sz w:val="20"/>
          <w:szCs w:val="20"/>
          <w:color w:val="auto"/>
        </w:rPr>
      </w:pPr>
      <w:r>
        <w:rPr>
          <w:rFonts w:ascii="Arial" w:cs="Arial" w:eastAsia="Arial" w:hAnsi="Arial"/>
          <w:sz w:val="19"/>
          <w:szCs w:val="19"/>
          <w:color w:val="auto"/>
        </w:rPr>
        <w:t xml:space="preserve">(xi.) other Intercompany Indebtedness of any Credit Party owing to any Subsidiary and/or of any Subsidiary owing to any Credit Party or any other Subsidiary, to the extent permitted by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Intercompany Indebtedness consisting of a loan or advance to a Credit Party, each such loan or advance shall be subordinated to such Credit Party’s Obligations (but only to the extent permitted by applicable law) in a manner reasonably acceptable to Administrative Agent;</w:t>
      </w:r>
    </w:p>
    <w:p>
      <w:pPr>
        <w:spacing w:after="0" w:line="203" w:lineRule="exact"/>
        <w:rPr>
          <w:sz w:val="20"/>
          <w:szCs w:val="20"/>
          <w:color w:val="auto"/>
        </w:rPr>
      </w:pPr>
    </w:p>
    <w:p>
      <w:pPr>
        <w:ind w:left="840" w:firstLine="640"/>
        <w:spacing w:after="0" w:line="246" w:lineRule="auto"/>
        <w:tabs>
          <w:tab w:leader="none" w:pos="1881" w:val="left"/>
        </w:tabs>
        <w:numPr>
          <w:ilvl w:val="0"/>
          <w:numId w:val="220"/>
        </w:numPr>
        <w:rPr>
          <w:rFonts w:ascii="Arial" w:cs="Arial" w:eastAsia="Arial" w:hAnsi="Arial"/>
          <w:sz w:val="20"/>
          <w:szCs w:val="20"/>
          <w:color w:val="auto"/>
        </w:rPr>
      </w:pPr>
      <w:r>
        <w:rPr>
          <w:rFonts w:ascii="Arial" w:cs="Arial" w:eastAsia="Arial" w:hAnsi="Arial"/>
          <w:sz w:val="20"/>
          <w:szCs w:val="20"/>
          <w:color w:val="auto"/>
        </w:rPr>
        <w:t>Indebtedness in respect of Hedging Agreements that are incurred in the ordinary course of business and not for speculative purposes;</w:t>
      </w:r>
    </w:p>
    <w:p>
      <w:pPr>
        <w:spacing w:after="0" w:line="203" w:lineRule="exact"/>
        <w:rPr>
          <w:rFonts w:ascii="Arial" w:cs="Arial" w:eastAsia="Arial" w:hAnsi="Arial"/>
          <w:sz w:val="20"/>
          <w:szCs w:val="20"/>
          <w:color w:val="auto"/>
        </w:rPr>
      </w:pPr>
    </w:p>
    <w:p>
      <w:pPr>
        <w:ind w:left="840" w:firstLine="640"/>
        <w:spacing w:after="0" w:line="300" w:lineRule="auto"/>
        <w:tabs>
          <w:tab w:leader="none" w:pos="195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(1) Indebtedness incurred to finance the design, development, acquisition, construction, installation, repair, lease, or improvement of any property (or Indebtedness incurred to finance the design, development,</w:t>
      </w:r>
    </w:p>
    <w:p>
      <w:pPr>
        <w:sectPr>
          <w:pgSz w:w="11900" w:h="16838" w:orient="portrait"/>
          <w:cols w:equalWidth="0" w:num="1">
            <w:col w:w="10120"/>
          </w:cols>
          <w:pgMar w:left="1440" w:top="1419" w:right="339" w:bottom="1440" w:gutter="0" w:footer="0" w:header="0"/>
        </w:sectPr>
      </w:pPr>
    </w:p>
    <w:bookmarkStart w:id="274" w:name="page275"/>
    <w:bookmarkEnd w:id="274"/>
    <w:p>
      <w:pPr>
        <w:jc w:val="both"/>
        <w:ind w:left="840"/>
        <w:spacing w:after="0" w:line="251" w:lineRule="auto"/>
        <w:rPr>
          <w:sz w:val="20"/>
          <w:szCs w:val="20"/>
          <w:color w:val="auto"/>
        </w:rPr>
      </w:pPr>
      <w:r>
        <w:rPr>
          <w:rFonts w:ascii="Arial" w:cs="Arial" w:eastAsia="Arial" w:hAnsi="Arial"/>
          <w:sz w:val="18"/>
          <w:szCs w:val="18"/>
          <w:color w:val="auto"/>
        </w:rPr>
        <w:t xml:space="preserve">acquisition, construction, installation, lease, repairs, additions or improvements to property (real or personal) whether through the direct purchase or lease of such assets or through the purchase of equity interests in a Person owning such assets), including tax retention and other synthetic lease obligations and purchase money obligations and any replacement, renewal, refinancing, extension, exchange, defeasance, restructuring, refunding, repayment, amendment, restatement, or supplementation of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Indebtedness shall be secured only by the property acquired, developed, constructed, repaired, designed, improved, leased or subject to such design or installation in connection with the incurrence of such Indebtedness and any proceeds and products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Dollar Equivalent of the aggregate outstanding principal amount of such Indebtedness together with the Dollar Equivalent of Indebtedness permitted to be outstanding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8.1(a)(xiii)(2))</w:t>
      </w:r>
      <w:r>
        <w:rPr>
          <w:rFonts w:ascii="Arial" w:cs="Arial" w:eastAsia="Arial" w:hAnsi="Arial"/>
          <w:sz w:val="18"/>
          <w:szCs w:val="18"/>
          <w:color w:val="auto"/>
        </w:rPr>
        <w:t xml:space="preserve">, </w:t>
      </w:r>
      <w:r>
        <w:rPr>
          <w:rFonts w:ascii="Arial" w:cs="Arial" w:eastAsia="Arial" w:hAnsi="Arial"/>
          <w:sz w:val="18"/>
          <w:szCs w:val="18"/>
          <w:u w:val="single" w:color="auto"/>
          <w:color w:val="auto"/>
        </w:rPr>
        <w:t>(xiv)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(xvi)</w:t>
      </w:r>
      <w:r>
        <w:rPr>
          <w:rFonts w:ascii="Arial" w:cs="Arial" w:eastAsia="Arial" w:hAnsi="Arial"/>
          <w:sz w:val="18"/>
          <w:szCs w:val="18"/>
          <w:color w:val="auto"/>
        </w:rPr>
        <w:t xml:space="preserve"> shall not exceed the Debt Basket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Unmatured Event of Default or Event of Default shall be deemed to have occurred if such aggregate outstanding principal amount of such Indebtedness or other obligations shall at a later time exceed the Debt Basket Amount so long as, at the time of the creation, incurrence, assumption or initial existence thereof, such Indebtedness or other obligation was permitted to be incurred); and (2) Indebtedness in respect of Capitalized Lease Obligations and any replacement, renewal, refinancing, extension, exchange, defeasance, restructuring, refunding, repayment, amendment, restatement, or supplementation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Indebtedness incurred and outstanding under this </w:t>
      </w:r>
      <w:r>
        <w:rPr>
          <w:rFonts w:ascii="Arial" w:cs="Arial" w:eastAsia="Arial" w:hAnsi="Arial"/>
          <w:sz w:val="18"/>
          <w:szCs w:val="18"/>
          <w:u w:val="single" w:color="auto"/>
          <w:color w:val="auto"/>
        </w:rPr>
        <w:t>clause (xiii)(2)</w:t>
      </w:r>
      <w:r>
        <w:rPr>
          <w:rFonts w:ascii="Arial" w:cs="Arial" w:eastAsia="Arial" w:hAnsi="Arial"/>
          <w:sz w:val="18"/>
          <w:szCs w:val="18"/>
          <w:color w:val="auto"/>
        </w:rPr>
        <w:t xml:space="preserve">, together with Indebtedness incurred and outstanding under </w:t>
      </w:r>
      <w:r>
        <w:rPr>
          <w:rFonts w:ascii="Arial" w:cs="Arial" w:eastAsia="Arial" w:hAnsi="Arial"/>
          <w:sz w:val="18"/>
          <w:szCs w:val="18"/>
          <w:u w:val="single" w:color="auto"/>
          <w:color w:val="auto"/>
        </w:rPr>
        <w:t>clauses (xiii)(1)</w:t>
      </w:r>
      <w:r>
        <w:rPr>
          <w:rFonts w:ascii="Arial" w:cs="Arial" w:eastAsia="Arial" w:hAnsi="Arial"/>
          <w:sz w:val="18"/>
          <w:szCs w:val="18"/>
          <w:color w:val="auto"/>
        </w:rPr>
        <w:t>, (xiv) and</w:t>
      </w:r>
    </w:p>
    <w:p>
      <w:pPr>
        <w:spacing w:after="0" w:line="8" w:lineRule="exact"/>
        <w:rPr>
          <w:sz w:val="20"/>
          <w:szCs w:val="20"/>
          <w:color w:val="auto"/>
        </w:rPr>
      </w:pPr>
    </w:p>
    <w:p>
      <w:pPr>
        <w:ind w:left="1260" w:hanging="428"/>
        <w:spacing w:after="0"/>
        <w:tabs>
          <w:tab w:leader="none" w:pos="1260" w:val="left"/>
        </w:tabs>
        <w:numPr>
          <w:ilvl w:val="0"/>
          <w:numId w:val="221"/>
        </w:numPr>
        <w:rPr>
          <w:rFonts w:ascii="Arial" w:cs="Arial" w:eastAsia="Arial" w:hAnsi="Arial"/>
          <w:sz w:val="20"/>
          <w:szCs w:val="20"/>
          <w:u w:val="single" w:color="auto"/>
          <w:color w:val="auto"/>
        </w:rPr>
      </w:pPr>
      <w:r>
        <w:rPr>
          <w:rFonts w:ascii="Arial" w:cs="Arial" w:eastAsia="Arial" w:hAnsi="Arial"/>
          <w:sz w:val="20"/>
          <w:szCs w:val="20"/>
          <w:color w:val="auto"/>
        </w:rPr>
        <w:t xml:space="preserve">of this </w:t>
      </w:r>
      <w:r>
        <w:rPr>
          <w:rFonts w:ascii="Arial" w:cs="Arial" w:eastAsia="Arial" w:hAnsi="Arial"/>
          <w:sz w:val="20"/>
          <w:szCs w:val="20"/>
          <w:u w:val="single" w:color="auto"/>
          <w:color w:val="auto"/>
        </w:rPr>
        <w:t>Section 8.1(a)</w:t>
      </w:r>
      <w:r>
        <w:rPr>
          <w:rFonts w:ascii="Arial" w:cs="Arial" w:eastAsia="Arial" w:hAnsi="Arial"/>
          <w:sz w:val="20"/>
          <w:szCs w:val="20"/>
          <w:color w:val="auto"/>
        </w:rPr>
        <w:t>, does not exceed the Debt Basket Amount;</w:t>
      </w:r>
    </w:p>
    <w:p>
      <w:pPr>
        <w:spacing w:after="0" w:line="213" w:lineRule="exact"/>
        <w:rPr>
          <w:sz w:val="20"/>
          <w:szCs w:val="20"/>
          <w:color w:val="auto"/>
        </w:rPr>
      </w:pPr>
    </w:p>
    <w:p>
      <w:pPr>
        <w:jc w:val="both"/>
        <w:ind w:left="840" w:hanging="8"/>
        <w:spacing w:after="0" w:line="263" w:lineRule="auto"/>
        <w:tabs>
          <w:tab w:leader="none" w:pos="128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(1) Indebtedness of any Subsidiary of Crown Holdings assumed in connection with a Permitted Acquisition or other permitted Investment and (2) any Permitted Refinancing Indebtedness thereof, so long as (a) such Indebtedness was not issued or created in contemplation of such acquisition and (b) the aggregate principal amount of Indebtedness incurred and outstanding under this </w:t>
      </w:r>
      <w:r>
        <w:rPr>
          <w:rFonts w:ascii="Arial" w:cs="Arial" w:eastAsia="Arial" w:hAnsi="Arial"/>
          <w:sz w:val="18"/>
          <w:szCs w:val="18"/>
          <w:u w:val="single" w:color="auto"/>
          <w:color w:val="auto"/>
        </w:rPr>
        <w:t>clause (xiv)</w:t>
      </w:r>
      <w:r>
        <w:rPr>
          <w:rFonts w:ascii="Arial" w:cs="Arial" w:eastAsia="Arial" w:hAnsi="Arial"/>
          <w:sz w:val="18"/>
          <w:szCs w:val="18"/>
          <w:color w:val="auto"/>
        </w:rPr>
        <w:t xml:space="preserve">, together with Indebtedness incurred and outstanding under </w:t>
      </w:r>
      <w:r>
        <w:rPr>
          <w:rFonts w:ascii="Arial" w:cs="Arial" w:eastAsia="Arial" w:hAnsi="Arial"/>
          <w:sz w:val="18"/>
          <w:szCs w:val="18"/>
          <w:u w:val="single" w:color="auto"/>
          <w:color w:val="auto"/>
        </w:rPr>
        <w:t>clauses (xiii)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(xvi)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8.1(a)</w:t>
      </w:r>
      <w:r>
        <w:rPr>
          <w:rFonts w:ascii="Arial" w:cs="Arial" w:eastAsia="Arial" w:hAnsi="Arial"/>
          <w:sz w:val="18"/>
          <w:szCs w:val="18"/>
          <w:color w:val="auto"/>
        </w:rPr>
        <w:t>, does not exceed the Debt Basket Amount;</w:t>
      </w:r>
    </w:p>
    <w:p>
      <w:pPr>
        <w:spacing w:after="0" w:line="188" w:lineRule="exact"/>
        <w:rPr>
          <w:rFonts w:ascii="Arial" w:cs="Arial" w:eastAsia="Arial" w:hAnsi="Arial"/>
          <w:sz w:val="18"/>
          <w:szCs w:val="18"/>
          <w:color w:val="auto"/>
        </w:rPr>
      </w:pPr>
    </w:p>
    <w:p>
      <w:pPr>
        <w:ind w:left="1220" w:hanging="388"/>
        <w:spacing w:after="0"/>
        <w:tabs>
          <w:tab w:leader="none" w:pos="122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[reserved];</w:t>
      </w:r>
    </w:p>
    <w:p>
      <w:pPr>
        <w:spacing w:after="0" w:line="229" w:lineRule="exact"/>
        <w:rPr>
          <w:rFonts w:ascii="Arial" w:cs="Arial" w:eastAsia="Arial" w:hAnsi="Arial"/>
          <w:sz w:val="20"/>
          <w:szCs w:val="20"/>
          <w:color w:val="auto"/>
        </w:rPr>
      </w:pPr>
    </w:p>
    <w:p>
      <w:pPr>
        <w:jc w:val="both"/>
        <w:ind w:left="840" w:hanging="8"/>
        <w:spacing w:after="0" w:line="275" w:lineRule="auto"/>
        <w:tabs>
          <w:tab w:leader="none" w:pos="127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Indebtedness in respect of sale and leaseback transactions permitted by </w:t>
      </w:r>
      <w:r>
        <w:rPr>
          <w:rFonts w:ascii="Arial" w:cs="Arial" w:eastAsia="Arial" w:hAnsi="Arial"/>
          <w:sz w:val="18"/>
          <w:szCs w:val="18"/>
          <w:u w:val="single" w:color="auto"/>
          <w:color w:val="auto"/>
        </w:rPr>
        <w:t>Section 8.6</w:t>
      </w:r>
      <w:r>
        <w:rPr>
          <w:rFonts w:ascii="Arial" w:cs="Arial" w:eastAsia="Arial" w:hAnsi="Arial"/>
          <w:sz w:val="18"/>
          <w:szCs w:val="18"/>
          <w:color w:val="auto"/>
        </w:rPr>
        <w:t>; provided that the aggregate principal amount of Indebtedness incurred pursuant to this clause (xvi), together with Indebtedness incurred and outstanding under clauses (xiii) and (xiv) of Section 8.1(a) does not exceed the Debt Basket Amount;</w:t>
      </w:r>
    </w:p>
    <w:p>
      <w:pPr>
        <w:spacing w:after="0" w:line="179" w:lineRule="exact"/>
        <w:rPr>
          <w:rFonts w:ascii="Arial" w:cs="Arial" w:eastAsia="Arial" w:hAnsi="Arial"/>
          <w:sz w:val="18"/>
          <w:szCs w:val="18"/>
          <w:color w:val="auto"/>
        </w:rPr>
      </w:pPr>
    </w:p>
    <w:p>
      <w:pPr>
        <w:jc w:val="both"/>
        <w:ind w:left="840" w:hanging="8"/>
        <w:spacing w:after="0" w:line="267" w:lineRule="auto"/>
        <w:tabs>
          <w:tab w:leader="none" w:pos="135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Indebtedness and obligations (including obligations in respect of letters of credit for the benefit) of Crown Holdings or its Subsidiaries in respect of worker’s compensation, other types of social security benefits, pension obligations, vacation pay, unemployment obligations (including premiums related thereto), health, disability or other employee benefits or property, casualty or liability insurance or self-insurance and similar obligations;</w:t>
      </w:r>
    </w:p>
    <w:p>
      <w:pPr>
        <w:spacing w:after="0" w:line="185" w:lineRule="exact"/>
        <w:rPr>
          <w:rFonts w:ascii="Arial" w:cs="Arial" w:eastAsia="Arial" w:hAnsi="Arial"/>
          <w:sz w:val="18"/>
          <w:szCs w:val="18"/>
          <w:color w:val="auto"/>
        </w:rPr>
      </w:pPr>
    </w:p>
    <w:p>
      <w:pPr>
        <w:ind w:left="840" w:hanging="8"/>
        <w:spacing w:after="0" w:line="246" w:lineRule="auto"/>
        <w:tabs>
          <w:tab w:leader="none" w:pos="1393" w:val="left"/>
        </w:tabs>
        <w:numPr>
          <w:ilvl w:val="0"/>
          <w:numId w:val="222"/>
        </w:numPr>
        <w:rPr>
          <w:rFonts w:ascii="Arial" w:cs="Arial" w:eastAsia="Arial" w:hAnsi="Arial"/>
          <w:sz w:val="20"/>
          <w:szCs w:val="20"/>
          <w:color w:val="auto"/>
        </w:rPr>
      </w:pPr>
      <w:r>
        <w:rPr>
          <w:rFonts w:ascii="Arial" w:cs="Arial" w:eastAsia="Arial" w:hAnsi="Arial"/>
          <w:sz w:val="20"/>
          <w:szCs w:val="20"/>
          <w:color w:val="auto"/>
        </w:rPr>
        <w:t>Indebtedness of (including obligations in respect of letters of credit for the benefit of) Crown Holdings or its Subsidiaries in respect of (A) bid bonds, appeal</w:t>
      </w:r>
    </w:p>
    <w:p>
      <w:pPr>
        <w:sectPr>
          <w:pgSz w:w="11900" w:h="16838" w:orient="portrait"/>
          <w:cols w:equalWidth="0" w:num="1">
            <w:col w:w="10120"/>
          </w:cols>
          <w:pgMar w:left="1440" w:top="1419" w:right="339" w:bottom="1440" w:gutter="0" w:footer="0" w:header="0"/>
        </w:sectPr>
      </w:pPr>
    </w:p>
    <w:bookmarkStart w:id="275" w:name="page276"/>
    <w:bookmarkEnd w:id="275"/>
    <w:p>
      <w:pPr>
        <w:jc w:val="both"/>
        <w:ind w:left="840"/>
        <w:spacing w:after="0" w:line="258" w:lineRule="auto"/>
        <w:rPr>
          <w:sz w:val="20"/>
          <w:szCs w:val="20"/>
          <w:color w:val="auto"/>
        </w:rPr>
      </w:pPr>
      <w:r>
        <w:rPr>
          <w:rFonts w:ascii="Arial" w:cs="Arial" w:eastAsia="Arial" w:hAnsi="Arial"/>
          <w:sz w:val="18"/>
          <w:szCs w:val="18"/>
          <w:color w:val="auto"/>
        </w:rPr>
        <w:t>bonds and similar obligations and commercial and trade-related letters of credit (including reimbursement obligations with respect to any such letters of credit), (B) reclamation, (C) pursuant to tenders, statutory obligations, bids, leases, governmental contracts, trade contracts, stay, customs, appeal, performance and/or return of money bonds or other similar obligations and (D) in respect of letters of credit (including reimbursement obligations with respect to any such letters of credit), bank guarantees, bankers’ acceptances, performance, bid and appeal bonds, performance guarantees or similar obligations, in each case, provided in the ordinary course of business, including those incurred to secure health, safety and environmental obligations in the ordinary course of business;</w:t>
      </w:r>
    </w:p>
    <w:p>
      <w:pPr>
        <w:spacing w:after="0" w:line="197" w:lineRule="exact"/>
        <w:rPr>
          <w:sz w:val="20"/>
          <w:szCs w:val="20"/>
          <w:color w:val="auto"/>
        </w:rPr>
      </w:pPr>
    </w:p>
    <w:p>
      <w:pPr>
        <w:jc w:val="both"/>
        <w:ind w:left="840"/>
        <w:spacing w:after="0" w:line="232" w:lineRule="auto"/>
        <w:rPr>
          <w:sz w:val="20"/>
          <w:szCs w:val="20"/>
          <w:color w:val="auto"/>
        </w:rPr>
      </w:pPr>
      <w:r>
        <w:rPr>
          <w:rFonts w:ascii="Arial" w:cs="Arial" w:eastAsia="Arial" w:hAnsi="Arial"/>
          <w:sz w:val="20"/>
          <w:szCs w:val="20"/>
          <w:color w:val="auto"/>
        </w:rPr>
        <w:t>(xix)Indebtedness arising from agreements of Crown Holdings or any of its Subsidiaries providing for indemnification, adjustment of purchase price, holdback obligations, earn-out obligations, seller notes or contingent deferred purchase price obligations, working capital adjustments, non-compete, consulting and other or similar obligations, in each case, incurred or assumed in connection with a Permitted Acquisition, any other Investment or the disposition of any business, assets or a Subsidiary;</w:t>
      </w:r>
    </w:p>
    <w:p>
      <w:pPr>
        <w:spacing w:after="0" w:line="211" w:lineRule="exact"/>
        <w:rPr>
          <w:sz w:val="20"/>
          <w:szCs w:val="20"/>
          <w:color w:val="auto"/>
        </w:rPr>
      </w:pPr>
    </w:p>
    <w:p>
      <w:pPr>
        <w:jc w:val="both"/>
        <w:ind w:left="840" w:right="20"/>
        <w:spacing w:after="0" w:line="246" w:lineRule="auto"/>
        <w:rPr>
          <w:sz w:val="20"/>
          <w:szCs w:val="20"/>
          <w:color w:val="auto"/>
        </w:rPr>
      </w:pPr>
      <w:r>
        <w:rPr>
          <w:rFonts w:ascii="Arial" w:cs="Arial" w:eastAsia="Arial" w:hAnsi="Arial"/>
          <w:sz w:val="20"/>
          <w:szCs w:val="20"/>
          <w:color w:val="auto"/>
        </w:rPr>
        <w:t>(xx)obligations in respect of performance and surety bonds and completion guarantees provided by Crown Holdings and its Subsidiaries in the ordinary course of business;</w:t>
      </w:r>
    </w:p>
    <w:p>
      <w:pPr>
        <w:spacing w:after="0" w:line="204" w:lineRule="exact"/>
        <w:rPr>
          <w:sz w:val="20"/>
          <w:szCs w:val="20"/>
          <w:color w:val="auto"/>
        </w:rPr>
      </w:pPr>
    </w:p>
    <w:p>
      <w:pPr>
        <w:jc w:val="both"/>
        <w:ind w:left="840" w:hanging="8"/>
        <w:spacing w:after="0" w:line="237" w:lineRule="auto"/>
        <w:tabs>
          <w:tab w:leader="none" w:pos="1303" w:val="left"/>
        </w:tabs>
        <w:numPr>
          <w:ilvl w:val="0"/>
          <w:numId w:val="223"/>
        </w:numPr>
        <w:rPr>
          <w:rFonts w:ascii="Arial" w:cs="Arial" w:eastAsia="Arial" w:hAnsi="Arial"/>
          <w:sz w:val="20"/>
          <w:szCs w:val="20"/>
          <w:color w:val="auto"/>
        </w:rPr>
      </w:pPr>
      <w:r>
        <w:rPr>
          <w:rFonts w:ascii="Arial" w:cs="Arial" w:eastAsia="Arial" w:hAnsi="Arial"/>
          <w:sz w:val="20"/>
          <w:szCs w:val="20"/>
          <w:color w:val="auto"/>
        </w:rPr>
        <w:t xml:space="preserve">Indebtedness arising from the honoring by a bank or other financial institution of a check, draft or similar instrument against insufficient funds;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Indebtedness is extinguished within ten Business Days of incurrence;</w:t>
      </w:r>
    </w:p>
    <w:p>
      <w:pPr>
        <w:spacing w:after="0" w:line="210" w:lineRule="exact"/>
        <w:rPr>
          <w:sz w:val="20"/>
          <w:szCs w:val="20"/>
          <w:color w:val="auto"/>
        </w:rPr>
      </w:pPr>
    </w:p>
    <w:p>
      <w:pPr>
        <w:jc w:val="both"/>
        <w:ind w:left="840"/>
        <w:spacing w:after="0" w:line="244" w:lineRule="auto"/>
        <w:rPr>
          <w:sz w:val="20"/>
          <w:szCs w:val="20"/>
          <w:color w:val="auto"/>
        </w:rPr>
      </w:pPr>
      <w:r>
        <w:rPr>
          <w:rFonts w:ascii="Arial" w:cs="Arial" w:eastAsia="Arial" w:hAnsi="Arial"/>
          <w:sz w:val="19"/>
          <w:szCs w:val="19"/>
          <w:color w:val="auto"/>
        </w:rPr>
        <w:t>(xxii)Indebtedness in respect of commercial credit cards, stored value cards, purchasing cards, treasury, depositary and cash management services, check drawing services, automated payment services (including depository, overdraft, controlled disbursement, ACH transactions, return items and interstate depository network services), employee credit card programs, pooling account arrangements, netting services, overdraft protections, set-off, revocation, refunds and chargebacks, and otherwise in connection with deposit accounts, commodities accounts, securities accounts and vendor incentive, supplier finance or similar programs;</w:t>
      </w:r>
    </w:p>
    <w:p>
      <w:pPr>
        <w:spacing w:after="0" w:line="206" w:lineRule="exact"/>
        <w:rPr>
          <w:sz w:val="20"/>
          <w:szCs w:val="20"/>
          <w:color w:val="auto"/>
        </w:rPr>
      </w:pPr>
    </w:p>
    <w:p>
      <w:pPr>
        <w:jc w:val="both"/>
        <w:ind w:left="840"/>
        <w:spacing w:after="0" w:line="234" w:lineRule="auto"/>
        <w:rPr>
          <w:sz w:val="20"/>
          <w:szCs w:val="20"/>
          <w:color w:val="auto"/>
        </w:rPr>
      </w:pPr>
      <w:r>
        <w:rPr>
          <w:rFonts w:ascii="Arial" w:cs="Arial" w:eastAsia="Arial" w:hAnsi="Arial"/>
          <w:sz w:val="20"/>
          <w:szCs w:val="20"/>
          <w:color w:val="auto"/>
        </w:rPr>
        <w:t xml:space="preserve">(xxiii)Indebtedness of any Euro Credit Party to any other Non-U.S. Subsidiary that is not a Credit Party incurred in the ordinary course of business consistent with past practice;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such Indebtedness in excess of $250,000,000 is outstanding at any time, Indebtedness representing such excess shall be subordinated to the Euro Obligations;</w:t>
      </w:r>
    </w:p>
    <w:p>
      <w:pPr>
        <w:spacing w:after="0" w:line="210" w:lineRule="exact"/>
        <w:rPr>
          <w:sz w:val="20"/>
          <w:szCs w:val="20"/>
          <w:color w:val="auto"/>
        </w:rPr>
      </w:pPr>
    </w:p>
    <w:p>
      <w:pPr>
        <w:jc w:val="both"/>
        <w:ind w:left="840"/>
        <w:spacing w:after="0" w:line="246" w:lineRule="auto"/>
        <w:rPr>
          <w:sz w:val="20"/>
          <w:szCs w:val="20"/>
          <w:color w:val="auto"/>
        </w:rPr>
      </w:pPr>
      <w:r>
        <w:rPr>
          <w:rFonts w:ascii="Arial" w:cs="Arial" w:eastAsia="Arial" w:hAnsi="Arial"/>
          <w:sz w:val="20"/>
          <w:szCs w:val="20"/>
          <w:color w:val="auto"/>
        </w:rPr>
        <w:t xml:space="preserve">(xxiv)Indebtedness of Subsidiaries that are not Credit Parties to Credit Parties issued solely as consideration for asset sales permitted by </w:t>
      </w:r>
      <w:r>
        <w:rPr>
          <w:rFonts w:ascii="Arial" w:cs="Arial" w:eastAsia="Arial" w:hAnsi="Arial"/>
          <w:sz w:val="20"/>
          <w:szCs w:val="20"/>
          <w:u w:val="single" w:color="auto"/>
          <w:color w:val="auto"/>
        </w:rPr>
        <w:t>Section 8.5(k)</w:t>
      </w:r>
      <w:r>
        <w:rPr>
          <w:rFonts w:ascii="Arial" w:cs="Arial" w:eastAsia="Arial" w:hAnsi="Arial"/>
          <w:sz w:val="20"/>
          <w:szCs w:val="20"/>
          <w:color w:val="auto"/>
        </w:rPr>
        <w:t>;</w:t>
      </w:r>
    </w:p>
    <w:p>
      <w:pPr>
        <w:spacing w:after="0" w:line="204" w:lineRule="exact"/>
        <w:rPr>
          <w:sz w:val="20"/>
          <w:szCs w:val="20"/>
          <w:color w:val="auto"/>
        </w:rPr>
      </w:pPr>
    </w:p>
    <w:p>
      <w:pPr>
        <w:jc w:val="both"/>
        <w:ind w:left="840" w:hanging="8"/>
        <w:spacing w:after="0" w:line="237" w:lineRule="auto"/>
        <w:tabs>
          <w:tab w:leader="none" w:pos="132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Indebtedness (including Guarantee Obligations incurred in respect thereof) consisting of unsecured promissory notes issued by any Credit Party to any current or former director, officer, employee, member of management, manager or consultant of Crown Holdings, any Credit Party or any Subsidiary to finance</w:t>
      </w:r>
    </w:p>
    <w:p>
      <w:pPr>
        <w:sectPr>
          <w:pgSz w:w="11900" w:h="16838" w:orient="portrait"/>
          <w:cols w:equalWidth="0" w:num="1">
            <w:col w:w="10120"/>
          </w:cols>
          <w:pgMar w:left="1440" w:top="1419" w:right="339" w:bottom="1440" w:gutter="0" w:footer="0" w:header="0"/>
        </w:sectPr>
      </w:pPr>
    </w:p>
    <w:bookmarkStart w:id="276" w:name="page277"/>
    <w:bookmarkEnd w:id="276"/>
    <w:p>
      <w:pPr>
        <w:ind w:left="840"/>
        <w:spacing w:after="0"/>
        <w:rPr>
          <w:sz w:val="20"/>
          <w:szCs w:val="20"/>
          <w:color w:val="auto"/>
        </w:rPr>
      </w:pPr>
      <w:r>
        <w:rPr>
          <w:rFonts w:ascii="Arial" w:cs="Arial" w:eastAsia="Arial" w:hAnsi="Arial"/>
          <w:sz w:val="20"/>
          <w:szCs w:val="20"/>
          <w:color w:val="auto"/>
        </w:rPr>
        <w:t xml:space="preserve">the purchase or redemption of Capital Stock of Crown Holdings permitted by </w:t>
      </w:r>
      <w:r>
        <w:rPr>
          <w:rFonts w:ascii="Arial" w:cs="Arial" w:eastAsia="Arial" w:hAnsi="Arial"/>
          <w:sz w:val="20"/>
          <w:szCs w:val="20"/>
          <w:u w:val="single" w:color="auto"/>
          <w:color w:val="auto"/>
        </w:rPr>
        <w:t>Section 8.8(e)</w:t>
      </w:r>
      <w:r>
        <w:rPr>
          <w:rFonts w:ascii="Arial" w:cs="Arial" w:eastAsia="Arial" w:hAnsi="Arial"/>
          <w:sz w:val="20"/>
          <w:szCs w:val="20"/>
          <w:color w:val="auto"/>
        </w:rPr>
        <w:t>;</w:t>
      </w:r>
    </w:p>
    <w:p>
      <w:pPr>
        <w:spacing w:after="0" w:line="229" w:lineRule="exact"/>
        <w:rPr>
          <w:sz w:val="20"/>
          <w:szCs w:val="20"/>
          <w:color w:val="auto"/>
        </w:rPr>
      </w:pPr>
    </w:p>
    <w:p>
      <w:pPr>
        <w:jc w:val="both"/>
        <w:ind w:left="840" w:hanging="8"/>
        <w:spacing w:after="0" w:line="231" w:lineRule="auto"/>
        <w:tabs>
          <w:tab w:leader="none" w:pos="1388" w:val="left"/>
        </w:tabs>
        <w:numPr>
          <w:ilvl w:val="0"/>
          <w:numId w:val="225"/>
        </w:numPr>
        <w:rPr>
          <w:rFonts w:ascii="Arial" w:cs="Arial" w:eastAsia="Arial" w:hAnsi="Arial"/>
          <w:sz w:val="20"/>
          <w:szCs w:val="20"/>
          <w:color w:val="auto"/>
        </w:rPr>
      </w:pPr>
      <w:r>
        <w:rPr>
          <w:rFonts w:ascii="Arial" w:cs="Arial" w:eastAsia="Arial" w:hAnsi="Arial"/>
          <w:sz w:val="20"/>
          <w:szCs w:val="20"/>
          <w:color w:val="auto"/>
        </w:rPr>
        <w:t xml:space="preserve">Indebtedness of Crown Holdings in the form of Disqualified Preferred Stock in an aggregate amount at any time outstanding not to exceed the greater of (1) $250,000,000 and (2) 2% of Consolidated Total Assets as set forth in the financial statements last delivered by Crown Holdings pursuant to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any replacement, renewal, refinancing, extension, defeasance, restructuring, refunding, repayment, amendment, restatement, supplementation, modification or exchange of such Indebtedness that satisfies the provisions of this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w:t>
      </w:r>
      <w:r>
        <w:rPr>
          <w:rFonts w:ascii="Arial" w:cs="Arial" w:eastAsia="Arial" w:hAnsi="Arial"/>
          <w:sz w:val="20"/>
          <w:szCs w:val="20"/>
          <w:u w:val="single" w:color="auto"/>
          <w:color w:val="auto"/>
        </w:rPr>
        <w:t>(xxvi)</w:t>
      </w:r>
      <w:r>
        <w:rPr>
          <w:rFonts w:ascii="Arial" w:cs="Arial" w:eastAsia="Arial" w:hAnsi="Arial"/>
          <w:sz w:val="20"/>
          <w:szCs w:val="20"/>
          <w:color w:val="auto"/>
        </w:rPr>
        <w:t>;</w:t>
      </w:r>
    </w:p>
    <w:p>
      <w:pPr>
        <w:spacing w:after="0" w:line="210" w:lineRule="exact"/>
        <w:rPr>
          <w:rFonts w:ascii="Arial" w:cs="Arial" w:eastAsia="Arial" w:hAnsi="Arial"/>
          <w:sz w:val="20"/>
          <w:szCs w:val="20"/>
          <w:color w:val="auto"/>
        </w:rPr>
      </w:pPr>
    </w:p>
    <w:p>
      <w:pPr>
        <w:jc w:val="both"/>
        <w:ind w:left="840" w:hanging="8"/>
        <w:spacing w:after="0" w:line="254" w:lineRule="auto"/>
        <w:tabs>
          <w:tab w:leader="none" w:pos="1531" w:val="left"/>
        </w:tabs>
        <w:numPr>
          <w:ilvl w:val="0"/>
          <w:numId w:val="225"/>
        </w:numPr>
        <w:rPr>
          <w:rFonts w:ascii="Arial" w:cs="Arial" w:eastAsia="Arial" w:hAnsi="Arial"/>
          <w:sz w:val="19"/>
          <w:szCs w:val="19"/>
          <w:color w:val="auto"/>
        </w:rPr>
      </w:pPr>
      <w:r>
        <w:rPr>
          <w:rFonts w:ascii="Arial" w:cs="Arial" w:eastAsia="Arial" w:hAnsi="Arial"/>
          <w:sz w:val="19"/>
          <w:szCs w:val="19"/>
          <w:color w:val="auto"/>
        </w:rPr>
        <w:t>Permitted European Borrower Debt (including any Permitted Refinancing Indebtedness of such Indebtedness) in an aggregate principal amount not to exceed €500,000,000 at any time, the net proceeds of which are used to finance a Permitted Acquisition (and to pay fees and expenses related thereto);</w:t>
      </w:r>
    </w:p>
    <w:p>
      <w:pPr>
        <w:spacing w:after="0" w:line="197" w:lineRule="exact"/>
        <w:rPr>
          <w:sz w:val="20"/>
          <w:szCs w:val="20"/>
          <w:color w:val="auto"/>
        </w:rPr>
      </w:pPr>
    </w:p>
    <w:p>
      <w:pPr>
        <w:jc w:val="both"/>
        <w:ind w:left="840"/>
        <w:spacing w:after="0" w:line="246" w:lineRule="auto"/>
        <w:rPr>
          <w:sz w:val="20"/>
          <w:szCs w:val="20"/>
          <w:color w:val="auto"/>
        </w:rPr>
      </w:pPr>
      <w:r>
        <w:rPr>
          <w:rFonts w:ascii="Arial" w:cs="Arial" w:eastAsia="Arial" w:hAnsi="Arial"/>
          <w:sz w:val="19"/>
          <w:szCs w:val="19"/>
          <w:color w:val="auto"/>
        </w:rPr>
        <w:t xml:space="preserve">(xxviii)Indebtedness evidenced by one or more letter of credit facilities and/or one or more bank guarantees (and reimbursement obligations in connection with such letter of credit facilities and/or bank guarantees) in an aggregate undrawn face amount and any unreimbursed obligations in respect thereof at any time outstanding not to exceed the greater of (1) $200,000,000 and (2) 2% of Consolidated Total Assets as set forth in the financial statements last delivered by Crown Holdings pursuant to </w:t>
      </w:r>
      <w:r>
        <w:rPr>
          <w:rFonts w:ascii="Arial" w:cs="Arial" w:eastAsia="Arial" w:hAnsi="Arial"/>
          <w:sz w:val="19"/>
          <w:szCs w:val="19"/>
          <w:u w:val="single" w:color="auto"/>
          <w:color w:val="auto"/>
        </w:rPr>
        <w:t>Section 7.1(a)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203" w:lineRule="exact"/>
        <w:rPr>
          <w:sz w:val="20"/>
          <w:szCs w:val="20"/>
          <w:color w:val="auto"/>
        </w:rPr>
      </w:pPr>
    </w:p>
    <w:p>
      <w:pPr>
        <w:jc w:val="both"/>
        <w:ind w:left="840" w:hanging="8"/>
        <w:spacing w:after="0" w:line="288" w:lineRule="auto"/>
        <w:tabs>
          <w:tab w:leader="none" w:pos="137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Permitted Ratio Debt (including any Permitted Refinancing Indebtedness of such Indebtedness) not otherwise permitted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of the date on which such Indebtedness is incurred or created and after giving effect to the incurrence of such Permitted Ratio Debt on a Pro Forma Basis for the period of four Fiscal Quarters for which financial statements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immediately preceding the date on which such Permitted Ratio Debt is incurred or created, (i) no Event of Default would exist hereunder and (ii) the Total Leverage Ratio shall not be greater than (x) prior to December 31, 2022, 5.00 to 1.00 (or 5.50 to 1.00 during any Increase Period prior to December 31, 2022) and (y) thereafter, 4.50 to 1.00 (or 5.00 to 1.00 during any Increase Period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Indebtedness incurred by Subsidiaries that are not Credit Parties pursuant to this clause (xxix) and clause (xxx) below shall not exceed the greater of (1) $750,000,000 and (2) 5% of Consolidated Total Assets as set forth in the financial statements last delivered by Crown Holdings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if the Total Leverage Ratio is less than or equal to 3.50 to 1.00 at the time of incurrence, the greater of (A) $1,000,000,000 and</w:t>
      </w:r>
    </w:p>
    <w:p>
      <w:pPr>
        <w:spacing w:after="0" w:line="184" w:lineRule="exact"/>
        <w:rPr>
          <w:rFonts w:ascii="Arial" w:cs="Arial" w:eastAsia="Arial" w:hAnsi="Arial"/>
          <w:sz w:val="16"/>
          <w:szCs w:val="16"/>
          <w:color w:val="auto"/>
        </w:rPr>
      </w:pPr>
    </w:p>
    <w:p>
      <w:pPr>
        <w:ind w:left="840"/>
        <w:spacing w:after="0" w:line="234" w:lineRule="auto"/>
        <w:rPr>
          <w:rFonts w:ascii="Arial" w:cs="Arial" w:eastAsia="Arial" w:hAnsi="Arial"/>
          <w:sz w:val="16"/>
          <w:szCs w:val="16"/>
          <w:color w:val="auto"/>
        </w:rPr>
      </w:pPr>
      <w:r>
        <w:rPr>
          <w:rFonts w:ascii="Arial" w:cs="Arial" w:eastAsia="Arial" w:hAnsi="Arial"/>
          <w:sz w:val="20"/>
          <w:szCs w:val="20"/>
          <w:color w:val="auto"/>
        </w:rPr>
        <w:t xml:space="preserve">(B) 6.5% of Consolidated Total Assets as set forth in the financial statements last delivered by Crown Holdings pursuant to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at any time outstanding);</w:t>
      </w:r>
    </w:p>
    <w:p>
      <w:pPr>
        <w:spacing w:after="0" w:line="210" w:lineRule="exact"/>
        <w:rPr>
          <w:rFonts w:ascii="Arial" w:cs="Arial" w:eastAsia="Arial" w:hAnsi="Arial"/>
          <w:sz w:val="16"/>
          <w:szCs w:val="16"/>
          <w:color w:val="auto"/>
        </w:rPr>
      </w:pPr>
    </w:p>
    <w:p>
      <w:pPr>
        <w:jc w:val="both"/>
        <w:ind w:left="840" w:hanging="8"/>
        <w:spacing w:after="0" w:line="286" w:lineRule="auto"/>
        <w:tabs>
          <w:tab w:leader="none" w:pos="137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other Indebtedness (including any Permitted Refinancing Indebtedness of such Indebtedness) of Crown Holdings or any of its Subsidiaries incurred after the Incremental Amendment No. 2 and Third Amendment Effective Date in an aggregate principal amount not exceeding the greater of (1) $1,000,000,000 and (2) 6.5% of Consolidated Total Assets as set forth in the financial statements last delivered by Crown Holdings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or</w:t>
      </w:r>
    </w:p>
    <w:p>
      <w:pPr>
        <w:spacing w:after="0" w:line="3"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20"/>
          <w:szCs w:val="20"/>
          <w:u w:val="single" w:color="auto"/>
          <w:color w:val="auto"/>
        </w:rPr>
        <w:t>(b)</w:t>
      </w:r>
      <w:r>
        <w:rPr>
          <w:rFonts w:ascii="Arial" w:cs="Arial" w:eastAsia="Arial" w:hAnsi="Arial"/>
          <w:sz w:val="20"/>
          <w:szCs w:val="20"/>
          <w:color w:val="auto"/>
        </w:rPr>
        <w:t xml:space="preserve"> (or if the Total Leverage Ratio is less than or equal to 3.50 to 1.00, the greater of (x)</w:t>
      </w:r>
    </w:p>
    <w:p>
      <w:pPr>
        <w:sectPr>
          <w:pgSz w:w="11900" w:h="16838" w:orient="portrait"/>
          <w:cols w:equalWidth="0" w:num="1">
            <w:col w:w="10120"/>
          </w:cols>
          <w:pgMar w:left="1440" w:top="1419" w:right="339" w:bottom="1440" w:gutter="0" w:footer="0" w:header="0"/>
        </w:sectPr>
      </w:pPr>
    </w:p>
    <w:bookmarkStart w:id="277" w:name="page278"/>
    <w:bookmarkEnd w:id="277"/>
    <w:p>
      <w:pPr>
        <w:jc w:val="both"/>
        <w:ind w:left="1960"/>
        <w:spacing w:after="0" w:line="229" w:lineRule="auto"/>
        <w:rPr>
          <w:sz w:val="20"/>
          <w:szCs w:val="20"/>
          <w:color w:val="auto"/>
        </w:rPr>
      </w:pPr>
      <w:r>
        <w:rPr>
          <w:rFonts w:ascii="Arial" w:cs="Arial" w:eastAsia="Arial" w:hAnsi="Arial"/>
          <w:sz w:val="20"/>
          <w:szCs w:val="20"/>
          <w:color w:val="auto"/>
        </w:rPr>
        <w:t xml:space="preserve">$1,250,000,000 and (y) 8% of Consolidated Total Assets as set forth in the financial statements last delivered by Crown Holdings pursuant to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at any time outstanding;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Indebtedness incurred by Subsidiaries that are not Credit Parties pursuant to this clause (xxx) and clause (xxix) above shall not exceed the greater of (A) $750,000,000 and (B) 5% of Consolidated Total Assets as set forth in the financial statements last delivered by Crown Holdings pursuant to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(or if the Total Leverage Ratio is less than 3.50 to 1.00 at the time of incurrence, the greater of (I) $1,000,000,000 and (II) 6.5% of Consolidated Total Assets as set forth in the financial statements last delivered by Crown Holdings pursuant to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at any time outstanding;</w:t>
      </w:r>
    </w:p>
    <w:p>
      <w:pPr>
        <w:spacing w:after="0" w:line="216" w:lineRule="exact"/>
        <w:rPr>
          <w:sz w:val="20"/>
          <w:szCs w:val="20"/>
          <w:color w:val="auto"/>
        </w:rPr>
      </w:pPr>
    </w:p>
    <w:p>
      <w:pPr>
        <w:jc w:val="both"/>
        <w:ind w:left="1960"/>
        <w:spacing w:after="0" w:line="246" w:lineRule="auto"/>
        <w:rPr>
          <w:sz w:val="20"/>
          <w:szCs w:val="20"/>
          <w:color w:val="auto"/>
        </w:rPr>
      </w:pPr>
      <w:r>
        <w:rPr>
          <w:rFonts w:ascii="Arial" w:cs="Arial" w:eastAsia="Arial" w:hAnsi="Arial"/>
          <w:sz w:val="20"/>
          <w:szCs w:val="20"/>
          <w:color w:val="auto"/>
        </w:rPr>
        <w:t>(xxxi)Indebtedness arising as a result of the endorsement in the ordinary course of business of negotiable instruments in the course of collection;</w:t>
      </w:r>
    </w:p>
    <w:p>
      <w:pPr>
        <w:spacing w:after="0" w:line="204"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(xxxii)[reserved];</w:t>
      </w:r>
    </w:p>
    <w:p>
      <w:pPr>
        <w:spacing w:after="0" w:line="229" w:lineRule="exact"/>
        <w:rPr>
          <w:sz w:val="20"/>
          <w:szCs w:val="20"/>
          <w:color w:val="auto"/>
        </w:rPr>
      </w:pPr>
    </w:p>
    <w:p>
      <w:pPr>
        <w:jc w:val="both"/>
        <w:ind w:left="1960" w:hanging="8"/>
        <w:spacing w:after="0" w:line="237" w:lineRule="auto"/>
        <w:tabs>
          <w:tab w:leader="none" w:pos="2637" w:val="left"/>
        </w:tabs>
        <w:numPr>
          <w:ilvl w:val="0"/>
          <w:numId w:val="227"/>
        </w:numPr>
        <w:rPr>
          <w:rFonts w:ascii="Arial" w:cs="Arial" w:eastAsia="Arial" w:hAnsi="Arial"/>
          <w:sz w:val="20"/>
          <w:szCs w:val="20"/>
          <w:color w:val="auto"/>
        </w:rPr>
      </w:pPr>
      <w:r>
        <w:rPr>
          <w:rFonts w:ascii="Arial" w:cs="Arial" w:eastAsia="Arial" w:hAnsi="Arial"/>
          <w:sz w:val="20"/>
          <w:szCs w:val="20"/>
          <w:color w:val="auto"/>
        </w:rPr>
        <w:t>(A) Incremental Equivalent Debt incurred in accordance with the terms of this Agreement and (B) any Permitted Refinancing Indebtedness thereof (to the extent such Incremental Equivalent Debt was incurred pursuant to clause (z) of the definition of “Incremental Cap”);</w:t>
      </w:r>
    </w:p>
    <w:p>
      <w:pPr>
        <w:spacing w:after="0" w:line="210" w:lineRule="exact"/>
        <w:rPr>
          <w:sz w:val="20"/>
          <w:szCs w:val="20"/>
          <w:color w:val="auto"/>
        </w:rPr>
      </w:pPr>
    </w:p>
    <w:p>
      <w:pPr>
        <w:jc w:val="both"/>
        <w:ind w:left="1960"/>
        <w:spacing w:after="0" w:line="237" w:lineRule="auto"/>
        <w:rPr>
          <w:sz w:val="20"/>
          <w:szCs w:val="20"/>
          <w:color w:val="auto"/>
        </w:rPr>
      </w:pPr>
      <w:r>
        <w:rPr>
          <w:rFonts w:ascii="Arial" w:cs="Arial" w:eastAsia="Arial" w:hAnsi="Arial"/>
          <w:sz w:val="20"/>
          <w:szCs w:val="20"/>
          <w:color w:val="auto"/>
        </w:rPr>
        <w:t>(xxxiv)all premiums (if any), interest (including post-petition interest and payment in kind interest), accretion or amortization of original issue discount, fees, expenses, charges and additional or contingent interest with respect to Indebtedness permitted hereunder;</w:t>
      </w:r>
    </w:p>
    <w:p>
      <w:pPr>
        <w:spacing w:after="0" w:line="210" w:lineRule="exact"/>
        <w:rPr>
          <w:sz w:val="20"/>
          <w:szCs w:val="20"/>
          <w:color w:val="auto"/>
        </w:rPr>
      </w:pPr>
    </w:p>
    <w:p>
      <w:pPr>
        <w:jc w:val="both"/>
        <w:ind w:left="1960" w:hanging="8"/>
        <w:spacing w:after="0" w:line="275" w:lineRule="auto"/>
        <w:tabs>
          <w:tab w:leader="none" w:pos="253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obligations incurred in the ordinary course of business to pay the deferred purchase price of goods or services or progress payments in connection with such goods and services, and (B) customer deposits and advance payments received from customers for goods and services purchased in the ordinary course of business; and</w:t>
      </w:r>
    </w:p>
    <w:p>
      <w:pPr>
        <w:spacing w:after="0" w:line="179" w:lineRule="exact"/>
        <w:rPr>
          <w:sz w:val="20"/>
          <w:szCs w:val="20"/>
          <w:color w:val="auto"/>
        </w:rPr>
      </w:pPr>
    </w:p>
    <w:p>
      <w:pPr>
        <w:jc w:val="both"/>
        <w:ind w:left="1960"/>
        <w:spacing w:after="0" w:line="232" w:lineRule="auto"/>
        <w:rPr>
          <w:sz w:val="20"/>
          <w:szCs w:val="20"/>
          <w:color w:val="auto"/>
        </w:rPr>
      </w:pPr>
      <w:r>
        <w:rPr>
          <w:rFonts w:ascii="Arial" w:cs="Arial" w:eastAsia="Arial" w:hAnsi="Arial"/>
          <w:sz w:val="20"/>
          <w:szCs w:val="20"/>
          <w:color w:val="auto"/>
        </w:rPr>
        <w:t xml:space="preserve">(xxxvi)Indebtedness (i) incurred as a result of a redesignation pursuant to </w:t>
      </w:r>
      <w:r>
        <w:rPr>
          <w:rFonts w:ascii="Arial" w:cs="Arial" w:eastAsia="Arial" w:hAnsi="Arial"/>
          <w:sz w:val="20"/>
          <w:szCs w:val="20"/>
          <w:u w:val="single" w:color="auto"/>
          <w:color w:val="auto"/>
        </w:rPr>
        <w:t>Section 12.21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after giving effect to the incurrence of the Indebtedness (and any other Indebtedness incurred since the last day of the immediately preceding Test Period) on a Pro Forma Basis (but tested as if the applicable ratio were the ratio for the next succeeding Test Period) Crown Holdings and its Subsidiaries would be in compliance with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and (ii) any Permitted Refinancing Indebtedness in respect thereof;</w:t>
      </w:r>
    </w:p>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 xml:space="preserve">For purposes of determining compliance with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in the event that an item of proposed Indebtedness meets the criteria of more than one of the categories of permitted Indebtedness described in clauses (i) through (xxxviii) above, Crown Holdings, in its sole discretion, will be permitted to classify such item of Indebtedness on the date of its incurrence, creation or assumption or later reclassify such item of Indebtedness, in any manner that complies with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so long as such Indebtedness (or any portion thereof) is permitted to be incurred, created or assumed pursuant to such provision at the time of reclassification. Notwithstanding the foregoing, Indebtedness incurred, created or assumed (a) under the Loan Documents (including in respect of any Additional Facility, Replacement Revolving Commitments, Replacement Revolving Loans, Replacement Term Commitments and Replacement Term Loans and any other Obligations incurred, created or assumed under </w:t>
      </w:r>
      <w:r>
        <w:rPr>
          <w:rFonts w:ascii="Arial" w:cs="Arial" w:eastAsia="Arial" w:hAnsi="Arial"/>
          <w:sz w:val="19"/>
          <w:szCs w:val="19"/>
          <w:u w:val="single" w:color="auto"/>
          <w:color w:val="auto"/>
        </w:rPr>
        <w:t>Sections 2.9</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(and any extension thereof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shall only be classified as incurred, created or assumed under</w:t>
      </w:r>
    </w:p>
    <w:p>
      <w:pPr>
        <w:sectPr>
          <w:pgSz w:w="11900" w:h="16838" w:orient="portrait"/>
          <w:cols w:equalWidth="0" w:num="1">
            <w:col w:w="11240"/>
          </w:cols>
          <w:pgMar w:left="320" w:top="1419" w:right="339" w:bottom="1440" w:gutter="0" w:footer="0" w:header="0"/>
        </w:sectPr>
      </w:pPr>
    </w:p>
    <w:bookmarkStart w:id="278" w:name="page279"/>
    <w:bookmarkEnd w:id="278"/>
    <w:p>
      <w:pPr>
        <w:jc w:val="both"/>
        <w:spacing w:after="0" w:line="234" w:lineRule="auto"/>
        <w:rPr>
          <w:sz w:val="20"/>
          <w:szCs w:val="20"/>
          <w:color w:val="auto"/>
        </w:rPr>
      </w:pPr>
      <w:r>
        <w:rPr>
          <w:rFonts w:ascii="Arial" w:cs="Arial" w:eastAsia="Arial" w:hAnsi="Arial"/>
          <w:sz w:val="20"/>
          <w:szCs w:val="20"/>
          <w:u w:val="single" w:color="auto"/>
          <w:color w:val="auto"/>
        </w:rPr>
        <w:t>Section 8.1(a)(i)</w:t>
      </w:r>
      <w:r>
        <w:rPr>
          <w:rFonts w:ascii="Arial" w:cs="Arial" w:eastAsia="Arial" w:hAnsi="Arial"/>
          <w:sz w:val="20"/>
          <w:szCs w:val="20"/>
          <w:color w:val="auto"/>
        </w:rPr>
        <w:t xml:space="preserve">, (b) pursuant to </w:t>
      </w:r>
      <w:r>
        <w:rPr>
          <w:rFonts w:ascii="Arial" w:cs="Arial" w:eastAsia="Arial" w:hAnsi="Arial"/>
          <w:sz w:val="20"/>
          <w:szCs w:val="20"/>
          <w:u w:val="single" w:color="auto"/>
          <w:color w:val="auto"/>
        </w:rPr>
        <w:t>Section 6.5(b)(i)</w:t>
      </w:r>
      <w:r>
        <w:rPr>
          <w:rFonts w:ascii="Arial" w:cs="Arial" w:eastAsia="Arial" w:hAnsi="Arial"/>
          <w:sz w:val="20"/>
          <w:szCs w:val="20"/>
          <w:color w:val="auto"/>
        </w:rPr>
        <w:t xml:space="preserve"> and any Permitted Refinancing Indebtedness thereof shall only be classified as incurred, created or assumed under </w:t>
      </w:r>
      <w:r>
        <w:rPr>
          <w:rFonts w:ascii="Arial" w:cs="Arial" w:eastAsia="Arial" w:hAnsi="Arial"/>
          <w:sz w:val="20"/>
          <w:szCs w:val="20"/>
          <w:u w:val="single" w:color="auto"/>
          <w:color w:val="auto"/>
        </w:rPr>
        <w:t>Section 8.1(a)(vi)</w:t>
      </w:r>
      <w:r>
        <w:rPr>
          <w:rFonts w:ascii="Arial" w:cs="Arial" w:eastAsia="Arial" w:hAnsi="Arial"/>
          <w:sz w:val="20"/>
          <w:szCs w:val="20"/>
          <w:color w:val="auto"/>
        </w:rPr>
        <w:t xml:space="preserve"> (other than Indebtedness under </w:t>
      </w:r>
      <w:r>
        <w:rPr>
          <w:rFonts w:ascii="Arial" w:cs="Arial" w:eastAsia="Arial" w:hAnsi="Arial"/>
          <w:sz w:val="20"/>
          <w:szCs w:val="20"/>
          <w:u w:val="single" w:color="auto"/>
          <w:color w:val="auto"/>
        </w:rPr>
        <w:t>Section 8.1(a)(iii)</w:t>
      </w:r>
      <w:r>
        <w:rPr>
          <w:rFonts w:ascii="Arial" w:cs="Arial" w:eastAsia="Arial" w:hAnsi="Arial"/>
          <w:sz w:val="20"/>
          <w:szCs w:val="20"/>
          <w:color w:val="auto"/>
        </w:rPr>
        <w:t xml:space="preserve">) and (c) under the Senior Notes, Debentures and any Permitted Refinancing Indebtedness in respect thereof shall only be classified as incurred, created or assumed under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(iv)</w:t>
      </w:r>
      <w:r>
        <w:rPr>
          <w:rFonts w:ascii="Arial" w:cs="Arial" w:eastAsia="Arial" w:hAnsi="Arial"/>
          <w:sz w:val="20"/>
          <w:szCs w:val="20"/>
          <w:color w:val="auto"/>
        </w:rPr>
        <w:t>.</w:t>
      </w:r>
    </w:p>
    <w:p>
      <w:pPr>
        <w:spacing w:after="0" w:line="210" w:lineRule="exact"/>
        <w:rPr>
          <w:sz w:val="20"/>
          <w:szCs w:val="20"/>
          <w:color w:val="auto"/>
        </w:rPr>
      </w:pPr>
    </w:p>
    <w:p>
      <w:pPr>
        <w:jc w:val="both"/>
        <w:ind w:right="20"/>
        <w:spacing w:after="0" w:line="233" w:lineRule="auto"/>
        <w:rPr>
          <w:sz w:val="20"/>
          <w:szCs w:val="20"/>
          <w:color w:val="auto"/>
        </w:rPr>
      </w:pPr>
      <w:r>
        <w:rPr>
          <w:rFonts w:ascii="Arial" w:cs="Arial" w:eastAsia="Arial" w:hAnsi="Arial"/>
          <w:sz w:val="20"/>
          <w:szCs w:val="20"/>
          <w:color w:val="auto"/>
        </w:rPr>
        <w:t xml:space="preserve">The maximum amount of Indebtedness that Crown Holdings or any Subsidiary may incur pursuant to this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shall not be deemed to be exceeded solely as the result of fluctuations in the exchange rates of currencies.</w:t>
      </w:r>
    </w:p>
    <w:p>
      <w:pPr>
        <w:spacing w:after="0" w:line="1" w:lineRule="exact"/>
        <w:rPr>
          <w:sz w:val="20"/>
          <w:szCs w:val="20"/>
          <w:color w:val="auto"/>
        </w:rPr>
      </w:pPr>
    </w:p>
    <w:p>
      <w:pPr>
        <w:ind w:left="1300" w:firstLine="4"/>
        <w:spacing w:after="0" w:line="282" w:lineRule="auto"/>
        <w:tabs>
          <w:tab w:leader="none" w:pos="158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Other than as permitted to be incurred under </w:t>
      </w:r>
      <w:r>
        <w:rPr>
          <w:rFonts w:ascii="Arial" w:cs="Arial" w:eastAsia="Arial" w:hAnsi="Arial"/>
          <w:sz w:val="18"/>
          <w:szCs w:val="18"/>
          <w:u w:val="single" w:color="auto"/>
          <w:color w:val="auto"/>
        </w:rPr>
        <w:t>Section 8.1(a)(xxvi)</w:t>
      </w:r>
      <w:r>
        <w:rPr>
          <w:rFonts w:ascii="Arial" w:cs="Arial" w:eastAsia="Arial" w:hAnsi="Arial"/>
          <w:sz w:val="18"/>
          <w:szCs w:val="18"/>
          <w:color w:val="auto"/>
        </w:rPr>
        <w:t>, the Credit Parties will not, nor will they permit any of their Subsidiaries to issue any preferred stock or other preferred Capital Stock other than Permitted Preferred Stock.</w:t>
      </w:r>
    </w:p>
    <w:p>
      <w:pPr>
        <w:spacing w:after="0" w:line="173" w:lineRule="exact"/>
        <w:rPr>
          <w:sz w:val="20"/>
          <w:szCs w:val="20"/>
          <w:color w:val="auto"/>
        </w:rPr>
      </w:pPr>
    </w:p>
    <w:p>
      <w:pPr>
        <w:jc w:val="both"/>
        <w:ind w:left="660"/>
        <w:spacing w:after="0" w:line="237" w:lineRule="auto"/>
        <w:rPr>
          <w:sz w:val="20"/>
          <w:szCs w:val="20"/>
          <w:color w:val="auto"/>
        </w:rPr>
      </w:pPr>
      <w:r>
        <w:rPr>
          <w:rFonts w:ascii="Arial" w:cs="Arial" w:eastAsia="Arial" w:hAnsi="Arial"/>
          <w:sz w:val="20"/>
          <w:szCs w:val="20"/>
          <w:u w:val="single" w:color="auto"/>
          <w:color w:val="auto"/>
        </w:rPr>
        <w:t>8.2 Liens</w:t>
      </w:r>
      <w:r>
        <w:rPr>
          <w:rFonts w:ascii="Arial" w:cs="Arial" w:eastAsia="Arial" w:hAnsi="Arial"/>
          <w:sz w:val="20"/>
          <w:szCs w:val="20"/>
          <w:color w:val="auto"/>
        </w:rPr>
        <w:t>. The Credit Parties will not, and will not permit any of their Subsidiaries to create, incur, assume or permit to exist any Lien on any property or asset now owned or hereafter acquired by it, except the following (herein collectively referred to as “</w:t>
      </w:r>
      <w:r>
        <w:rPr>
          <w:rFonts w:ascii="Arial" w:cs="Arial" w:eastAsia="Arial" w:hAnsi="Arial"/>
          <w:sz w:val="20"/>
          <w:szCs w:val="20"/>
          <w:u w:val="single" w:color="auto"/>
          <w:color w:val="auto"/>
        </w:rPr>
        <w:t>Permitted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Liens</w:t>
      </w:r>
      <w:r>
        <w:rPr>
          <w:rFonts w:ascii="Arial" w:cs="Arial" w:eastAsia="Arial" w:hAnsi="Arial"/>
          <w:sz w:val="20"/>
          <w:szCs w:val="20"/>
          <w:color w:val="auto"/>
        </w:rPr>
        <w:t>”):</w:t>
      </w:r>
    </w:p>
    <w:p>
      <w:pPr>
        <w:spacing w:after="0" w:line="210" w:lineRule="exact"/>
        <w:rPr>
          <w:sz w:val="20"/>
          <w:szCs w:val="20"/>
          <w:color w:val="auto"/>
        </w:rPr>
      </w:pPr>
    </w:p>
    <w:p>
      <w:pPr>
        <w:jc w:val="both"/>
        <w:ind w:firstLine="1304"/>
        <w:spacing w:after="0" w:line="258" w:lineRule="auto"/>
        <w:tabs>
          <w:tab w:leader="none" w:pos="154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Liens created under the Loan Documents or otherwise securing the Obligations, (ii) Liens on Cash, Cash Equivalents or deposits granted in favor of the Administrative Agent, the Collateral Agent, any Swing Line Lender or Facing Agent to cash collateralize any Defaulting Lender’s participation in Letters of Credit or Swing Line Loans, (iii) Liens on cash, cash deposits or other credit support securing Hedging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cash, cash deposits or other credit support securing Hedging Agreements shall not exceed in the aggregate at any time the greater of (x) the Dollar Equivalent of $200,000,000 and (y) 2% of Consolidated Total Assets set forth in the financial statements last delivered by Crown Holdings pursuant to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and (iv) Liens on cash, cash deposits or other credit support securing Hedging Agreements entered into on behalf of any customer of Crown Holdings or a Subsidiary;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Liens to secure Indebtedness incurred under </w:t>
      </w:r>
      <w:r>
        <w:rPr>
          <w:rFonts w:ascii="Arial" w:cs="Arial" w:eastAsia="Arial" w:hAnsi="Arial"/>
          <w:sz w:val="20"/>
          <w:szCs w:val="20"/>
          <w:u w:val="single" w:color="auto"/>
          <w:color w:val="auto"/>
        </w:rPr>
        <w:t>Section 8.1(a)(xxviii)</w:t>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 xml:space="preserve">Liens existing on the Incremental Amendment No. 2 and Third Amendment Effective Date and listed on </w:t>
      </w:r>
      <w:r>
        <w:rPr>
          <w:rFonts w:ascii="Arial" w:cs="Arial" w:eastAsia="Arial" w:hAnsi="Arial"/>
          <w:sz w:val="20"/>
          <w:szCs w:val="20"/>
          <w:u w:val="single" w:color="auto"/>
          <w:color w:val="auto"/>
        </w:rPr>
        <w:t>Schedule 8.2(c)</w:t>
      </w:r>
      <w:r>
        <w:rPr>
          <w:rFonts w:ascii="Arial" w:cs="Arial" w:eastAsia="Arial" w:hAnsi="Arial"/>
          <w:sz w:val="20"/>
          <w:szCs w:val="20"/>
          <w:color w:val="auto"/>
        </w:rPr>
        <w:t>, and Liens in connection with any Permitted Refinancing Indebtedness in respect of obligations secured by such Liens or, to the extent such obligations do not constitute Indebtedness, any modifications, replacements, renewals, extensions or substitutions of any other such obligations in respect thereof;</w:t>
      </w:r>
    </w:p>
    <w:p>
      <w:pPr>
        <w:spacing w:after="0" w:line="21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 xml:space="preserve">Liens on assets of any Person existing at the time of acquisition of such assets by any Credit Party or Subsidiary or at the time such Person becomes a Credit Party or is merged, amalgamated or consolidated with a Credit Party (plus any modifications, refinancings, refundings, renewals, replacements and extensions of any such Liens);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were not incurred in connection with, or in contemplation of, such acquisition and do not extend to any assets of such Credit Party other than the specific assets so acquired and the Indebtedness secured thereby is permitted to be incurred pursuant to </w:t>
      </w:r>
      <w:r>
        <w:rPr>
          <w:rFonts w:ascii="Arial" w:cs="Arial" w:eastAsia="Arial" w:hAnsi="Arial"/>
          <w:sz w:val="19"/>
          <w:szCs w:val="19"/>
          <w:u w:val="single" w:color="auto"/>
          <w:color w:val="auto"/>
        </w:rPr>
        <w:t>Section 8.1(a)(xiv)</w:t>
      </w:r>
      <w:r>
        <w:rPr>
          <w:rFonts w:ascii="Arial" w:cs="Arial" w:eastAsia="Arial" w:hAnsi="Arial"/>
          <w:sz w:val="19"/>
          <w:szCs w:val="19"/>
          <w:color w:val="auto"/>
        </w:rPr>
        <w:t>;</w:t>
      </w:r>
    </w:p>
    <w:p>
      <w:pPr>
        <w:spacing w:after="0" w:line="203" w:lineRule="exact"/>
        <w:rPr>
          <w:sz w:val="20"/>
          <w:szCs w:val="20"/>
          <w:color w:val="auto"/>
        </w:rPr>
      </w:pPr>
    </w:p>
    <w:p>
      <w:pPr>
        <w:jc w:val="both"/>
        <w:ind w:firstLine="1304"/>
        <w:spacing w:after="0" w:line="260" w:lineRule="auto"/>
        <w:tabs>
          <w:tab w:leader="none" w:pos="159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Liens to secure the performance of statutory obligations (excluding any Lien imposed pursuant to applicable Canadian federal or provincial pension benefit standards legislation other than inchoate liens for amounts required to be remitted but not yet due), surety, indemnity, customs and release or appeal bonds or performance bonds, guarantees, landlords’, carriers’, warehousemen’s, mechanics’, suppliers’, processor’s, workmen’s, repairmen’s, materialmen’s, attorney’s or other like liens, in any case incurred in the ordinary course of business and with respect to amounts not yet delinquent for a period more than 60 days or being contested in good faith) and (2) bank guarantees, letters of credit and/or Cash, Cash Equivalents and other deposits securing bank guarantees or letters of</w:t>
      </w:r>
    </w:p>
    <w:p>
      <w:pPr>
        <w:sectPr>
          <w:pgSz w:w="11900" w:h="16838" w:orient="portrait"/>
          <w:cols w:equalWidth="0" w:num="1">
            <w:col w:w="11240"/>
          </w:cols>
          <w:pgMar w:left="320" w:top="1419" w:right="339" w:bottom="1440" w:gutter="0" w:footer="0" w:header="0"/>
        </w:sectPr>
      </w:pPr>
    </w:p>
    <w:bookmarkStart w:id="279" w:name="page280"/>
    <w:bookmarkEnd w:id="279"/>
    <w:p>
      <w:pPr>
        <w:jc w:val="both"/>
        <w:ind w:right="20"/>
        <w:spacing w:after="0" w:line="246" w:lineRule="auto"/>
        <w:rPr>
          <w:sz w:val="20"/>
          <w:szCs w:val="20"/>
          <w:color w:val="auto"/>
        </w:rPr>
      </w:pPr>
      <w:r>
        <w:rPr>
          <w:rFonts w:ascii="Arial" w:cs="Arial" w:eastAsia="Arial" w:hAnsi="Arial"/>
          <w:sz w:val="20"/>
          <w:szCs w:val="20"/>
          <w:color w:val="auto"/>
        </w:rPr>
        <w:t>credit (and reimbursement obligations in respect of the foregoing), in each case securing or otherwise supporting the obligations described in clause (1) above, or otherwise securing or supporting the obligations described in this clause (2);</w:t>
      </w:r>
    </w:p>
    <w:p>
      <w:pPr>
        <w:spacing w:after="0" w:line="20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8"/>
          <w:szCs w:val="18"/>
          <w:color w:val="auto"/>
        </w:rPr>
        <w:t xml:space="preserve">Liens arising from the filing of precautionary UCC financing statements relating to Operating Leases or other obligations not constituting Indebtedness or relating to Capitalized Lease Obligations or Attributable Debt (to the extent that such Capital Lease Obligations or Attributable Debt would be permitted to be secured by Liens under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2 without regard to this </w:t>
      </w:r>
      <w:r>
        <w:rPr>
          <w:rFonts w:ascii="Arial" w:cs="Arial" w:eastAsia="Arial" w:hAnsi="Arial"/>
          <w:sz w:val="18"/>
          <w:szCs w:val="18"/>
          <w:u w:val="single" w:color="auto"/>
          <w:color w:val="auto"/>
        </w:rPr>
        <w:t>clause (f)</w:t>
      </w:r>
      <w:r>
        <w:rPr>
          <w:rFonts w:ascii="Arial" w:cs="Arial" w:eastAsia="Arial" w:hAnsi="Arial"/>
          <w:sz w:val="18"/>
          <w:szCs w:val="18"/>
          <w:color w:val="auto"/>
        </w:rPr>
        <w:t>);</w:t>
      </w:r>
    </w:p>
    <w:p>
      <w:pPr>
        <w:spacing w:after="0" w:line="179"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 xml:space="preserve">Liens for Taxes or claims or other like statutory Liens (A) that are not required to be discharged pursuant to </w:t>
      </w:r>
      <w:r>
        <w:rPr>
          <w:rFonts w:ascii="Arial" w:cs="Arial" w:eastAsia="Arial" w:hAnsi="Arial"/>
          <w:sz w:val="20"/>
          <w:szCs w:val="20"/>
          <w:u w:val="single" w:color="auto"/>
          <w:color w:val="auto"/>
        </w:rPr>
        <w:t>Section 7.8</w:t>
      </w:r>
      <w:r>
        <w:rPr>
          <w:rFonts w:ascii="Arial" w:cs="Arial" w:eastAsia="Arial" w:hAnsi="Arial"/>
          <w:sz w:val="20"/>
          <w:szCs w:val="20"/>
          <w:color w:val="auto"/>
        </w:rPr>
        <w:t>, (B) that are not overdue for a period of more than 60 days or (C) that are being contested in good faith for which any reserve or other appropriate provision to the extent required by GAAP shall have been made therefor;</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Reservations, limitations, provisos and conditions expressed in any original grants from Her Majesty the Queen in Right of</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Canada;</w:t>
      </w:r>
    </w:p>
    <w:p>
      <w:pPr>
        <w:spacing w:after="0" w:line="213"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auto"/>
        </w:rPr>
        <w:t>Liens to secure (i) Capitalized Lease Obligations permitted under Sections 8.1(a)(xiii)(2)) and (ii) Indebtedness permitted to be incurred or assumed pursuant to Section 8.1(a)(xiii)(1) or assumed for the purpose of financing (or financing all or part of the purchase price within 270 days after the respective purchase of assets) all or any part of the design, acquisition, development, construction, installation, repair, improvement cost or the lease of such property (including Liens to which any property is subject at the time of acquisition thereof by Crown Holdings or any of its Subsidiaries); provided that:</w:t>
      </w:r>
    </w:p>
    <w:p>
      <w:pPr>
        <w:spacing w:after="0" w:line="211" w:lineRule="exact"/>
        <w:rPr>
          <w:sz w:val="20"/>
          <w:szCs w:val="20"/>
          <w:color w:val="auto"/>
        </w:rPr>
      </w:pPr>
    </w:p>
    <w:p>
      <w:pPr>
        <w:jc w:val="both"/>
        <w:ind w:firstLine="1304"/>
        <w:spacing w:after="0" w:line="325" w:lineRule="auto"/>
        <w:tabs>
          <w:tab w:leader="none" w:pos="1576"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in the case of clauses (i) and (ii), any such Lien does not extend to any other property (other than accessions and additions of such property, and products and proceeds of such property, and other than pursuant to customary cross-collateralization provisions with respect to other property of a Credit Party or Subsidiary that also secures Indebtedness owed to the same financing party or its Affiliates);</w:t>
      </w:r>
    </w:p>
    <w:p>
      <w:pPr>
        <w:spacing w:after="0" w:line="143" w:lineRule="exact"/>
        <w:rPr>
          <w:rFonts w:ascii="Arial" w:cs="Arial" w:eastAsia="Arial" w:hAnsi="Arial"/>
          <w:sz w:val="16"/>
          <w:szCs w:val="16"/>
          <w:color w:val="auto"/>
        </w:rPr>
      </w:pPr>
    </w:p>
    <w:p>
      <w:pPr>
        <w:jc w:val="both"/>
        <w:ind w:firstLine="1304"/>
        <w:spacing w:after="0" w:line="267" w:lineRule="auto"/>
        <w:tabs>
          <w:tab w:leader="none" w:pos="157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 the case of clause (ii), such Lien either exists on the Incremental Amendment No. 2 and Third Amendment Effective Date, on the date that the Person owning such property becomes a Subsidiary, or is created in connection with the design, acquisition, construction, development, installation, repair, lease or improvement of such property as permitted by this Agreement, or in connection with any extensions, renewals, refinancings, refundings and replacements of any such Indebtedness or Capitalized Lease Obligations; and</w:t>
      </w:r>
    </w:p>
    <w:p>
      <w:pPr>
        <w:spacing w:after="0" w:line="185" w:lineRule="exact"/>
        <w:rPr>
          <w:rFonts w:ascii="Arial" w:cs="Arial" w:eastAsia="Arial" w:hAnsi="Arial"/>
          <w:sz w:val="18"/>
          <w:szCs w:val="18"/>
          <w:color w:val="auto"/>
        </w:rPr>
      </w:pPr>
    </w:p>
    <w:p>
      <w:pPr>
        <w:jc w:val="both"/>
        <w:ind w:firstLine="1304"/>
        <w:spacing w:after="0" w:line="232" w:lineRule="auto"/>
        <w:tabs>
          <w:tab w:leader="none" w:pos="159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in the case of clauses (i) and (ii), the principal amount of the Indebtedness secured by any such Lien, (or the principal amount of the Capitalized Lease Obligations with respect to any Capitalized Lease) does not exceed 100% of the cost of such assets at the time of incurrence of such Indebtedness (for the purpose of the calculation in this clause (3), including the cost of all of the assets subject to customary cross-collateralization provisions (measured at the time the Capitalized Lease in respect of such assets was originally incurred) that also secure Indebtedness owed to the same financing party or its Affiliates);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Liens on the assets that are the subject of a sale and leaseback transaction permitted by </w:t>
      </w:r>
      <w:r>
        <w:rPr>
          <w:rFonts w:ascii="Arial" w:cs="Arial" w:eastAsia="Arial" w:hAnsi="Arial"/>
          <w:sz w:val="20"/>
          <w:szCs w:val="20"/>
          <w:u w:val="single" w:color="auto"/>
          <w:color w:val="auto"/>
        </w:rPr>
        <w:t>Section 8.6</w:t>
      </w:r>
      <w:r>
        <w:rPr>
          <w:rFonts w:ascii="Arial" w:cs="Arial" w:eastAsia="Arial" w:hAnsi="Arial"/>
          <w:sz w:val="20"/>
          <w:szCs w:val="20"/>
          <w:color w:val="auto"/>
        </w:rPr>
        <w:t>;</w:t>
      </w:r>
    </w:p>
    <w:p>
      <w:pPr>
        <w:spacing w:after="0" w:line="229" w:lineRule="exact"/>
        <w:rPr>
          <w:sz w:val="20"/>
          <w:szCs w:val="20"/>
          <w:color w:val="auto"/>
        </w:rPr>
      </w:pPr>
    </w:p>
    <w:p>
      <w:pPr>
        <w:ind w:right="20" w:firstLine="1296"/>
        <w:spacing w:after="0" w:line="246" w:lineRule="auto"/>
        <w:rPr>
          <w:sz w:val="20"/>
          <w:szCs w:val="20"/>
          <w:color w:val="auto"/>
        </w:rPr>
      </w:pPr>
      <w:r>
        <w:rPr>
          <w:rFonts w:ascii="Arial" w:cs="Arial" w:eastAsia="Arial" w:hAnsi="Arial"/>
          <w:sz w:val="20"/>
          <w:szCs w:val="20"/>
          <w:color w:val="auto"/>
        </w:rPr>
        <w:t xml:space="preserve">Liens on the assets of a Subsidiary that is not a Credit Party, so long as such assets are not otherwise Collateral, which Liens secure such Subsidiary’s obligations under Indebtedness incurred pursuant to </w:t>
      </w:r>
      <w:r>
        <w:rPr>
          <w:rFonts w:ascii="Arial" w:cs="Arial" w:eastAsia="Arial" w:hAnsi="Arial"/>
          <w:sz w:val="20"/>
          <w:szCs w:val="20"/>
          <w:u w:val="single" w:color="auto"/>
          <w:color w:val="auto"/>
        </w:rPr>
        <w:t>Section 8.1(a)(xxx)</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280" w:name="page281"/>
    <w:bookmarkEnd w:id="280"/>
    <w:p>
      <w:pPr>
        <w:jc w:val="both"/>
        <w:ind w:firstLine="1296"/>
        <w:spacing w:after="0" w:line="237" w:lineRule="auto"/>
        <w:rPr>
          <w:sz w:val="20"/>
          <w:szCs w:val="20"/>
          <w:color w:val="auto"/>
        </w:rPr>
      </w:pPr>
      <w:r>
        <w:rPr>
          <w:rFonts w:ascii="Arial" w:cs="Arial" w:eastAsia="Arial" w:hAnsi="Arial"/>
          <w:sz w:val="20"/>
          <w:szCs w:val="20"/>
          <w:color w:val="auto"/>
        </w:rPr>
        <w:t xml:space="preserve">Liens securing Indebtedness incurred to refinance Indebtedness secured by the Liens of the type described in clauses (c), (d), (i), (j) and (s) of this definition;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Lien shall not extend to or cover any assets, or class of assets in respect of inventory and receivables, not securing the Indebtedness so refinanced;</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Permitted Real Property Encumbrances;</w:t>
      </w:r>
    </w:p>
    <w:p>
      <w:pPr>
        <w:spacing w:after="0" w:line="229"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Liens in the form of pledges or deposits securing bids, tenders, contracts (other than contracts for the payment of money) or leases to which any Credit Party or any Subsidiary is a party, in each case, made in the ordinary course of business;</w:t>
      </w:r>
    </w:p>
    <w:p>
      <w:pPr>
        <w:spacing w:after="0" w:line="18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Liens resulting from operation of law with respect to any attachments, writs, warrants of attachment, judgments, awards, orders or other similar Liens, which do not cause or constitute an Event of Default under </w:t>
      </w:r>
      <w:r>
        <w:rPr>
          <w:rFonts w:ascii="Arial" w:cs="Arial" w:eastAsia="Arial" w:hAnsi="Arial"/>
          <w:sz w:val="20"/>
          <w:szCs w:val="20"/>
          <w:u w:val="single" w:color="auto"/>
          <w:color w:val="auto"/>
        </w:rPr>
        <w:t>Section 10.1(f)</w:t>
      </w:r>
      <w:r>
        <w:rPr>
          <w:rFonts w:ascii="Arial" w:cs="Arial" w:eastAsia="Arial" w:hAnsi="Arial"/>
          <w:sz w:val="20"/>
          <w:szCs w:val="20"/>
          <w:color w:val="auto"/>
        </w:rPr>
        <w:t>;</w:t>
      </w:r>
    </w:p>
    <w:p>
      <w:pPr>
        <w:spacing w:after="0" w:line="20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8"/>
          <w:szCs w:val="18"/>
          <w:color w:val="auto"/>
        </w:rPr>
        <w:t>Liens in the form of licenses, leases, sublicenses or subleases (or other grants of rights to use) granted or created by any Credit Party or any Subsidiary, which (A) do not interfere, individually or in the aggregate, in any material respect with the business of the Credit Parties and their Subsidiaries, taken as a whole, or (B) are between or among Crown Holdings and/or its Subsidiaries;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interest or title of a lessor, licensor, sublessor or sublicensor under leases or licenses not prohibited by this Agreement;</w:t>
      </w:r>
    </w:p>
    <w:p>
      <w:pPr>
        <w:spacing w:after="0" w:line="25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pledges and deposits made in the ordinary course of business in compliance with workers’ compensation, unemployment insurance, old age pensions and other social security laws or regulations and deposits securing liability to insurance carriers under insurance or self-insurance arrangements or Liens created by pension standards legislation, and Liens consisting of bank guarantees, letters of credit and/or pledges and Cash, Cash Equivalents and other deposits securing bank guarantees or letters of credit (and reimbursement obligations in respect of the foregoing), in each case securing or otherwise supporting the obligations described in this clause (r);</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Liens in respect of Receivables Assets that are the subject of Permitted Receivables or Factoring Financings;</w:t>
      </w:r>
    </w:p>
    <w:p>
      <w:pPr>
        <w:spacing w:after="0" w:line="229"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8"/>
          <w:szCs w:val="18"/>
          <w:color w:val="auto"/>
        </w:rPr>
        <w:t>customary rights of set off, revocation, refund or chargeback, Liens or similar rights under agreements with respect to deposit disbursement, concentration account or comparable account under the laws of any foreign jurisdiction, or under the UCC (or comparable foreign law) or arising by operation of law of banks or other financial institutions where any Credit Party maintains deposit disbursement, concentration accounts or comparable account under the laws of any foreign jurisdiction in the ordinary course of business;</w:t>
      </w:r>
    </w:p>
    <w:p>
      <w:pPr>
        <w:spacing w:after="0" w:line="186" w:lineRule="exact"/>
        <w:rPr>
          <w:sz w:val="20"/>
          <w:szCs w:val="20"/>
          <w:color w:val="auto"/>
        </w:rPr>
      </w:pPr>
    </w:p>
    <w:p>
      <w:pPr>
        <w:jc w:val="both"/>
        <w:ind w:firstLine="1304"/>
        <w:spacing w:after="0" w:line="257" w:lineRule="auto"/>
        <w:tabs>
          <w:tab w:leader="none" w:pos="157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to secure payment of customs duties in connection with the importation of goods in the ordinary course of business and other similar liens arising in the ordinary course of business, (2) Liens arising out of conditional sale, title, retention, consignment or similar arrangements for the sale of any assets or property in the ordinary course or business under Article 2 of the UCC or similar provisions of applicable law, (3) (A) to the extent, if any, constituting a Lien, Liens consisting of an option or agreement to sell, transfer, convey, lease or otherwise dispose of any asset or property or any negative pledge on or with respect to such asset or property pending consummation of such transaction and (B) solely on any earnest money deposits made by Crown Holdings or any of its Subsidiaries in connection with any letter of intent or purchase agreement entered into by it and (4) Liens on trusts, escrow arrangements and other funding arrangements, and any Cash, Cash Equivalents, deposit accounts, securities accounts and trust accounts,</w:t>
      </w:r>
    </w:p>
    <w:p>
      <w:pPr>
        <w:sectPr>
          <w:pgSz w:w="11900" w:h="16838" w:orient="portrait"/>
          <w:cols w:equalWidth="0" w:num="1">
            <w:col w:w="11240"/>
          </w:cols>
          <w:pgMar w:left="320" w:top="1419" w:right="339" w:bottom="1440" w:gutter="0" w:footer="0" w:header="0"/>
        </w:sectPr>
      </w:pPr>
    </w:p>
    <w:bookmarkStart w:id="281" w:name="page282"/>
    <w:bookmarkEnd w:id="281"/>
    <w:p>
      <w:pPr>
        <w:jc w:val="both"/>
        <w:spacing w:after="0" w:line="246" w:lineRule="auto"/>
        <w:rPr>
          <w:sz w:val="20"/>
          <w:szCs w:val="20"/>
          <w:color w:val="auto"/>
        </w:rPr>
      </w:pPr>
      <w:r>
        <w:rPr>
          <w:rFonts w:ascii="Arial" w:cs="Arial" w:eastAsia="Arial" w:hAnsi="Arial"/>
          <w:sz w:val="20"/>
          <w:szCs w:val="20"/>
          <w:color w:val="auto"/>
        </w:rPr>
        <w:t>in each case in connection with the defeasance (whether by covenant or legal defeasance), satisfaction and discharge, redemption of, or obligation to cash collateralize (as applicable), Indebtedness; and</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[reserved];</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[reserved];</w:t>
      </w:r>
    </w:p>
    <w:p>
      <w:pPr>
        <w:spacing w:after="0" w:line="22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Liens on the Collateral (subject, to the extent applicable and required hereunder, to an appropriate intercreditor agreement) securing (A) Credit Agreement Refinancing Indebtedness and (B) Incremental Equivalent Debt;</w:t>
      </w:r>
    </w:p>
    <w:p>
      <w:pPr>
        <w:spacing w:after="0" w:line="204"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 xml:space="preserve">Liens in respect of Indebtedness permitted under </w:t>
      </w:r>
      <w:r>
        <w:rPr>
          <w:rFonts w:ascii="Arial" w:cs="Arial" w:eastAsia="Arial" w:hAnsi="Arial"/>
          <w:sz w:val="20"/>
          <w:szCs w:val="20"/>
          <w:u w:val="single" w:color="auto"/>
          <w:color w:val="auto"/>
        </w:rPr>
        <w:t>Section 8.1(a)(xxxvi)</w:t>
      </w:r>
      <w:r>
        <w:rPr>
          <w:rFonts w:ascii="Arial" w:cs="Arial" w:eastAsia="Arial" w:hAnsi="Arial"/>
          <w:sz w:val="20"/>
          <w:szCs w:val="20"/>
          <w:color w:val="auto"/>
        </w:rPr>
        <w:t xml:space="preserve"> to the extent such Lien exists at the time of redesignation of the applicable Person;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the property covered thereby is not changed in category or scope after such acquisition or after such Person becoming a Subsidiary and (y) the Lien would comply with </w:t>
      </w:r>
      <w:r>
        <w:rPr>
          <w:rFonts w:ascii="Arial" w:cs="Arial" w:eastAsia="Arial" w:hAnsi="Arial"/>
          <w:sz w:val="20"/>
          <w:szCs w:val="20"/>
          <w:u w:val="single" w:color="auto"/>
          <w:color w:val="auto"/>
        </w:rPr>
        <w:t>Section 8.2(d)</w:t>
      </w:r>
      <w:r>
        <w:rPr>
          <w:rFonts w:ascii="Arial" w:cs="Arial" w:eastAsia="Arial" w:hAnsi="Arial"/>
          <w:sz w:val="20"/>
          <w:szCs w:val="20"/>
          <w:color w:val="auto"/>
        </w:rPr>
        <w:t>;</w:t>
      </w:r>
    </w:p>
    <w:p>
      <w:pPr>
        <w:spacing w:after="0" w:line="210"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Liens in favor of Crown Holdings or any of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such Lien is granted by a Credit Party in favor of a Subsidiary that is not a Credit Party, the amount of Indebtedness secured by such Lien cannot exceed the amount permitted as an Investment under </w:t>
      </w:r>
      <w:r>
        <w:rPr>
          <w:rFonts w:ascii="Arial" w:cs="Arial" w:eastAsia="Arial" w:hAnsi="Arial"/>
          <w:sz w:val="20"/>
          <w:szCs w:val="20"/>
          <w:u w:val="single" w:color="auto"/>
          <w:color w:val="auto"/>
        </w:rPr>
        <w:t>Section 8.4</w:t>
      </w:r>
      <w:r>
        <w:rPr>
          <w:rFonts w:ascii="Arial" w:cs="Arial" w:eastAsia="Arial" w:hAnsi="Arial"/>
          <w:sz w:val="20"/>
          <w:szCs w:val="20"/>
          <w:color w:val="auto"/>
        </w:rPr>
        <w:t>);</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Liens to secure financing of insurance premiums permitted under </w:t>
      </w:r>
      <w:r>
        <w:rPr>
          <w:rFonts w:ascii="Arial" w:cs="Arial" w:eastAsia="Arial" w:hAnsi="Arial"/>
          <w:sz w:val="20"/>
          <w:szCs w:val="20"/>
          <w:u w:val="single" w:color="auto"/>
          <w:color w:val="auto"/>
        </w:rPr>
        <w:t>Section 8.1(a)(ix)</w:t>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Liens, pursuant to one or more cash collateral arrangements, escrow arrangements or other funding arrangements pursuant to which funds will be segregated to pay all or any portion of the purchase price of any acquisition (or to secure or otherwise support the obligation to pay such purchase price), on such cash collateral arrangements, escrow arrangements and other funding arrangements, and any Cash, Cash Equivalents, and deposit accounts and securities accounts, in each case containing internally generated cash flow of Crown Holdings and its Subsidiaries and/or the proceeds of (i) any sale or other disposition of assets, (ii) any issuance of Capital Stock or (iii) any issuance or incurrence of any Indebtedness permitted under this Agreement (including, for the avoidance of doubt, any Loans made or Letters of Credit issued hereunder) plus an amount equal to interest that would accrue on such Indebtedness for a period not to exceed eighteen months after the date of issuance of such Indebtedness plus fees and expenses in connection therewith;</w:t>
      </w:r>
    </w:p>
    <w:p>
      <w:pPr>
        <w:spacing w:after="0" w:line="198" w:lineRule="exact"/>
        <w:rPr>
          <w:sz w:val="20"/>
          <w:szCs w:val="20"/>
          <w:color w:val="auto"/>
        </w:rPr>
      </w:pPr>
    </w:p>
    <w:p>
      <w:pPr>
        <w:jc w:val="both"/>
        <w:ind w:firstLine="1304"/>
        <w:spacing w:after="0" w:line="237" w:lineRule="auto"/>
        <w:tabs>
          <w:tab w:leader="none" w:pos="1627" w:val="left"/>
        </w:tabs>
        <w:numPr>
          <w:ilvl w:val="0"/>
          <w:numId w:val="234"/>
        </w:numPr>
        <w:rPr>
          <w:rFonts w:ascii="Arial" w:cs="Arial" w:eastAsia="Arial" w:hAnsi="Arial"/>
          <w:sz w:val="20"/>
          <w:szCs w:val="20"/>
          <w:color w:val="auto"/>
        </w:rPr>
      </w:pPr>
      <w:r>
        <w:rPr>
          <w:rFonts w:ascii="Arial" w:cs="Arial" w:eastAsia="Arial" w:hAnsi="Arial"/>
          <w:sz w:val="20"/>
          <w:szCs w:val="20"/>
          <w:color w:val="auto"/>
        </w:rPr>
        <w:t>Liens on Unrestricted Entities or joint ventures (including on Capital Stock thereof) securing capital contributions to, or obligations of, such Persons and (B) customary rights of first refusal and tag, drag and similar rights in joint venture agreements and agreements with respect to Non-Wholly Owned Subsidiaries;</w:t>
      </w:r>
    </w:p>
    <w:p>
      <w:pPr>
        <w:spacing w:after="0" w:line="21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Liens securing Indebtedness incurred pursuant to </w:t>
      </w:r>
      <w:r>
        <w:rPr>
          <w:rFonts w:ascii="Arial" w:cs="Arial" w:eastAsia="Arial" w:hAnsi="Arial"/>
          <w:sz w:val="20"/>
          <w:szCs w:val="20"/>
          <w:u w:val="single" w:color="auto"/>
          <w:color w:val="auto"/>
        </w:rPr>
        <w:t>Section 8.1(a)(viii)</w:t>
      </w:r>
      <w:r>
        <w:rPr>
          <w:rFonts w:ascii="Arial" w:cs="Arial" w:eastAsia="Arial" w:hAnsi="Arial"/>
          <w:sz w:val="20"/>
          <w:szCs w:val="20"/>
          <w:color w:val="auto"/>
        </w:rPr>
        <w:t xml:space="preserve"> (to the extent the underlying Indebtedness or other obligations being guaranteed are permitted to be secured);</w:t>
      </w:r>
    </w:p>
    <w:p>
      <w:pPr>
        <w:spacing w:after="0" w:line="204"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8"/>
          <w:szCs w:val="18"/>
          <w:color w:val="auto"/>
        </w:rPr>
        <w:t>Liens in favor of the U.S. or any state or municipality thereof, or in favor of any other country or political subdivision thereof, to secure certain payments pursuant to any contract or statute or to secure any Indebtedness incurred for the purpose of financing all or any part of the purchase price, or, in the case of real property, the cost of construction, of the assets subject to such Liens, including, without limitation, such Liens incurred in connection with pollution control, industrial revenue, tax increment or similar financing;</w:t>
      </w:r>
    </w:p>
    <w:p>
      <w:pPr>
        <w:sectPr>
          <w:pgSz w:w="11900" w:h="16838" w:orient="portrait"/>
          <w:cols w:equalWidth="0" w:num="1">
            <w:col w:w="11240"/>
          </w:cols>
          <w:pgMar w:left="320" w:top="1419" w:right="339" w:bottom="1440" w:gutter="0" w:footer="0" w:header="0"/>
        </w:sectPr>
      </w:pPr>
    </w:p>
    <w:bookmarkStart w:id="282" w:name="page283"/>
    <w:bookmarkEnd w:id="282"/>
    <w:p>
      <w:pPr>
        <w:jc w:val="both"/>
        <w:ind w:firstLine="1296"/>
        <w:spacing w:after="0" w:line="267" w:lineRule="auto"/>
        <w:rPr>
          <w:sz w:val="20"/>
          <w:szCs w:val="20"/>
          <w:color w:val="auto"/>
        </w:rPr>
      </w:pPr>
      <w:r>
        <w:rPr>
          <w:rFonts w:ascii="Arial" w:cs="Arial" w:eastAsia="Arial" w:hAnsi="Arial"/>
          <w:sz w:val="18"/>
          <w:szCs w:val="18"/>
          <w:color w:val="auto"/>
        </w:rPr>
        <w:t xml:space="preserve">Liens in respect of Indebtedness permitted under </w:t>
      </w:r>
      <w:r>
        <w:rPr>
          <w:rFonts w:ascii="Arial" w:cs="Arial" w:eastAsia="Arial" w:hAnsi="Arial"/>
          <w:sz w:val="18"/>
          <w:szCs w:val="18"/>
          <w:u w:val="single" w:color="auto"/>
          <w:color w:val="auto"/>
        </w:rPr>
        <w:t>Section 8.1(a)(xxix)</w:t>
      </w:r>
      <w:r>
        <w:rPr>
          <w:rFonts w:ascii="Arial" w:cs="Arial" w:eastAsia="Arial" w:hAnsi="Arial"/>
          <w:sz w:val="18"/>
          <w:szCs w:val="18"/>
          <w:color w:val="auto"/>
        </w:rPr>
        <w:t xml:space="preserve"> but only to the extent that at the time such Indebtedness is incurred, and immediately after giving effect to such incurrence thereof on a Pro Forma Basis, the Total Secured Leverage Ratio shall not exceed 3.00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expressly subordinated to the Liens on the Collateral securing the Obligations of the Credit Parties pursuant to intercreditor arrangements reasonably acceptable to the Administrative Agent; and</w:t>
      </w:r>
    </w:p>
    <w:p>
      <w:pPr>
        <w:spacing w:after="0" w:line="186"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8"/>
          <w:szCs w:val="18"/>
          <w:color w:val="auto"/>
        </w:rPr>
        <w:t xml:space="preserve">other Liens incurred after the Incremental Amendment No. 2 and Third Amendment Effective Date so long as, without duplication, the value of the property subject to such Liens at the time such Lien is incurred and the Indebtedness (including any refinancings of such Indebtedness) and other obligations secured thereby do not exceed the greater of (1) $650,000,000 and (2) 7.5% of Consolidated Tangible Assets as set forth in the financial statements last delivered by Crown Holdings pursuant to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86"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no such Liens (other than Liens under clauses (a), (b), (c), (d), (e), (g), (m), (n), (o) and (p)) shall extend to any Principal Property or Restricted Securities;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during a Collateral Release Period or after a Non-Stock Collateral Release Event, as applicable, none of the foregoing provisions of this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shall permit any Lien to exist on assets that constituted or would constitute Collateral immediately prior to the applicable Collateral Release Event or Non-Stock Collateral Release Event, except to the extent that such Liens were expressly permitted on such assets prior to giving effect to such Collateral Release Event or Non-Stock Collateral Release Event.</w:t>
      </w:r>
    </w:p>
    <w:p>
      <w:pPr>
        <w:spacing w:after="0" w:line="21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 xml:space="preserve">For purposes of determining compliance with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in the event that a proposed Lien meets the criteria of more than one of the categories of permitted Liens described in clauses (a) through (gg) above, Crown Holdings, in its sole discretion, will be permitted to classify such Lien on the date of its incurrence, or later reclassify such Lien, in any manner that complies with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so long as such Lien (or any portion thereof) is permitted to be incurred pursuant to such provision at the time of reclassification. Notwithstanding the foregoing, Liens incurred (a) under the Loan Documents or otherwise securing the obligations shall only be classified as incurred under </w:t>
      </w:r>
      <w:r>
        <w:rPr>
          <w:rFonts w:ascii="Arial" w:cs="Arial" w:eastAsia="Arial" w:hAnsi="Arial"/>
          <w:sz w:val="19"/>
          <w:szCs w:val="19"/>
          <w:u w:val="single" w:color="auto"/>
          <w:color w:val="auto"/>
        </w:rPr>
        <w:t>Section 8.2(a)(i)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(a)(ii)</w:t>
      </w:r>
      <w:r>
        <w:rPr>
          <w:rFonts w:ascii="Arial" w:cs="Arial" w:eastAsia="Arial" w:hAnsi="Arial"/>
          <w:sz w:val="19"/>
          <w:szCs w:val="19"/>
          <w:color w:val="auto"/>
        </w:rPr>
        <w:t xml:space="preserve"> and (b) pursuant to </w:t>
      </w:r>
      <w:r>
        <w:rPr>
          <w:rFonts w:ascii="Arial" w:cs="Arial" w:eastAsia="Arial" w:hAnsi="Arial"/>
          <w:sz w:val="19"/>
          <w:szCs w:val="19"/>
          <w:u w:val="single" w:color="auto"/>
          <w:color w:val="auto"/>
        </w:rPr>
        <w:t>Section 8.2(c)</w:t>
      </w:r>
      <w:r>
        <w:rPr>
          <w:rFonts w:ascii="Arial" w:cs="Arial" w:eastAsia="Arial" w:hAnsi="Arial"/>
          <w:sz w:val="19"/>
          <w:szCs w:val="19"/>
          <w:color w:val="auto"/>
        </w:rPr>
        <w:t xml:space="preserve"> on the Incremental Amendment No. 2 and Third Amendment Effective Date shall only be classified as incurred under </w:t>
      </w:r>
      <w:r>
        <w:rPr>
          <w:rFonts w:ascii="Arial" w:cs="Arial" w:eastAsia="Arial" w:hAnsi="Arial"/>
          <w:sz w:val="19"/>
          <w:szCs w:val="19"/>
          <w:u w:val="single" w:color="auto"/>
          <w:color w:val="auto"/>
        </w:rPr>
        <w:t>Section 8.2(c)</w:t>
      </w:r>
      <w:r>
        <w:rPr>
          <w:rFonts w:ascii="Arial" w:cs="Arial" w:eastAsia="Arial" w:hAnsi="Arial"/>
          <w:sz w:val="19"/>
          <w:szCs w:val="19"/>
          <w:color w:val="auto"/>
        </w:rPr>
        <w:t>.</w:t>
      </w:r>
    </w:p>
    <w:p>
      <w:pPr>
        <w:spacing w:after="0" w:line="206"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 xml:space="preserve">The maximum amount of Liens that Crown Holdings or any Subsidiary may incur pursuant to this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shall not be deemed to be exceeded solely as the result of fluctuations in the exchange rates of currencies.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8.3 Fundamental Changes</w:t>
      </w:r>
      <w:r>
        <w:rPr>
          <w:rFonts w:ascii="Arial" w:cs="Arial" w:eastAsia="Arial" w:hAnsi="Arial"/>
          <w:sz w:val="20"/>
          <w:szCs w:val="20"/>
          <w:color w:val="auto"/>
        </w:rPr>
        <w:t>.</w:t>
      </w:r>
    </w:p>
    <w:p>
      <w:pPr>
        <w:spacing w:after="0" w:line="229" w:lineRule="exact"/>
        <w:rPr>
          <w:sz w:val="20"/>
          <w:szCs w:val="20"/>
          <w:color w:val="auto"/>
        </w:rPr>
      </w:pPr>
    </w:p>
    <w:p>
      <w:pPr>
        <w:jc w:val="both"/>
        <w:ind w:firstLine="656"/>
        <w:spacing w:after="0"/>
        <w:tabs>
          <w:tab w:leader="none" w:pos="923" w:val="left"/>
        </w:tabs>
        <w:numPr>
          <w:ilvl w:val="0"/>
          <w:numId w:val="235"/>
        </w:numPr>
        <w:rPr>
          <w:rFonts w:ascii="Arial" w:cs="Arial" w:eastAsia="Arial" w:hAnsi="Arial"/>
          <w:sz w:val="19"/>
          <w:szCs w:val="19"/>
          <w:color w:val="auto"/>
        </w:rPr>
      </w:pPr>
      <w:r>
        <w:rPr>
          <w:rFonts w:ascii="Arial" w:cs="Arial" w:eastAsia="Arial" w:hAnsi="Arial"/>
          <w:sz w:val="19"/>
          <w:szCs w:val="19"/>
          <w:color w:val="auto"/>
        </w:rPr>
        <w:t xml:space="preserve">The Credit Parties will not, and will not permit any of their Material Subsidiaries to, merge into, amalgamate with or consolidate with any other Person, or permit any other Person to merge into, amalgamate with or consolidate with it, or liquidate or dissolve (other than in connection with any Investment permitted under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8.4(x)</w:t>
      </w:r>
      <w:r>
        <w:rPr>
          <w:rFonts w:ascii="Arial" w:cs="Arial" w:eastAsia="Arial" w:hAnsi="Arial"/>
          <w:sz w:val="19"/>
          <w:szCs w:val="19"/>
          <w:color w:val="auto"/>
        </w:rPr>
        <w:t xml:space="preserve">) and any asset sale permitted under </w:t>
      </w:r>
      <w:r>
        <w:rPr>
          <w:rFonts w:ascii="Arial" w:cs="Arial" w:eastAsia="Arial" w:hAnsi="Arial"/>
          <w:sz w:val="19"/>
          <w:szCs w:val="19"/>
          <w:u w:val="single" w:color="auto"/>
          <w:color w:val="auto"/>
        </w:rPr>
        <w:t>Section 8.5</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8.5(j)</w:t>
      </w:r>
      <w:r>
        <w:rPr>
          <w:rFonts w:ascii="Arial" w:cs="Arial" w:eastAsia="Arial" w:hAnsi="Arial"/>
          <w:sz w:val="19"/>
          <w:szCs w:val="19"/>
          <w:color w:val="auto"/>
        </w:rPr>
        <w:t xml:space="preserve">)), except that, (i) any Wholly-Owned Subsidiary of a Borrower may merge into, amalgamate with or consolidate with such Borrower in a transaction in which such Borrower is the surviving Person, (ii) any Wholly-Owned Subsidiary (or any Subsidiary if in connection with a Permitted Acquisition) of a Borrower may merge with or into any Subsidiary of such Borrower in a transaction in which the surviving entity is a Wholly-Owned Subsidiary of such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and if any party to such merger is a Subsidiary Credit Party, the surviving entity shall be (or shall simultaneously with or promptly following such merger become) a Subsidiary Credit Party, (iii) the Credit Parties and their Subsidiaries may engage in Permitted Holding Company Transactions and Permitted Cross Chain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connection with the foregoing, the appropriate Credit Parties shall take all actions necessary or reasonably requested by U.S. Collateral Agent or Euro</w:t>
      </w:r>
    </w:p>
    <w:p>
      <w:pPr>
        <w:sectPr>
          <w:pgSz w:w="11900" w:h="16838" w:orient="portrait"/>
          <w:cols w:equalWidth="0" w:num="1">
            <w:col w:w="11240"/>
          </w:cols>
          <w:pgMar w:left="320" w:top="1419" w:right="339" w:bottom="1440" w:gutter="0" w:footer="0" w:header="0"/>
        </w:sectPr>
      </w:pPr>
    </w:p>
    <w:bookmarkStart w:id="283" w:name="page284"/>
    <w:bookmarkEnd w:id="283"/>
    <w:p>
      <w:pPr>
        <w:jc w:val="both"/>
        <w:spacing w:after="0" w:line="251" w:lineRule="auto"/>
        <w:rPr>
          <w:sz w:val="20"/>
          <w:szCs w:val="20"/>
          <w:color w:val="auto"/>
        </w:rPr>
      </w:pPr>
      <w:r>
        <w:rPr>
          <w:rFonts w:ascii="Arial" w:cs="Arial" w:eastAsia="Arial" w:hAnsi="Arial"/>
          <w:sz w:val="18"/>
          <w:szCs w:val="18"/>
          <w:color w:val="auto"/>
        </w:rPr>
        <w:t xml:space="preserve">Collateral Agent to maintain the perfection of or perfect, as the case may be, protect and preserve the Liens on the Collateral granted to the U.S. Collateral Agent or the Euro Collateral Agent pursuant to the Security Documents and otherwise comply with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7.14</w:t>
      </w:r>
      <w:r>
        <w:rPr>
          <w:rFonts w:ascii="Arial" w:cs="Arial" w:eastAsia="Arial" w:hAnsi="Arial"/>
          <w:sz w:val="18"/>
          <w:szCs w:val="18"/>
          <w:color w:val="auto"/>
        </w:rPr>
        <w:t xml:space="preserve">, on the terms set forth therein and to the extent applicable, (iv) any Subsidiary may liquidate or dissolve;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such liquidation or dissolution would not reasonably be expected to have a Material Adverse Effect and (y) such Subsidiary, if it is a Borrower, shall have either paid in full (other than Unasserted Contingent Obligations) all Loans made to it hereunder or made arrangements for another Borrower or another Subsidiary that becomes a Credit Party to expressly assume all the obligations of such Borrower under this Agreement and the other Loan Documents to which such Borrower is a party pursuant to a supplement hereto or thereto in form reasonably satisfactory to the Administrative Agent (and such assuming Person that becomes a Credit Party shall, if the dissolving or liquidating Person is a U.S. Credit Party, be organized in any state of the United States or the District of Columbia or, if the dissolving or liquidating Person is not a U.S. Credit Party, in the same jurisdiction as such dissolving or liquidating Person) and (v) any Subsidiary that is not a Credit Party may merge, amalgamate or consolidate with or into any other Subsidiary that is not a Credit Party. No Unrestricted Entity shall enter into any merger or consolidation into or with Crown Holdings, any Credit Party or any Subsidiary except that an Unrestricted Entity may (1) merge or consolidate with Crown Holdings, any Credit Party or any Subsidiary in a transaction in which the surviving entity is Crown Holdings, such Credit Party or such Subsidiary, (2) merge or consolidate with a Credit Party (other than Crown Holdings or any Borrower) or any Subsidiary in a transaction in which such Unrestricted Entity is the surviving entity if such Unrestricted Entity ceases to be an Unrestricted Entity substantially concurrently with such merger or consolidation and, (A) to the extent the merger or consolidation of such Unrestricted Entity is with a Subsidiary Borrower, unless such obligations are assumed by the surviving company by operation of law, such surviving company shall expressly assume all the obligations of such Subsidiary Borrower under this Agreement and the other Loan Documents to which the such Subsidiary Borrower is a party pursuant to a supplement hereto or thereto in form reasonably satisfactory to the Administrative Agent,</w:t>
      </w:r>
    </w:p>
    <w:p>
      <w:pPr>
        <w:spacing w:after="0" w:line="7" w:lineRule="exact"/>
        <w:rPr>
          <w:sz w:val="20"/>
          <w:szCs w:val="20"/>
          <w:color w:val="auto"/>
        </w:rPr>
      </w:pPr>
    </w:p>
    <w:p>
      <w:pPr>
        <w:jc w:val="both"/>
        <w:ind w:firstLine="8"/>
        <w:spacing w:after="0" w:line="230" w:lineRule="auto"/>
        <w:tabs>
          <w:tab w:leader="none" w:pos="336" w:val="left"/>
        </w:tabs>
        <w:numPr>
          <w:ilvl w:val="0"/>
          <w:numId w:val="236"/>
        </w:numPr>
        <w:rPr>
          <w:rFonts w:ascii="Arial" w:cs="Arial" w:eastAsia="Arial" w:hAnsi="Arial"/>
          <w:sz w:val="20"/>
          <w:szCs w:val="20"/>
          <w:color w:val="auto"/>
        </w:rPr>
      </w:pPr>
      <w:r>
        <w:rPr>
          <w:rFonts w:ascii="Arial" w:cs="Arial" w:eastAsia="Arial" w:hAnsi="Arial"/>
          <w:sz w:val="20"/>
          <w:szCs w:val="20"/>
          <w:color w:val="auto"/>
        </w:rPr>
        <w:t xml:space="preserve">each Guarantor, unless it is the other party to such merger or consolidation, shall have confirmed that its guaranty shall apply to the surviving company’s obligations under the Loan Documents or (C) such Person shall comply with the requirements of </w:t>
      </w:r>
      <w:r>
        <w:rPr>
          <w:rFonts w:ascii="Arial" w:cs="Arial" w:eastAsia="Arial" w:hAnsi="Arial"/>
          <w:sz w:val="20"/>
          <w:szCs w:val="20"/>
          <w:u w:val="single" w:color="auto"/>
          <w:color w:val="auto"/>
        </w:rPr>
        <w:t>Section 7.14</w:t>
      </w:r>
      <w:r>
        <w:rPr>
          <w:rFonts w:ascii="Arial" w:cs="Arial" w:eastAsia="Arial" w:hAnsi="Arial"/>
          <w:sz w:val="20"/>
          <w:szCs w:val="20"/>
          <w:color w:val="auto"/>
        </w:rPr>
        <w:t xml:space="preserve"> substantially concurrently with such merger or consolidation (for this purpose only, without giving effect to the grace periods for delivery of a guaranty or security provided for therein).</w:t>
      </w:r>
    </w:p>
    <w:p>
      <w:pPr>
        <w:spacing w:after="0" w:line="209" w:lineRule="exact"/>
        <w:rPr>
          <w:rFonts w:ascii="Arial" w:cs="Arial" w:eastAsia="Arial" w:hAnsi="Arial"/>
          <w:sz w:val="20"/>
          <w:szCs w:val="20"/>
          <w:color w:val="auto"/>
        </w:rPr>
      </w:pPr>
    </w:p>
    <w:p>
      <w:pPr>
        <w:jc w:val="both"/>
        <w:ind w:firstLine="656"/>
        <w:spacing w:after="0" w:line="243" w:lineRule="auto"/>
        <w:tabs>
          <w:tab w:leader="none" w:pos="937" w:val="left"/>
        </w:tabs>
        <w:numPr>
          <w:ilvl w:val="1"/>
          <w:numId w:val="236"/>
        </w:numPr>
        <w:rPr>
          <w:rFonts w:ascii="Arial" w:cs="Arial" w:eastAsia="Arial" w:hAnsi="Arial"/>
          <w:sz w:val="19"/>
          <w:szCs w:val="19"/>
          <w:color w:val="auto"/>
        </w:rPr>
      </w:pPr>
      <w:r>
        <w:rPr>
          <w:rFonts w:ascii="Arial" w:cs="Arial" w:eastAsia="Arial" w:hAnsi="Arial"/>
          <w:sz w:val="19"/>
          <w:szCs w:val="19"/>
          <w:color w:val="auto"/>
        </w:rPr>
        <w:t>Notwithstanding the foregoing, any Subsidiary of U.S. Borrower, the Canadian Borrower or European Borrower may dispose of any or all of its assets (upon voluntary liquidation or otherwise) to U.S. Borrower, the Canadian Borrower or European Borrower or any other Credit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connection with the foregoing, the appropriate Credit Parties shall take all actions necessary or reasonably requested by the Collateral Agents to maintain the perfection of or perfect, as the case may be, protect and preserve the Liens on the Collateral granted to the Collateral Agents pursuant to the Security Documents and otherwise comply with the provisions of </w:t>
      </w:r>
      <w:r>
        <w:rPr>
          <w:rFonts w:ascii="Arial" w:cs="Arial" w:eastAsia="Arial" w:hAnsi="Arial"/>
          <w:sz w:val="19"/>
          <w:szCs w:val="19"/>
          <w:u w:val="single" w:color="auto"/>
          <w:color w:val="auto"/>
        </w:rPr>
        <w:t>Section 7.14</w:t>
      </w:r>
      <w:r>
        <w:rPr>
          <w:rFonts w:ascii="Arial" w:cs="Arial" w:eastAsia="Arial" w:hAnsi="Arial"/>
          <w:sz w:val="19"/>
          <w:szCs w:val="19"/>
          <w:color w:val="auto"/>
        </w:rPr>
        <w:t>, on the terms set forth therein and to the extent applicable), and any Subsidiary which is not a Subsidiary Credit Party may dispose of assets to any other Subsidiary which is not a Subsidiary Credit Party.</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(c)The Credit Parties will not, and will not permit any of their Subsidiaries to engage to any material extent in any business other than businesses of the type conducted by Crown Holdings and its Subsidiaries on the Original Closing Date and businesses which are extensions thereof or otherwise incidental, reasonably related, ancillary, complementary or incidental thereto.</w:t>
      </w:r>
    </w:p>
    <w:p>
      <w:pPr>
        <w:spacing w:after="0" w:line="197" w:lineRule="exact"/>
        <w:rPr>
          <w:sz w:val="20"/>
          <w:szCs w:val="20"/>
          <w:color w:val="auto"/>
        </w:rPr>
      </w:pPr>
    </w:p>
    <w:p>
      <w:pPr>
        <w:jc w:val="both"/>
        <w:ind w:left="660"/>
        <w:spacing w:after="0" w:line="237" w:lineRule="auto"/>
        <w:rPr>
          <w:sz w:val="20"/>
          <w:szCs w:val="20"/>
          <w:color w:val="auto"/>
        </w:rPr>
      </w:pPr>
      <w:r>
        <w:rPr>
          <w:rFonts w:ascii="Arial" w:cs="Arial" w:eastAsia="Arial" w:hAnsi="Arial"/>
          <w:sz w:val="20"/>
          <w:szCs w:val="20"/>
          <w:u w:val="single" w:color="auto"/>
          <w:color w:val="auto"/>
        </w:rPr>
        <w:t>8.4 Investments, Loans, Advances, Guarantee Obligations and Acquisitions</w:t>
      </w:r>
      <w:r>
        <w:rPr>
          <w:rFonts w:ascii="Arial" w:cs="Arial" w:eastAsia="Arial" w:hAnsi="Arial"/>
          <w:sz w:val="20"/>
          <w:szCs w:val="20"/>
          <w:color w:val="auto"/>
        </w:rPr>
        <w:t>. The Credit Parties will not, and will not permit any of their Subsidiaries to purchase, hold, acquire (including pursuant to any merger or amalgamation with any Person that was not a Wholly-Owned</w:t>
      </w:r>
    </w:p>
    <w:p>
      <w:pPr>
        <w:sectPr>
          <w:pgSz w:w="11900" w:h="16838" w:orient="portrait"/>
          <w:cols w:equalWidth="0" w:num="1">
            <w:col w:w="11240"/>
          </w:cols>
          <w:pgMar w:left="320" w:top="1419" w:right="339" w:bottom="1440" w:gutter="0" w:footer="0" w:header="0"/>
        </w:sectPr>
      </w:pPr>
    </w:p>
    <w:bookmarkStart w:id="284" w:name="page285"/>
    <w:bookmarkEnd w:id="284"/>
    <w:p>
      <w:pPr>
        <w:ind w:left="660"/>
        <w:spacing w:after="0"/>
        <w:rPr>
          <w:sz w:val="20"/>
          <w:szCs w:val="20"/>
          <w:color w:val="auto"/>
        </w:rPr>
      </w:pPr>
      <w:r>
        <w:rPr>
          <w:rFonts w:ascii="Arial" w:cs="Arial" w:eastAsia="Arial" w:hAnsi="Arial"/>
          <w:sz w:val="20"/>
          <w:szCs w:val="20"/>
          <w:color w:val="auto"/>
        </w:rPr>
        <w:t>Subsidiary prior to such merger or amalgamation), permit to exist or make any Investment, except: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Cash and Cash Equivalents;</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Investments existing on the Incremental Amendment No. 2 and Third Amendment Effective Date and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8.4</w:t>
      </w:r>
      <w:r>
        <w:rPr>
          <w:rFonts w:ascii="Arial" w:cs="Arial" w:eastAsia="Arial" w:hAnsi="Arial"/>
          <w:sz w:val="18"/>
          <w:szCs w:val="18"/>
          <w:color w:val="auto"/>
        </w:rPr>
        <w:t xml:space="preserve"> and any Investment that extends, replaces, refinances or refunds any such Investment and any investment that extends, replaces, refinances or refunds any such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extending, replacing, refinancing or refunding Investment is in an amount that does not exceed the amount extended, replaced, refinanced or refunded (other than as a result of the accrual or accretion of interest or original issue discount or the issuance of pay-in-kind securities), except as otherwise permitted pursuant to this </w:t>
      </w:r>
      <w:r>
        <w:rPr>
          <w:rFonts w:ascii="Arial" w:cs="Arial" w:eastAsia="Arial" w:hAnsi="Arial"/>
          <w:sz w:val="18"/>
          <w:szCs w:val="18"/>
          <w:u w:val="single" w:color="auto"/>
          <w:color w:val="auto"/>
        </w:rPr>
        <w:t>Section 8.4</w:t>
      </w:r>
      <w:r>
        <w:rPr>
          <w:rFonts w:ascii="Arial" w:cs="Arial" w:eastAsia="Arial" w:hAnsi="Arial"/>
          <w:sz w:val="18"/>
          <w:szCs w:val="18"/>
          <w:color w:val="auto"/>
        </w:rPr>
        <w:t>;</w:t>
      </w:r>
    </w:p>
    <w:p>
      <w:pPr>
        <w:spacing w:after="0" w:line="18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Investments (x) by the Parent Guarantors, the Borrowers and the Subsidiaries in Subsidiary Credit Parties and by the Parent Guarantors in the Borrowers;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Investment (other than Intercompany Indebtedness held by a Non-U.S. Subsidiary which shall be pledged only if and to the extent required by this Agreement) held by a Credit Party shall be pledged pursuant to the applicable Security Document, (y) by a Subsidiary Credit Party in a Parent Guarantor or a Borrower in the form of Intercompany Indebtedness only,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Investment shall be pledged pursuant to the applicable Security Document if and to the extent required by this Agreement or (z) held by such Person at the time such Person becomes a Subsidiary;</w:t>
      </w:r>
    </w:p>
    <w:p>
      <w:pPr>
        <w:spacing w:after="0" w:line="206"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 xml:space="preserve">Investments incurred after the Incremental Amendment No. 2 and Third Amendment Effective Date by (A) the Credit Parties in Subsidiaries that are not Credit Parties and (B) Subsidiaries that are not Credit Parties in other Subsidiaries that are not Credit Parties;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Investments are made in the ordinary course of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in the case of clause (A), the aggregate amount of such Investments shall not exceed $750,000,000;</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Investments constituting Indebtedness permitted by </w:t>
      </w:r>
      <w:r>
        <w:rPr>
          <w:rFonts w:ascii="Arial" w:cs="Arial" w:eastAsia="Arial" w:hAnsi="Arial"/>
          <w:sz w:val="20"/>
          <w:szCs w:val="20"/>
          <w:u w:val="single" w:color="auto"/>
          <w:color w:val="auto"/>
        </w:rPr>
        <w:t>Section 8.1(a)(x)</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(xiii)</w:t>
      </w:r>
      <w:r>
        <w:rPr>
          <w:rFonts w:ascii="Arial" w:cs="Arial" w:eastAsia="Arial" w:hAnsi="Arial"/>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Investments consisting of Permitted Guarantee Obligations;</w:t>
      </w:r>
    </w:p>
    <w:p>
      <w:pPr>
        <w:spacing w:after="0" w:line="22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auto"/>
        </w:rPr>
        <w:t>Investments (including debt obligations and Capital Stock) received (x) in connection with the bankruptcy or reorganization of, or settlement (including settlements of litigation) of delinquent accounts and disputes with, customers, suppliers and other account debtors, in each case arising in the ordinary course of business, (y) upon the foreclosure with respect to any secured Investment or other transfer of title with respect to any secured Investment or (z) upon the settlement, compromise, resolution of litigation, arbitration or other disputes;</w:t>
      </w:r>
    </w:p>
    <w:p>
      <w:pPr>
        <w:spacing w:after="0" w:line="21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auto"/>
        </w:rPr>
        <w:t>loans and advances to directors, employees, managers, consultants, independent contractors and officers (or equivalent thereof) of Crown Holdings or its Subsidiaries (x) in the ordinary course of business (including, without limitation, for payroll, travel, entertainment and relocation expenses), (y) in connection with such Person’s purchase of Capital Stock of Crown Holdings and (z) for purposes not described in the foregoing clauses (x) and (y), in an aggregate principal amount outstanding at any time not to exceed $50,000,000;</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Investments to the extent that the consideration paid by Crown Holdings and its Subsidiaries is common stock of Crown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Holdings;</w:t>
      </w:r>
    </w:p>
    <w:p>
      <w:pPr>
        <w:spacing w:after="0" w:line="213" w:lineRule="exact"/>
        <w:rPr>
          <w:sz w:val="20"/>
          <w:szCs w:val="20"/>
          <w:color w:val="auto"/>
        </w:rPr>
      </w:pPr>
    </w:p>
    <w:p>
      <w:pPr>
        <w:jc w:val="both"/>
        <w:ind w:right="20" w:firstLine="1296"/>
        <w:spacing w:after="0" w:line="246" w:lineRule="auto"/>
        <w:rPr>
          <w:sz w:val="20"/>
          <w:szCs w:val="20"/>
          <w:color w:val="auto"/>
        </w:rPr>
      </w:pPr>
      <w:r>
        <w:rPr>
          <w:rFonts w:ascii="Arial" w:cs="Arial" w:eastAsia="Arial" w:hAnsi="Arial"/>
          <w:sz w:val="20"/>
          <w:szCs w:val="20"/>
          <w:color w:val="auto"/>
        </w:rPr>
        <w:t xml:space="preserve">Investments representing consideration (including by way of capital contribution) for or otherwise received in connection with asset sales and dispositions permitted by </w:t>
      </w:r>
      <w:r>
        <w:rPr>
          <w:rFonts w:ascii="Arial" w:cs="Arial" w:eastAsia="Arial" w:hAnsi="Arial"/>
          <w:sz w:val="20"/>
          <w:szCs w:val="20"/>
          <w:u w:val="single" w:color="auto"/>
          <w:color w:val="auto"/>
        </w:rPr>
        <w:t>Section 8.5</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285" w:name="page286"/>
    <w:bookmarkEnd w:id="285"/>
    <w:p>
      <w:pPr>
        <w:ind w:left="1300"/>
        <w:spacing w:after="0"/>
        <w:rPr>
          <w:sz w:val="20"/>
          <w:szCs w:val="20"/>
          <w:color w:val="auto"/>
        </w:rPr>
      </w:pPr>
      <w:r>
        <w:rPr>
          <w:rFonts w:ascii="Arial" w:cs="Arial" w:eastAsia="Arial" w:hAnsi="Arial"/>
          <w:sz w:val="20"/>
          <w:szCs w:val="20"/>
          <w:color w:val="auto"/>
        </w:rPr>
        <w:t>Permitted Acquisitions;</w:t>
      </w:r>
    </w:p>
    <w:p>
      <w:pPr>
        <w:spacing w:after="0" w:line="22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Investments made by the Credit Parties from and after the Incremental Amendment No. 2 and Third Amendment Effective Date in an aggregate amount not to exceed the Available Amount;</w:t>
      </w:r>
    </w:p>
    <w:p>
      <w:pPr>
        <w:spacing w:after="0" w:line="204"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Investments, in addition to those Investments identified on </w:t>
      </w:r>
      <w:r>
        <w:rPr>
          <w:rFonts w:ascii="Arial" w:cs="Arial" w:eastAsia="Arial" w:hAnsi="Arial"/>
          <w:sz w:val="19"/>
          <w:szCs w:val="19"/>
          <w:u w:val="single" w:color="auto"/>
          <w:color w:val="auto"/>
        </w:rPr>
        <w:t>Schedule 8.4</w:t>
      </w:r>
      <w:r>
        <w:rPr>
          <w:rFonts w:ascii="Arial" w:cs="Arial" w:eastAsia="Arial" w:hAnsi="Arial"/>
          <w:sz w:val="19"/>
          <w:szCs w:val="19"/>
          <w:color w:val="auto"/>
        </w:rPr>
        <w:t xml:space="preserve">, in any Unrestricted Entity;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amount of such additional Investments, together with the aggregate Dollar Equivalent amount of Guarantee Obligations of Crown Holdings and its Subsidiaries (other than any Permitted Guarantee Obligations) with respect to (A) Hedging Agreements to which an Unrestricted Entity is party and (B) Indebtedness and other obligations of one or more Unrestricted Entities (such amount to equal the Dollar Equivalent of the aggregate maximum principal amount of the Indebtedness subject to such Guarantee Obligations), made after the Incremental Amendment No. 2 and Third Amendment Effective Date, shall not exceed the Dollar Equivalent of the greater of (1) $200,000,000 and (2) 2% of Consolidated Total Assets as set forth in the financial statements last delivered by Crown Holdings pursuant to </w:t>
      </w:r>
      <w:r>
        <w:rPr>
          <w:rFonts w:ascii="Arial" w:cs="Arial" w:eastAsia="Arial" w:hAnsi="Arial"/>
          <w:sz w:val="19"/>
          <w:szCs w:val="19"/>
          <w:u w:val="single" w:color="auto"/>
          <w:color w:val="auto"/>
        </w:rPr>
        <w:t>Section 7.1(a)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at any time outstanding, in the aggregate at any time outstanding;</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Investments required pursuant to the terms of any Permitted Receivables or Factoring Facility;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Crown Holdings and its Subsidiaries may enter into Hedging Agreements in compliance with </w:t>
      </w:r>
      <w:r>
        <w:rPr>
          <w:rFonts w:ascii="Arial" w:cs="Arial" w:eastAsia="Arial" w:hAnsi="Arial"/>
          <w:sz w:val="20"/>
          <w:szCs w:val="20"/>
          <w:u w:val="single" w:color="auto"/>
          <w:color w:val="auto"/>
        </w:rPr>
        <w:t>Section 8.1(a)(xii)</w:t>
      </w:r>
      <w:r>
        <w:rPr>
          <w:rFonts w:ascii="Arial" w:cs="Arial" w:eastAsia="Arial" w:hAnsi="Arial"/>
          <w:sz w:val="20"/>
          <w:szCs w:val="20"/>
          <w:color w:val="auto"/>
        </w:rPr>
        <w:t>;</w:t>
      </w:r>
    </w:p>
    <w:p>
      <w:pPr>
        <w:spacing w:after="0" w:line="229" w:lineRule="exact"/>
        <w:rPr>
          <w:sz w:val="20"/>
          <w:szCs w:val="20"/>
          <w:color w:val="auto"/>
        </w:rPr>
      </w:pPr>
    </w:p>
    <w:p>
      <w:pPr>
        <w:jc w:val="both"/>
        <w:ind w:right="20" w:firstLine="1296"/>
        <w:spacing w:after="0" w:line="246" w:lineRule="auto"/>
        <w:rPr>
          <w:sz w:val="20"/>
          <w:szCs w:val="20"/>
          <w:color w:val="auto"/>
        </w:rPr>
      </w:pPr>
      <w:r>
        <w:rPr>
          <w:rFonts w:ascii="Arial" w:cs="Arial" w:eastAsia="Arial" w:hAnsi="Arial"/>
          <w:sz w:val="20"/>
          <w:szCs w:val="20"/>
          <w:color w:val="auto"/>
        </w:rPr>
        <w:t xml:space="preserve">pledges or deposits made in the ordinary course of business (including cash collateral and other credit support to secure obligations under letters of credit permitted under </w:t>
      </w:r>
      <w:r>
        <w:rPr>
          <w:rFonts w:ascii="Arial" w:cs="Arial" w:eastAsia="Arial" w:hAnsi="Arial"/>
          <w:sz w:val="20"/>
          <w:szCs w:val="20"/>
          <w:u w:val="single" w:color="auto"/>
          <w:color w:val="auto"/>
        </w:rPr>
        <w:t>Section 8.1(a)</w:t>
      </w:r>
      <w:r>
        <w:rPr>
          <w:rFonts w:ascii="Arial" w:cs="Arial" w:eastAsia="Arial" w:hAnsi="Arial"/>
          <w:sz w:val="20"/>
          <w:szCs w:val="20"/>
          <w:color w:val="auto"/>
        </w:rPr>
        <w:t>);</w:t>
      </w:r>
    </w:p>
    <w:p>
      <w:pPr>
        <w:spacing w:after="0" w:line="20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9"/>
          <w:szCs w:val="19"/>
          <w:color w:val="auto"/>
        </w:rPr>
        <w:t>extensions of (w) trade credit, including extensions of credit in the nature of accounts receivable or notes receivable, and accommodation guarantees, accounts receivable and prepaid expenses, (x) constituting deposits, prepayments and/or other credits to suppliers, (y) made in connection with obtaining, maintaining or renewing client and customer contracts and/or (z) in the form of advances made to distributors, suppliers, licensors and licensees, in each case, in the ordinary course of business;</w:t>
      </w:r>
    </w:p>
    <w:p>
      <w:pPr>
        <w:spacing w:after="0" w:line="204"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Investments by Crown Holdings and any of its Subsidiaries to Crown Holdings and any of its Subsidiaries, so long as such Investment (or Cash or other assets of equivalent value thereof) is returned or otherwise delivered to such Person within 5 Business Days of the making of such Investment;</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Crown Holdings or any Subsidiary may endorse negotiable instruments held for collection in the ordinary course of business;</w:t>
      </w:r>
    </w:p>
    <w:p>
      <w:pPr>
        <w:spacing w:after="0" w:line="25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Investments in any Subsidiary in connection with intercompany cash management arrangements, pooling agreements or related activities arising in the ordinary course of business;</w:t>
      </w:r>
    </w:p>
    <w:p>
      <w:pPr>
        <w:spacing w:after="0" w:line="204" w:lineRule="exact"/>
        <w:rPr>
          <w:sz w:val="20"/>
          <w:szCs w:val="20"/>
          <w:color w:val="auto"/>
        </w:rPr>
      </w:pPr>
    </w:p>
    <w:p>
      <w:pPr>
        <w:jc w:val="both"/>
        <w:ind w:right="20" w:firstLine="1296"/>
        <w:spacing w:after="0" w:line="300" w:lineRule="auto"/>
        <w:rPr>
          <w:sz w:val="20"/>
          <w:szCs w:val="20"/>
          <w:color w:val="auto"/>
        </w:rPr>
      </w:pPr>
      <w:r>
        <w:rPr>
          <w:rFonts w:ascii="Arial" w:cs="Arial" w:eastAsia="Arial" w:hAnsi="Arial"/>
          <w:sz w:val="18"/>
          <w:szCs w:val="18"/>
          <w:color w:val="auto"/>
        </w:rPr>
        <w:t>Investments in the ordinary course of business consisting of Uniform Commercial Code Article 3 endorsements for collection or deposit and Uniform Commercial Code Article 4 customary trade arrangements with customers consistent with past practice;</w:t>
      </w:r>
    </w:p>
    <w:p>
      <w:pPr>
        <w:spacing w:after="0" w:line="158"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receivables (other than in respect of Indebtedness for borrowed money) owing to the Borrower or any Restricted Subsidiary, if created or acquired in the ordinary course of business</w:t>
      </w:r>
    </w:p>
    <w:p>
      <w:pPr>
        <w:sectPr>
          <w:pgSz w:w="11900" w:h="16838" w:orient="portrait"/>
          <w:cols w:equalWidth="0" w:num="1">
            <w:col w:w="11240"/>
          </w:cols>
          <w:pgMar w:left="320" w:top="1419" w:right="339" w:bottom="1440" w:gutter="0" w:footer="0" w:header="0"/>
        </w:sectPr>
      </w:pPr>
    </w:p>
    <w:bookmarkStart w:id="286" w:name="page287"/>
    <w:bookmarkEnd w:id="286"/>
    <w:p>
      <w:pPr>
        <w:jc w:val="both"/>
        <w:ind w:firstLine="1296"/>
        <w:spacing w:after="0" w:line="237" w:lineRule="auto"/>
        <w:rPr>
          <w:sz w:val="20"/>
          <w:szCs w:val="20"/>
          <w:color w:val="auto"/>
        </w:rPr>
      </w:pPr>
      <w:r>
        <w:rPr>
          <w:rFonts w:ascii="Arial" w:cs="Arial" w:eastAsia="Arial" w:hAnsi="Arial"/>
          <w:sz w:val="20"/>
          <w:szCs w:val="20"/>
          <w:color w:val="auto"/>
        </w:rPr>
        <w:t>non-cash Investments in connection with reorganization and related activities related to tax planning; provided that, in the good faith judgment of Crown Holdings, immediately after giving effect to such reorganization and/or related activities, the security interests of the Collateral Agent in the Collateral, taken as a whole, would not be materially impaired;</w:t>
      </w:r>
    </w:p>
    <w:p>
      <w:pPr>
        <w:spacing w:after="0" w:line="21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auto"/>
        </w:rPr>
        <w:t xml:space="preserve">Investments consisting of Indebtedness permitted by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(other than clause (xi) thereof), Liens permitted by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(other than clause (z) thereof), mergers, consolidations, amalgamations, liquidations, windings up, dissolutions or Dispositions made pursuant to </w:t>
      </w:r>
      <w:r>
        <w:rPr>
          <w:rFonts w:ascii="Arial" w:cs="Arial" w:eastAsia="Arial" w:hAnsi="Arial"/>
          <w:sz w:val="20"/>
          <w:szCs w:val="20"/>
          <w:u w:val="single" w:color="auto"/>
          <w:color w:val="auto"/>
        </w:rPr>
        <w:t>Section 8.5</w:t>
      </w:r>
      <w:r>
        <w:rPr>
          <w:rFonts w:ascii="Arial" w:cs="Arial" w:eastAsia="Arial" w:hAnsi="Arial"/>
          <w:sz w:val="20"/>
          <w:szCs w:val="20"/>
          <w:color w:val="auto"/>
        </w:rPr>
        <w:t xml:space="preserve"> (other than clause (b) and clause (j) thereof), Restricted Payments and Repayments made pursuant to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8.8</w:t>
      </w:r>
      <w:r>
        <w:rPr>
          <w:rFonts w:ascii="Arial" w:cs="Arial" w:eastAsia="Arial" w:hAnsi="Arial"/>
          <w:sz w:val="20"/>
          <w:szCs w:val="20"/>
          <w:color w:val="auto"/>
        </w:rPr>
        <w:t xml:space="preserve"> (other than clause (l) thereof) and </w:t>
      </w:r>
      <w:r>
        <w:rPr>
          <w:rFonts w:ascii="Arial" w:cs="Arial" w:eastAsia="Arial" w:hAnsi="Arial"/>
          <w:sz w:val="20"/>
          <w:szCs w:val="20"/>
          <w:u w:val="single" w:color="auto"/>
          <w:color w:val="auto"/>
        </w:rPr>
        <w:t>8.11</w:t>
      </w:r>
      <w:r>
        <w:rPr>
          <w:rFonts w:ascii="Arial" w:cs="Arial" w:eastAsia="Arial" w:hAnsi="Arial"/>
          <w:sz w:val="20"/>
          <w:szCs w:val="20"/>
          <w:color w:val="auto"/>
        </w:rPr>
        <w:t xml:space="preserve"> and transactions with Affiliates entered into pursuant to </w:t>
      </w:r>
      <w:r>
        <w:rPr>
          <w:rFonts w:ascii="Arial" w:cs="Arial" w:eastAsia="Arial" w:hAnsi="Arial"/>
          <w:sz w:val="20"/>
          <w:szCs w:val="20"/>
          <w:u w:val="single" w:color="auto"/>
          <w:color w:val="auto"/>
        </w:rPr>
        <w:t>Section 8.9</w:t>
      </w:r>
      <w:r>
        <w:rPr>
          <w:rFonts w:ascii="Arial" w:cs="Arial" w:eastAsia="Arial" w:hAnsi="Arial"/>
          <w:sz w:val="20"/>
          <w:szCs w:val="20"/>
          <w:color w:val="auto"/>
        </w:rPr>
        <w:t xml:space="preserve"> (other than clauses (d) and (e) thereof);</w:t>
      </w:r>
    </w:p>
    <w:p>
      <w:pPr>
        <w:spacing w:after="0" w:line="211" w:lineRule="exact"/>
        <w:rPr>
          <w:sz w:val="20"/>
          <w:szCs w:val="20"/>
          <w:color w:val="auto"/>
        </w:rPr>
      </w:pPr>
    </w:p>
    <w:p>
      <w:pPr>
        <w:jc w:val="both"/>
        <w:ind w:firstLine="1304"/>
        <w:spacing w:after="0" w:line="237" w:lineRule="auto"/>
        <w:tabs>
          <w:tab w:leader="none" w:pos="1579" w:val="left"/>
        </w:tabs>
        <w:numPr>
          <w:ilvl w:val="0"/>
          <w:numId w:val="237"/>
        </w:numPr>
        <w:rPr>
          <w:rFonts w:ascii="Arial" w:cs="Arial" w:eastAsia="Arial" w:hAnsi="Arial"/>
          <w:sz w:val="20"/>
          <w:szCs w:val="20"/>
          <w:color w:val="auto"/>
        </w:rPr>
      </w:pPr>
      <w:r>
        <w:rPr>
          <w:rFonts w:ascii="Arial" w:cs="Arial" w:eastAsia="Arial" w:hAnsi="Arial"/>
          <w:sz w:val="20"/>
          <w:szCs w:val="20"/>
          <w:color w:val="auto"/>
        </w:rPr>
        <w:t>Guarantees of leases (other than Capitalized Leases) or of other obligations not constituting Indebtedness and (ii) Guarantees of the lease obligations of suppliers, customers, franchisees and licensees of Crown Holdings or any Subsidiary, in each case, in the ordinary course of business;</w:t>
      </w:r>
    </w:p>
    <w:p>
      <w:pPr>
        <w:spacing w:after="0" w:line="21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auto"/>
        </w:rPr>
        <w:t xml:space="preserve">other Investments not otherwise permitted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as of the date on which such Investments are made and after giving effect to the making of such Investments on a Pro Forma Basis for the period of four Fiscal Quarters for which financial statements pursuant to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immediately preceding the date on which such Investment is made, (i) no Event of Default would exist hereunder and (ii) the Total Leverage Ratio shall not be greater than (x) prior to December 31, 2022, 5.00 to 1.00 and (y) thereafter, 4.50 to 1.00; and</w:t>
      </w:r>
    </w:p>
    <w:p>
      <w:pPr>
        <w:spacing w:after="0" w:line="211"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 xml:space="preserve">other Investments made after the Incremental Amendment No. 2 and Third Amendment Effective Date not in excess of the greater of (1) $1,250,000,000 and (2) 8% of Consolidated Total Assets as set forth in the financial statements last delivered by Crown Holdings pursuant to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at any time outstanding.</w:t>
      </w:r>
    </w:p>
    <w:p>
      <w:pPr>
        <w:spacing w:after="0" w:line="210" w:lineRule="exact"/>
        <w:rPr>
          <w:sz w:val="20"/>
          <w:szCs w:val="20"/>
          <w:color w:val="auto"/>
        </w:rPr>
      </w:pPr>
    </w:p>
    <w:p>
      <w:pPr>
        <w:jc w:val="both"/>
        <w:ind w:left="660" w:right="20"/>
        <w:spacing w:after="0" w:line="237" w:lineRule="auto"/>
        <w:rPr>
          <w:sz w:val="20"/>
          <w:szCs w:val="20"/>
          <w:color w:val="auto"/>
        </w:rPr>
      </w:pPr>
      <w:r>
        <w:rPr>
          <w:rFonts w:ascii="Arial" w:cs="Arial" w:eastAsia="Arial" w:hAnsi="Arial"/>
          <w:sz w:val="20"/>
          <w:szCs w:val="20"/>
          <w:u w:val="single" w:color="auto"/>
          <w:color w:val="auto"/>
        </w:rPr>
        <w:t>8.5 Asset Sales</w:t>
      </w:r>
      <w:r>
        <w:rPr>
          <w:rFonts w:ascii="Arial" w:cs="Arial" w:eastAsia="Arial" w:hAnsi="Arial"/>
          <w:sz w:val="20"/>
          <w:szCs w:val="20"/>
          <w:color w:val="auto"/>
        </w:rPr>
        <w:t>. The Credit Parties will not, and will not permit any of their Subsidiaries to sell, transfer, lease or otherwise dispose of any asset, including any Capital Stock owned by it, nor will Crown Holdings permit any Subsidiary to issue any additional Capital Stock in any Subsidiary, except:</w:t>
      </w:r>
    </w:p>
    <w:p>
      <w:pPr>
        <w:spacing w:after="0" w:line="210"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auto"/>
        </w:rPr>
        <w:t>sales of inventory or equipment and other property that is obsolete, uneconomical, damaged, excess, worn out, unmerchantable, unsaleable, replaced, retired, surplus or no longer used or useful;</w:t>
      </w:r>
    </w:p>
    <w:p>
      <w:pPr>
        <w:spacing w:after="0" w:line="204" w:lineRule="exact"/>
        <w:rPr>
          <w:sz w:val="20"/>
          <w:szCs w:val="20"/>
          <w:color w:val="auto"/>
        </w:rPr>
      </w:pPr>
    </w:p>
    <w:p>
      <w:pPr>
        <w:jc w:val="both"/>
        <w:ind w:firstLine="1304"/>
        <w:spacing w:after="0" w:line="293" w:lineRule="auto"/>
        <w:tabs>
          <w:tab w:leader="none" w:pos="1532"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sales or transfers set forth on </w:t>
      </w:r>
      <w:r>
        <w:rPr>
          <w:rFonts w:ascii="Arial" w:cs="Arial" w:eastAsia="Arial" w:hAnsi="Arial"/>
          <w:sz w:val="16"/>
          <w:szCs w:val="16"/>
          <w:u w:val="single" w:color="auto"/>
          <w:color w:val="auto"/>
        </w:rPr>
        <w:t>Schedule 8.5(b)(i)</w:t>
      </w:r>
      <w:r>
        <w:rPr>
          <w:rFonts w:ascii="Arial" w:cs="Arial" w:eastAsia="Arial" w:hAnsi="Arial"/>
          <w:sz w:val="16"/>
          <w:szCs w:val="16"/>
          <w:color w:val="auto"/>
        </w:rPr>
        <w:t xml:space="preserve"> and (ii) sales, transfers and dispositions and issuances to the Borrowers or any Subsidiary of U.S. Borrower, Canadian Borrower or European Borrower, including Permitted Cross Chain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the foregoing, (x) if the transferor in such a transaction is a Credit Party, then (i) the transferee must be (or must substantially concurrently become) a Credit Party and (ii) to the extent constituting a disposition to a Subsidiary that is not a Credit Party, such disposition shall be permitted pursuant to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and (y) the appropriate Credit Parties shall take all actions necessary or reasonably requested by U.S. Collateral Agent or Euro Collateral Agent, as applicable, to maintain the perfection of or perfect, as the case may be, protect and preserve the Liens on the Collateral granted to U.S. Collateral Agent or the Euro Collateral Agent, as applicable, pursuant to the Security Documents (including, without limitation, all items required by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the definition of “Permitted Cross Chain Transactions”) and otherwise comply with the provisions of </w:t>
      </w:r>
      <w:r>
        <w:rPr>
          <w:rFonts w:ascii="Arial" w:cs="Arial" w:eastAsia="Arial" w:hAnsi="Arial"/>
          <w:sz w:val="16"/>
          <w:szCs w:val="16"/>
          <w:u w:val="single" w:color="auto"/>
          <w:color w:val="auto"/>
        </w:rPr>
        <w:t>Sections 7.14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12.2</w:t>
      </w:r>
      <w:r>
        <w:rPr>
          <w:rFonts w:ascii="Arial" w:cs="Arial" w:eastAsia="Arial" w:hAnsi="Arial"/>
          <w:sz w:val="16"/>
          <w:szCs w:val="16"/>
          <w:color w:val="auto"/>
        </w:rPr>
        <w:t>, on the terms set forth therein and to the extent applicable;</w:t>
      </w:r>
    </w:p>
    <w:p>
      <w:pPr>
        <w:spacing w:after="0" w:line="39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sales and transfers of Cash and Cash Equivalents;</w:t>
      </w:r>
    </w:p>
    <w:p>
      <w:pPr>
        <w:sectPr>
          <w:pgSz w:w="11900" w:h="16838" w:orient="portrait"/>
          <w:cols w:equalWidth="0" w:num="1">
            <w:col w:w="11240"/>
          </w:cols>
          <w:pgMar w:left="320" w:top="1419" w:right="339" w:bottom="1440" w:gutter="0" w:footer="0" w:header="0"/>
        </w:sectPr>
      </w:pPr>
    </w:p>
    <w:bookmarkStart w:id="287" w:name="page288"/>
    <w:bookmarkEnd w:id="287"/>
    <w:p>
      <w:pPr>
        <w:jc w:val="both"/>
        <w:ind w:firstLine="1296"/>
        <w:spacing w:after="0" w:line="246" w:lineRule="auto"/>
        <w:rPr>
          <w:sz w:val="20"/>
          <w:szCs w:val="20"/>
          <w:color w:val="auto"/>
        </w:rPr>
      </w:pPr>
      <w:r>
        <w:rPr>
          <w:rFonts w:ascii="Arial" w:cs="Arial" w:eastAsia="Arial" w:hAnsi="Arial"/>
          <w:sz w:val="20"/>
          <w:szCs w:val="20"/>
          <w:color w:val="auto"/>
        </w:rPr>
        <w:t xml:space="preserve">sales, transfers and other dispositions (including by way of capital contribution) of Receivables Assets pursuant to any Permitted Receivables or Factoring Financing or otherwise as permitted under </w:t>
      </w:r>
      <w:r>
        <w:rPr>
          <w:rFonts w:ascii="Arial" w:cs="Arial" w:eastAsia="Arial" w:hAnsi="Arial"/>
          <w:sz w:val="20"/>
          <w:szCs w:val="20"/>
          <w:u w:val="single" w:color="auto"/>
          <w:color w:val="auto"/>
        </w:rPr>
        <w:t>Section 8.7</w:t>
      </w:r>
      <w:r>
        <w:rPr>
          <w:rFonts w:ascii="Arial" w:cs="Arial" w:eastAsia="Arial" w:hAnsi="Arial"/>
          <w:sz w:val="20"/>
          <w:szCs w:val="20"/>
          <w:color w:val="auto"/>
        </w:rPr>
        <w:t>;</w:t>
      </w:r>
    </w:p>
    <w:p>
      <w:pPr>
        <w:spacing w:after="0" w:line="20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the lease or sublease of Real Property or personal property in the ordinary course of business not constituting a sale and leaseback transaction;</w:t>
      </w:r>
    </w:p>
    <w:p>
      <w:pPr>
        <w:spacing w:after="0" w:line="20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 xml:space="preserve">any sale, transfer or disposition of any (a) business or controlling or majority Capital Stock in any Person engaged in a line of business, (b) Minority Interest or (c) property or assets;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such case, such business, Capital Stock, Minority Interest or property is promptly replaced with a similar business, Capital Stock, Minority Interest or property or assets, as applicable, used or useful in a line of business in which Crown Holdings or any of its Subsidiaries is engaged or which are complementary, reasonably related, ancillary or useful to such line of business in which Crown Holdings or any of its Subsidiaries is then engaged;</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Permitted Holding Company Transactions;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sales or transfers identified in </w:t>
      </w:r>
      <w:r>
        <w:rPr>
          <w:rFonts w:ascii="Arial" w:cs="Arial" w:eastAsia="Arial" w:hAnsi="Arial"/>
          <w:sz w:val="20"/>
          <w:szCs w:val="20"/>
          <w:u w:val="single" w:color="auto"/>
          <w:color w:val="auto"/>
        </w:rPr>
        <w:t>Schedule 8.5(h)</w:t>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 xml:space="preserve">sales, transfers and dispositions of assets not otherwise permitted under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fair market value of all assets sold, transferred or otherwise disposed of in reliance upon this clause (i) shall not, in the aggregate in any Fiscal Year, exceed the greater of (1) $2,000,000,000 and (2) 15% of Consolidated Total Assets as set forth in the financial statements most recently delivered by Crown Holdings pursuant to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that the Net Proceeds of any such sale, transfer or other disposition that are not required to be used to prepay the Loans pursuant to </w:t>
      </w:r>
      <w:r>
        <w:rPr>
          <w:rFonts w:ascii="Arial" w:cs="Arial" w:eastAsia="Arial" w:hAnsi="Arial"/>
          <w:sz w:val="18"/>
          <w:szCs w:val="18"/>
          <w:u w:val="single" w:color="auto"/>
          <w:color w:val="auto"/>
        </w:rPr>
        <w:t>Section 4.4(c)</w:t>
      </w:r>
      <w:r>
        <w:rPr>
          <w:rFonts w:ascii="Arial" w:cs="Arial" w:eastAsia="Arial" w:hAnsi="Arial"/>
          <w:sz w:val="18"/>
          <w:szCs w:val="18"/>
          <w:color w:val="auto"/>
        </w:rPr>
        <w:t xml:space="preserve"> are used to purchase assets used or useful in one or more of the businesses referred to in </w:t>
      </w:r>
      <w:r>
        <w:rPr>
          <w:rFonts w:ascii="Arial" w:cs="Arial" w:eastAsia="Arial" w:hAnsi="Arial"/>
          <w:sz w:val="18"/>
          <w:szCs w:val="18"/>
          <w:u w:val="single" w:color="auto"/>
          <w:color w:val="auto"/>
        </w:rPr>
        <w:t>Section 8.3(c)</w:t>
      </w:r>
      <w:r>
        <w:rPr>
          <w:rFonts w:ascii="Arial" w:cs="Arial" w:eastAsia="Arial" w:hAnsi="Arial"/>
          <w:sz w:val="18"/>
          <w:szCs w:val="18"/>
          <w:color w:val="auto"/>
        </w:rPr>
        <w:t xml:space="preserve"> in the time period prescribed in </w:t>
      </w:r>
      <w:r>
        <w:rPr>
          <w:rFonts w:ascii="Arial" w:cs="Arial" w:eastAsia="Arial" w:hAnsi="Arial"/>
          <w:sz w:val="18"/>
          <w:szCs w:val="18"/>
          <w:u w:val="single" w:color="auto"/>
          <w:color w:val="auto"/>
        </w:rPr>
        <w:t>Section 4.4(c)</w:t>
      </w:r>
      <w:r>
        <w:rPr>
          <w:rFonts w:ascii="Arial" w:cs="Arial" w:eastAsia="Arial" w:hAnsi="Arial"/>
          <w:sz w:val="18"/>
          <w:szCs w:val="18"/>
          <w:color w:val="auto"/>
        </w:rPr>
        <w:t xml:space="preserve">, and if such Credit Party or such Subsidiary has complied with the provisions of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with respect to any assets purchased with such reinvested proceeds, such sale, transfer or other disposition shall be disregarded for purposes of calculations pursuant to this </w:t>
      </w:r>
      <w:r>
        <w:rPr>
          <w:rFonts w:ascii="Arial" w:cs="Arial" w:eastAsia="Arial" w:hAnsi="Arial"/>
          <w:sz w:val="18"/>
          <w:szCs w:val="18"/>
          <w:u w:val="single" w:color="auto"/>
          <w:color w:val="auto"/>
        </w:rPr>
        <w:t>Section 8.5(i)</w:t>
      </w:r>
      <w:r>
        <w:rPr>
          <w:rFonts w:ascii="Arial" w:cs="Arial" w:eastAsia="Arial" w:hAnsi="Arial"/>
          <w:sz w:val="18"/>
          <w:szCs w:val="18"/>
          <w:color w:val="auto"/>
        </w:rPr>
        <w:t xml:space="preserve"> (and shall otherwise be deemed to be permitted under this </w:t>
      </w:r>
      <w:r>
        <w:rPr>
          <w:rFonts w:ascii="Arial" w:cs="Arial" w:eastAsia="Arial" w:hAnsi="Arial"/>
          <w:sz w:val="18"/>
          <w:szCs w:val="18"/>
          <w:u w:val="single" w:color="auto"/>
          <w:color w:val="auto"/>
        </w:rPr>
        <w:t>Section 8.5(i)</w:t>
      </w:r>
      <w:r>
        <w:rPr>
          <w:rFonts w:ascii="Arial" w:cs="Arial" w:eastAsia="Arial" w:hAnsi="Arial"/>
          <w:sz w:val="18"/>
          <w:szCs w:val="18"/>
          <w:color w:val="auto"/>
        </w:rPr>
        <w:t xml:space="preserve">) to the extent of the reinvested proceeds, from and after the time of compliance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7.14</w:t>
      </w:r>
      <w:r>
        <w:rPr>
          <w:rFonts w:ascii="Arial" w:cs="Arial" w:eastAsia="Arial" w:hAnsi="Arial"/>
          <w:sz w:val="18"/>
          <w:szCs w:val="18"/>
          <w:color w:val="auto"/>
        </w:rPr>
        <w:t xml:space="preserve"> with respect to the acquisition of such other property;</w:t>
      </w:r>
    </w:p>
    <w:p>
      <w:pPr>
        <w:spacing w:after="0" w:line="19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9"/>
          <w:szCs w:val="19"/>
          <w:color w:val="auto"/>
        </w:rPr>
        <w:t xml:space="preserve">the Credit Parties and their Subsidiaries may grant liens permitted under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make dispositions consisting of transactions permitted by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make any Investments otherwise permitted by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8.4(x)</w:t>
      </w:r>
      <w:r>
        <w:rPr>
          <w:rFonts w:ascii="Arial" w:cs="Arial" w:eastAsia="Arial" w:hAnsi="Arial"/>
          <w:sz w:val="19"/>
          <w:szCs w:val="19"/>
          <w:color w:val="auto"/>
        </w:rPr>
        <w:t xml:space="preserve">), conduct sale and leaseback transactions permitted by </w:t>
      </w:r>
      <w:r>
        <w:rPr>
          <w:rFonts w:ascii="Arial" w:cs="Arial" w:eastAsia="Arial" w:hAnsi="Arial"/>
          <w:sz w:val="19"/>
          <w:szCs w:val="19"/>
          <w:u w:val="single" w:color="auto"/>
          <w:color w:val="auto"/>
        </w:rPr>
        <w:t>Section 8.6</w:t>
      </w:r>
      <w:r>
        <w:rPr>
          <w:rFonts w:ascii="Arial" w:cs="Arial" w:eastAsia="Arial" w:hAnsi="Arial"/>
          <w:sz w:val="19"/>
          <w:szCs w:val="19"/>
          <w:color w:val="auto"/>
        </w:rPr>
        <w:t xml:space="preserve">, make any Restricted Payments permitted by </w:t>
      </w:r>
      <w:r>
        <w:rPr>
          <w:rFonts w:ascii="Arial" w:cs="Arial" w:eastAsia="Arial" w:hAnsi="Arial"/>
          <w:sz w:val="19"/>
          <w:szCs w:val="19"/>
          <w:u w:val="single" w:color="auto"/>
          <w:color w:val="auto"/>
        </w:rPr>
        <w:t>Section 8.8</w:t>
      </w:r>
      <w:r>
        <w:rPr>
          <w:rFonts w:ascii="Arial" w:cs="Arial" w:eastAsia="Arial" w:hAnsi="Arial"/>
          <w:sz w:val="19"/>
          <w:szCs w:val="19"/>
          <w:color w:val="auto"/>
        </w:rPr>
        <w:t xml:space="preserve">, make prepayments permitted by </w:t>
      </w:r>
      <w:r>
        <w:rPr>
          <w:rFonts w:ascii="Arial" w:cs="Arial" w:eastAsia="Arial" w:hAnsi="Arial"/>
          <w:sz w:val="19"/>
          <w:szCs w:val="19"/>
          <w:u w:val="single" w:color="auto"/>
          <w:color w:val="auto"/>
        </w:rPr>
        <w:t>Section 8.11</w:t>
      </w:r>
      <w:r>
        <w:rPr>
          <w:rFonts w:ascii="Arial" w:cs="Arial" w:eastAsia="Arial" w:hAnsi="Arial"/>
          <w:sz w:val="19"/>
          <w:szCs w:val="19"/>
          <w:color w:val="auto"/>
        </w:rPr>
        <w:t xml:space="preserve"> and undertake transactions with Affiliates permitted by </w:t>
      </w:r>
      <w:r>
        <w:rPr>
          <w:rFonts w:ascii="Arial" w:cs="Arial" w:eastAsia="Arial" w:hAnsi="Arial"/>
          <w:sz w:val="19"/>
          <w:szCs w:val="19"/>
          <w:u w:val="single" w:color="auto"/>
          <w:color w:val="auto"/>
        </w:rPr>
        <w:t>Section 8.9</w:t>
      </w:r>
      <w:r>
        <w:rPr>
          <w:rFonts w:ascii="Arial" w:cs="Arial" w:eastAsia="Arial" w:hAnsi="Arial"/>
          <w:sz w:val="19"/>
          <w:szCs w:val="19"/>
          <w:color w:val="auto"/>
        </w:rPr>
        <w:t>;</w:t>
      </w:r>
    </w:p>
    <w:p>
      <w:pPr>
        <w:spacing w:after="0" w:line="204"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sales, transfers and dispositions by a Euro Credit Party of the Capital Stock of any Subsidiary that is not a Credit Party held directly by such Euro Credit Party to another Subsidiary that is not a Credit Party in exchange for Indebtedness (in a principal amount no less than the fair market value of such Capital Stock) of such Subsidiary to which such sale, transfer or disposition is made or cancellation of Indebtedness owed by such Euro Credit Party to such Subsidiary;</w:t>
      </w:r>
    </w:p>
    <w:p>
      <w:pPr>
        <w:spacing w:after="0" w:line="21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the Credit Parties and their Subsidiaries may enter into consignment arrangements (as consignor or as consignee) or similar arrangements for the sale of goods in the ordinary course of business;</w:t>
      </w:r>
    </w:p>
    <w:p>
      <w:pPr>
        <w:spacing w:after="0" w:line="204" w:lineRule="exact"/>
        <w:rPr>
          <w:sz w:val="20"/>
          <w:szCs w:val="20"/>
          <w:color w:val="auto"/>
        </w:rPr>
      </w:pPr>
    </w:p>
    <w:p>
      <w:pPr>
        <w:ind w:right="20" w:firstLine="1304"/>
        <w:spacing w:after="0" w:line="300" w:lineRule="auto"/>
        <w:tabs>
          <w:tab w:leader="none" w:pos="159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Crown Holdings may sell, convey or otherwise dispose of its Capital Stock that is held by Crown Holdings as treasury stock and (2) the Credit Parties and their Subsidiaries may sell, convey or otherwise dispose of any Capital Stock of an Unrestricted Entity;</w:t>
      </w:r>
    </w:p>
    <w:p>
      <w:pPr>
        <w:sectPr>
          <w:pgSz w:w="11900" w:h="16838" w:orient="portrait"/>
          <w:cols w:equalWidth="0" w:num="1">
            <w:col w:w="11240"/>
          </w:cols>
          <w:pgMar w:left="320" w:top="1419" w:right="339" w:bottom="1440" w:gutter="0" w:footer="0" w:header="0"/>
        </w:sectPr>
      </w:pPr>
    </w:p>
    <w:bookmarkStart w:id="288" w:name="page289"/>
    <w:bookmarkEnd w:id="288"/>
    <w:p>
      <w:pPr>
        <w:jc w:val="both"/>
        <w:ind w:firstLine="1296"/>
        <w:spacing w:after="0" w:line="241" w:lineRule="auto"/>
        <w:rPr>
          <w:sz w:val="20"/>
          <w:szCs w:val="20"/>
          <w:color w:val="auto"/>
        </w:rPr>
      </w:pPr>
      <w:r>
        <w:rPr>
          <w:rFonts w:ascii="Arial" w:cs="Arial" w:eastAsia="Arial" w:hAnsi="Arial"/>
          <w:sz w:val="19"/>
          <w:szCs w:val="19"/>
          <w:color w:val="auto"/>
        </w:rPr>
        <w:t xml:space="preserve">Crown Holdings and its Subsidiaries may issue, sell, assign, or dispose of any shares of Capital Stock of any Subsidiary of Crown Holdings (i) to Crown Holdings, (ii) to another Wholly-Owned Subsidiary of Crown Holdings, (iii) to qualify directors if required by any Requirement of Law, (iv) assignments pursuant to the Loan Documents, (v) pursuant to employee stock ownership or employee benefit plans in effect on the Incremental Amendment No. 2 and Third Amendment Effective Date (or new or replacement plans entered into thereafter to the extent the terms thereof, taken as a whole, are either on customary market terms (as determined by Crown Holdings in its reasonable discretion) or are otherwise not materially less favorable, taken as a whole, to the Lenders than the terms of any such plans in effect on the Incremental Amendment No. 2 and Third Amendment Effective Date) or (vi) so long as (x) after giving effect to such issuance, sale, assignment or disposal, Crown Holdings shall be in compliance with the financial covenant set forth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(calculated on a Pro Forma Basis) as of the end of the most recent Test Period, and (y) no Borrower shall cease to be a Wholly-Owned Subsidiary in connection with such issuance, sale, assignment or disposal;</w:t>
      </w:r>
    </w:p>
    <w:p>
      <w:pPr>
        <w:spacing w:after="0" w:line="209"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the Credit Parties and their Subsidiaries (1) may enter into licenses or sublicenses (or other grants of rights to use) granted or created by any Credit Party or any Subsidiary, which (A) do not interfere, individually or in the aggregate, in any material respect with the business of the Credit Parties and their Subsidiaries, taken as a whole, (B) are between or among Crown Holdings and/or its Subsidiaries or</w:t>
      </w:r>
    </w:p>
    <w:p>
      <w:pPr>
        <w:spacing w:after="0" w:line="2" w:lineRule="exact"/>
        <w:rPr>
          <w:sz w:val="20"/>
          <w:szCs w:val="20"/>
          <w:color w:val="auto"/>
        </w:rPr>
      </w:pPr>
    </w:p>
    <w:p>
      <w:pPr>
        <w:jc w:val="both"/>
        <w:ind w:firstLine="8"/>
        <w:spacing w:after="0" w:line="245" w:lineRule="auto"/>
        <w:tabs>
          <w:tab w:leader="none" w:pos="320" w:val="left"/>
        </w:tabs>
        <w:numPr>
          <w:ilvl w:val="0"/>
          <w:numId w:val="240"/>
        </w:numPr>
        <w:rPr>
          <w:rFonts w:ascii="Arial" w:cs="Arial" w:eastAsia="Arial" w:hAnsi="Arial"/>
          <w:sz w:val="19"/>
          <w:szCs w:val="19"/>
          <w:color w:val="auto"/>
        </w:rPr>
      </w:pPr>
      <w:r>
        <w:rPr>
          <w:rFonts w:ascii="Arial" w:cs="Arial" w:eastAsia="Arial" w:hAnsi="Arial"/>
          <w:sz w:val="19"/>
          <w:szCs w:val="19"/>
          <w:color w:val="auto"/>
        </w:rPr>
        <w:t>relate to closed facilities or the discontinuation of any product line, and (2) abandon, allow to lapse or dispose of intellectual property or other proprietary rights of such Person that, in the reasonable judgment of such Person, is no longer economically practical to maintain or useful in any material respect in the business of the Credit Parties and their Subsidiaries, taken as a whole;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Credit Parties and their Subsidiaries may make dispositions of owned or leased vehicles in the ordinary course of</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business;</w:t>
      </w:r>
    </w:p>
    <w:p>
      <w:pPr>
        <w:spacing w:after="0" w:line="213"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0"/>
          <w:szCs w:val="20"/>
          <w:color w:val="auto"/>
        </w:rPr>
        <w:t>the Credit Parties and their Subsidiaries may make dispositions resulting from any foreclosure, casualty or other insured damage to, or any taking under power of eminent domain or by condemnation or similar proceeding of, any property or asset of any Credit Party or any of its Subsidiaries;</w:t>
      </w:r>
    </w:p>
    <w:p>
      <w:pPr>
        <w:spacing w:after="0" w:line="3"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the Credit Parties and their Subsidiaries may (i) permit to expire any option agreement in respect of personal property and (ii) surrender or waive contractual rights or settle, release or surrender any contract, tort or litigation claim in the ordinary course of business;</w:t>
      </w:r>
    </w:p>
    <w:p>
      <w:pPr>
        <w:spacing w:after="0" w:line="173"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the Credit Parties and their Subsidiaries may dispose of non-core assets (including real estate assets) acquired in connection with any acquisition or other Investment permitted hereunder and consummated after the Incremental No. 2 and Third Amendment Effective Date;</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terminations or unwinds of Hedging Agreements;</w:t>
      </w:r>
    </w:p>
    <w:p>
      <w:pPr>
        <w:spacing w:after="0" w:line="229"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dispositions of real estate assets and related assets in the ordinary course of business in connection with relocation activities for directors, officers, employees, members of management, managers or consultants of Crown Holdings (or any direct or indirect parent of Crown Holdings), the Borrowers and/or any Subsidiary;</w:t>
      </w:r>
    </w:p>
    <w:p>
      <w:pPr>
        <w:spacing w:after="0" w:line="210" w:lineRule="exact"/>
        <w:rPr>
          <w:sz w:val="20"/>
          <w:szCs w:val="20"/>
          <w:color w:val="auto"/>
        </w:rPr>
      </w:pPr>
    </w:p>
    <w:p>
      <w:pPr>
        <w:jc w:val="both"/>
        <w:ind w:right="20" w:firstLine="1296"/>
        <w:spacing w:after="0" w:line="233" w:lineRule="auto"/>
        <w:rPr>
          <w:sz w:val="20"/>
          <w:szCs w:val="20"/>
          <w:color w:val="auto"/>
        </w:rPr>
      </w:pPr>
      <w:r>
        <w:rPr>
          <w:rFonts w:ascii="Arial" w:cs="Arial" w:eastAsia="Arial" w:hAnsi="Arial"/>
          <w:sz w:val="20"/>
          <w:szCs w:val="20"/>
          <w:color w:val="auto"/>
        </w:rPr>
        <w:t>dispositions made to comply with any order or any agency of the U.S. federal government, any state, authority or other regulatory body or any applicable Requirement of Law; and</w:t>
      </w:r>
    </w:p>
    <w:p>
      <w:pPr>
        <w:spacing w:after="0" w:line="1" w:lineRule="exact"/>
        <w:rPr>
          <w:sz w:val="20"/>
          <w:szCs w:val="20"/>
          <w:color w:val="auto"/>
        </w:rPr>
      </w:pPr>
    </w:p>
    <w:p>
      <w:pPr>
        <w:jc w:val="both"/>
        <w:ind w:right="20" w:firstLine="1296"/>
        <w:spacing w:after="0" w:line="234" w:lineRule="auto"/>
        <w:rPr>
          <w:sz w:val="20"/>
          <w:szCs w:val="20"/>
          <w:color w:val="auto"/>
        </w:rPr>
      </w:pPr>
      <w:r>
        <w:rPr>
          <w:rFonts w:ascii="Arial" w:cs="Arial" w:eastAsia="Arial" w:hAnsi="Arial"/>
          <w:sz w:val="20"/>
          <w:szCs w:val="20"/>
          <w:color w:val="auto"/>
        </w:rPr>
        <w:t>exchanges or swaps, including transactions covered by Section 1031 of the Code (or any comparable provision of any foreign jurisdiction), of like property or assets.</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In the event the Required Lenders waive the provisions of this </w:t>
      </w:r>
      <w:r>
        <w:rPr>
          <w:rFonts w:ascii="Arial" w:cs="Arial" w:eastAsia="Arial" w:hAnsi="Arial"/>
          <w:sz w:val="20"/>
          <w:szCs w:val="20"/>
          <w:u w:val="single" w:color="auto"/>
          <w:color w:val="auto"/>
        </w:rPr>
        <w:t>Section 8.5</w:t>
      </w:r>
      <w:r>
        <w:rPr>
          <w:rFonts w:ascii="Arial" w:cs="Arial" w:eastAsia="Arial" w:hAnsi="Arial"/>
          <w:sz w:val="20"/>
          <w:szCs w:val="20"/>
          <w:color w:val="auto"/>
        </w:rPr>
        <w:t xml:space="preserve"> with respect to the sale of any Collateral, or any Collateral is sold as permitted by this </w:t>
      </w:r>
      <w:r>
        <w:rPr>
          <w:rFonts w:ascii="Arial" w:cs="Arial" w:eastAsia="Arial" w:hAnsi="Arial"/>
          <w:sz w:val="20"/>
          <w:szCs w:val="20"/>
          <w:u w:val="single" w:color="auto"/>
          <w:color w:val="auto"/>
        </w:rPr>
        <w:t>Section 8.5</w:t>
      </w:r>
      <w:r>
        <w:rPr>
          <w:rFonts w:ascii="Arial" w:cs="Arial" w:eastAsia="Arial" w:hAnsi="Arial"/>
          <w:sz w:val="20"/>
          <w:szCs w:val="20"/>
          <w:color w:val="auto"/>
        </w:rPr>
        <w:t>, such Collateral shall be sold free and</w:t>
      </w:r>
    </w:p>
    <w:p>
      <w:pPr>
        <w:sectPr>
          <w:pgSz w:w="11900" w:h="16838" w:orient="portrait"/>
          <w:cols w:equalWidth="0" w:num="1">
            <w:col w:w="11240"/>
          </w:cols>
          <w:pgMar w:left="320" w:top="1419" w:right="339" w:bottom="1440" w:gutter="0" w:footer="0" w:header="0"/>
        </w:sectPr>
      </w:pPr>
    </w:p>
    <w:bookmarkStart w:id="289" w:name="page290"/>
    <w:bookmarkEnd w:id="289"/>
    <w:p>
      <w:pPr>
        <w:spacing w:after="0" w:line="300" w:lineRule="auto"/>
        <w:rPr>
          <w:sz w:val="20"/>
          <w:szCs w:val="20"/>
          <w:color w:val="auto"/>
        </w:rPr>
      </w:pPr>
      <w:r>
        <w:rPr>
          <w:rFonts w:ascii="Arial" w:cs="Arial" w:eastAsia="Arial" w:hAnsi="Arial"/>
          <w:sz w:val="18"/>
          <w:szCs w:val="18"/>
          <w:color w:val="auto"/>
        </w:rPr>
        <w:t>clear of the Liens created by the Security Documents, and the Liens created by the Security Documents shall automatically be deemed released and the Administrative Agent shall be authorized to, and shall, take any appropriate actions in order to effect the foregoing.</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8.6 Sale and Leaseback Transactions</w:t>
      </w:r>
    </w:p>
    <w:p>
      <w:pPr>
        <w:spacing w:after="0" w:line="2" w:lineRule="exact"/>
        <w:rPr>
          <w:sz w:val="20"/>
          <w:szCs w:val="20"/>
          <w:color w:val="auto"/>
        </w:rPr>
      </w:pPr>
    </w:p>
    <w:p>
      <w:pPr>
        <w:jc w:val="both"/>
        <w:ind w:firstLine="656"/>
        <w:spacing w:after="0" w:line="261" w:lineRule="auto"/>
        <w:tabs>
          <w:tab w:leader="none" w:pos="7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Credit Parties will not, and will not permit any of their Subsidiaries to enter into any arrangement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sale and leaseback transactions to the extent the Attributable Debt associated therewith is permitted by Section 8.1(a)(xvi).</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8.7 Sale or Discount of Receivables</w:t>
      </w:r>
    </w:p>
    <w:p>
      <w:pPr>
        <w:spacing w:after="0" w:line="2" w:lineRule="exact"/>
        <w:rPr>
          <w:sz w:val="20"/>
          <w:szCs w:val="20"/>
          <w:color w:val="auto"/>
        </w:rPr>
      </w:pPr>
    </w:p>
    <w:p>
      <w:pPr>
        <w:jc w:val="both"/>
        <w:ind w:firstLine="656"/>
        <w:spacing w:after="0" w:line="238" w:lineRule="auto"/>
        <w:tabs>
          <w:tab w:leader="none" w:pos="747" w:val="left"/>
        </w:tabs>
        <w:numPr>
          <w:ilvl w:val="0"/>
          <w:numId w:val="242"/>
        </w:numPr>
        <w:rPr>
          <w:rFonts w:ascii="Arial" w:cs="Arial" w:eastAsia="Arial" w:hAnsi="Arial"/>
          <w:sz w:val="19"/>
          <w:szCs w:val="19"/>
          <w:color w:val="auto"/>
        </w:rPr>
      </w:pPr>
      <w:r>
        <w:rPr>
          <w:rFonts w:ascii="Arial" w:cs="Arial" w:eastAsia="Arial" w:hAnsi="Arial"/>
          <w:sz w:val="19"/>
          <w:szCs w:val="19"/>
          <w:color w:val="auto"/>
        </w:rPr>
        <w:t>The Credit Parties will not, and will not permit any of their Subsidiaries to sell, with or without recourse, or discount or otherwise sell or transfer for less than the face value thereof, notes or accounts receivable, other than (a) in connection with a Permitted Receivables or Factoring Financing or (b) (i) sales and/or discounts, in each case without recourse (except (A) for customary representations, warranties, covenants and indemnities made in connection therewith, or (B) as is otherwise customary (as determined by Crown Holdings in good faith) for similar transactions in the applicable jurisdictions)) and in the ordinary course of business, any accounts receivable arising in the ordinary course of business (x) which are overdue, or (y) which Crown Holdings or any Subsidiary may reasonably determine are difficult to collect but only in connection with the compromise or collection thereof consistent with prudent business practice (and not as part of any bulk sale or financing of receivables) and (ii) Crown Holdings and its Subsidiaries may sell, discount, contribute or otherwise transfer, including, without limitation, pursuant to financing arrangements (including, without limitation, pursuant to any supply chain or similar arrangements), in each case without recourse (except (A) for customary representations, warranties, covenants and indemnities made in connection therewith, or (B) as is otherwise customary (as determined by Crown Holdings in good faith) for similar transactions in the applicable jurisdictions)), any receivables arising in the ordinary course of business; provided that (x) such sale, discount, contribution or other transfer does not otherwise meet the requirements set forth in the definition of “Permitted Receivables or Factoring Financing” and (y) all Receivables Net Investments shall not exceed the amount set forth in clause (iv) of the definition of “Permitted Receivables or Factoring Financing”.</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8.8 Restricted Payments</w:t>
      </w:r>
    </w:p>
    <w:p>
      <w:pPr>
        <w:spacing w:after="0" w:line="2" w:lineRule="exact"/>
        <w:rPr>
          <w:sz w:val="20"/>
          <w:szCs w:val="20"/>
          <w:color w:val="auto"/>
        </w:rPr>
      </w:pPr>
    </w:p>
    <w:p>
      <w:pPr>
        <w:ind w:firstLine="656"/>
        <w:spacing w:after="0" w:line="234" w:lineRule="auto"/>
        <w:tabs>
          <w:tab w:leader="none" w:pos="76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The Credit Parties will not, and will not permit any of their Subsidiaries to, declare or make, or agree to pay or make, directly or indirectly, any Restricted Payment, or incur any obligation (contingent or otherwise) to do so, except: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Subsidiaries may declare and pay dividends ratably with respect to their Capital Stock and repurchase their Capital Stock</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ratably;</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Crown Holdings may pay dividends consisting solely of shares of its common stock;</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purchases of Capital Stock of non-Wholly-Owned Subsidiaries as permitted by </w:t>
      </w:r>
      <w:r>
        <w:rPr>
          <w:rFonts w:ascii="Arial" w:cs="Arial" w:eastAsia="Arial" w:hAnsi="Arial"/>
          <w:sz w:val="20"/>
          <w:szCs w:val="20"/>
          <w:u w:val="single" w:color="auto"/>
          <w:color w:val="auto"/>
        </w:rPr>
        <w:t>Section 8.4(m)</w:t>
      </w:r>
      <w:r>
        <w:rPr>
          <w:rFonts w:ascii="Arial" w:cs="Arial" w:eastAsia="Arial" w:hAnsi="Arial"/>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[reserved];</w:t>
      </w:r>
    </w:p>
    <w:p>
      <w:pPr>
        <w:spacing w:after="0" w:line="229"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the purchase, redemption or other acquisition or retirement for value of any Capital Stock (or any options or warrants or stock appreciation rights issued with respect to any of such Capital Stock) of Crown Holdings held (x) by current or former employees, officers, managers or</w:t>
      </w:r>
    </w:p>
    <w:p>
      <w:pPr>
        <w:sectPr>
          <w:pgSz w:w="11900" w:h="16838" w:orient="portrait"/>
          <w:cols w:equalWidth="0" w:num="1">
            <w:col w:w="11240"/>
          </w:cols>
          <w:pgMar w:left="320" w:top="1419" w:right="339" w:bottom="1440" w:gutter="0" w:footer="0" w:header="0"/>
        </w:sectPr>
      </w:pPr>
    </w:p>
    <w:bookmarkStart w:id="290" w:name="page291"/>
    <w:bookmarkEnd w:id="290"/>
    <w:p>
      <w:pPr>
        <w:jc w:val="both"/>
        <w:spacing w:after="0" w:line="290" w:lineRule="auto"/>
        <w:rPr>
          <w:sz w:val="20"/>
          <w:szCs w:val="20"/>
          <w:color w:val="auto"/>
        </w:rPr>
      </w:pPr>
      <w:r>
        <w:rPr>
          <w:rFonts w:ascii="Arial" w:cs="Arial" w:eastAsia="Arial" w:hAnsi="Arial"/>
          <w:sz w:val="16"/>
          <w:szCs w:val="16"/>
          <w:color w:val="auto"/>
        </w:rPr>
        <w:t xml:space="preserve">directors (or any spouse, former spouse, successor, executor, administrator, heir, legatee or distributee of any of the foregoing) of Crown Holdings or any of its Subsidiaries upon the death, disability, retirement or termination of employment or services of such Person or otherwise in accordance with any management equity subscription agreement, stock option agreement or similar agreement or plan or (y) for matching contributions to otherwise meet the needs of its employee stock purchase, deferred compensation, 401(k) and other employee benefit plans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price paid (net of employee contributions) for all such purchased, redeemed, acquired or retired Capital Stock shall not exceed the sum of $25,000,000 in any Fiscal Year;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permitted amount of purchased, redeemed, acquired or retired Capital Stock may be increased in any Fiscal Year by carrying forward any unused amount from the immediately preceding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Fiscal Year, such permitted amount shall be deemed to be made first with respect to the applicable limitation for such Fiscal Year and then with respect to any carry forward (such carry forward to be limited solely to the immediately preceding Fiscal Year) to the extent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Restricted Payment that would cause or result in a “</w:t>
      </w:r>
      <w:r>
        <w:rPr>
          <w:rFonts w:ascii="Arial" w:cs="Arial" w:eastAsia="Arial" w:hAnsi="Arial"/>
          <w:sz w:val="16"/>
          <w:szCs w:val="16"/>
          <w:u w:val="single" w:color="auto"/>
          <w:color w:val="auto"/>
        </w:rPr>
        <w:t>Default</w:t>
      </w:r>
      <w:r>
        <w:rPr>
          <w:rFonts w:ascii="Arial" w:cs="Arial" w:eastAsia="Arial" w:hAnsi="Arial"/>
          <w:sz w:val="16"/>
          <w:szCs w:val="16"/>
          <w:color w:val="auto"/>
        </w:rPr>
        <w:t>” or “</w:t>
      </w:r>
      <w:r>
        <w:rPr>
          <w:rFonts w:ascii="Arial" w:cs="Arial" w:eastAsia="Arial" w:hAnsi="Arial"/>
          <w:sz w:val="16"/>
          <w:szCs w:val="16"/>
          <w:u w:val="single" w:color="auto"/>
          <w:color w:val="auto"/>
        </w:rPr>
        <w:t>Event of Default</w:t>
      </w:r>
      <w:r>
        <w:rPr>
          <w:rFonts w:ascii="Arial" w:cs="Arial" w:eastAsia="Arial" w:hAnsi="Arial"/>
          <w:sz w:val="16"/>
          <w:szCs w:val="16"/>
          <w:color w:val="auto"/>
        </w:rPr>
        <w:t>” as defined in any Public Debt Document shall not be permitted under this clause (e);</w:t>
      </w:r>
    </w:p>
    <w:p>
      <w:pPr>
        <w:spacing w:after="0" w:line="396"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8"/>
          <w:szCs w:val="18"/>
          <w:color w:val="auto"/>
        </w:rPr>
        <w:t>Crown Holdings or any Subsidiary may make repurchases of Capital Stock by Crown Holdings or any Subsidiary deemed to occur upon the withholding of a portion of the Capital Stock granted or awarded to a current or former officer, employee, manager or director of such Person, or consultant or advisor (or any spouses, former spouses, successors, executors, administrators, heirs, legatees or distributees of any of the foregoing) to pay for the Taxes payable by such Person upon such grant or award (or upon the vesting thereof);</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[reserved];</w:t>
      </w:r>
    </w:p>
    <w:p>
      <w:pPr>
        <w:spacing w:after="0" w:line="229"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8"/>
          <w:szCs w:val="18"/>
          <w:color w:val="auto"/>
        </w:rPr>
        <w:t>Crown Holdings and any Subsidiary may repurchase Capital Stock upon the exercise of stock options, warrants or other convertible or exchangeable securities if such Capital Stock represents a portion of the exercise, conversion or exchange price thereof;</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Crown Holdings or any Subsidiary may (i) pay cash in lieu of fractional Capital Stock in connection with any dividend and</w:t>
      </w:r>
    </w:p>
    <w:p>
      <w:pPr>
        <w:spacing w:after="0" w:line="25" w:lineRule="exact"/>
        <w:rPr>
          <w:sz w:val="20"/>
          <w:szCs w:val="20"/>
          <w:color w:val="auto"/>
        </w:rPr>
      </w:pPr>
    </w:p>
    <w:p>
      <w:pPr>
        <w:jc w:val="both"/>
        <w:ind w:firstLine="8"/>
        <w:spacing w:after="0" w:line="245" w:lineRule="auto"/>
        <w:tabs>
          <w:tab w:leader="none" w:pos="293" w:val="left"/>
        </w:tabs>
        <w:numPr>
          <w:ilvl w:val="0"/>
          <w:numId w:val="244"/>
        </w:numPr>
        <w:rPr>
          <w:rFonts w:ascii="Arial" w:cs="Arial" w:eastAsia="Arial" w:hAnsi="Arial"/>
          <w:sz w:val="19"/>
          <w:szCs w:val="19"/>
          <w:color w:val="auto"/>
        </w:rPr>
      </w:pPr>
      <w:r>
        <w:rPr>
          <w:rFonts w:ascii="Arial" w:cs="Arial" w:eastAsia="Arial" w:hAnsi="Arial"/>
          <w:sz w:val="19"/>
          <w:szCs w:val="19"/>
          <w:color w:val="auto"/>
        </w:rPr>
        <w:t>honor any conversion request by a holder of convertible Indebtedness or securities convertible into or exchangeable for Capital Stock and make cash payments in lieu of fractional shares in connection with any such conversion and may make payments on convertible Indebtedness or securities convertible into or exchangeable for Capital Stock in accordance with its terms;</w:t>
      </w:r>
    </w:p>
    <w:p>
      <w:pPr>
        <w:spacing w:after="0" w:line="20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8"/>
          <w:szCs w:val="18"/>
          <w:color w:val="auto"/>
        </w:rPr>
        <w:t xml:space="preserve">so long as no Event of Default or Unmatured Event of Default has occurred and is continuing or would result therefrom, Crown Holdings and its Subsidiaries may declare and pay dividends to holders of any class or series of Disqualified Preferred Stock issued pursuant to </w:t>
      </w:r>
      <w:r>
        <w:rPr>
          <w:rFonts w:ascii="Arial" w:cs="Arial" w:eastAsia="Arial" w:hAnsi="Arial"/>
          <w:sz w:val="18"/>
          <w:szCs w:val="18"/>
          <w:u w:val="single" w:color="auto"/>
          <w:color w:val="auto"/>
        </w:rPr>
        <w:t>Section 8.1(a)(xxvi)</w:t>
      </w:r>
      <w:r>
        <w:rPr>
          <w:rFonts w:ascii="Arial" w:cs="Arial" w:eastAsia="Arial" w:hAnsi="Arial"/>
          <w:sz w:val="18"/>
          <w:szCs w:val="18"/>
          <w:color w:val="auto"/>
        </w:rPr>
        <w:t xml:space="preserve">; provided that such dividends shall not violate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the definition of “Permitted Preferred Stock”;</w:t>
      </w:r>
    </w:p>
    <w:p>
      <w:pPr>
        <w:spacing w:after="0" w:line="179"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Crown Holdings and its Subsidiaries may make Restricted Payments made in exchange for, or in an amount equal to the net cash proceeds of, the substantially concurrent sale (other than to Crown Holdings or any of its Subsidiaries) of, Capital Stock of Crown Holdings (other than Disqualified Preferred Stock);</w:t>
      </w:r>
    </w:p>
    <w:p>
      <w:pPr>
        <w:spacing w:after="0" w:line="210"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8"/>
          <w:szCs w:val="18"/>
          <w:color w:val="auto"/>
        </w:rPr>
        <w:t xml:space="preserve">to the extent constituting a Restricted Payment, Crown Holdings and each Subsidiary may consummate any transaction, and pay any amounts permitted under or in respect of any such transaction, permitted by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8.4(x)</w:t>
      </w:r>
      <w:r>
        <w:rPr>
          <w:rFonts w:ascii="Arial" w:cs="Arial" w:eastAsia="Arial" w:hAnsi="Arial"/>
          <w:sz w:val="18"/>
          <w:szCs w:val="18"/>
          <w:color w:val="auto"/>
        </w:rPr>
        <w:t>);</w:t>
      </w:r>
    </w:p>
    <w:p>
      <w:pPr>
        <w:spacing w:after="0" w:line="158"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Crown Holdings and its Subsidiaries may make Restricted Payments from and after the Incremental Amendment No. 2 and Third Amendment Effective Date in an aggregate amount not</w:t>
      </w:r>
    </w:p>
    <w:p>
      <w:pPr>
        <w:sectPr>
          <w:pgSz w:w="11900" w:h="16838" w:orient="portrait"/>
          <w:cols w:equalWidth="0" w:num="1">
            <w:col w:w="11240"/>
          </w:cols>
          <w:pgMar w:left="320" w:top="1419" w:right="339" w:bottom="1440" w:gutter="0" w:footer="0" w:header="0"/>
        </w:sectPr>
      </w:pPr>
    </w:p>
    <w:bookmarkStart w:id="291" w:name="page292"/>
    <w:bookmarkEnd w:id="291"/>
    <w:p>
      <w:pPr>
        <w:jc w:val="both"/>
        <w:spacing w:after="0" w:line="246" w:lineRule="auto"/>
        <w:rPr>
          <w:sz w:val="20"/>
          <w:szCs w:val="20"/>
          <w:color w:val="auto"/>
        </w:rPr>
      </w:pPr>
      <w:r>
        <w:rPr>
          <w:rFonts w:ascii="Arial" w:cs="Arial" w:eastAsia="Arial" w:hAnsi="Arial"/>
          <w:sz w:val="20"/>
          <w:szCs w:val="20"/>
          <w:color w:val="auto"/>
        </w:rPr>
        <w:t xml:space="preserve">to exceed the Available Amount;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as of the date on which such Restricted Payments are made and after giving effect to the making of such Restricted Payments, no Event of Default would exist hereunder; and</w:t>
      </w:r>
    </w:p>
    <w:p>
      <w:pPr>
        <w:spacing w:after="0" w:line="20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auto"/>
        </w:rPr>
        <w:t xml:space="preserve">other Restricted Payments not otherwise permitted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as of the date on which such Restricted Payments are made and after giving effect to the making of such Restricted Payments on a Pro Forma Basis for the period of four Fiscal Quarters for which financial statements have been delivered pursuant to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immediately preceding the date on which such Restricted Payments is made, (i) no Event of Default would exist hereunder and (ii) the Total Leverage Ratio shall not be greater than (x) prior to December 31, 2022, 5.00 to 1.00 and (y) thereafter, 4.50 to 1.00.</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Notwithstanding the foregoing, (i) Crown Holdings may pay dividends within 60 days after the date of declaration thereof if at such date of declaration such dividend would have complied with this </w:t>
      </w:r>
      <w:r>
        <w:rPr>
          <w:rFonts w:ascii="Arial" w:cs="Arial" w:eastAsia="Arial" w:hAnsi="Arial"/>
          <w:sz w:val="19"/>
          <w:szCs w:val="19"/>
          <w:u w:val="single" w:color="auto"/>
          <w:color w:val="auto"/>
        </w:rPr>
        <w:t>Section 8.8</w:t>
      </w:r>
      <w:r>
        <w:rPr>
          <w:rFonts w:ascii="Arial" w:cs="Arial" w:eastAsia="Arial" w:hAnsi="Arial"/>
          <w:sz w:val="19"/>
          <w:szCs w:val="19"/>
          <w:color w:val="auto"/>
        </w:rPr>
        <w:t xml:space="preserve"> and (ii) any Wholly-Owned Subsidiary may purchase, redeem or otherwise acquire or exchange its Capital Stock for the Capital Stock of another Wholly-Owned Subsidiary.</w:t>
      </w:r>
    </w:p>
    <w:p>
      <w:pPr>
        <w:spacing w:after="0" w:line="197" w:lineRule="exact"/>
        <w:rPr>
          <w:sz w:val="20"/>
          <w:szCs w:val="20"/>
          <w:color w:val="auto"/>
        </w:rPr>
      </w:pPr>
    </w:p>
    <w:p>
      <w:pPr>
        <w:jc w:val="both"/>
        <w:ind w:left="660"/>
        <w:spacing w:after="0" w:line="234" w:lineRule="auto"/>
        <w:rPr>
          <w:sz w:val="20"/>
          <w:szCs w:val="20"/>
          <w:color w:val="auto"/>
        </w:rPr>
      </w:pPr>
      <w:r>
        <w:rPr>
          <w:rFonts w:ascii="Arial" w:cs="Arial" w:eastAsia="Arial" w:hAnsi="Arial"/>
          <w:sz w:val="20"/>
          <w:szCs w:val="20"/>
          <w:u w:val="single" w:color="auto"/>
          <w:color w:val="auto"/>
        </w:rPr>
        <w:t>8.9 Transactions with Affiliates</w:t>
      </w:r>
      <w:r>
        <w:rPr>
          <w:rFonts w:ascii="Arial" w:cs="Arial" w:eastAsia="Arial" w:hAnsi="Arial"/>
          <w:sz w:val="20"/>
          <w:szCs w:val="20"/>
          <w:color w:val="auto"/>
        </w:rPr>
        <w:t>. The Credit Parties will not, and will not permit any of their Subsidiaries to sell, lease or otherwise transfer any property or assets to, or purchase, lease or otherwise acquire any property or assets from, or otherwise engage in any other transactions with, any of its Affiliates, in any case, to the extent that such transaction involves payments in excess of $25,000,000, except:</w:t>
      </w:r>
    </w:p>
    <w:p>
      <w:pPr>
        <w:spacing w:after="0" w:line="210"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transactions that are at prices and on terms and conditions not materially less favorable to the applicable Credit Party or such Subsidiary than could be obtained on an arm’s-length basis from unrelated third parties or, if such transaction is not one which by its nature could be obtained from such third parties, is on fair and reasonable terms;</w:t>
      </w:r>
    </w:p>
    <w:p>
      <w:pPr>
        <w:spacing w:after="0" w:line="21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transactions between or among the Credit Parties not involving any other Affiliate and transactions among Subsidiaries not involving any Credit Party;</w:t>
      </w:r>
    </w:p>
    <w:p>
      <w:pPr>
        <w:spacing w:after="0" w:line="204"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customary fees, expenses, compensation (including bonuses), and other benefits and incentive arrangements (including retirement, health, stock option and other benefit plans) paid or provided to, and any indemnity provided on behalf of, current or former officers, directors, managers or employees of Crown Holdings or any Subsidiary;</w:t>
      </w:r>
    </w:p>
    <w:p>
      <w:pPr>
        <w:spacing w:after="0" w:line="210" w:lineRule="exact"/>
        <w:rPr>
          <w:sz w:val="20"/>
          <w:szCs w:val="20"/>
          <w:color w:val="auto"/>
        </w:rPr>
      </w:pPr>
    </w:p>
    <w:p>
      <w:pPr>
        <w:ind w:firstLine="1304"/>
        <w:spacing w:after="0" w:line="246" w:lineRule="auto"/>
        <w:tabs>
          <w:tab w:leader="none" w:pos="1541" w:val="left"/>
        </w:tabs>
        <w:numPr>
          <w:ilvl w:val="0"/>
          <w:numId w:val="245"/>
        </w:numPr>
        <w:rPr>
          <w:rFonts w:ascii="Arial" w:cs="Arial" w:eastAsia="Arial" w:hAnsi="Arial"/>
          <w:sz w:val="20"/>
          <w:szCs w:val="20"/>
          <w:color w:val="auto"/>
        </w:rPr>
      </w:pPr>
      <w:r>
        <w:rPr>
          <w:rFonts w:ascii="Arial" w:cs="Arial" w:eastAsia="Arial" w:hAnsi="Arial"/>
          <w:sz w:val="20"/>
          <w:szCs w:val="20"/>
          <w:color w:val="auto"/>
        </w:rPr>
        <w:t xml:space="preserve">any Restricted Payment permitted by </w:t>
      </w:r>
      <w:r>
        <w:rPr>
          <w:rFonts w:ascii="Arial" w:cs="Arial" w:eastAsia="Arial" w:hAnsi="Arial"/>
          <w:sz w:val="20"/>
          <w:szCs w:val="20"/>
          <w:u w:val="single" w:color="auto"/>
          <w:color w:val="auto"/>
        </w:rPr>
        <w:t>Section 8.8</w:t>
      </w:r>
      <w:r>
        <w:rPr>
          <w:rFonts w:ascii="Arial" w:cs="Arial" w:eastAsia="Arial" w:hAnsi="Arial"/>
          <w:sz w:val="20"/>
          <w:szCs w:val="20"/>
          <w:color w:val="auto"/>
        </w:rPr>
        <w:t xml:space="preserve">, (ii) any Investment permitted by </w:t>
      </w:r>
      <w:r>
        <w:rPr>
          <w:rFonts w:ascii="Arial" w:cs="Arial" w:eastAsia="Arial" w:hAnsi="Arial"/>
          <w:sz w:val="20"/>
          <w:szCs w:val="20"/>
          <w:u w:val="single" w:color="auto"/>
          <w:color w:val="auto"/>
        </w:rPr>
        <w:t>Section 8.4</w:t>
      </w:r>
      <w:r>
        <w:rPr>
          <w:rFonts w:ascii="Arial" w:cs="Arial" w:eastAsia="Arial" w:hAnsi="Arial"/>
          <w:sz w:val="20"/>
          <w:szCs w:val="20"/>
          <w:color w:val="auto"/>
        </w:rPr>
        <w:t xml:space="preserve"> and (iii) any sale or other disposition permitted by </w:t>
      </w:r>
      <w:r>
        <w:rPr>
          <w:rFonts w:ascii="Arial" w:cs="Arial" w:eastAsia="Arial" w:hAnsi="Arial"/>
          <w:sz w:val="20"/>
          <w:szCs w:val="20"/>
          <w:u w:val="single" w:color="auto"/>
          <w:color w:val="auto"/>
        </w:rPr>
        <w:t>Section 8.3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8.5</w:t>
      </w:r>
      <w:r>
        <w:rPr>
          <w:rFonts w:ascii="Arial" w:cs="Arial" w:eastAsia="Arial" w:hAnsi="Arial"/>
          <w:sz w:val="20"/>
          <w:szCs w:val="20"/>
          <w:color w:val="auto"/>
        </w:rPr>
        <w:t>;</w:t>
      </w:r>
    </w:p>
    <w:p>
      <w:pPr>
        <w:spacing w:after="0" w:line="20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loans and advances to employees of the Borrowers or any Subsidiary permitted by </w:t>
      </w:r>
      <w:r>
        <w:rPr>
          <w:rFonts w:ascii="Arial" w:cs="Arial" w:eastAsia="Arial" w:hAnsi="Arial"/>
          <w:sz w:val="20"/>
          <w:szCs w:val="20"/>
          <w:u w:val="single" w:color="auto"/>
          <w:color w:val="auto"/>
        </w:rPr>
        <w:t>Section 8.4(h)</w:t>
      </w:r>
      <w:r>
        <w:rPr>
          <w:rFonts w:ascii="Arial" w:cs="Arial" w:eastAsia="Arial" w:hAnsi="Arial"/>
          <w:sz w:val="20"/>
          <w:szCs w:val="20"/>
          <w:color w:val="auto"/>
        </w:rPr>
        <w:t xml:space="preserve"> and Investments permitted by </w:t>
      </w:r>
      <w:r>
        <w:rPr>
          <w:rFonts w:ascii="Arial" w:cs="Arial" w:eastAsia="Arial" w:hAnsi="Arial"/>
          <w:sz w:val="20"/>
          <w:szCs w:val="20"/>
          <w:u w:val="single" w:color="auto"/>
          <w:color w:val="auto"/>
        </w:rPr>
        <w:t>Section 8.4(d)</w:t>
      </w:r>
      <w:r>
        <w:rPr>
          <w:rFonts w:ascii="Arial" w:cs="Arial" w:eastAsia="Arial" w:hAnsi="Arial"/>
          <w:sz w:val="20"/>
          <w:szCs w:val="20"/>
          <w:color w:val="auto"/>
        </w:rPr>
        <w:t>;</w:t>
      </w:r>
    </w:p>
    <w:p>
      <w:pPr>
        <w:spacing w:after="0" w:line="20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any agreement as in effect (x) as of the Incremental Amendment No. 2 and Third Amendment Effective Date and disclosed in Crown Holdings’ most recently filed Form 10-K or otherwise set forth on </w:t>
      </w:r>
      <w:r>
        <w:rPr>
          <w:rFonts w:ascii="Arial" w:cs="Arial" w:eastAsia="Arial" w:hAnsi="Arial"/>
          <w:sz w:val="19"/>
          <w:szCs w:val="19"/>
          <w:u w:val="single" w:color="auto"/>
          <w:color w:val="auto"/>
        </w:rPr>
        <w:t>Schedule 8.9(f)</w:t>
      </w:r>
      <w:r>
        <w:rPr>
          <w:rFonts w:ascii="Arial" w:cs="Arial" w:eastAsia="Arial" w:hAnsi="Arial"/>
          <w:sz w:val="19"/>
          <w:szCs w:val="19"/>
          <w:color w:val="auto"/>
        </w:rPr>
        <w:t xml:space="preserve"> or any amendment, modification, restatement, renewal, supplementation, refund, replacement, refinancing or otherwise continuation thereto or thereof or any transaction contemplated thereby (including pursuant to any amendment, modification, restatement, renewal, supplementation, refund, replacement, refinancing or otherwise continuation thereto or thereof), in each case, on terms not materially more disadvantageous to the Lenders, taken as a whole, than the original agreement as in effect on the Incremental Amendment No. 2 and Third Amendment Effective Date or (y) following the consummation of a Permitted Acquisition or other permitted Investment, any</w:t>
      </w:r>
    </w:p>
    <w:p>
      <w:pPr>
        <w:sectPr>
          <w:pgSz w:w="11900" w:h="16838" w:orient="portrait"/>
          <w:cols w:equalWidth="0" w:num="1">
            <w:col w:w="11240"/>
          </w:cols>
          <w:pgMar w:left="320" w:top="1419" w:right="339" w:bottom="1440" w:gutter="0" w:footer="0" w:header="0"/>
        </w:sectPr>
      </w:pPr>
    </w:p>
    <w:bookmarkStart w:id="292" w:name="page293"/>
    <w:bookmarkEnd w:id="292"/>
    <w:p>
      <w:pPr>
        <w:spacing w:after="0"/>
        <w:rPr>
          <w:sz w:val="20"/>
          <w:szCs w:val="20"/>
          <w:color w:val="auto"/>
        </w:rPr>
      </w:pPr>
      <w:r>
        <w:rPr>
          <w:rFonts w:ascii="Arial" w:cs="Arial" w:eastAsia="Arial" w:hAnsi="Arial"/>
          <w:sz w:val="20"/>
          <w:szCs w:val="20"/>
          <w:color w:val="auto"/>
        </w:rPr>
        <w:t>agreements of the acquired Person or other Investment in effect on the closing date of such acquisition or Investment;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any Permitted Receivables or Factoring Financings;</w:t>
      </w:r>
    </w:p>
    <w:p>
      <w:pPr>
        <w:spacing w:after="0" w:line="229" w:lineRule="exact"/>
        <w:rPr>
          <w:sz w:val="20"/>
          <w:szCs w:val="20"/>
          <w:color w:val="auto"/>
        </w:rPr>
      </w:pPr>
    </w:p>
    <w:p>
      <w:pPr>
        <w:jc w:val="both"/>
        <w:ind w:right="20" w:firstLine="1296"/>
        <w:spacing w:after="0" w:line="246" w:lineRule="auto"/>
        <w:rPr>
          <w:sz w:val="20"/>
          <w:szCs w:val="20"/>
          <w:color w:val="auto"/>
        </w:rPr>
      </w:pPr>
      <w:r>
        <w:rPr>
          <w:rFonts w:ascii="Arial" w:cs="Arial" w:eastAsia="Arial" w:hAnsi="Arial"/>
          <w:sz w:val="20"/>
          <w:szCs w:val="20"/>
          <w:color w:val="auto"/>
        </w:rPr>
        <w:t>sales or issuances of common stock or securities convertible into or exchangeable for common stock of Crown Holdings or warrants, options or other rights to purchase or subscribe for common stock of Crown Holdings;</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any Permitted Cross Chain Transaction and any Permitted Holding Company Transaction;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transfers by a Credit Party to an SLB Subsidiary in connection with a transaction permitted by </w:t>
      </w:r>
      <w:r>
        <w:rPr>
          <w:rFonts w:ascii="Arial" w:cs="Arial" w:eastAsia="Arial" w:hAnsi="Arial"/>
          <w:sz w:val="20"/>
          <w:szCs w:val="20"/>
          <w:u w:val="single" w:color="auto"/>
          <w:color w:val="auto"/>
        </w:rPr>
        <w:t>Section 8.6</w:t>
      </w:r>
      <w:r>
        <w:rPr>
          <w:rFonts w:ascii="Arial" w:cs="Arial" w:eastAsia="Arial" w:hAnsi="Arial"/>
          <w:sz w:val="20"/>
          <w:szCs w:val="20"/>
          <w:color w:val="auto"/>
        </w:rPr>
        <w:t>; and</w:t>
      </w:r>
    </w:p>
    <w:p>
      <w:pPr>
        <w:spacing w:after="0" w:line="229"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transactions involving the provision of services and payment of consideration therefor between and among Crown Holdings and any one or more of its Subsidiaries in the ordinary course of business and/or consistent with past practices and not otherwise prohibited by this Agreement.</w:t>
      </w:r>
    </w:p>
    <w:p>
      <w:pPr>
        <w:spacing w:after="0" w:line="21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u w:val="single" w:color="auto"/>
          <w:color w:val="auto"/>
        </w:rPr>
        <w:t>8.10 Restrictive Agreements</w:t>
      </w:r>
      <w:r>
        <w:rPr>
          <w:rFonts w:ascii="Arial" w:cs="Arial" w:eastAsia="Arial" w:hAnsi="Arial"/>
          <w:sz w:val="18"/>
          <w:szCs w:val="18"/>
          <w:color w:val="auto"/>
        </w:rPr>
        <w:t xml:space="preserve">. The Credit Parties will not, and will not permit any of their Material Subsidiaries to enter into, incur or permit to exist any consensual agreement or other arrangement that prohibits, restricts or imposes any condition upon the ability of any Material Subsidiary (i) to pay dividends or other distributions with respect to any of its Capital Stock to Crown Holdings or any of its Material Subsidiaries or (ii) to make or repay loans or advances to Crown Holdings or any other Material Subsidiary or (iii) to transfer property to Crown Holdings or any of its Material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conditions imposed by Requirements of Law or by any Loan Document;</w:t>
      </w:r>
    </w:p>
    <w:p>
      <w:pPr>
        <w:spacing w:after="0" w:line="22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restrictions and conditions imposed by the Public Debt Documents as in effect on the Incremental Amendment No. 2 and Third Amendment Effective Date;</w:t>
      </w:r>
    </w:p>
    <w:p>
      <w:pPr>
        <w:spacing w:after="0" w:line="204"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 xml:space="preserve">restrictions and conditions imposed by any Permitted Ratio Debt, Permitted European Borrower Debt and Indebtedness permitted under </w:t>
      </w:r>
      <w:r>
        <w:rPr>
          <w:rFonts w:ascii="Arial" w:cs="Arial" w:eastAsia="Arial" w:hAnsi="Arial"/>
          <w:sz w:val="20"/>
          <w:szCs w:val="20"/>
          <w:u w:val="single" w:color="auto"/>
          <w:color w:val="auto"/>
        </w:rPr>
        <w:t>Sections 8.1(a)(ii)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8.1(a)(xxviii)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encumbrances and restrictions contained in such Indebtedness are no more restrictive in any material respect, taken as a whole, than those contained in the Public Debt Documents (as in effect on the Incremental Amendment No. 2 and Third Amendment Effective Date);</w:t>
      </w:r>
    </w:p>
    <w:p>
      <w:pPr>
        <w:spacing w:after="0" w:line="21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with respect to clause (iii) only, (A) customary restrictions on assignment and (B) assets encumbered by Permitted Liens as long as such restriction applies only to the asset encumbered by such Permitted Lien;</w:t>
      </w:r>
    </w:p>
    <w:p>
      <w:pPr>
        <w:spacing w:after="0" w:line="204"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 xml:space="preserve">restrictions and conditions existing on the Incremental Amendment No. 2 and Third Amendment Effective Date not otherwise excepted from this </w:t>
      </w:r>
      <w:r>
        <w:rPr>
          <w:rFonts w:ascii="Arial" w:cs="Arial" w:eastAsia="Arial" w:hAnsi="Arial"/>
          <w:sz w:val="20"/>
          <w:szCs w:val="20"/>
          <w:u w:val="single" w:color="auto"/>
          <w:color w:val="auto"/>
        </w:rPr>
        <w:t>Section 8.10</w:t>
      </w:r>
      <w:r>
        <w:rPr>
          <w:rFonts w:ascii="Arial" w:cs="Arial" w:eastAsia="Arial" w:hAnsi="Arial"/>
          <w:sz w:val="20"/>
          <w:szCs w:val="20"/>
          <w:color w:val="auto"/>
        </w:rPr>
        <w:t xml:space="preserve"> identified on </w:t>
      </w:r>
      <w:r>
        <w:rPr>
          <w:rFonts w:ascii="Arial" w:cs="Arial" w:eastAsia="Arial" w:hAnsi="Arial"/>
          <w:sz w:val="20"/>
          <w:szCs w:val="20"/>
          <w:u w:val="single" w:color="auto"/>
          <w:color w:val="auto"/>
        </w:rPr>
        <w:t>Schedule 8.10</w:t>
      </w:r>
      <w:r>
        <w:rPr>
          <w:rFonts w:ascii="Arial" w:cs="Arial" w:eastAsia="Arial" w:hAnsi="Arial"/>
          <w:sz w:val="20"/>
          <w:szCs w:val="20"/>
          <w:color w:val="auto"/>
        </w:rPr>
        <w:t xml:space="preserve"> and refinancings thereof with restrictions and conditions no more restrictive, in any material respect, taken as a whole, than those in such Indebtedness on the Incremental Amendment No. 2 and Third Amendment Effective Date;</w:t>
      </w:r>
    </w:p>
    <w:p>
      <w:pPr>
        <w:spacing w:after="0" w:line="210"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customary restrictions and conditions contained in agreements relating to the sale of a Subsidiary (or the assets of a Subsidiary) pending such sale, provided such restrictions and conditions apply only to the Subsidiary that is to be sold (or whose assets are to be sold) and such sale is permitted hereunder;</w:t>
      </w:r>
    </w:p>
    <w:p>
      <w:pPr>
        <w:sectPr>
          <w:pgSz w:w="11900" w:h="16838" w:orient="portrait"/>
          <w:cols w:equalWidth="0" w:num="1">
            <w:col w:w="11240"/>
          </w:cols>
          <w:pgMar w:left="320" w:top="1419" w:right="339" w:bottom="1440" w:gutter="0" w:footer="0" w:header="0"/>
        </w:sectPr>
      </w:pPr>
    </w:p>
    <w:bookmarkStart w:id="293" w:name="page294"/>
    <w:bookmarkEnd w:id="293"/>
    <w:p>
      <w:pPr>
        <w:jc w:val="both"/>
        <w:ind w:firstLine="1296"/>
        <w:spacing w:after="0" w:line="246" w:lineRule="auto"/>
        <w:rPr>
          <w:sz w:val="20"/>
          <w:szCs w:val="20"/>
          <w:color w:val="auto"/>
        </w:rPr>
      </w:pPr>
      <w:r>
        <w:rPr>
          <w:rFonts w:ascii="Arial" w:cs="Arial" w:eastAsia="Arial" w:hAnsi="Arial"/>
          <w:sz w:val="20"/>
          <w:szCs w:val="20"/>
          <w:color w:val="auto"/>
        </w:rPr>
        <w:t>restrictions and conditions contained in any Permitted Receivables or Factoring Financings, sale and leaseback agreements, stock sale agreements and other similar agreements;</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restrictions contained in Indebtedness of Subsidiaries that are not Credit Parties that is permitted by </w:t>
      </w:r>
      <w:r>
        <w:rPr>
          <w:rFonts w:ascii="Arial" w:cs="Arial" w:eastAsia="Arial" w:hAnsi="Arial"/>
          <w:sz w:val="19"/>
          <w:szCs w:val="19"/>
          <w:u w:val="single" w:color="auto"/>
          <w:color w:val="auto"/>
        </w:rPr>
        <w:t>Section 8.1(a)</w:t>
      </w:r>
      <w:r>
        <w:rPr>
          <w:rFonts w:ascii="Arial" w:cs="Arial" w:eastAsia="Arial" w:hAnsi="Arial"/>
          <w:sz w:val="19"/>
          <w:szCs w:val="19"/>
          <w:color w:val="auto"/>
        </w:rPr>
        <w:t>;</w:t>
      </w:r>
    </w:p>
    <w:p>
      <w:pPr>
        <w:spacing w:after="0" w:line="241"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8"/>
          <w:szCs w:val="18"/>
          <w:color w:val="auto"/>
        </w:rPr>
        <w:t>restrictions that are binding on a Subsidiary at the time such Subsidiary first becomes a Subsidiary, so long as such restrictions were not entered into solely in contemplation of such Person becoming a Subsidiary or (y) are assumed in connection with an acquisition of the property or Capital Stock of any Person, so long as such restriction relates solely to the property so acquired (or to the Person or Persons (and its or their subsidiaries) bound thereby) and was not created in connection with or in anticipation of such acquisition;</w:t>
      </w:r>
    </w:p>
    <w:p>
      <w:pPr>
        <w:spacing w:after="0" w:line="18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customary restrictions contained in leases, subleases, licenses or asset sale agreements otherwise permitted hereby so long as such restrictions relate only to the assets subject thereto;</w:t>
      </w:r>
    </w:p>
    <w:p>
      <w:pPr>
        <w:spacing w:after="0" w:line="204"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 xml:space="preserve">restrictions contained in any agreement with respect to Indebtedness permitted by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to the extent that such restrictions are not materially more restrictive with respect to such restrictions, taken as a whole, than the corresponding restrictions hereunder;</w:t>
      </w:r>
    </w:p>
    <w:p>
      <w:pPr>
        <w:spacing w:after="0" w:line="21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restrictions on Cash, Cash Equivalents or deposits imposed by Persons under contracts entered into in the ordinary course of business (or otherwise constituting Permitted Liens on such cash or Cash Equivalents or deposits);</w:t>
      </w:r>
    </w:p>
    <w:p>
      <w:pPr>
        <w:spacing w:after="0" w:line="204"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customary net worth provisions contained in real property leases or licenses of Intellectual Property entered into by Crown Holdings or any Subsidiary, so long as Crown Holdings has determined in good faith that such net worth provisions would not reasonably be expected to impair the ability of Crown Holdings and its Subsidiaries to meet their ongoing obligation;</w:t>
      </w:r>
    </w:p>
    <w:p>
      <w:pPr>
        <w:spacing w:after="0" w:line="210"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restrictions imposed by customary provisions in joint venture agreements, other similar investment agreements and/or Organic Documents of any subsidiary that is a Non-Wholly Owned Subsidiary that restrict or impose conditions upon the transfer of the assets of, or ownership interests in, such applicable Person which limitation is applicable only to the assets that are the subject of such agreements (or the Persons the Capital Stock of which is the subject of such agreement); and</w:t>
      </w:r>
    </w:p>
    <w:p>
      <w:pPr>
        <w:spacing w:after="0" w:line="21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restrictions imposed by any amendment, modification, restatement, renewal, increase, supplement, refunding, replacement or refinancing of the contracts, instruments or obligations referred to in clauses (a) through (n) above; provided that no such amendment, modification, restatement, renewal, increase, supplement, refunding, replacement or refinancing is, in the good faith judgment of the Borrower, more restrictive with respect to such encumbrances and other restrictions, taken as a whole, than those in effect prior to the relevant amendment, modification, restatement, renewal, increase, supplement, refunding, replacement or refinancing.</w:t>
      </w:r>
    </w:p>
    <w:p>
      <w:pPr>
        <w:spacing w:after="0" w:line="189" w:lineRule="exact"/>
        <w:rPr>
          <w:sz w:val="20"/>
          <w:szCs w:val="20"/>
          <w:color w:val="auto"/>
        </w:rPr>
      </w:pPr>
    </w:p>
    <w:p>
      <w:pPr>
        <w:ind w:left="660" w:right="4020"/>
        <w:spacing w:after="0" w:line="233" w:lineRule="auto"/>
        <w:rPr>
          <w:sz w:val="20"/>
          <w:szCs w:val="20"/>
          <w:color w:val="auto"/>
        </w:rPr>
      </w:pPr>
      <w:r>
        <w:rPr>
          <w:rFonts w:ascii="Arial" w:cs="Arial" w:eastAsia="Arial" w:hAnsi="Arial"/>
          <w:sz w:val="20"/>
          <w:szCs w:val="20"/>
          <w:u w:val="single" w:color="auto"/>
          <w:color w:val="auto"/>
        </w:rPr>
        <w:t xml:space="preserve">8.11 Amendments or Waivers of Certain Documents; Prepayments of Indebtedness </w:t>
      </w:r>
      <w:r>
        <w:rPr>
          <w:rFonts w:ascii="Arial" w:cs="Arial" w:eastAsia="Arial" w:hAnsi="Arial"/>
          <w:sz w:val="20"/>
          <w:szCs w:val="20"/>
          <w:color w:val="auto"/>
        </w:rPr>
        <w:t>.</w:t>
      </w:r>
    </w:p>
    <w:p>
      <w:pPr>
        <w:spacing w:after="0" w:line="1" w:lineRule="exact"/>
        <w:rPr>
          <w:sz w:val="20"/>
          <w:szCs w:val="20"/>
          <w:color w:val="auto"/>
        </w:rPr>
      </w:pPr>
    </w:p>
    <w:p>
      <w:pPr>
        <w:jc w:val="both"/>
        <w:ind w:left="1300" w:firstLine="4"/>
        <w:spacing w:after="0" w:line="229" w:lineRule="auto"/>
        <w:tabs>
          <w:tab w:leader="none" w:pos="1588" w:val="left"/>
        </w:tabs>
        <w:numPr>
          <w:ilvl w:val="0"/>
          <w:numId w:val="246"/>
        </w:numPr>
        <w:rPr>
          <w:rFonts w:ascii="Arial" w:cs="Arial" w:eastAsia="Arial" w:hAnsi="Arial"/>
          <w:sz w:val="20"/>
          <w:szCs w:val="20"/>
          <w:color w:val="auto"/>
        </w:rPr>
      </w:pPr>
      <w:r>
        <w:rPr>
          <w:rFonts w:ascii="Arial" w:cs="Arial" w:eastAsia="Arial" w:hAnsi="Arial"/>
          <w:sz w:val="20"/>
          <w:szCs w:val="20"/>
          <w:color w:val="auto"/>
        </w:rPr>
        <w:t xml:space="preserve">The Credit Parties will not, and will not permit any of their Subsidiaries to amend or otherwise change (or waive) the terms of its Organic Documents or the documents governing any Indebtedness (other than Intercompany Indebtedness subordinated as a result of </w:t>
      </w:r>
      <w:r>
        <w:rPr>
          <w:rFonts w:ascii="Arial" w:cs="Arial" w:eastAsia="Arial" w:hAnsi="Arial"/>
          <w:sz w:val="20"/>
          <w:szCs w:val="20"/>
          <w:u w:val="single" w:color="auto"/>
          <w:color w:val="auto"/>
        </w:rPr>
        <w:t>Section 8.1(a)(xi)</w:t>
      </w:r>
      <w:r>
        <w:rPr>
          <w:rFonts w:ascii="Arial" w:cs="Arial" w:eastAsia="Arial" w:hAnsi="Arial"/>
          <w:sz w:val="20"/>
          <w:szCs w:val="20"/>
          <w:color w:val="auto"/>
        </w:rPr>
        <w:t>) that is either subordinate or junior in right of payment to the Obligations (it being understood that Indebtedness shall not be deemed subordinate or junior in right of payment on account of being unsecured or being secured with greater or</w:t>
      </w:r>
    </w:p>
    <w:p>
      <w:pPr>
        <w:sectPr>
          <w:pgSz w:w="11900" w:h="16838" w:orient="portrait"/>
          <w:cols w:equalWidth="0" w:num="1">
            <w:col w:w="11240"/>
          </w:cols>
          <w:pgMar w:left="320" w:top="1419" w:right="339" w:bottom="1440" w:gutter="0" w:footer="0" w:header="0"/>
        </w:sectPr>
      </w:pPr>
    </w:p>
    <w:bookmarkStart w:id="294" w:name="page295"/>
    <w:bookmarkEnd w:id="294"/>
    <w:p>
      <w:pPr>
        <w:jc w:val="both"/>
        <w:ind w:left="644"/>
        <w:spacing w:after="0" w:line="254" w:lineRule="auto"/>
        <w:rPr>
          <w:sz w:val="20"/>
          <w:szCs w:val="20"/>
          <w:color w:val="auto"/>
        </w:rPr>
      </w:pPr>
      <w:r>
        <w:rPr>
          <w:rFonts w:ascii="Arial" w:cs="Arial" w:eastAsia="Arial" w:hAnsi="Arial"/>
          <w:sz w:val="18"/>
          <w:szCs w:val="18"/>
          <w:color w:val="auto"/>
        </w:rPr>
        <w:t xml:space="preserve">lower priority) or any refinancing thereof, in each case, if the effect of such amendment, change or waiver would be materially adverse to the interests of the Lenders, taken as a whole;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 any such amendment, modification, waiver, termination or release of the documentation governing any such Indebtedness will be deemed to be not materially adverse if such Indebtedness could otherwise be incurred under this Agreement with such terms at the time of such amendment, modification, waiver, termination or release, (x) this </w:t>
      </w:r>
      <w:r>
        <w:rPr>
          <w:rFonts w:ascii="Arial" w:cs="Arial" w:eastAsia="Arial" w:hAnsi="Arial"/>
          <w:sz w:val="18"/>
          <w:szCs w:val="18"/>
          <w:u w:val="single" w:color="auto"/>
          <w:color w:val="auto"/>
        </w:rPr>
        <w:t>Section 8.11(a)</w:t>
      </w:r>
      <w:r>
        <w:rPr>
          <w:rFonts w:ascii="Arial" w:cs="Arial" w:eastAsia="Arial" w:hAnsi="Arial"/>
          <w:sz w:val="18"/>
          <w:szCs w:val="18"/>
          <w:color w:val="auto"/>
        </w:rPr>
        <w:t xml:space="preserve"> shall not otherwise prohibit any Permitted Refinancing Indebtedness or any other replacement, refinancing, amendment, supplement, modification, extension, renewal, restatement or refunding of such Indebtedness, in each case, that is otherwise permitted under this Agreement in respect thereof, or any such amendment, modification, waiver, termination or release with respect to such Indebtedness to the extent not in contravention of any subordination or intercreditor agreement or terms applicable to such Indebtedness, (y) at the request of Crown Holdings, the form of any documentation governing such Indebtedness shall be deemed acceptable to the Lenders if posted to the Lenders and not objected to by the Required Lenders within five Business Days thereafter, and (z) this </w:t>
      </w:r>
      <w:r>
        <w:rPr>
          <w:rFonts w:ascii="Arial" w:cs="Arial" w:eastAsia="Arial" w:hAnsi="Arial"/>
          <w:sz w:val="18"/>
          <w:szCs w:val="18"/>
          <w:u w:val="single" w:color="auto"/>
          <w:color w:val="auto"/>
        </w:rPr>
        <w:t>Section 8.11(a)</w:t>
      </w:r>
      <w:r>
        <w:rPr>
          <w:rFonts w:ascii="Arial" w:cs="Arial" w:eastAsia="Arial" w:hAnsi="Arial"/>
          <w:sz w:val="18"/>
          <w:szCs w:val="18"/>
          <w:color w:val="auto"/>
        </w:rPr>
        <w:t xml:space="preserve"> shall not otherwise prohibit any such amendment, modification, waiver, termination or release of any Organic Documents to the extent entered into in order to effect or evidence a transaction that is permitted hereunder, including pursuant to </w:t>
      </w:r>
      <w:r>
        <w:rPr>
          <w:rFonts w:ascii="Arial" w:cs="Arial" w:eastAsia="Arial" w:hAnsi="Arial"/>
          <w:sz w:val="18"/>
          <w:szCs w:val="18"/>
          <w:u w:val="single" w:color="auto"/>
          <w:color w:val="auto"/>
        </w:rPr>
        <w:t>Section 8.3</w:t>
      </w:r>
      <w:r>
        <w:rPr>
          <w:rFonts w:ascii="Arial" w:cs="Arial" w:eastAsia="Arial" w:hAnsi="Arial"/>
          <w:sz w:val="18"/>
          <w:szCs w:val="18"/>
          <w:color w:val="auto"/>
        </w:rPr>
        <w:t>. For the avoidance of doubt, the issuance of Capital Stock that is otherwise permitted under this Agreement shall not be deemed to be materially adverse to the interests of the Lenders..</w:t>
      </w:r>
    </w:p>
    <w:p>
      <w:pPr>
        <w:spacing w:after="0" w:line="197" w:lineRule="exact"/>
        <w:rPr>
          <w:sz w:val="20"/>
          <w:szCs w:val="20"/>
          <w:color w:val="auto"/>
        </w:rPr>
      </w:pPr>
    </w:p>
    <w:p>
      <w:pPr>
        <w:jc w:val="both"/>
        <w:ind w:left="644" w:firstLine="4"/>
        <w:spacing w:after="0" w:line="253" w:lineRule="auto"/>
        <w:tabs>
          <w:tab w:leader="none" w:pos="93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Credit Parties will not, and will not permit any of their Subsidiaries to, make (or give any notice or offer in respect of) any voluntary or optional payment or mandatory prepayment or redemption or acquisition for value (“</w:t>
      </w:r>
      <w:r>
        <w:rPr>
          <w:rFonts w:ascii="Arial" w:cs="Arial" w:eastAsia="Arial" w:hAnsi="Arial"/>
          <w:sz w:val="18"/>
          <w:szCs w:val="18"/>
          <w:u w:val="single" w:color="auto"/>
          <w:color w:val="auto"/>
        </w:rPr>
        <w:t>Repayments</w:t>
      </w:r>
      <w:r>
        <w:rPr>
          <w:rFonts w:ascii="Arial" w:cs="Arial" w:eastAsia="Arial" w:hAnsi="Arial"/>
          <w:sz w:val="18"/>
          <w:szCs w:val="18"/>
          <w:color w:val="auto"/>
        </w:rPr>
        <w:t xml:space="preserve">”) of (including, without limitation, by way of depositing with any trustee with respect thereto money or securities before such Indebtedness is due for the purpose of paying such Indebtedness when due) the Indebtedness described in clause (a) above, except for Repayments (s) in an aggregate amount from and after the Incremental Amendment No. 2 and Third Amendment Effective Date not to exceed the Available Amount, (t) any AHYDO Payment, (u) that constitute payments of principal at maturity and regularly scheduled payments of interest and fees as and when due in respect of any Subordinated Indebtedness (other than payments prohibited by the subordination provisions applicable thereto, if any), (v) that are mandatory prepayments of any Indebtedness described in clause (a) above (other than Subordinated Indebtedness) not otherwise prohibited by the terms of this Agreement, (w) pursuant to the issuance of Permitted Refinancing Indebtedness or as otherwise permitted by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(x) to the extent, as of the date on which such Repayment is made and immediately after giving effect thereto, on a Pro Forma Basis for the period of four Fiscal Quarters for which financial statements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immediately preceding the date on which such Repayment is made, the Total Leverage Ratio shall not be greater than (A) prior to December 31, 2022, 5.00 to 1.00 and (B) thereafter, 4.50 to 1.00 or (y) a voluntary or optional payment or prepayment on or redemption or acquisition for value in exchange for, or out of proceeds of, the substantially concurrent issuance (other than to an Affiliate of Crown Holdings) of Capital Stock of Crown Holdings.</w:t>
      </w:r>
    </w:p>
    <w:p>
      <w:pPr>
        <w:spacing w:after="0" w:line="208"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u w:val="single" w:color="auto"/>
          <w:color w:val="auto"/>
        </w:rPr>
        <w:t>8.12 Limitation on Activities of Crown Holdings, Crown Finance, Crown Finance II and CCSC</w:t>
      </w:r>
      <w:r>
        <w:rPr>
          <w:rFonts w:ascii="Arial" w:cs="Arial" w:eastAsia="Arial" w:hAnsi="Arial"/>
          <w:sz w:val="18"/>
          <w:szCs w:val="18"/>
          <w:color w:val="auto"/>
        </w:rPr>
        <w:t>. Notwithstanding anything to the contrary set forth herein, each of Crown Holdings, Crown International, Crown Finance, Crown Finance II and CCSC, in the case of each of Crown Holdings, Crown International and CCSC, (i) shall not conduct any business or hold or acquire any assets other than</w:t>
      </w:r>
    </w:p>
    <w:p>
      <w:pPr>
        <w:spacing w:after="0" w:line="2" w:lineRule="exact"/>
        <w:rPr>
          <w:sz w:val="20"/>
          <w:szCs w:val="20"/>
          <w:color w:val="auto"/>
        </w:rPr>
      </w:pPr>
    </w:p>
    <w:p>
      <w:pPr>
        <w:jc w:val="both"/>
        <w:ind w:left="4" w:hanging="4"/>
        <w:spacing w:after="0" w:line="231" w:lineRule="auto"/>
        <w:tabs>
          <w:tab w:leader="none" w:pos="35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 xml:space="preserve">immaterial equipment, other intellectual property and other immaterial assets, or (B) the Capital Stock of Borrowers or other Credit Parties; </w:t>
      </w:r>
      <w:r>
        <w:rPr>
          <w:rFonts w:ascii="Arial" w:cs="Arial" w:eastAsia="Arial" w:hAnsi="Arial"/>
          <w:sz w:val="20"/>
          <w:szCs w:val="20"/>
          <w:u w:val="single" w:color="auto"/>
          <w:color w:val="auto"/>
        </w:rPr>
        <w:t>provided</w:t>
      </w:r>
      <w:r>
        <w:rPr>
          <w:rFonts w:ascii="Arial" w:cs="Arial" w:eastAsia="Arial" w:hAnsi="Arial"/>
          <w:sz w:val="20"/>
          <w:szCs w:val="20"/>
          <w:color w:val="auto"/>
        </w:rPr>
        <w:t>, that with respect to the Capital Stock of Credit Parties other than Borrowers, (1) any Credit Party that is directly</w:t>
      </w:r>
    </w:p>
    <w:p>
      <w:pPr>
        <w:sectPr>
          <w:pgSz w:w="11900" w:h="16838" w:orient="portrait"/>
          <w:cols w:equalWidth="0" w:num="1">
            <w:col w:w="10584"/>
          </w:cols>
          <w:pgMar w:left="976" w:top="1419" w:right="339" w:bottom="1440" w:gutter="0" w:footer="0" w:header="0"/>
        </w:sectPr>
      </w:pPr>
    </w:p>
    <w:bookmarkStart w:id="295" w:name="page296"/>
    <w:bookmarkEnd w:id="295"/>
    <w:p>
      <w:pPr>
        <w:jc w:val="both"/>
        <w:spacing w:after="0" w:line="256" w:lineRule="auto"/>
        <w:rPr>
          <w:sz w:val="20"/>
          <w:szCs w:val="20"/>
          <w:color w:val="auto"/>
        </w:rPr>
      </w:pPr>
      <w:r>
        <w:rPr>
          <w:rFonts w:ascii="Arial" w:cs="Arial" w:eastAsia="Arial" w:hAnsi="Arial"/>
          <w:sz w:val="18"/>
          <w:szCs w:val="18"/>
          <w:color w:val="auto"/>
        </w:rPr>
        <w:t xml:space="preserve">owned by Crown Holdings or CCSC must be a holding company and shall have the same restrictions set forth herein as Crown Holdings, Crown International and CCSC (other than restrictions set forth in this clause (1)), and (2) no Credit Party other than Crown Holdings and any successor to CCSC may guaranty the Debentures and (C) cash sufficient to pay amounts owing under its Indebtedness permitted to be incurred hereunder and to pay its ordinary course operating expenses and (ii) shall have no operations other than (A) holding such Capital Stock, (B) in the case of Crown Holdings, holding company activities (including, without limitation, administering employee benefit plans and other holding company activities) reasonably related to being a publicly listed company or having publicly traded securities, (C) in the case of Crown Finance and Crown Finance II, activities directly related to its responsibilities as co-issuer of the Senior Notes and (D) in the case of CCSC, activities engaged in as of the Original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Permitted Holding Company Transactions shall be permitted under this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20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u w:val="single" w:color="auto"/>
          <w:color w:val="auto"/>
        </w:rPr>
        <w:t>8.13 Anti-Money Laundering</w:t>
      </w:r>
      <w:r>
        <w:rPr>
          <w:rFonts w:ascii="Arial" w:cs="Arial" w:eastAsia="Arial" w:hAnsi="Arial"/>
          <w:sz w:val="20"/>
          <w:szCs w:val="20"/>
          <w:color w:val="auto"/>
        </w:rPr>
        <w:t>. At all times throughout the term of the Loans, to the knowledge of any Credit Party, based upon reasonable inquiry by such Credit Party, none of the funds of such Credit Party that are used to repay the Loans shall be derived from any unlawful activity, with the result that the investment in the Credit Parties (whether directly or indirectly) is prohibited by law or the Loans would be in violation of law or applicable Sanctions or Anti-Corruption Laws.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9"/>
          <w:szCs w:val="19"/>
          <w:u w:val="single" w:color="auto"/>
          <w:color w:val="auto"/>
        </w:rPr>
        <w:t>8.14 Accounting Changes</w:t>
      </w:r>
      <w:r>
        <w:rPr>
          <w:rFonts w:ascii="Arial" w:cs="Arial" w:eastAsia="Arial" w:hAnsi="Arial"/>
          <w:sz w:val="19"/>
          <w:szCs w:val="19"/>
          <w:color w:val="auto"/>
        </w:rPr>
        <w:t xml:space="preserve">. The Credit Parties will not, and will not permit any of their Subsidiaries to, make any change in accounting policies affecting the presentation of financial statements or reporting practices from those employed by it on the Original Closing Date, unless (i) such change is required or permitted by GAAP, (ii) such change is disclosed to the Lenders through Administrative Agent or otherwise and (iii) relevant prior financial statements that are affected by such change are restated (in form and detail satisfactory to Administrative Agent) to the extent required by GAAP to show comparative results. If any changes in GAAP or the application thereof from that used in the preparation of the financial statements referred to in </w:t>
      </w:r>
      <w:r>
        <w:rPr>
          <w:rFonts w:ascii="Arial" w:cs="Arial" w:eastAsia="Arial" w:hAnsi="Arial"/>
          <w:sz w:val="19"/>
          <w:szCs w:val="19"/>
          <w:u w:val="single" w:color="auto"/>
          <w:color w:val="auto"/>
        </w:rPr>
        <w:t>Section 6.5(a)</w:t>
      </w:r>
      <w:r>
        <w:rPr>
          <w:rFonts w:ascii="Arial" w:cs="Arial" w:eastAsia="Arial" w:hAnsi="Arial"/>
          <w:sz w:val="19"/>
          <w:szCs w:val="19"/>
          <w:color w:val="auto"/>
        </w:rPr>
        <w:t xml:space="preserve"> hereof occur after the Original Closing Date and such changes or such application result in a material variation in the method of calculation of financial covenants or other terms of this Agreement, then the parties hereto agree to enter into and diligently pursue negotiations in good faith in order to amend such provisions of this Agreement so as to equitably reflect such changes, so that the criteria for evaluating the financial condition and results of operations of Crown Holdings and its Subsidiaries will be the same after such changes as if such changes had not occurred.</w:t>
      </w:r>
    </w:p>
    <w:p>
      <w:pPr>
        <w:spacing w:after="0" w:line="21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u w:val="single" w:color="auto"/>
          <w:color w:val="auto"/>
        </w:rPr>
        <w:t>8.15 Canadian Defined Benefit Plans</w:t>
      </w:r>
      <w:r>
        <w:rPr>
          <w:rFonts w:ascii="Arial" w:cs="Arial" w:eastAsia="Arial" w:hAnsi="Arial"/>
          <w:sz w:val="20"/>
          <w:szCs w:val="20"/>
          <w:color w:val="auto"/>
        </w:rPr>
        <w:t>. No Canadian Credit Party shall, without prior written consent from the Majority Lenders (a) establish any plan which would be considered a Canadian Defined Benefit Plan or Multiple Employer Plan once created or commence contributing to or otherwise participate in any plan which would be considered a Canadian Defined Benefit Plan or Multiple Employer Plan after a Canadian Credit Party commenced such contributions or participation; (b) acquire an interest in any Person if such Person sponsors, administers, participates in, or has any liability in respect of, any Canadian Defined Benefit Plan or Multiple Employer Plan, or (c) terminate, or cause to be terminated, any of the Canadian Defined Benefit Plans, if such Canadian Defined Benefit Plan would have a wind up deficiency on termination in an amount that would reasonably be expected to have a Material Adverse Effect.</w:t>
      </w:r>
    </w:p>
    <w:p>
      <w:pPr>
        <w:spacing w:after="0" w:line="21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u w:val="single" w:color="auto"/>
          <w:color w:val="auto"/>
        </w:rPr>
        <w:t>8.16 Sanctions</w:t>
      </w:r>
      <w:r>
        <w:rPr>
          <w:rFonts w:ascii="Arial" w:cs="Arial" w:eastAsia="Arial" w:hAnsi="Arial"/>
          <w:sz w:val="20"/>
          <w:szCs w:val="20"/>
          <w:color w:val="auto"/>
        </w:rPr>
        <w:t>. Crown Holdings shall not, nor shall it permit any Subsidiary to, directly or indirectly, use the proceeds of any Loan, or lend, contribute or otherwise make available such proceeds to any Subsidiary, joint venture partner or other individual or entity, to fund any activities of or business with any individual or entity, or in any Sanctioned Country, that, at the time of such funding, is the subject of Sanctions, or in any other manner that will result in a</w:t>
      </w:r>
    </w:p>
    <w:p>
      <w:pPr>
        <w:sectPr>
          <w:pgSz w:w="11900" w:h="16838" w:orient="portrait"/>
          <w:cols w:equalWidth="0" w:num="1">
            <w:col w:w="10580"/>
          </w:cols>
          <w:pgMar w:left="980" w:top="1419" w:right="339" w:bottom="1440" w:gutter="0" w:footer="0" w:header="0"/>
        </w:sectPr>
      </w:pPr>
    </w:p>
    <w:bookmarkStart w:id="296" w:name="page297"/>
    <w:bookmarkEnd w:id="296"/>
    <w:p>
      <w:pPr>
        <w:ind w:left="660"/>
        <w:spacing w:after="0" w:line="246" w:lineRule="auto"/>
        <w:rPr>
          <w:sz w:val="20"/>
          <w:szCs w:val="20"/>
          <w:color w:val="auto"/>
        </w:rPr>
      </w:pPr>
      <w:r>
        <w:rPr>
          <w:rFonts w:ascii="Arial" w:cs="Arial" w:eastAsia="Arial" w:hAnsi="Arial"/>
          <w:sz w:val="20"/>
          <w:szCs w:val="20"/>
          <w:color w:val="auto"/>
        </w:rPr>
        <w:t>violation by any individual or entity (including any individual or entity participating in the transaction, whether as Lender, Arranger, Administrative Agent, Facing Agent, Swing Line Lender, or otherwise) of Sanctions.</w:t>
      </w:r>
    </w:p>
    <w:p>
      <w:pPr>
        <w:spacing w:after="0" w:line="204"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ARTICLE IX</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FINANCIAL COVENANT</w:t>
      </w:r>
    </w:p>
    <w:p>
      <w:pPr>
        <w:spacing w:after="0" w:line="200" w:lineRule="exact"/>
        <w:rPr>
          <w:sz w:val="20"/>
          <w:szCs w:val="20"/>
          <w:color w:val="auto"/>
        </w:rPr>
      </w:pPr>
    </w:p>
    <w:p>
      <w:pPr>
        <w:spacing w:after="0" w:line="25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From and after the Incremental Amendment No. 2 and Third Amendment Effective Date, Crown Holdings hereby agrees, that, so long as (a) any of the Commitments remain in effect, (b) any Loan (other than any Unasserted Contingent Obligations) remains outstanding and unpaid, (c) any Letter of Credit has not (w) expired, (x) been terminated, (y) been cash collateralized or (z) been backstopped in a manner satisfactory to the relevant Facing Agent in its sole discretion, (d) any Unpaid Drawing remains outstanding and unpaid or (e) any other Obligation (other than any Unasserted Contingent Obligations or obligations and liabilities under any Hedging Agreement) is owing to any Lender or Administrative Agent hereunder, Crown Holdings will not permit or suffer to exist the Total Leverage Ratio for any Test Period set forth below to exceed the ratio set forth opposite such period:</w:t>
      </w:r>
    </w:p>
    <w:p>
      <w:pPr>
        <w:spacing w:after="0" w:line="200" w:lineRule="exact"/>
        <w:rPr>
          <w:sz w:val="20"/>
          <w:szCs w:val="20"/>
          <w:color w:val="auto"/>
        </w:rPr>
      </w:pP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40" w:type="dxa"/>
            <w:vAlign w:val="bottom"/>
            <w:tcBorders>
              <w:top w:val="single" w:sz="8" w:color="auto"/>
              <w:left w:val="single" w:sz="8" w:color="auto"/>
            </w:tcBorders>
          </w:tcPr>
          <w:p>
            <w:pPr>
              <w:spacing w:after="0"/>
              <w:rPr>
                <w:sz w:val="19"/>
                <w:szCs w:val="19"/>
                <w:color w:val="auto"/>
              </w:rPr>
            </w:pPr>
          </w:p>
        </w:tc>
        <w:tc>
          <w:tcPr>
            <w:tcW w:w="37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0"/>
                <w:szCs w:val="20"/>
                <w:b w:val="1"/>
                <w:bCs w:val="1"/>
                <w:color w:val="auto"/>
              </w:rPr>
              <w:t>Test Period Ended</w:t>
            </w:r>
          </w:p>
        </w:tc>
        <w:tc>
          <w:tcPr>
            <w:tcW w:w="282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w w:val="91"/>
              </w:rPr>
              <w:t>Ratio</w:t>
            </w:r>
          </w:p>
        </w:tc>
      </w:tr>
      <w:tr>
        <w:trPr>
          <w:trHeight w:val="34"/>
        </w:trPr>
        <w:tc>
          <w:tcPr>
            <w:tcW w:w="2140" w:type="dxa"/>
            <w:vAlign w:val="bottom"/>
            <w:tcBorders>
              <w:left w:val="single" w:sz="8" w:color="auto"/>
              <w:bottom w:val="single" w:sz="8" w:color="auto"/>
            </w:tcBorders>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r>
        <w:trPr>
          <w:trHeight w:val="220"/>
        </w:trPr>
        <w:tc>
          <w:tcPr>
            <w:tcW w:w="5840" w:type="dxa"/>
            <w:vAlign w:val="bottom"/>
            <w:tcBorders>
              <w:left w:val="single" w:sz="8" w:color="auto"/>
              <w:right w:val="single" w:sz="8" w:color="auto"/>
            </w:tcBorders>
            <w:gridSpan w:val="3"/>
          </w:tcPr>
          <w:p>
            <w:pPr>
              <w:ind w:left="40"/>
              <w:spacing w:after="0" w:line="220" w:lineRule="exact"/>
              <w:rPr>
                <w:sz w:val="20"/>
                <w:szCs w:val="20"/>
                <w:color w:val="auto"/>
              </w:rPr>
            </w:pPr>
            <w:r>
              <w:rPr>
                <w:rFonts w:ascii="Arial" w:cs="Arial" w:eastAsia="Arial" w:hAnsi="Arial"/>
                <w:sz w:val="20"/>
                <w:szCs w:val="20"/>
                <w:color w:val="auto"/>
                <w:w w:val="91"/>
              </w:rPr>
              <w:t>Incremental Amendment No. 2 and Third Amendment Effective Date to</w:t>
            </w:r>
          </w:p>
        </w:tc>
        <w:tc>
          <w:tcPr>
            <w:tcW w:w="2820" w:type="dxa"/>
            <w:vAlign w:val="bottom"/>
            <w:tcBorders>
              <w:right w:val="single" w:sz="8" w:color="auto"/>
            </w:tcBorders>
            <w:gridSpan w:val="3"/>
          </w:tcPr>
          <w:p>
            <w:pPr>
              <w:jc w:val="center"/>
              <w:ind w:right="20"/>
              <w:spacing w:after="0" w:line="220" w:lineRule="exact"/>
              <w:rPr>
                <w:sz w:val="20"/>
                <w:szCs w:val="20"/>
                <w:color w:val="auto"/>
              </w:rPr>
            </w:pPr>
            <w:r>
              <w:rPr>
                <w:rFonts w:ascii="Arial" w:cs="Arial" w:eastAsia="Arial" w:hAnsi="Arial"/>
                <w:sz w:val="20"/>
                <w:szCs w:val="20"/>
                <w:color w:val="auto"/>
                <w:w w:val="90"/>
              </w:rPr>
              <w:t>5.75 to 1.00</w:t>
            </w:r>
          </w:p>
        </w:tc>
      </w:tr>
      <w:tr>
        <w:trPr>
          <w:trHeight w:val="255"/>
        </w:trPr>
        <w:tc>
          <w:tcPr>
            <w:tcW w:w="5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September 30, 2020</w:t>
            </w:r>
          </w:p>
        </w:tc>
        <w:tc>
          <w:tcPr>
            <w:tcW w:w="11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spacing w:after="0"/>
              <w:rPr>
                <w:sz w:val="22"/>
                <w:szCs w:val="22"/>
                <w:color w:val="auto"/>
              </w:rPr>
            </w:pPr>
          </w:p>
        </w:tc>
      </w:tr>
      <w:tr>
        <w:trPr>
          <w:trHeight w:val="263"/>
        </w:trPr>
        <w:tc>
          <w:tcPr>
            <w:tcW w:w="5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December 31, 2020 to September 30, 2022</w:t>
            </w:r>
          </w:p>
        </w:tc>
        <w:tc>
          <w:tcPr>
            <w:tcW w:w="282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0"/>
              </w:rPr>
              <w:t>5.00 to 1.00</w:t>
            </w:r>
          </w:p>
        </w:tc>
      </w:tr>
      <w:tr>
        <w:trPr>
          <w:trHeight w:val="224"/>
        </w:trPr>
        <w:tc>
          <w:tcPr>
            <w:tcW w:w="5840" w:type="dxa"/>
            <w:vAlign w:val="bottom"/>
            <w:tcBorders>
              <w:left w:val="single" w:sz="8" w:color="auto"/>
              <w:right w:val="single" w:sz="8" w:color="auto"/>
            </w:tcBorders>
            <w:gridSpan w:val="3"/>
          </w:tcPr>
          <w:p>
            <w:pPr>
              <w:ind w:left="40"/>
              <w:spacing w:after="0" w:line="225" w:lineRule="exact"/>
              <w:rPr>
                <w:sz w:val="20"/>
                <w:szCs w:val="20"/>
                <w:color w:val="auto"/>
              </w:rPr>
            </w:pPr>
            <w:r>
              <w:rPr>
                <w:rFonts w:ascii="Arial" w:cs="Arial" w:eastAsia="Arial" w:hAnsi="Arial"/>
                <w:sz w:val="20"/>
                <w:szCs w:val="20"/>
                <w:color w:val="auto"/>
              </w:rPr>
              <w:t>December 31, 2022 and each</w:t>
            </w:r>
          </w:p>
        </w:tc>
        <w:tc>
          <w:tcPr>
            <w:tcW w:w="2820" w:type="dxa"/>
            <w:vAlign w:val="bottom"/>
            <w:tcBorders>
              <w:right w:val="single" w:sz="8" w:color="auto"/>
            </w:tcBorders>
            <w:gridSpan w:val="3"/>
          </w:tcPr>
          <w:p>
            <w:pPr>
              <w:jc w:val="center"/>
              <w:ind w:right="20"/>
              <w:spacing w:after="0" w:line="225" w:lineRule="exact"/>
              <w:rPr>
                <w:sz w:val="20"/>
                <w:szCs w:val="20"/>
                <w:color w:val="auto"/>
              </w:rPr>
            </w:pPr>
            <w:r>
              <w:rPr>
                <w:rFonts w:ascii="Arial" w:cs="Arial" w:eastAsia="Arial" w:hAnsi="Arial"/>
                <w:sz w:val="20"/>
                <w:szCs w:val="20"/>
                <w:color w:val="auto"/>
                <w:w w:val="90"/>
              </w:rPr>
              <w:t>4.50 to 1.00</w:t>
            </w:r>
          </w:p>
        </w:tc>
      </w:tr>
      <w:tr>
        <w:trPr>
          <w:trHeight w:val="255"/>
        </w:trPr>
        <w:tc>
          <w:tcPr>
            <w:tcW w:w="5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Fiscal Quarter thereafter</w:t>
            </w:r>
          </w:p>
        </w:tc>
        <w:tc>
          <w:tcPr>
            <w:tcW w:w="11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spacing w:after="0"/>
              <w:rPr>
                <w:sz w:val="22"/>
                <w:szCs w:val="22"/>
                <w:color w:val="auto"/>
              </w:rPr>
            </w:pPr>
          </w:p>
        </w:tc>
      </w:tr>
    </w:tbl>
    <w:p>
      <w:pPr>
        <w:spacing w:after="0" w:line="32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Notwithstanding the foregoing, upon the consummation of a Material Acquisition and until the end of the fourth full fiscal quarter thereafter (the “</w:t>
      </w:r>
      <w:r>
        <w:rPr>
          <w:rFonts w:ascii="Arial" w:cs="Arial" w:eastAsia="Arial" w:hAnsi="Arial"/>
          <w:sz w:val="20"/>
          <w:szCs w:val="20"/>
          <w:u w:val="single" w:color="auto"/>
          <w:color w:val="auto"/>
        </w:rPr>
        <w:t>Increase Period</w:t>
      </w:r>
      <w:r>
        <w:rPr>
          <w:rFonts w:ascii="Arial" w:cs="Arial" w:eastAsia="Arial" w:hAnsi="Arial"/>
          <w:sz w:val="20"/>
          <w:szCs w:val="20"/>
          <w:color w:val="auto"/>
        </w:rPr>
        <w:t>”), the maximum permitted Total Leverage Ratio shall be increased by 0.50 to 1.00 (the “</w:t>
      </w:r>
      <w:r>
        <w:rPr>
          <w:rFonts w:ascii="Arial" w:cs="Arial" w:eastAsia="Arial" w:hAnsi="Arial"/>
          <w:sz w:val="20"/>
          <w:szCs w:val="20"/>
          <w:u w:val="single" w:color="auto"/>
          <w:color w:val="auto"/>
        </w:rPr>
        <w:t>Step-Up</w:t>
      </w:r>
      <w:r>
        <w:rPr>
          <w:rFonts w:ascii="Arial" w:cs="Arial" w:eastAsia="Arial" w:hAnsi="Arial"/>
          <w:sz w:val="20"/>
          <w:szCs w:val="20"/>
          <w:color w:val="auto"/>
        </w:rPr>
        <w:t xml:space="preserve">”) during such Increase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 Increase Period may not immediately follow another Increase Period (that is, following an Increase Period, there shall be at least one fiscal quarter as of the end of which the maximum Total Leverage Ratio has been complied with without giving effect to the Step-Up).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EVENTS OF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 Listing of Events of Default</w:t>
      </w:r>
      <w:r>
        <w:rPr>
          <w:rFonts w:ascii="Arial" w:cs="Arial" w:eastAsia="Arial" w:hAnsi="Arial"/>
          <w:sz w:val="18"/>
          <w:szCs w:val="18"/>
          <w:color w:val="auto"/>
        </w:rPr>
        <w:t xml:space="preserve">. Each of the following events or occurrences described in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constitute an “</w:t>
      </w:r>
      <w:r>
        <w:rPr>
          <w:rFonts w:ascii="Arial" w:cs="Arial" w:eastAsia="Arial" w:hAnsi="Arial"/>
          <w:sz w:val="18"/>
          <w:szCs w:val="18"/>
          <w:u w:val="single" w:color="auto"/>
          <w:color w:val="auto"/>
        </w:rPr>
        <w:t>Event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Default</w:t>
      </w:r>
      <w:r>
        <w:rPr>
          <w:rFonts w:ascii="Arial" w:cs="Arial" w:eastAsia="Arial" w:hAnsi="Arial"/>
          <w:sz w:val="19"/>
          <w:szCs w:val="19"/>
          <w:color w:val="auto"/>
        </w:rPr>
        <w:t>” from and after the Incremental Amendment No. 2 and Third Amendment Effective Date for purposes of this Agreement:</w:t>
      </w:r>
    </w:p>
    <w:p>
      <w:pPr>
        <w:spacing w:after="0" w:line="225"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0"/>
          <w:szCs w:val="20"/>
          <w:u w:val="single" w:color="auto"/>
          <w:color w:val="auto"/>
        </w:rPr>
        <w:t>Failure to Make Payments When Due</w:t>
      </w:r>
      <w:r>
        <w:rPr>
          <w:rFonts w:ascii="Arial" w:cs="Arial" w:eastAsia="Arial" w:hAnsi="Arial"/>
          <w:sz w:val="20"/>
          <w:szCs w:val="20"/>
          <w:color w:val="auto"/>
        </w:rPr>
        <w:t>. Any Borrower shall default or fail (i) in the payment when due of any principal of any Loan (including, without limitation, on any Scheduled Term Repayment date), the face amount of any B/A Loan, or any reimbursement obligation in respect of any Letter of Credit, (ii) in the payment when due of any interest on any Loan (and such default shall continue unremedied for a period of five (5) Business Days), or (iii) in the payment when due of any fee described or other amount that by its terms is due and payable hereunder or under any Loan Document and previously invoiced amount (other than an amount described in the foregoing clauses (i) and (ii)) payable under this Agreement or any other Loan Document (and such default shall continue unremedied for a period of five (5) Business Days).</w:t>
      </w:r>
    </w:p>
    <w:p>
      <w:pPr>
        <w:spacing w:after="0" w:line="212" w:lineRule="exact"/>
        <w:rPr>
          <w:sz w:val="20"/>
          <w:szCs w:val="20"/>
          <w:color w:val="auto"/>
        </w:rPr>
      </w:pPr>
    </w:p>
    <w:p>
      <w:pPr>
        <w:jc w:val="both"/>
        <w:ind w:right="20" w:firstLine="1296"/>
        <w:spacing w:after="0" w:line="246" w:lineRule="auto"/>
        <w:rPr>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Any representation or warranty made by any Credit Party hereunder or in any other Loan Document or certificate furnished by or on behalf of any</w:t>
      </w:r>
    </w:p>
    <w:p>
      <w:pPr>
        <w:sectPr>
          <w:pgSz w:w="11900" w:h="16838" w:orient="portrait"/>
          <w:cols w:equalWidth="0" w:num="1">
            <w:col w:w="11240"/>
          </w:cols>
          <w:pgMar w:left="320" w:top="1419" w:right="339" w:bottom="1440" w:gutter="0" w:footer="0" w:header="0"/>
        </w:sectPr>
      </w:pPr>
    </w:p>
    <w:bookmarkStart w:id="297" w:name="page298"/>
    <w:bookmarkEnd w:id="297"/>
    <w:p>
      <w:pPr>
        <w:jc w:val="both"/>
        <w:spacing w:after="0" w:line="300" w:lineRule="auto"/>
        <w:rPr>
          <w:sz w:val="20"/>
          <w:szCs w:val="20"/>
          <w:color w:val="auto"/>
        </w:rPr>
      </w:pPr>
      <w:r>
        <w:rPr>
          <w:rFonts w:ascii="Arial" w:cs="Arial" w:eastAsia="Arial" w:hAnsi="Arial"/>
          <w:sz w:val="18"/>
          <w:szCs w:val="18"/>
          <w:color w:val="auto"/>
        </w:rPr>
        <w:t>Credit Party to Administrative Agent, U.K. Administrative Agent, any Collateral Agent, any Facing Agent or any Lender in connection with this Agreement or any such other Loan Document shall have been incorrect in any material respect on the date as of when made.</w:t>
      </w:r>
    </w:p>
    <w:p>
      <w:pPr>
        <w:spacing w:after="0" w:line="158"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u w:val="single" w:color="auto"/>
          <w:color w:val="auto"/>
        </w:rPr>
        <w:t>Certain Covenants</w:t>
      </w:r>
      <w:r>
        <w:rPr>
          <w:rFonts w:ascii="Arial" w:cs="Arial" w:eastAsia="Arial" w:hAnsi="Arial"/>
          <w:sz w:val="20"/>
          <w:szCs w:val="20"/>
          <w:color w:val="auto"/>
        </w:rPr>
        <w:t xml:space="preserve">. Any Credit Party shall default in the due performance and observance of any of its obligations under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7.3</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7.4</w:t>
      </w:r>
      <w:r>
        <w:rPr>
          <w:rFonts w:ascii="Arial" w:cs="Arial" w:eastAsia="Arial" w:hAnsi="Arial"/>
          <w:sz w:val="20"/>
          <w:szCs w:val="20"/>
          <w:color w:val="auto"/>
        </w:rPr>
        <w:t xml:space="preserve"> (with respect to the maintenance and preservation of any Parent Guarantor’s or any Borrower’s legal existence),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IX</w:t>
      </w:r>
      <w:r>
        <w:rPr>
          <w:rFonts w:ascii="Arial" w:cs="Arial" w:eastAsia="Arial" w:hAnsi="Arial"/>
          <w:sz w:val="20"/>
          <w:szCs w:val="20"/>
          <w:color w:val="auto"/>
        </w:rPr>
        <w:t>.</w:t>
      </w:r>
    </w:p>
    <w:p>
      <w:pPr>
        <w:spacing w:after="0" w:line="210"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u w:val="single" w:color="auto"/>
          <w:color w:val="auto"/>
        </w:rPr>
        <w:t>Other Covenants, Default Under Other Loan Documents</w:t>
      </w:r>
      <w:r>
        <w:rPr>
          <w:rFonts w:ascii="Arial" w:cs="Arial" w:eastAsia="Arial" w:hAnsi="Arial"/>
          <w:sz w:val="20"/>
          <w:szCs w:val="20"/>
          <w:color w:val="auto"/>
        </w:rPr>
        <w:t>. Any Credit Party shall default in the due performance and observance of any agreement (other than those specified in paragraphs (a) through (c) above) contained herein or in any other Loan Document, and such default shall continue unremedied or unwaived for a period of thirty (30) days after written notice given to Crown Holdings by Administrative Agent (including through the instruction of any Lender).</w:t>
      </w:r>
    </w:p>
    <w:p>
      <w:pPr>
        <w:spacing w:after="0" w:line="210"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u w:val="single" w:color="auto"/>
          <w:color w:val="auto"/>
        </w:rPr>
        <w:t>Default Under Other Agreements</w:t>
      </w:r>
      <w:r>
        <w:rPr>
          <w:rFonts w:ascii="Arial" w:cs="Arial" w:eastAsia="Arial" w:hAnsi="Arial"/>
          <w:sz w:val="19"/>
          <w:szCs w:val="19"/>
          <w:color w:val="auto"/>
        </w:rPr>
        <w:t xml:space="preserve">. Any Credit Party shall default (i) in the payment when due (subject to any applicable grace period), whether by acceleration or otherwise, of any Material Indebtedness or (ii) in the performance or observance of any obligation or condition with respect to any Material Indebtedness if the effect of such default referred to in this clause (ii) is to accelerate the maturity of any such Material Indebtedness or is to enable or permit (with or without the giving of notice, the lapse of time or both) the holder or holders of any such Material Indebtedness or any trustee or agent on its or their behalf to cause any such Material Indebtedness to become due, or to require the prepayment, repurchase, redemption or defeasance thereof, prior to its stated maturity;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clause (e)(ii) shall not apply to Secured Indebtedness that becomes due as a result of the permitted voluntary sale or permitted transfer of the property or assets securing such Indebtedness.</w:t>
      </w:r>
    </w:p>
    <w:p>
      <w:pPr>
        <w:spacing w:after="0" w:line="20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u w:val="single" w:color="auto"/>
          <w:color w:val="auto"/>
        </w:rPr>
        <w:t>Judgments</w:t>
      </w:r>
      <w:r>
        <w:rPr>
          <w:rFonts w:ascii="Arial" w:cs="Arial" w:eastAsia="Arial" w:hAnsi="Arial"/>
          <w:sz w:val="19"/>
          <w:szCs w:val="19"/>
          <w:color w:val="auto"/>
        </w:rPr>
        <w:t>. Any judgment or order (or combination of judgments and orders) for the payment of money (to the extent not paid or covered by insurance) equal to or in excess of $250,000,000 individually or in the aggregate shall be rendered against any Credit Party (or any combination thereof) and (i) enforcement proceedings shall have been commenced by any creditor upon such judgment or order and not stayed; (ii) such judgment has not been stayed, bonded, vacated, satisfied or discharged within sixty (60) days of entry; or (iii) there shall be any period (after any applicable statutory grace period) of ten (10) consecutive days during which a stay of enforcement of such judgment or order, by reason of a pending appeal or otherwise, shall not be in effect.</w:t>
      </w:r>
    </w:p>
    <w:p>
      <w:pPr>
        <w:spacing w:after="0" w:line="206"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u w:val="single" w:color="auto"/>
          <w:color w:val="auto"/>
        </w:rPr>
        <w:t>Employee Benefit Plans</w:t>
      </w:r>
      <w:r>
        <w:rPr>
          <w:rFonts w:ascii="Arial" w:cs="Arial" w:eastAsia="Arial" w:hAnsi="Arial"/>
          <w:sz w:val="19"/>
          <w:szCs w:val="19"/>
          <w:color w:val="auto"/>
        </w:rPr>
        <w:t>. Either (i) with respect to any Pension Plan: (A) a Termination Event shall have occurred or (B) any Credit Party, any of its Subsidiaries or any ERISA Affiliate fails to make a minimum required contribution required under Code Section 430(j) to any Pension Plan by the due date for such contribution, if, as a result of such events listed in subclauses (A) and (B) of this clause (i), a Credit Party or any ERISA Affiliate could be required to make a contribution to such Pension Plan, or would reasonably expect to incur a liability or obligation to such Pension Plan, in excess of $250,000,000; or (ii) with respect to any Foreign Plan, (A) a Termination Event or Canadian Pension Termination Event or any noncompliance with respect to Foreign Plans shall have occurred or (B) any Foreign Plan that is required by applicable law to be funded in a trust or other funding vehicle has failed to comply with such funding requirements, if as a result of such events listed in subclauses (A) and (B) of this clause (ii) when taken together with all other Termination Events and Canadian Pension Termination Events or any other noncompliance with respect to Foreign Plans that have occurred, would reasonably be expected to have a Material Adverse Effect.</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Any Change of Control shall occur.</w:t>
      </w:r>
    </w:p>
    <w:p>
      <w:pPr>
        <w:sectPr>
          <w:pgSz w:w="11900" w:h="16838" w:orient="portrait"/>
          <w:cols w:equalWidth="0" w:num="1">
            <w:col w:w="11240"/>
          </w:cols>
          <w:pgMar w:left="320" w:top="1419" w:right="339" w:bottom="1440" w:gutter="0" w:footer="0" w:header="0"/>
        </w:sectPr>
      </w:pPr>
    </w:p>
    <w:bookmarkStart w:id="298" w:name="page299"/>
    <w:bookmarkEnd w:id="298"/>
    <w:p>
      <w:pPr>
        <w:jc w:val="both"/>
        <w:ind w:firstLine="1296"/>
        <w:spacing w:after="0" w:line="251" w:lineRule="auto"/>
        <w:rPr>
          <w:sz w:val="20"/>
          <w:szCs w:val="20"/>
          <w:color w:val="auto"/>
        </w:rPr>
      </w:pPr>
      <w:r>
        <w:rPr>
          <w:rFonts w:ascii="Arial" w:cs="Arial" w:eastAsia="Arial" w:hAnsi="Arial"/>
          <w:sz w:val="18"/>
          <w:szCs w:val="18"/>
          <w:u w:val="single" w:color="auto"/>
          <w:color w:val="auto"/>
        </w:rPr>
        <w:t>Insolvency</w:t>
      </w:r>
      <w:r>
        <w:rPr>
          <w:rFonts w:ascii="Arial" w:cs="Arial" w:eastAsia="Arial" w:hAnsi="Arial"/>
          <w:sz w:val="18"/>
          <w:szCs w:val="18"/>
          <w:color w:val="auto"/>
        </w:rPr>
        <w:t xml:space="preserve">. Any Credit Party or any of its Material Subsidiaries shall: (i) become insolvent or generally fail to pay debts as they become due; (ii) voluntarily apply for, consent to, or acquiesce in, the appointment of a trustee, Receiver, administrator, sequestrator or other custodian for such Credit Party or any of such Subsidiaries or substantially all of the property of any thereof, or make a general assignment for the benefit of creditors; (iii) in the absence of such voluntary application, consent or acquiescence, permit or suffer to exist the appointment of a trustee, Receiver, administrator, sequestrator or other custodian for any Credit Party or any of such Material Subsidiaries or for a substantial part of the property of any thereof, and such trustee, receiver, sequestrator or other custodian shall not be discharged or stayed within sixty (60)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Credit Party and each such Material Subsidiary hereby expressly authorize Administrative Agent and each Lender to appear in any court conducting any relevant proceeding during such sixty (60) day period to preserve, protect and defend their rights under the Loan Documents; (iv) permit or suffer to exist the commencement of any Insolvency Proceeding, bankruptcy, reorganization, administration, debt arrangement or other case or proceeding under any bankruptcy or insolvency law, or any dissolution, winding up or liquidation proceeding, in respect of any Credit Party or any such Material Subsidiary, and, if any such case or proceeding is not commenced by any Credit Party or such Material Subsidiary, such case or proceeding shall be consented to or acquiesced in by any Credit Party or such Material Subsidiary or shall result in the entry of an order for relief or shall remain for sixty (60) days undismissed, unbonded, unvacated, unsatisfied, undischarged and unstayed,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Credit Party and each such Material Subsidiary hereby expressly authorize Administrative Agent and each Lender to appear in any court conducting any such case or proceeding during such sixty</w:t>
      </w:r>
    </w:p>
    <w:p>
      <w:pPr>
        <w:spacing w:after="0" w:line="9" w:lineRule="exact"/>
        <w:rPr>
          <w:sz w:val="20"/>
          <w:szCs w:val="20"/>
          <w:color w:val="auto"/>
        </w:rPr>
      </w:pPr>
    </w:p>
    <w:p>
      <w:pPr>
        <w:ind w:firstLine="8"/>
        <w:spacing w:after="0" w:line="234" w:lineRule="auto"/>
        <w:tabs>
          <w:tab w:leader="none" w:pos="396" w:val="left"/>
        </w:tabs>
        <w:numPr>
          <w:ilvl w:val="0"/>
          <w:numId w:val="249"/>
        </w:numPr>
        <w:rPr>
          <w:rFonts w:ascii="Arial" w:cs="Arial" w:eastAsia="Arial" w:hAnsi="Arial"/>
          <w:sz w:val="20"/>
          <w:szCs w:val="20"/>
          <w:color w:val="auto"/>
        </w:rPr>
      </w:pPr>
      <w:r>
        <w:rPr>
          <w:rFonts w:ascii="Arial" w:cs="Arial" w:eastAsia="Arial" w:hAnsi="Arial"/>
          <w:sz w:val="20"/>
          <w:szCs w:val="20"/>
          <w:color w:val="auto"/>
        </w:rPr>
        <w:t>day period to preserve, protect and defend their rights under the Loan Documents; or (v) take any corporate or partnership action (or comparable action, in the case of any other form of legal entity) authorizing, or in furtherance of, any of the foregoing.</w:t>
      </w:r>
    </w:p>
    <w:p>
      <w:pPr>
        <w:spacing w:after="0" w:line="21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u w:val="single" w:color="auto"/>
          <w:color w:val="auto"/>
        </w:rPr>
        <w:t>Guaranties</w:t>
      </w:r>
      <w:r>
        <w:rPr>
          <w:rFonts w:ascii="Arial" w:cs="Arial" w:eastAsia="Arial" w:hAnsi="Arial"/>
          <w:sz w:val="19"/>
          <w:szCs w:val="19"/>
          <w:color w:val="auto"/>
        </w:rPr>
        <w:t xml:space="preserve">. Other than as a result of any release of the guaranty in accordance with the terms of this Agreement or any Guarantee Agreement, obligations of any Guarantor under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or the obligations of U.S. Borrower or any other Subsidiary Credit Party under the Guarantee Agreements shall (other than as a result of the actions taken by the Administrative Agent or the Lenders to release such guaranty) cease to be in full force and effect in accordance with its terms or, except as otherwise permitted under this Agreement, any Guarantor required to be a Guarantor thereunder shall repudiate its obligations thereunder.</w:t>
      </w:r>
    </w:p>
    <w:p>
      <w:pPr>
        <w:spacing w:after="0" w:line="203"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u w:val="single" w:color="auto"/>
          <w:color w:val="auto"/>
        </w:rPr>
        <w:t>Security Documents</w:t>
      </w:r>
      <w:r>
        <w:rPr>
          <w:rFonts w:ascii="Arial" w:cs="Arial" w:eastAsia="Arial" w:hAnsi="Arial"/>
          <w:sz w:val="18"/>
          <w:szCs w:val="18"/>
          <w:color w:val="auto"/>
        </w:rPr>
        <w:t>. Any Lien purported to be created under any Security Document shall fail or cease to be (other than by termination of such Security Document in accordance with the terms hereof or thereof), or shall be asserted by any Credit Party not to be, a valid and perfected Lien on any Collateral individually or in the aggregate having a fair market value in excess of $150,000,000, except as a result of (i) the Collateral Agents’ failure to take any action required to establish or maintain perfection (x) reasonably requested by any Borrower in order to maintain a valid and perfected Lien on any Collateral or (y) within the Collateral Agent’s control and customarily performed by the Collateral Agent, (ii) any action taken by the Collateral Agents to release any Lien on any Collateral in accordance with the terms of this Agreement and any Receivables Intercreditor Agreement, if applicable, or (iii) any automatic or other release of any Lien on any Collateral in accordance with the terms of this Agreement and any Receivables Intercreditor Agreement, if applicable.</w:t>
      </w:r>
    </w:p>
    <w:p>
      <w:pPr>
        <w:spacing w:after="0" w:line="198" w:lineRule="exact"/>
        <w:rPr>
          <w:sz w:val="20"/>
          <w:szCs w:val="20"/>
          <w:color w:val="auto"/>
        </w:rPr>
      </w:pPr>
    </w:p>
    <w:p>
      <w:pPr>
        <w:jc w:val="both"/>
        <w:ind w:left="660"/>
        <w:spacing w:after="0" w:line="234" w:lineRule="auto"/>
        <w:rPr>
          <w:sz w:val="20"/>
          <w:szCs w:val="20"/>
          <w:color w:val="auto"/>
        </w:rPr>
      </w:pPr>
      <w:r>
        <w:rPr>
          <w:rFonts w:ascii="Arial" w:cs="Arial" w:eastAsia="Arial" w:hAnsi="Arial"/>
          <w:sz w:val="20"/>
          <w:szCs w:val="20"/>
          <w:u w:val="single" w:color="auto"/>
          <w:color w:val="auto"/>
        </w:rPr>
        <w:t>10.2 Action if Bankruptcy</w:t>
      </w:r>
      <w:r>
        <w:rPr>
          <w:rFonts w:ascii="Arial" w:cs="Arial" w:eastAsia="Arial" w:hAnsi="Arial"/>
          <w:sz w:val="20"/>
          <w:szCs w:val="20"/>
          <w:color w:val="auto"/>
        </w:rPr>
        <w:t xml:space="preserve">. If any Event of Default described in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(v)</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10.1(i)</w:t>
      </w:r>
      <w:r>
        <w:rPr>
          <w:rFonts w:ascii="Arial" w:cs="Arial" w:eastAsia="Arial" w:hAnsi="Arial"/>
          <w:sz w:val="20"/>
          <w:szCs w:val="20"/>
          <w:color w:val="auto"/>
        </w:rPr>
        <w:t xml:space="preserve"> shall occur with respect to any Parent Guarantor or any Borrower, the Commitments (if not theretofore terminated) shall automatically terminate and the outstanding principal amount of all outstanding Loans and all other Obligations shall automatically be and become immediately due and payable, without notice or demand, all of which are hereby waived by Borrowers.</w:t>
      </w:r>
    </w:p>
    <w:p>
      <w:pPr>
        <w:spacing w:after="0" w:line="210"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u w:val="single" w:color="auto"/>
          <w:color w:val="auto"/>
        </w:rPr>
        <w:t>10.3 Action if Other Event of Default</w:t>
      </w:r>
      <w:r>
        <w:rPr>
          <w:rFonts w:ascii="Arial" w:cs="Arial" w:eastAsia="Arial" w:hAnsi="Arial"/>
          <w:sz w:val="20"/>
          <w:szCs w:val="20"/>
          <w:color w:val="auto"/>
        </w:rPr>
        <w:t xml:space="preserve">. If any Event of Default (other than any Event of Default described in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(v)</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10.1(i)</w:t>
      </w:r>
      <w:r>
        <w:rPr>
          <w:rFonts w:ascii="Arial" w:cs="Arial" w:eastAsia="Arial" w:hAnsi="Arial"/>
          <w:sz w:val="20"/>
          <w:szCs w:val="20"/>
          <w:color w:val="auto"/>
        </w:rPr>
        <w:t xml:space="preserve"> with respect to any Parent Guarantor or any</w:t>
      </w:r>
    </w:p>
    <w:p>
      <w:pPr>
        <w:sectPr>
          <w:pgSz w:w="11900" w:h="16838" w:orient="portrait"/>
          <w:cols w:equalWidth="0" w:num="1">
            <w:col w:w="11240"/>
          </w:cols>
          <w:pgMar w:left="320" w:top="1419" w:right="339" w:bottom="1440" w:gutter="0" w:footer="0" w:header="0"/>
        </w:sectPr>
      </w:pPr>
    </w:p>
    <w:bookmarkStart w:id="299" w:name="page300"/>
    <w:bookmarkEnd w:id="299"/>
    <w:p>
      <w:pPr>
        <w:jc w:val="both"/>
        <w:ind w:left="660"/>
        <w:spacing w:after="0" w:line="239" w:lineRule="auto"/>
        <w:rPr>
          <w:sz w:val="20"/>
          <w:szCs w:val="20"/>
          <w:color w:val="auto"/>
        </w:rPr>
      </w:pPr>
      <w:r>
        <w:rPr>
          <w:rFonts w:ascii="Arial" w:cs="Arial" w:eastAsia="Arial" w:hAnsi="Arial"/>
          <w:sz w:val="19"/>
          <w:szCs w:val="19"/>
          <w:color w:val="auto"/>
        </w:rPr>
        <w:t xml:space="preserve">Borrower) shall occur for any reason, whether voluntary or involuntary, and be continuing, Administrative Agent, upon the direction of the Required Lenders, shall by written notice to Borrowers and each Lender (a) declare all or any portion of the outstanding principal amount of the Loans and other Obligations to be due and payable and/or the Commitments to be terminated, whereupon the full unpaid amount of such Loans and other Obligations which shall be so declared due and payable shall be and become immediately due and payable, without further notice, demand or presentment, and/or, as the case may be, the Commitments shall terminate or (b) direct Borrowers to pay (and each Borrower agrees that upon receipt of such notice, or immediately and automatically upon the occurrence and during the continuance of any Event of Default specified in </w:t>
      </w:r>
      <w:r>
        <w:rPr>
          <w:rFonts w:ascii="Arial" w:cs="Arial" w:eastAsia="Arial" w:hAnsi="Arial"/>
          <w:sz w:val="19"/>
          <w:szCs w:val="19"/>
          <w:u w:val="single" w:color="auto"/>
          <w:color w:val="auto"/>
        </w:rPr>
        <w:t>Section 10.1(i)</w:t>
      </w:r>
      <w:r>
        <w:rPr>
          <w:rFonts w:ascii="Arial" w:cs="Arial" w:eastAsia="Arial" w:hAnsi="Arial"/>
          <w:sz w:val="19"/>
          <w:szCs w:val="19"/>
          <w:color w:val="auto"/>
        </w:rPr>
        <w:t xml:space="preserve"> with respect to such Borrower it will pay) to Administrative Agent at the Payment Office such additional amount of cash, to be held as security by Administrative Agent for the benefit of the Secured Creditors, as is equal to the sum of (a) the aggregate Stated Amount of all Letters of Credit issued for the account of Crown Holdings and its Subsidiaries and then outstanding and (b) the aggregate amount of all Unpaid Drawings,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such time as (y) no Event of Default shall be continuing or (z) this Agreement shall have terminated in accordance with </w:t>
      </w:r>
      <w:r>
        <w:rPr>
          <w:rFonts w:ascii="Arial" w:cs="Arial" w:eastAsia="Arial" w:hAnsi="Arial"/>
          <w:sz w:val="19"/>
          <w:szCs w:val="19"/>
          <w:u w:val="single" w:color="auto"/>
          <w:color w:val="auto"/>
        </w:rPr>
        <w:t>Section 12.15</w:t>
      </w:r>
      <w:r>
        <w:rPr>
          <w:rFonts w:ascii="Arial" w:cs="Arial" w:eastAsia="Arial" w:hAnsi="Arial"/>
          <w:sz w:val="19"/>
          <w:szCs w:val="19"/>
          <w:color w:val="auto"/>
        </w:rPr>
        <w:t xml:space="preserve">, the balance, if any, of the amount held pursuant to this clause (b) shall be returned to the Borrowers and (c) enforce, or cause the U.S. Collateral Agent and Euro Collateral Agent to enforce, the Guarantee Agreement, the provisions of </w:t>
      </w:r>
      <w:r>
        <w:rPr>
          <w:rFonts w:ascii="Arial" w:cs="Arial" w:eastAsia="Arial" w:hAnsi="Arial"/>
          <w:sz w:val="19"/>
          <w:szCs w:val="19"/>
          <w:u w:val="single" w:color="auto"/>
          <w:color w:val="auto"/>
        </w:rPr>
        <w:t>Article XIV</w:t>
      </w:r>
      <w:r>
        <w:rPr>
          <w:rFonts w:ascii="Arial" w:cs="Arial" w:eastAsia="Arial" w:hAnsi="Arial"/>
          <w:sz w:val="19"/>
          <w:szCs w:val="19"/>
          <w:color w:val="auto"/>
        </w:rPr>
        <w:t>, and all of the Liens and security interests created pursuant to the Security Documents in accordance with their terms.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10.4 [Reserved]</w:t>
      </w:r>
    </w:p>
    <w:p>
      <w:pPr>
        <w:ind w:left="66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left="660"/>
        <w:spacing w:after="0" w:line="231" w:lineRule="auto"/>
        <w:rPr>
          <w:sz w:val="20"/>
          <w:szCs w:val="20"/>
          <w:color w:val="auto"/>
        </w:rPr>
      </w:pPr>
      <w:r>
        <w:rPr>
          <w:rFonts w:ascii="Arial" w:cs="Arial" w:eastAsia="Arial" w:hAnsi="Arial"/>
          <w:sz w:val="20"/>
          <w:szCs w:val="20"/>
          <w:u w:val="single" w:color="auto"/>
          <w:color w:val="auto"/>
        </w:rPr>
        <w:t>10.5 Rights Not Exclusive</w:t>
      </w:r>
      <w:r>
        <w:rPr>
          <w:rFonts w:ascii="Arial" w:cs="Arial" w:eastAsia="Arial" w:hAnsi="Arial"/>
          <w:sz w:val="20"/>
          <w:szCs w:val="20"/>
          <w:color w:val="auto"/>
        </w:rPr>
        <w:t>.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anything to the contrary contained in this Agreement (including, without limitation,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hereof), all payments and proceeds (including the proceeds of any Asset Disposition or other sale of, or other realization upon, all or any part of the U.S. Collateral) received after acceleration of the Obligations in respect of any sale of, collection from, or realization upon all or any part of the U.S. Collateral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pro rata, to all fees, costs and expenses incurred by or owing to Administrative Agent, Collateral Agents and any Lender with respect to this Agreement, the other Loan Documents or the Collateral;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pro rata, to accrued and unpaid interest on the Obligations (including any interest which but for the provisions of the Bankruptcy Code, would have accrued on such amounts); </w:t>
      </w:r>
      <w:r>
        <w:rPr>
          <w:rFonts w:ascii="Arial" w:cs="Arial" w:eastAsia="Arial" w:hAnsi="Arial"/>
          <w:sz w:val="18"/>
          <w:szCs w:val="18"/>
          <w:u w:val="single" w:color="auto"/>
          <w:color w:val="auto"/>
        </w:rPr>
        <w:t>third</w:t>
      </w:r>
      <w:r>
        <w:rPr>
          <w:rFonts w:ascii="Arial" w:cs="Arial" w:eastAsia="Arial" w:hAnsi="Arial"/>
          <w:sz w:val="18"/>
          <w:szCs w:val="18"/>
          <w:color w:val="auto"/>
        </w:rPr>
        <w:t>, to the principal amount of or any other portions of, the Obligations outstanding (including without limitation, any Bank Related Debt) and to cash collateralize outstanding Letters of Credit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among all such Obligations based upon the principal amount thereof or the outstanding face amount of such Letters of Credit, as applicable, and with respect to amounts applied to Term Loans,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among all remaining Scheduled Term Repayments thereof). Any balance remaining shall be delivered to Borrower or to whomever may be lawfully entitled to receive such balance or as a court of competent jurisdiction may direct.</w:t>
      </w:r>
    </w:p>
    <w:p>
      <w:pPr>
        <w:spacing w:after="0" w:line="200"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 xml:space="preserve">Notwithstanding anything to the contrary contained in this Agreement (including, without limitation,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hereof), all payments and proceeds (including the proceeds of any Asset Disposition or other sale of, or other realization upon, all or any part of the Euro Collateral) received after acceleration of the Obligations in respect of any sale of, collection from, or realization upon all or any part of the Euro Collateral shall be applied: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all fees, costs and expenses incurred by or owing to Administrative Agent, Collateral Agents and any Lender with respect to this Agreement, the other Loan Documents or the Collateral;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accrued and unpaid interest on the Foreign Obligations (including any interest which but for the provisions of the Bankruptcy Code, would have accrued on such amounts); </w:t>
      </w:r>
      <w:r>
        <w:rPr>
          <w:rFonts w:ascii="Arial" w:cs="Arial" w:eastAsia="Arial" w:hAnsi="Arial"/>
          <w:sz w:val="20"/>
          <w:szCs w:val="20"/>
          <w:u w:val="single" w:color="auto"/>
          <w:color w:val="auto"/>
        </w:rPr>
        <w:t>third</w:t>
      </w:r>
      <w:r>
        <w:rPr>
          <w:rFonts w:ascii="Arial" w:cs="Arial" w:eastAsia="Arial" w:hAnsi="Arial"/>
          <w:sz w:val="20"/>
          <w:szCs w:val="20"/>
          <w:color w:val="auto"/>
        </w:rPr>
        <w:t>, to the</w:t>
      </w:r>
    </w:p>
    <w:p>
      <w:pPr>
        <w:sectPr>
          <w:pgSz w:w="11900" w:h="16838" w:orient="portrait"/>
          <w:cols w:equalWidth="0" w:num="1">
            <w:col w:w="11240"/>
          </w:cols>
          <w:pgMar w:left="320" w:top="1419" w:right="339" w:bottom="1440" w:gutter="0" w:footer="0" w:header="0"/>
        </w:sectPr>
      </w:pPr>
    </w:p>
    <w:bookmarkStart w:id="300" w:name="page301"/>
    <w:bookmarkEnd w:id="300"/>
    <w:p>
      <w:pPr>
        <w:jc w:val="both"/>
        <w:spacing w:after="0" w:line="310" w:lineRule="auto"/>
        <w:rPr>
          <w:sz w:val="20"/>
          <w:szCs w:val="20"/>
          <w:color w:val="auto"/>
        </w:rPr>
      </w:pPr>
      <w:r>
        <w:rPr>
          <w:rFonts w:ascii="Arial" w:cs="Arial" w:eastAsia="Arial" w:hAnsi="Arial"/>
          <w:sz w:val="16"/>
          <w:szCs w:val="16"/>
          <w:color w:val="auto"/>
        </w:rPr>
        <w:t>principal amount of the Foreign Obligations outstanding and to cash collateralize outstanding Letters of Credit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among all such Foreign Obligations based upon the principal amount thereof or the outstanding face amount of such Letters of Credit, as applicable, and with respect to amounts applied to Term Loans,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among all remaining Scheduled Term Repayments thereof). Any balance remaining shall be delivered to Borrower or to whomever may be lawfully entitled to receive such balance or as a court of competent jurisdiction may direct.</w:t>
      </w:r>
    </w:p>
    <w:p>
      <w:pPr>
        <w:spacing w:after="0" w:line="15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Excluded Swap Obligations with respect to any Guarantor shall not be paid with amounts received from such Guarantor or its assets, but appropriate adjustments shall be made with respect to payments from other Credit Parties to preserve the allocation to Obligations otherwise set forth above in this Section.</w:t>
      </w:r>
    </w:p>
    <w:p>
      <w:pPr>
        <w:spacing w:after="0" w:line="21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 xml:space="preserve">It is understood and agreed that (i) no payments from the proceeds of Euro Collateral shall be applied to pay any U.S. Obligations and (ii) no Euro Credit Party shall be liable to pay or otherwise be liable, in whole or in part, for principal, interest, fees and other obligations of the U.S. Borrower or any U.S. Credit Party (including all U.S. Obligations) as a result of the exercise of remedies by the Agents and the Lenders under this </w:t>
      </w:r>
      <w:r>
        <w:rPr>
          <w:rFonts w:ascii="Arial" w:cs="Arial" w:eastAsia="Arial" w:hAnsi="Arial"/>
          <w:sz w:val="20"/>
          <w:szCs w:val="20"/>
          <w:u w:val="single" w:color="auto"/>
          <w:color w:val="auto"/>
        </w:rPr>
        <w:t>Section 10.5</w:t>
      </w:r>
      <w:r>
        <w:rPr>
          <w:rFonts w:ascii="Arial" w:cs="Arial" w:eastAsia="Arial" w:hAnsi="Arial"/>
          <w:sz w:val="20"/>
          <w:szCs w:val="20"/>
          <w:color w:val="auto"/>
        </w:rPr>
        <w:t xml:space="preserve"> or otherwise.</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Anything in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to the contrary notwithstanding, Administrative Agent shall, at the request of the Required Lenders, rescind and annul any acceleration of the Loans by written instrument filed with Borrowers;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such acceleration is so rescinded and annulled: (A) all past due interest and principal, if any, on the Loans and all other sums payable under this Agreement and the other Loan Documents shall have been duly paid, and (B) no other Event of Default shall have occurred and be continuing which shall not have been waived in accordance with the provision of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hereof.</w:t>
      </w:r>
    </w:p>
    <w:p>
      <w:pPr>
        <w:ind w:left="5400"/>
        <w:spacing w:after="0" w:line="229" w:lineRule="auto"/>
        <w:rPr>
          <w:sz w:val="20"/>
          <w:szCs w:val="20"/>
          <w:color w:val="auto"/>
        </w:rPr>
      </w:pPr>
      <w:r>
        <w:rPr>
          <w:rFonts w:ascii="Arial" w:cs="Arial" w:eastAsia="Arial" w:hAnsi="Arial"/>
          <w:sz w:val="20"/>
          <w:szCs w:val="20"/>
          <w:color w:val="auto"/>
        </w:rPr>
        <w:t>ARTICLE XI</w:t>
      </w:r>
    </w:p>
    <w:p>
      <w:pPr>
        <w:ind w:left="5020"/>
        <w:spacing w:after="0"/>
        <w:rPr>
          <w:sz w:val="20"/>
          <w:szCs w:val="20"/>
          <w:color w:val="auto"/>
        </w:rPr>
      </w:pPr>
      <w:r>
        <w:rPr>
          <w:rFonts w:ascii="Arial" w:cs="Arial" w:eastAsia="Arial" w:hAnsi="Arial"/>
          <w:sz w:val="20"/>
          <w:szCs w:val="20"/>
          <w:u w:val="single" w:color="auto"/>
          <w:color w:val="auto"/>
        </w:rPr>
        <w:t>THE AGENTS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11.2 Appointment</w:t>
      </w:r>
    </w:p>
    <w:p>
      <w:pPr>
        <w:ind w:left="130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firstLine="656"/>
        <w:spacing w:after="0" w:line="252" w:lineRule="auto"/>
        <w:tabs>
          <w:tab w:leader="none" w:pos="95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Each of the Lenders hereby (i) appoints DB and Deutsche Bank AG London Branch, as applicable, to act on its behalf as Administrative Agent and U.K. Administrative Agent hereunder, as U.S. Collateral Agent under all U.S. Security Documents and as Euro Collateral Agent (including, without limitation, in its capacity as security trustee under documents governed by the law of England) under all Euro Security Documents (such appointment being made, as regards any Euro Security Document governed by French law, </w:t>
      </w:r>
      <w:r>
        <w:rPr>
          <w:rFonts w:ascii="Arial" w:cs="Arial" w:eastAsia="Arial" w:hAnsi="Arial"/>
          <w:sz w:val="18"/>
          <w:szCs w:val="18"/>
          <w:i w:val="1"/>
          <w:iCs w:val="1"/>
          <w:color w:val="auto"/>
        </w:rPr>
        <w:t>agent de sûretés</w:t>
      </w:r>
      <w:r>
        <w:rPr>
          <w:rFonts w:ascii="Arial" w:cs="Arial" w:eastAsia="Arial" w:hAnsi="Arial"/>
          <w:sz w:val="18"/>
          <w:szCs w:val="18"/>
          <w:color w:val="auto"/>
        </w:rPr>
        <w:t xml:space="preserve"> to act in accordance with the provisions of Article 2328-1 of the French Civil Code) and (ii) appoints Deutsche Bank AG Canada Branch to act on its behalf as Canadian Administrative Agent (for purposes of this Agreement, the term “Administrative Agent” shall include DB in its capacity as U.S. Collateral Agent and as Euro Collateral Agent pursuant to the Security Documents, the U.K. Administrative Agent and the Canadian Administrative Agent, as applicable) to act as herein specified herein and in the other Loan Documents. Each Lender hereby irrevocably authorizes and each holder of any Note by the acceptance of such Note shall be deemed to irrevocably authorize Administrative Agent, U.K. Administrative Agent, Canadian Administrative Agent, U.S. Collateral Agent and Euro Collateral Agent to take such action on its behalf under the provisions hereof, the other Loan Documents (including, without limitation, to give notices and take such actions on behalf of the Required Lenders as are consented to in writing by the Required Lenders) and any other instruments, documents and agreements referred to herein or therein and to exercise such powers hereunder and thereunder as are specifically delegated to Administrative Agent, Canadian Administrative Agent, U.K. Administrative Agent, U.S. Collateral Agent or Euro Collateral Agent by the terms hereof and thereof and such other powers as are reasonably incidental thereto. Each Agent may perform any of its duties hereunder and under the other Loan Documents, by or through its officers, directors, agents, employees or affiliates. Each Agent may perform any of its duties hereunder and under the other Loan Documents, by or through</w:t>
      </w:r>
    </w:p>
    <w:p>
      <w:pPr>
        <w:sectPr>
          <w:pgSz w:w="11900" w:h="16838" w:orient="portrait"/>
          <w:cols w:equalWidth="0" w:num="1">
            <w:col w:w="11240"/>
          </w:cols>
          <w:pgMar w:left="320" w:top="1419" w:right="339" w:bottom="1440" w:gutter="0" w:footer="0" w:header="0"/>
        </w:sectPr>
      </w:pPr>
    </w:p>
    <w:bookmarkStart w:id="301" w:name="page302"/>
    <w:bookmarkEnd w:id="301"/>
    <w:p>
      <w:pPr>
        <w:jc w:val="both"/>
        <w:spacing w:after="0" w:line="260" w:lineRule="auto"/>
        <w:rPr>
          <w:sz w:val="20"/>
          <w:szCs w:val="20"/>
          <w:color w:val="auto"/>
        </w:rPr>
      </w:pPr>
      <w:r>
        <w:rPr>
          <w:rFonts w:ascii="Arial" w:cs="Arial" w:eastAsia="Arial" w:hAnsi="Arial"/>
          <w:sz w:val="18"/>
          <w:szCs w:val="18"/>
          <w:color w:val="auto"/>
        </w:rPr>
        <w:t xml:space="preserve">its officers, directors, agents, employees or affiliates. The provisions of this Article are solely for the benefit of the Administrative Agent and the Lenders, and no Credit Party shall have rights as a third party beneficiary of any of such provisions. For the purposes of </w:t>
      </w:r>
      <w:r>
        <w:rPr>
          <w:rFonts w:ascii="Arial" w:cs="Arial" w:eastAsia="Arial" w:hAnsi="Arial"/>
          <w:sz w:val="18"/>
          <w:szCs w:val="18"/>
          <w:u w:val="single" w:color="auto"/>
          <w:color w:val="auto"/>
        </w:rPr>
        <w:t>Sections 11.1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12.17</w:t>
      </w:r>
      <w:r>
        <w:rPr>
          <w:rFonts w:ascii="Arial" w:cs="Arial" w:eastAsia="Arial" w:hAnsi="Arial"/>
          <w:sz w:val="18"/>
          <w:szCs w:val="18"/>
          <w:color w:val="auto"/>
        </w:rPr>
        <w:t xml:space="preserve"> each Lender hereby relieves the Euro Collateral Agent from the restrictions on self-dealing and multiple representation pursuant to Section 181 of the German Civil Code (</w:t>
      </w:r>
      <w:r>
        <w:rPr>
          <w:rFonts w:ascii="Arial" w:cs="Arial" w:eastAsia="Arial" w:hAnsi="Arial"/>
          <w:sz w:val="18"/>
          <w:szCs w:val="18"/>
          <w:i w:val="1"/>
          <w:iCs w:val="1"/>
          <w:color w:val="auto"/>
        </w:rPr>
        <w:t>Bürgerliches Gesetzbuch</w:t>
      </w:r>
      <w:r>
        <w:rPr>
          <w:rFonts w:ascii="Arial" w:cs="Arial" w:eastAsia="Arial" w:hAnsi="Arial"/>
          <w:sz w:val="18"/>
          <w:szCs w:val="18"/>
          <w:color w:val="auto"/>
        </w:rPr>
        <w:t>) and similar restrictions applicable to it pursuant to any other applicable law, in each case to the extent legally possible to such Lender. A Lender which is barred by its constitutional documents, by-laws or bank policies from granting such exemption shall notify the Euro Collateral Agent accordingly.</w:t>
      </w:r>
    </w:p>
    <w:p>
      <w:pPr>
        <w:spacing w:after="0" w:line="194" w:lineRule="exact"/>
        <w:rPr>
          <w:sz w:val="20"/>
          <w:szCs w:val="20"/>
          <w:color w:val="auto"/>
        </w:rPr>
      </w:pPr>
    </w:p>
    <w:p>
      <w:pPr>
        <w:jc w:val="both"/>
        <w:ind w:firstLine="656"/>
        <w:spacing w:after="0" w:line="253" w:lineRule="auto"/>
        <w:tabs>
          <w:tab w:leader="none" w:pos="95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Each Lender hereby authorizes the Collateral Agents to enter into the Receivables Intercreditor Agreement and each Security Document on behalf of such Lender and to exercise its rights and perform its obligations thereunder. Each of the Collateral Agents, acting alone, is hereby authorized and appointed as the Person holding the power of attorney (“</w:t>
      </w:r>
      <w:r>
        <w:rPr>
          <w:rFonts w:ascii="Arial" w:cs="Arial" w:eastAsia="Arial" w:hAnsi="Arial"/>
          <w:sz w:val="18"/>
          <w:szCs w:val="18"/>
          <w:u w:val="single" w:color="auto"/>
          <w:color w:val="auto"/>
        </w:rPr>
        <w:t>fondé de pouvoir</w:t>
      </w:r>
      <w:r>
        <w:rPr>
          <w:rFonts w:ascii="Arial" w:cs="Arial" w:eastAsia="Arial" w:hAnsi="Arial"/>
          <w:sz w:val="18"/>
          <w:szCs w:val="18"/>
          <w:color w:val="auto"/>
        </w:rPr>
        <w:t xml:space="preserve">”) within the meaning of Article 2692 of the Civil Code of Quebec for the purposes of holding any hypothec to be granted by each of CROWN Metal Packaging Canada LP, CROWN Metal Packaging Canada Inc., 3079939 Nova Scotia Company/3079939 Compagnie de la Nouvelle Ecosse or any other Credit Party as security for any debenture, bond or other title of indebtedness that may be issued by any Credit Party pursuant to a deed of hypothec and to exercise such rights and duties as are conferred upon a </w:t>
      </w:r>
      <w:r>
        <w:rPr>
          <w:rFonts w:ascii="Arial" w:cs="Arial" w:eastAsia="Arial" w:hAnsi="Arial"/>
          <w:sz w:val="18"/>
          <w:szCs w:val="18"/>
          <w:i w:val="1"/>
          <w:iCs w:val="1"/>
          <w:color w:val="auto"/>
        </w:rPr>
        <w:t>fondé de pouvoir</w:t>
      </w:r>
      <w:r>
        <w:rPr>
          <w:rFonts w:ascii="Arial" w:cs="Arial" w:eastAsia="Arial" w:hAnsi="Arial"/>
          <w:sz w:val="18"/>
          <w:szCs w:val="18"/>
          <w:color w:val="auto"/>
        </w:rPr>
        <w:t xml:space="preserve"> under the relevant deed of hypothec and applicable laws (with the power to delegate any such rights or duties). Moreover, in respect of any pledge by any Credit Party of any such debenture, bond or other title of indebtedness as security for any of the Obligations and any other obligations, including those arising under the Loan Documents, the Bank Related Hedging Agreements and the Bank Related Cash Management Agreements, each Collateral Agent shall also be authorized to hold such debenture, bond or other title of indebtedness as agent, mandatary and pledgee for its own account and for the benefit of the Administrative Agent, the U.K. Administrative Agent, the Collateral Agents, the Canadian Administrative Agent, the Lenders (including any Lenders of (i) Additional Term Loans and (ii) Loans pursuant to an Additional Facility) and Hedge Banks, if any, the whole notwithstanding the provisions of Section 32 of </w:t>
      </w:r>
      <w:r>
        <w:rPr>
          <w:rFonts w:ascii="Arial" w:cs="Arial" w:eastAsia="Arial" w:hAnsi="Arial"/>
          <w:sz w:val="18"/>
          <w:szCs w:val="18"/>
          <w:i w:val="1"/>
          <w:iCs w:val="1"/>
          <w:color w:val="auto"/>
        </w:rPr>
        <w:t>An Act respecting the Special Powers of Legal Persons</w:t>
      </w:r>
      <w:r>
        <w:rPr>
          <w:rFonts w:ascii="Arial" w:cs="Arial" w:eastAsia="Arial" w:hAnsi="Arial"/>
          <w:sz w:val="18"/>
          <w:szCs w:val="18"/>
          <w:color w:val="auto"/>
        </w:rPr>
        <w:t xml:space="preserve"> (Quebec). Any person who becomes a Secured Creditor or successor Collateral Agent shall be deemed to have consented to and ratified the foregoing appointment of each Collateral Agent as </w:t>
      </w:r>
      <w:r>
        <w:rPr>
          <w:rFonts w:ascii="Arial" w:cs="Arial" w:eastAsia="Arial" w:hAnsi="Arial"/>
          <w:sz w:val="18"/>
          <w:szCs w:val="18"/>
          <w:i w:val="1"/>
          <w:iCs w:val="1"/>
          <w:color w:val="auto"/>
        </w:rPr>
        <w:t>fondé de pouvoir</w:t>
      </w:r>
      <w:r>
        <w:rPr>
          <w:rFonts w:ascii="Arial" w:cs="Arial" w:eastAsia="Arial" w:hAnsi="Arial"/>
          <w:sz w:val="18"/>
          <w:szCs w:val="18"/>
          <w:color w:val="auto"/>
        </w:rPr>
        <w:t>, agent and mandatary on behalf of all the Secured Creditors, including such person designated above as a Secured Creditor. For greater certainty, each Collateral Agent, acting as the holder of an irrevocable power of attorney (</w:t>
      </w:r>
      <w:r>
        <w:rPr>
          <w:rFonts w:ascii="Arial" w:cs="Arial" w:eastAsia="Arial" w:hAnsi="Arial"/>
          <w:sz w:val="18"/>
          <w:szCs w:val="18"/>
          <w:i w:val="1"/>
          <w:iCs w:val="1"/>
          <w:color w:val="auto"/>
        </w:rPr>
        <w:t>fondé de pouvoir</w:t>
      </w:r>
      <w:r>
        <w:rPr>
          <w:rFonts w:ascii="Arial" w:cs="Arial" w:eastAsia="Arial" w:hAnsi="Arial"/>
          <w:sz w:val="18"/>
          <w:szCs w:val="18"/>
          <w:color w:val="auto"/>
        </w:rPr>
        <w:t xml:space="preserve">), shall have the same rights, powers, immunities, indemnities and exclusions from liability as are prescribed in favour of the Collateral Agents in this Agreement, which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In the event of the resignation and appointment of a successor Collateral Agent, such successor Collateral Agent shall also be authorized to act as the holder of an irrevocable power of attorney (</w:t>
      </w:r>
      <w:r>
        <w:rPr>
          <w:rFonts w:ascii="Arial" w:cs="Arial" w:eastAsia="Arial" w:hAnsi="Arial"/>
          <w:sz w:val="18"/>
          <w:szCs w:val="18"/>
          <w:i w:val="1"/>
          <w:iCs w:val="1"/>
          <w:color w:val="auto"/>
        </w:rPr>
        <w:t>fondé de pouvoir</w:t>
      </w:r>
      <w:r>
        <w:rPr>
          <w:rFonts w:ascii="Arial" w:cs="Arial" w:eastAsia="Arial" w:hAnsi="Arial"/>
          <w:sz w:val="18"/>
          <w:szCs w:val="18"/>
          <w:color w:val="auto"/>
        </w:rPr>
        <w:t>).</w:t>
      </w:r>
    </w:p>
    <w:p>
      <w:pPr>
        <w:spacing w:after="0" w:line="199" w:lineRule="exact"/>
        <w:rPr>
          <w:sz w:val="20"/>
          <w:szCs w:val="20"/>
          <w:color w:val="auto"/>
        </w:rPr>
      </w:pPr>
    </w:p>
    <w:p>
      <w:pPr>
        <w:jc w:val="both"/>
        <w:ind w:left="660"/>
        <w:spacing w:after="0" w:line="241" w:lineRule="auto"/>
        <w:rPr>
          <w:sz w:val="20"/>
          <w:szCs w:val="20"/>
          <w:color w:val="auto"/>
        </w:rPr>
      </w:pPr>
      <w:r>
        <w:rPr>
          <w:rFonts w:ascii="Arial" w:cs="Arial" w:eastAsia="Arial" w:hAnsi="Arial"/>
          <w:sz w:val="19"/>
          <w:szCs w:val="19"/>
          <w:u w:val="single" w:color="auto"/>
          <w:color w:val="auto"/>
        </w:rPr>
        <w:t>11.2 The Administrative Agent in Its Individual Capacity</w:t>
      </w:r>
      <w:r>
        <w:rPr>
          <w:rFonts w:ascii="Arial" w:cs="Arial" w:eastAsia="Arial" w:hAnsi="Arial"/>
          <w:sz w:val="19"/>
          <w:szCs w:val="19"/>
          <w:color w:val="auto"/>
        </w:rPr>
        <w:t>. With respect to its obligation to make Loans under this Agreement, the Administrative Agent shall have the rights and powers specified herein for a “Lender” and may exercise the same rights and powers as though it were not performing the duties specified herein; and the term “Lender,” “Required Lenders” or any similar terms shall, unless the context clearly indicates otherwise, include the Administrative Agent in its respective individual capacities. The Administrative Agent and its affiliates may accept deposits from, lend money to, and generally engage in any kind of banking, investment banking, trust or other business with, or provide debt financing, equity capital or other services (including financial advisory services) to any Credit Party or any Affiliate of any Credit Party (or any Person engaged in a similar business with any Credit Party or any Affiliate thereof) as if they were not performing the duties specified herein, and may accept fees and other consideration from any Credit Party or any Affiliate of any Credit Party for services in connection with this Agreement and otherwise without having to account for the same to the Lenders.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11.3 Nature of Duties</w:t>
      </w:r>
    </w:p>
    <w:p>
      <w:pPr>
        <w:sectPr>
          <w:pgSz w:w="11900" w:h="16838" w:orient="portrait"/>
          <w:cols w:equalWidth="0" w:num="1">
            <w:col w:w="11240"/>
          </w:cols>
          <w:pgMar w:left="320" w:top="1419" w:right="339" w:bottom="1440" w:gutter="0" w:footer="0" w:header="0"/>
        </w:sectPr>
      </w:pPr>
    </w:p>
    <w:bookmarkStart w:id="302" w:name="page303"/>
    <w:bookmarkEnd w:id="302"/>
    <w:p>
      <w:pPr>
        <w:ind w:left="130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jc w:val="both"/>
        <w:ind w:firstLine="656"/>
        <w:spacing w:after="0" w:line="239" w:lineRule="auto"/>
        <w:tabs>
          <w:tab w:leader="none" w:pos="921" w:val="left"/>
        </w:tabs>
        <w:numPr>
          <w:ilvl w:val="0"/>
          <w:numId w:val="252"/>
        </w:numPr>
        <w:rPr>
          <w:rFonts w:ascii="Arial" w:cs="Arial" w:eastAsia="Arial" w:hAnsi="Arial"/>
          <w:sz w:val="19"/>
          <w:szCs w:val="19"/>
          <w:color w:val="auto"/>
        </w:rPr>
      </w:pPr>
      <w:r>
        <w:rPr>
          <w:rFonts w:ascii="Arial" w:cs="Arial" w:eastAsia="Arial" w:hAnsi="Arial"/>
          <w:sz w:val="19"/>
          <w:szCs w:val="19"/>
          <w:color w:val="auto"/>
        </w:rPr>
        <w:t>The Administrative Agent, the Arrangers and the other Agents shall not have any duties or responsibilities except those expressly set forth in this Agreement and in the other Loan Documents. Neither the Administrative Agent nor any of its officers, directors, agents, employees or affiliates shall be liable for any action taken or omitted by it or them hereunder or under any other Loan Document or in connection herewith or therewith, unless caused by its or their gross negligence or willful misconduct (as determined by a court of competent jurisdiction in a final and non-appealable decision). The duties of the Administrative Agent shall be mechanical and administrative in nature; the Administrative Agent shall not have by reason of this Agreement or any other Loan Document a fiduciary relationship in respect of any Lender or the holder of any Note; and nothing in this Agreement or in any other Loan Document, expressed or implied, is intended to or shall be so construed as to impose upon the Administrative Agent any obligations in respect of this Agreement or any other Loan Document except as expressly set forth herein or therein.</w:t>
      </w:r>
    </w:p>
    <w:p>
      <w:pPr>
        <w:spacing w:after="0" w:line="212" w:lineRule="exact"/>
        <w:rPr>
          <w:rFonts w:ascii="Arial" w:cs="Arial" w:eastAsia="Arial" w:hAnsi="Arial"/>
          <w:sz w:val="19"/>
          <w:szCs w:val="19"/>
          <w:color w:val="auto"/>
        </w:rPr>
      </w:pPr>
    </w:p>
    <w:p>
      <w:pPr>
        <w:jc w:val="both"/>
        <w:ind w:firstLine="656"/>
        <w:spacing w:after="0" w:line="260" w:lineRule="auto"/>
        <w:tabs>
          <w:tab w:leader="none" w:pos="93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or any provision of any other Loan Document, each Arranger is named as such for recognition purposes only, and in its capacity as such shall have no powers, duties, responsibilities or liabilities with respect to this Agreement or the other Loan Documents or the transactions contemplated hereby and thereby; it being understood and agreed that each Arranger shall be entitled to all indemnification and reimbursement rights in favor of the Administrative Agent as, and to the extent, provided for under </w:t>
      </w:r>
      <w:r>
        <w:rPr>
          <w:rFonts w:ascii="Arial" w:cs="Arial" w:eastAsia="Arial" w:hAnsi="Arial"/>
          <w:sz w:val="18"/>
          <w:szCs w:val="18"/>
          <w:u w:val="single" w:color="auto"/>
          <w:color w:val="auto"/>
        </w:rPr>
        <w:t>Section 12.4</w:t>
      </w:r>
      <w:r>
        <w:rPr>
          <w:rFonts w:ascii="Arial" w:cs="Arial" w:eastAsia="Arial" w:hAnsi="Arial"/>
          <w:sz w:val="18"/>
          <w:szCs w:val="18"/>
          <w:color w:val="auto"/>
        </w:rPr>
        <w:t>. Without limitation of the foregoing, each Arranger shall not, solely by reason of this Agreement or any other Loan Documents, have any fiduciary relationship in respect of any Lender or any other Person.</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(c)If the Administrative Agent requests instructions from the Required Lenders with respect to any act or action (including failure to act) in connection with this Agreement or any other Loan Document, the Administrative Agent shall be entitled to refrain from such act or taking such action unless and until the Administrative Agent shall have received instructions from the Required Lenders; and the Administrative Agent shall not incur liability to any Lender by reason of so refraining. Without limiting the foregoing, neither any Lender nor the holder of any Note shall have any right of action whatsoever against the Administrative Agent as a result of the Administrative Agent acting or refraining from acting hereunder or under any other Loan Document in accordance with the instructions of the Required Lenders.</w:t>
      </w:r>
    </w:p>
    <w:p>
      <w:pPr>
        <w:spacing w:after="0" w:line="194" w:lineRule="exact"/>
        <w:rPr>
          <w:sz w:val="20"/>
          <w:szCs w:val="20"/>
          <w:color w:val="auto"/>
        </w:rPr>
      </w:pPr>
    </w:p>
    <w:p>
      <w:pPr>
        <w:ind w:firstLine="656"/>
        <w:spacing w:after="0" w:line="246" w:lineRule="auto"/>
        <w:tabs>
          <w:tab w:leader="none" w:pos="932" w:val="left"/>
        </w:tabs>
        <w:numPr>
          <w:ilvl w:val="0"/>
          <w:numId w:val="253"/>
        </w:numPr>
        <w:rPr>
          <w:rFonts w:ascii="Arial" w:cs="Arial" w:eastAsia="Arial" w:hAnsi="Arial"/>
          <w:sz w:val="20"/>
          <w:szCs w:val="20"/>
          <w:color w:val="auto"/>
        </w:rPr>
      </w:pPr>
      <w:r>
        <w:rPr>
          <w:rFonts w:ascii="Arial" w:cs="Arial" w:eastAsia="Arial" w:hAnsi="Arial"/>
          <w:sz w:val="20"/>
          <w:szCs w:val="20"/>
          <w:color w:val="auto"/>
        </w:rPr>
        <w:t>Each Credit Party is entering into each Loan Document to which it is a party as a principal and not an agent, and in its own name and on its own account and not for the account or on behalf of any third party.</w:t>
      </w:r>
    </w:p>
    <w:p>
      <w:pPr>
        <w:spacing w:after="0" w:line="204"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u w:val="single" w:color="auto"/>
          <w:color w:val="auto"/>
        </w:rPr>
        <w:t>11.4 Reliance</w:t>
      </w:r>
      <w:r>
        <w:rPr>
          <w:rFonts w:ascii="Arial" w:cs="Arial" w:eastAsia="Arial" w:hAnsi="Arial"/>
          <w:sz w:val="20"/>
          <w:szCs w:val="20"/>
          <w:color w:val="auto"/>
        </w:rPr>
        <w:t>. The Administrative Agent shall be entitled to rely, and shall be fully protected in relying, upon any note, writing, resolution, notice, statement, certificate, telex, teletype or telecopier message, cablegram, radiogram, order or other document or telephone message signed, sent or made by any Person that the Administrative Agent believed to be the proper Person, and, with respect to all legal matters pertaining to this Agreement and any other Loan Document and its duties hereunder and thereunder, upon advice of counsel selected by the Administrative Agent.</w:t>
      </w:r>
    </w:p>
    <w:p>
      <w:pPr>
        <w:spacing w:after="0" w:line="211"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u w:val="single" w:color="auto"/>
          <w:color w:val="auto"/>
        </w:rPr>
        <w:t>11.5 Delegation of Duties</w:t>
      </w:r>
      <w:r>
        <w:rPr>
          <w:rFonts w:ascii="Arial" w:cs="Arial" w:eastAsia="Arial" w:hAnsi="Arial"/>
          <w:sz w:val="18"/>
          <w:szCs w:val="18"/>
          <w:color w:val="auto"/>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ectPr>
          <w:pgSz w:w="11900" w:h="16838" w:orient="portrait"/>
          <w:cols w:equalWidth="0" w:num="1">
            <w:col w:w="11240"/>
          </w:cols>
          <w:pgMar w:left="320" w:top="1419" w:right="339" w:bottom="1440" w:gutter="0" w:footer="0" w:header="0"/>
        </w:sectPr>
      </w:pPr>
    </w:p>
    <w:bookmarkStart w:id="303" w:name="page304"/>
    <w:bookmarkEnd w:id="303"/>
    <w:p>
      <w:pPr>
        <w:ind w:left="660"/>
        <w:spacing w:after="0"/>
        <w:rPr>
          <w:sz w:val="20"/>
          <w:szCs w:val="20"/>
          <w:color w:val="auto"/>
        </w:rPr>
      </w:pPr>
      <w:r>
        <w:rPr>
          <w:rFonts w:ascii="Arial" w:cs="Arial" w:eastAsia="Arial" w:hAnsi="Arial"/>
          <w:sz w:val="20"/>
          <w:szCs w:val="20"/>
          <w:u w:val="single" w:color="auto"/>
          <w:color w:val="auto"/>
        </w:rPr>
        <w:t>11.6 Resignation by the Administrative Agent</w:t>
      </w:r>
    </w:p>
    <w:p>
      <w:pPr>
        <w:ind w:left="130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firstLine="656"/>
        <w:spacing w:after="0" w:line="230" w:lineRule="auto"/>
        <w:tabs>
          <w:tab w:leader="none" w:pos="925" w:val="left"/>
        </w:tabs>
        <w:numPr>
          <w:ilvl w:val="0"/>
          <w:numId w:val="254"/>
        </w:numPr>
        <w:rPr>
          <w:rFonts w:ascii="Arial" w:cs="Arial" w:eastAsia="Arial" w:hAnsi="Arial"/>
          <w:sz w:val="20"/>
          <w:szCs w:val="20"/>
          <w:color w:val="auto"/>
        </w:rPr>
      </w:pPr>
      <w:r>
        <w:rPr>
          <w:rFonts w:ascii="Arial" w:cs="Arial" w:eastAsia="Arial" w:hAnsi="Arial"/>
          <w:sz w:val="20"/>
          <w:szCs w:val="20"/>
          <w:color w:val="auto"/>
        </w:rPr>
        <w:t xml:space="preserve">The Administrative Agent may resign from the performance of all its respective functions and duties hereunder and/or under the other Loan Documents at any time by giving 30 days’ prior written notice to the Lenders and, unless an Event of Default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10.1(i)</w:t>
      </w:r>
      <w:r>
        <w:rPr>
          <w:rFonts w:ascii="Arial" w:cs="Arial" w:eastAsia="Arial" w:hAnsi="Arial"/>
          <w:sz w:val="20"/>
          <w:szCs w:val="20"/>
          <w:color w:val="auto"/>
        </w:rPr>
        <w:t xml:space="preserve"> then exists and is continuing, the Borrower. Such resignation shall take effect upon the appointment of a successor Administrative Agent pursuant to clauses (b) and (c) below or as otherwise provided below.</w:t>
      </w:r>
    </w:p>
    <w:p>
      <w:pPr>
        <w:spacing w:after="0" w:line="209" w:lineRule="exact"/>
        <w:rPr>
          <w:rFonts w:ascii="Arial" w:cs="Arial" w:eastAsia="Arial" w:hAnsi="Arial"/>
          <w:sz w:val="20"/>
          <w:szCs w:val="20"/>
          <w:color w:val="auto"/>
        </w:rPr>
      </w:pPr>
    </w:p>
    <w:p>
      <w:pPr>
        <w:jc w:val="both"/>
        <w:ind w:firstLine="656"/>
        <w:spacing w:after="0" w:line="234" w:lineRule="auto"/>
        <w:tabs>
          <w:tab w:leader="none" w:pos="933" w:val="left"/>
        </w:tabs>
        <w:numPr>
          <w:ilvl w:val="0"/>
          <w:numId w:val="254"/>
        </w:numPr>
        <w:rPr>
          <w:rFonts w:ascii="Arial" w:cs="Arial" w:eastAsia="Arial" w:hAnsi="Arial"/>
          <w:sz w:val="20"/>
          <w:szCs w:val="20"/>
          <w:color w:val="auto"/>
        </w:rPr>
      </w:pPr>
      <w:r>
        <w:rPr>
          <w:rFonts w:ascii="Arial" w:cs="Arial" w:eastAsia="Arial" w:hAnsi="Arial"/>
          <w:sz w:val="20"/>
          <w:szCs w:val="20"/>
          <w:color w:val="auto"/>
        </w:rPr>
        <w:t>Upon any such notice of resignation by the Administrative Agent, the Required Lenders shall appoint a successor Administrative Agent hereunder or thereunder who shall be a commercial bank or trust company reasonably acceptable to the Borrower, which acceptance shall not be unreasonably withheld or delayed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Borrower’s approval shall not be required if an Event of Default under </w:t>
      </w:r>
      <w:r>
        <w:rPr>
          <w:rFonts w:ascii="Arial" w:cs="Arial" w:eastAsia="Arial" w:hAnsi="Arial"/>
          <w:sz w:val="20"/>
          <w:szCs w:val="20"/>
          <w:u w:val="single" w:color="auto"/>
          <w:color w:val="auto"/>
        </w:rPr>
        <w:t>Section 10.1(a)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10.1(i)</w:t>
      </w:r>
      <w:r>
        <w:rPr>
          <w:rFonts w:ascii="Arial" w:cs="Arial" w:eastAsia="Arial" w:hAnsi="Arial"/>
          <w:sz w:val="20"/>
          <w:szCs w:val="20"/>
          <w:color w:val="auto"/>
        </w:rPr>
        <w:t xml:space="preserve"> then exists and is continuing).</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(c)If a successor Administrative Agent shall not have been so appointed within such 30 day period, the Administrative Agent, with the consent of the Borrower (which consent shall not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consent shall not be required if an Event of Default under </w:t>
      </w:r>
      <w:r>
        <w:rPr>
          <w:rFonts w:ascii="Arial" w:cs="Arial" w:eastAsia="Arial" w:hAnsi="Arial"/>
          <w:sz w:val="19"/>
          <w:szCs w:val="19"/>
          <w:u w:val="single" w:color="auto"/>
          <w:color w:val="auto"/>
        </w:rPr>
        <w:t>Section 10.1(a)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10.1(i)</w:t>
      </w:r>
      <w:r>
        <w:rPr>
          <w:rFonts w:ascii="Arial" w:cs="Arial" w:eastAsia="Arial" w:hAnsi="Arial"/>
          <w:sz w:val="19"/>
          <w:szCs w:val="19"/>
          <w:color w:val="auto"/>
        </w:rPr>
        <w:t xml:space="preserve"> then exists and is continuing), shall then appoint a successor Administrative Agent who shall serve as Administrative Agent hereunder or thereunder until such time, if any, as the Required Lenders (with the consent of the Borrower as provided above) appoint a successor Administrative Agent as provided above.</w:t>
      </w:r>
    </w:p>
    <w:p>
      <w:pPr>
        <w:spacing w:after="0" w:line="203" w:lineRule="exact"/>
        <w:rPr>
          <w:sz w:val="20"/>
          <w:szCs w:val="20"/>
          <w:color w:val="auto"/>
        </w:rPr>
      </w:pPr>
    </w:p>
    <w:p>
      <w:pPr>
        <w:jc w:val="both"/>
        <w:ind w:firstLine="656"/>
        <w:spacing w:after="0" w:line="232" w:lineRule="auto"/>
        <w:tabs>
          <w:tab w:leader="none" w:pos="939" w:val="left"/>
        </w:tabs>
        <w:numPr>
          <w:ilvl w:val="0"/>
          <w:numId w:val="255"/>
        </w:numPr>
        <w:rPr>
          <w:rFonts w:ascii="Arial" w:cs="Arial" w:eastAsia="Arial" w:hAnsi="Arial"/>
          <w:sz w:val="20"/>
          <w:szCs w:val="20"/>
          <w:color w:val="auto"/>
        </w:rPr>
      </w:pPr>
      <w:r>
        <w:rPr>
          <w:rFonts w:ascii="Arial" w:cs="Arial" w:eastAsia="Arial" w:hAnsi="Arial"/>
          <w:sz w:val="20"/>
          <w:szCs w:val="20"/>
          <w:color w:val="auto"/>
        </w:rPr>
        <w:t>If no successor Administrative Agent has been appointed pursuant to clause (b) or (c) above by the 30th day after the date such notice of resignation was given by the Administrative Agent, the Administrative Agent’s resignation shall nonetheless become effective and the Required Lenders shall thereafter perform all the duties of the Administrative Agent hereunder and/or under any other Loan Document until such time, if any, as the Required Lenders (with the consent of the Borrower as provided above) appoint a successor Administrative Agent as provided above.</w:t>
      </w:r>
    </w:p>
    <w:p>
      <w:pPr>
        <w:spacing w:after="0" w:line="211" w:lineRule="exact"/>
        <w:rPr>
          <w:rFonts w:ascii="Arial" w:cs="Arial" w:eastAsia="Arial" w:hAnsi="Arial"/>
          <w:sz w:val="20"/>
          <w:szCs w:val="20"/>
          <w:color w:val="auto"/>
        </w:rPr>
      </w:pPr>
    </w:p>
    <w:p>
      <w:pPr>
        <w:jc w:val="both"/>
        <w:ind w:firstLine="656"/>
        <w:spacing w:after="0" w:line="241" w:lineRule="auto"/>
        <w:tabs>
          <w:tab w:leader="none" w:pos="922" w:val="left"/>
        </w:tabs>
        <w:numPr>
          <w:ilvl w:val="0"/>
          <w:numId w:val="255"/>
        </w:numPr>
        <w:rPr>
          <w:rFonts w:ascii="Arial" w:cs="Arial" w:eastAsia="Arial" w:hAnsi="Arial"/>
          <w:sz w:val="19"/>
          <w:szCs w:val="19"/>
          <w:color w:val="auto"/>
        </w:rPr>
      </w:pPr>
      <w:r>
        <w:rPr>
          <w:rFonts w:ascii="Arial" w:cs="Arial" w:eastAsia="Arial" w:hAnsi="Arial"/>
          <w:sz w:val="19"/>
          <w:szCs w:val="19"/>
          <w:color w:val="auto"/>
        </w:rPr>
        <w:t xml:space="preserve">Upon a resignation of the Administrative Agent pursuant to this </w:t>
      </w:r>
      <w:r>
        <w:rPr>
          <w:rFonts w:ascii="Arial" w:cs="Arial" w:eastAsia="Arial" w:hAnsi="Arial"/>
          <w:sz w:val="19"/>
          <w:szCs w:val="19"/>
          <w:u w:val="single" w:color="auto"/>
          <w:color w:val="auto"/>
        </w:rPr>
        <w:t>Section 11.6</w:t>
      </w:r>
      <w:r>
        <w:rPr>
          <w:rFonts w:ascii="Arial" w:cs="Arial" w:eastAsia="Arial" w:hAnsi="Arial"/>
          <w:sz w:val="19"/>
          <w:szCs w:val="19"/>
          <w:color w:val="auto"/>
        </w:rPr>
        <w:t xml:space="preserve">, the Administrative Agent shall remain indemnified to the extent provided in this Agreement and the other Loan Documents and the provisions of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(and the analogous provisions of the other Loan Documents) and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shall continue in effect for the benefit of the Administrative Agent for all of its actions and inactions while serving as the Administrative Agent.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w:t>
      </w:r>
      <w:r>
        <w:rPr>
          <w:rFonts w:ascii="Arial" w:cs="Arial" w:eastAsia="Arial" w:hAnsi="Arial"/>
          <w:sz w:val="19"/>
          <w:szCs w:val="19"/>
          <w:u w:val="single" w:color="auto"/>
          <w:color w:val="auto"/>
        </w:rPr>
        <w:t>Section 11.6</w:t>
      </w:r>
      <w:r>
        <w:rPr>
          <w:rFonts w:ascii="Arial" w:cs="Arial" w:eastAsia="Arial" w:hAnsi="Arial"/>
          <w:sz w:val="19"/>
          <w:szCs w:val="19"/>
          <w:color w:val="auto"/>
        </w:rPr>
        <w:t>). The fees payable by the Borrower to a successor Administrative Agent shall be the same as those payable to its predecessor unless otherwise agreed between the Borrower and such successor.</w:t>
      </w:r>
    </w:p>
    <w:p>
      <w:pPr>
        <w:spacing w:after="0" w:line="212" w:lineRule="exact"/>
        <w:rPr>
          <w:rFonts w:ascii="Arial" w:cs="Arial" w:eastAsia="Arial" w:hAnsi="Arial"/>
          <w:sz w:val="19"/>
          <w:szCs w:val="19"/>
          <w:color w:val="auto"/>
        </w:rPr>
      </w:pPr>
    </w:p>
    <w:p>
      <w:pPr>
        <w:jc w:val="both"/>
        <w:ind w:firstLine="656"/>
        <w:spacing w:after="0" w:line="257" w:lineRule="auto"/>
        <w:tabs>
          <w:tab w:leader="none" w:pos="92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Anything herein to the contrary notwithstanding, a Person may be removed as the Administrative Agent and a replacement Administrative Agent appointed by Required Lenders (determined after giving effect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by notice to the Borrowers and such Person) with the consent of the Borrowers (such consent not to be unreasonably withheld) or by any Borrower, and such replacement Administrative Agent, if the Required Lenders or any Borrower determine(s) that the Person serving as Administrative Agent is (without taking into account any provision in the definition of “Defaulting Lender” requiring notice from the Administrative Agent or any other party)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removal shall, to the fullest extent permitted by applicable law, in any event become effective if no such replacement Administrative Agent is appointed hereunder within 30 days after the giving of such notice and (ii) no such consent of the Borrowers shall be required if an Event of Default has occurred and is continuing at the time of such appointment.</w:t>
      </w:r>
    </w:p>
    <w:p>
      <w:pPr>
        <w:sectPr>
          <w:pgSz w:w="11900" w:h="16838" w:orient="portrait"/>
          <w:cols w:equalWidth="0" w:num="1">
            <w:col w:w="11240"/>
          </w:cols>
          <w:pgMar w:left="320" w:top="1419" w:right="339" w:bottom="1440" w:gutter="0" w:footer="0" w:header="0"/>
        </w:sectPr>
      </w:pPr>
    </w:p>
    <w:bookmarkStart w:id="304" w:name="page305"/>
    <w:bookmarkEnd w:id="304"/>
    <w:p>
      <w:pPr>
        <w:jc w:val="both"/>
        <w:ind w:left="660"/>
        <w:spacing w:after="0" w:line="255" w:lineRule="auto"/>
        <w:rPr>
          <w:sz w:val="20"/>
          <w:szCs w:val="20"/>
          <w:color w:val="auto"/>
        </w:rPr>
      </w:pPr>
      <w:r>
        <w:rPr>
          <w:rFonts w:ascii="Arial" w:cs="Arial" w:eastAsia="Arial" w:hAnsi="Arial"/>
          <w:sz w:val="18"/>
          <w:szCs w:val="18"/>
          <w:u w:val="single" w:color="auto"/>
          <w:color w:val="auto"/>
        </w:rPr>
        <w:t>11.7 Lack of Reliance on the Administrative Agent</w:t>
      </w:r>
      <w:r>
        <w:rPr>
          <w:rFonts w:ascii="Arial" w:cs="Arial" w:eastAsia="Arial" w:hAnsi="Arial"/>
          <w:sz w:val="18"/>
          <w:szCs w:val="18"/>
          <w:color w:val="auto"/>
        </w:rPr>
        <w:t>. Independently and without reliance upon the Administrative Agent, each Lender and the holder of each Note, to the extent it deems appropriate, has made and shall continue to make (i) its own independent investigation of the financial condition and affairs of the Parent Guarantors, the Borrower and the Restricted Subsidiaries in connection with the making and the continuance of the Loans and the taking or not taking of any action in connection herewith and</w:t>
      </w:r>
    </w:p>
    <w:p>
      <w:pPr>
        <w:jc w:val="both"/>
        <w:ind w:left="660" w:hanging="4"/>
        <w:spacing w:after="0" w:line="239" w:lineRule="auto"/>
        <w:tabs>
          <w:tab w:leader="none" w:pos="966" w:val="left"/>
        </w:tabs>
        <w:numPr>
          <w:ilvl w:val="0"/>
          <w:numId w:val="256"/>
        </w:numPr>
        <w:rPr>
          <w:rFonts w:ascii="Arial" w:cs="Arial" w:eastAsia="Arial" w:hAnsi="Arial"/>
          <w:sz w:val="19"/>
          <w:szCs w:val="19"/>
          <w:color w:val="auto"/>
        </w:rPr>
      </w:pPr>
      <w:r>
        <w:rPr>
          <w:rFonts w:ascii="Arial" w:cs="Arial" w:eastAsia="Arial" w:hAnsi="Arial"/>
          <w:sz w:val="19"/>
          <w:szCs w:val="19"/>
          <w:color w:val="auto"/>
        </w:rPr>
        <w:t>its own appraisal of the creditworthiness of the Parent Guarantors, the Borrower and the Restricted Subsidiaries and, except as expressly provided in this Agreement, the Administrative Agent shall not have any duty or responsibility, either initially or on a continuing basis, to provide any Lender or the holder of any Note with any credit or other information with respect thereto, whether coming into its possession before the making of the Loans or at any time or times thereafter. The Administrative Agent shall not be responsible to any Lender or the holder of any Note for any recitals, statements, information, representations or warranties herein or in any document, certificate or other writing delivered in connection herewith or for the execution, effectiveness, genuineness, validity, enforceability, perfection, collectability, priority or sufficiency of this Agreement or any other Loan Document or the financial condition of the Parent Guarantors, the Borrower or any of the Restricted Subsidiaries or be required to make any inquiry concerning either the performance or observance of any of the terms, provisions or conditions of this Agreement or any other Loan Document, or the financial condition of the Parent Guarantors, the Borrower or any of the Restricted Subsidiaries or the existence or possible existence of any Default or Event of Default.</w:t>
      </w:r>
    </w:p>
    <w:p>
      <w:pPr>
        <w:spacing w:after="0" w:line="21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Any assignor of a Loan or seller of a participation hereunder shall be entitled to rely conclusively on a representation of the assignee Lender or Participant in the relevant Assignment and Assumption Agreement or participation agreement, as applicable, that such assignee or purchaser is not a Disqualified Institution. No Agent shall have any responsibility or liability for monitoring the list or identities of, or enforcing provisions relating to, Disqualified Institutions.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11.8 No Other Duties, Etc.</w:t>
      </w:r>
    </w:p>
    <w:p>
      <w:pPr>
        <w:spacing w:after="0" w:line="229" w:lineRule="exact"/>
        <w:rPr>
          <w:sz w:val="20"/>
          <w:szCs w:val="20"/>
          <w:color w:val="auto"/>
        </w:rPr>
      </w:pPr>
    </w:p>
    <w:p>
      <w:pPr>
        <w:jc w:val="both"/>
        <w:ind w:left="1300" w:firstLine="4"/>
        <w:spacing w:after="0" w:line="234" w:lineRule="auto"/>
        <w:tabs>
          <w:tab w:leader="none" w:pos="1604" w:val="left"/>
        </w:tabs>
        <w:numPr>
          <w:ilvl w:val="0"/>
          <w:numId w:val="257"/>
        </w:numPr>
        <w:rPr>
          <w:rFonts w:ascii="Arial" w:cs="Arial" w:eastAsia="Arial" w:hAnsi="Arial"/>
          <w:sz w:val="20"/>
          <w:szCs w:val="20"/>
          <w:color w:val="auto"/>
        </w:rPr>
      </w:pPr>
      <w:r>
        <w:rPr>
          <w:rFonts w:ascii="Arial" w:cs="Arial" w:eastAsia="Arial" w:hAnsi="Arial"/>
          <w:sz w:val="20"/>
          <w:szCs w:val="20"/>
          <w:color w:val="auto"/>
        </w:rPr>
        <w:t>Anything herein to the contrary notwithstanding, none of the Administrative Agent, Bookrunners, the Sustainability Coordinator listed on the cover page hereof nor Arrangers shall have any powers, duties or responsibilities under this Agreement or any of the other Loan Documents, except in its capacity, as applicable, as the Administrative Agent or a Lender hereunder.</w:t>
      </w:r>
    </w:p>
    <w:p>
      <w:pPr>
        <w:spacing w:after="0" w:line="210" w:lineRule="exact"/>
        <w:rPr>
          <w:rFonts w:ascii="Arial" w:cs="Arial" w:eastAsia="Arial" w:hAnsi="Arial"/>
          <w:sz w:val="20"/>
          <w:szCs w:val="20"/>
          <w:color w:val="auto"/>
        </w:rPr>
      </w:pPr>
    </w:p>
    <w:p>
      <w:pPr>
        <w:jc w:val="both"/>
        <w:ind w:left="1300" w:firstLine="4"/>
        <w:spacing w:after="0" w:line="237" w:lineRule="auto"/>
        <w:tabs>
          <w:tab w:leader="none" w:pos="1632" w:val="left"/>
        </w:tabs>
        <w:numPr>
          <w:ilvl w:val="0"/>
          <w:numId w:val="257"/>
        </w:numPr>
        <w:rPr>
          <w:rFonts w:ascii="Arial" w:cs="Arial" w:eastAsia="Arial" w:hAnsi="Arial"/>
          <w:sz w:val="20"/>
          <w:szCs w:val="20"/>
          <w:color w:val="auto"/>
        </w:rPr>
      </w:pPr>
      <w:r>
        <w:rPr>
          <w:rFonts w:ascii="Arial" w:cs="Arial" w:eastAsia="Arial" w:hAnsi="Arial"/>
          <w:sz w:val="20"/>
          <w:szCs w:val="20"/>
          <w:color w:val="auto"/>
        </w:rPr>
        <w:t>The Administrative Agent shall not be required to deliver to any Lender originals or copies of any documents, instruments, notices, communications or other information received by the Administrative Agent from any Credit Party, any Subsidiary, the</w:t>
      </w:r>
    </w:p>
    <w:p>
      <w:pPr>
        <w:sectPr>
          <w:pgSz w:w="11900" w:h="16838" w:orient="portrait"/>
          <w:cols w:equalWidth="0" w:num="1">
            <w:col w:w="11240"/>
          </w:cols>
          <w:pgMar w:left="320" w:top="1419" w:right="339" w:bottom="1440" w:gutter="0" w:footer="0" w:header="0"/>
        </w:sectPr>
      </w:pPr>
    </w:p>
    <w:bookmarkStart w:id="305" w:name="page306"/>
    <w:bookmarkEnd w:id="305"/>
    <w:p>
      <w:pPr>
        <w:jc w:val="both"/>
        <w:ind w:left="1300"/>
        <w:spacing w:after="0" w:line="232" w:lineRule="auto"/>
        <w:rPr>
          <w:sz w:val="20"/>
          <w:szCs w:val="20"/>
          <w:color w:val="auto"/>
        </w:rPr>
      </w:pPr>
      <w:r>
        <w:rPr>
          <w:rFonts w:ascii="Arial" w:cs="Arial" w:eastAsia="Arial" w:hAnsi="Arial"/>
          <w:sz w:val="20"/>
          <w:szCs w:val="20"/>
          <w:color w:val="auto"/>
        </w:rPr>
        <w:t>Required Lenders, any Lender or any other Person under or in connection with this Agreement or any other Loan Document except (i) as specifically provided in this Agreement or any other Loan Document and (ii) as specifically requested from time to time in writing by any Lender with respect to a specific document, instrument, notice or other written communication received by and in the possession of the Administrative Agent at the time of receipt of such request and then only in accordance with such specific request.</w:t>
      </w:r>
    </w:p>
    <w:p>
      <w:pPr>
        <w:spacing w:after="0" w:line="211"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u w:val="single" w:color="auto"/>
          <w:color w:val="auto"/>
        </w:rPr>
        <w:t>11.9 Administrative Agent May File Proofs of Claim</w:t>
      </w:r>
      <w:r>
        <w:rPr>
          <w:rFonts w:ascii="Arial" w:cs="Arial" w:eastAsia="Arial" w:hAnsi="Arial"/>
          <w:sz w:val="20"/>
          <w:szCs w:val="20"/>
          <w:color w:val="auto"/>
        </w:rPr>
        <w:t>. In case of the pendency of any proceeding under the Bankruptcy Code or any other judicial proceeding relative to any Credit Party, the Administrative Agent (irrespective of whether the principal of any Loan shall then be due and payable as herein expressed or by declaration or otherwise and irrespective of whether the Administrative Agent shall have made any demand on the Borrowers) shall be entitled and empowered, by intervention in such proceeding or otherwise:</w:t>
      </w:r>
    </w:p>
    <w:p>
      <w:pPr>
        <w:spacing w:after="0" w:line="21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9"/>
          <w:szCs w:val="19"/>
          <w:u w:val="single" w:color="auto"/>
          <w:color w:val="auto"/>
        </w:rPr>
        <w:t>Sections 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12.4</w:t>
      </w:r>
      <w:r>
        <w:rPr>
          <w:rFonts w:ascii="Arial" w:cs="Arial" w:eastAsia="Arial" w:hAnsi="Arial"/>
          <w:sz w:val="19"/>
          <w:szCs w:val="19"/>
          <w:color w:val="auto"/>
        </w:rPr>
        <w:t>) allowed in such judicial proceeding; and</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5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0"/>
          <w:szCs w:val="20"/>
          <w:u w:val="single" w:color="auto"/>
          <w:color w:val="auto"/>
        </w:rPr>
        <w:t>Sections 3.2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12.4</w:t>
      </w:r>
      <w:r>
        <w:rPr>
          <w:rFonts w:ascii="Arial" w:cs="Arial" w:eastAsia="Arial" w:hAnsi="Arial"/>
          <w:sz w:val="20"/>
          <w:szCs w:val="20"/>
          <w:color w:val="auto"/>
        </w:rPr>
        <w:t>.</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11.10 Collateral and Guaranty Matters</w:t>
      </w:r>
    </w:p>
    <w:p>
      <w:pPr>
        <w:ind w:left="66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left="1300" w:firstLine="4"/>
        <w:spacing w:after="0" w:line="254" w:lineRule="auto"/>
        <w:tabs>
          <w:tab w:leader="none" w:pos="159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Each Lender authorizes and directs the Collateral Agents to enter into the Security Documents for the benefit of the Lenders and the other Secured Creditors. Each Lender hereby agrees, and each holder of any Note by the acceptance thereof will be deemed to agree, that, except as otherwise set forth herein, any action taken by the Required Lenders in accordance with the provisions of this Agreement or the Security Documents, and the exercise by the Required Lenders of the powers set forth herein or therein, together with such other powers as are reasonably incidental thereto, shall be authorized and binding upon all of the Lenders. Each Collateral Agent is hereby authorized on behalf of all of the Secured Creditors, without the necessity of any notice to or further consent from any Secured Creditor, to take any action with respect to any Collateral or Security Documents which may be necessary to perfect and maintain perfected the security interest in and liens upon the Collateral granted pursuant to the Security Documents;</w:t>
      </w:r>
    </w:p>
    <w:p>
      <w:pPr>
        <w:sectPr>
          <w:pgSz w:w="11900" w:h="16838" w:orient="portrait"/>
          <w:cols w:equalWidth="0" w:num="1">
            <w:col w:w="11240"/>
          </w:cols>
          <w:pgMar w:left="320" w:top="1419" w:right="339" w:bottom="1440" w:gutter="0" w:footer="0" w:header="0"/>
        </w:sectPr>
      </w:pPr>
    </w:p>
    <w:bookmarkStart w:id="306" w:name="page307"/>
    <w:bookmarkEnd w:id="306"/>
    <w:p>
      <w:pPr>
        <w:jc w:val="both"/>
        <w:ind w:left="180" w:firstLine="4"/>
        <w:spacing w:after="0" w:line="252" w:lineRule="auto"/>
        <w:tabs>
          <w:tab w:leader="none" w:pos="47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The Lenders hereby authorize and direct each Collateral Agent, in accordance with the terms hereof, (1) to release any Lien granted to or held by such Collateral Agent upon any Collateral (i) automatically upon termination of the Commitments and payment and satisfaction in full of all of the Obligations as provided in </w:t>
      </w:r>
      <w:r>
        <w:rPr>
          <w:rFonts w:ascii="Arial" w:cs="Arial" w:eastAsia="Arial" w:hAnsi="Arial"/>
          <w:sz w:val="18"/>
          <w:szCs w:val="18"/>
          <w:u w:val="single" w:color="auto"/>
          <w:color w:val="auto"/>
        </w:rPr>
        <w:t>Section 12.15</w:t>
      </w:r>
      <w:r>
        <w:rPr>
          <w:rFonts w:ascii="Arial" w:cs="Arial" w:eastAsia="Arial" w:hAnsi="Arial"/>
          <w:sz w:val="18"/>
          <w:szCs w:val="18"/>
          <w:color w:val="auto"/>
        </w:rPr>
        <w:t xml:space="preserve">, (ii) constituting property being sold or otherwise disposed of (to Persons other than any Credit Party) automatically upon the sale or other disposition thereof in compliance with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8.5</w:t>
      </w:r>
      <w:r>
        <w:rPr>
          <w:rFonts w:ascii="Arial" w:cs="Arial" w:eastAsia="Arial" w:hAnsi="Arial"/>
          <w:sz w:val="18"/>
          <w:szCs w:val="18"/>
          <w:color w:val="auto"/>
        </w:rPr>
        <w:t xml:space="preserve">, (iii) if approved, authorized or ratified in writing by the Required Lenders (or all of the Lenders hereunder, to the extent required by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(iv) constituting property acquired by any Credit Party after the Original Closing Date financed with Indebtedness secured by a Lien permitted by </w:t>
      </w:r>
      <w:r>
        <w:rPr>
          <w:rFonts w:ascii="Arial" w:cs="Arial" w:eastAsia="Arial" w:hAnsi="Arial"/>
          <w:sz w:val="18"/>
          <w:szCs w:val="18"/>
          <w:u w:val="single" w:color="auto"/>
          <w:color w:val="auto"/>
        </w:rPr>
        <w:t>Section 8.2(d)</w:t>
      </w:r>
      <w:r>
        <w:rPr>
          <w:rFonts w:ascii="Arial" w:cs="Arial" w:eastAsia="Arial" w:hAnsi="Arial"/>
          <w:sz w:val="18"/>
          <w:szCs w:val="18"/>
          <w:color w:val="auto"/>
        </w:rPr>
        <w:t xml:space="preserve">, (v) if the property subject to such Lien is owned by a Guarantor, automatically upon release of such Guarantor from its obligations under its Guarantee Agreements hereunder or under any other Loan Document as a result of a transaction permitted hereunder, (vi) automatically upon a Non-Stock Collateral Release Event or Collateral Release Event, as applicable,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7.20</w:t>
      </w:r>
      <w:r>
        <w:rPr>
          <w:rFonts w:ascii="Arial" w:cs="Arial" w:eastAsia="Arial" w:hAnsi="Arial"/>
          <w:sz w:val="18"/>
          <w:szCs w:val="18"/>
          <w:color w:val="auto"/>
        </w:rPr>
        <w:t xml:space="preserve">, (vii) constituting property held by an Unrestricted Entity upon the designation of a Subsidiary of Crown Holdings as an Unrestricted Entity or (viii) as otherwise may be expressly provided in the relevant documentation granting such Lien or any Receivables Intercreditor Agreement, (2) to release or subordinate any Lien on any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8.2(j)</w:t>
      </w:r>
      <w:r>
        <w:rPr>
          <w:rFonts w:ascii="Arial" w:cs="Arial" w:eastAsia="Arial" w:hAnsi="Arial"/>
          <w:sz w:val="18"/>
          <w:szCs w:val="18"/>
          <w:color w:val="auto"/>
        </w:rPr>
        <w:t xml:space="preserve"> to the extent in respect of Indebtedness under </w:t>
      </w:r>
      <w:r>
        <w:rPr>
          <w:rFonts w:ascii="Arial" w:cs="Arial" w:eastAsia="Arial" w:hAnsi="Arial"/>
          <w:sz w:val="18"/>
          <w:szCs w:val="18"/>
          <w:u w:val="single" w:color="auto"/>
          <w:color w:val="auto"/>
        </w:rPr>
        <w:t>Section 8.1(a)(xvi)</w:t>
      </w:r>
      <w:r>
        <w:rPr>
          <w:rFonts w:ascii="Arial" w:cs="Arial" w:eastAsia="Arial" w:hAnsi="Arial"/>
          <w:sz w:val="18"/>
          <w:szCs w:val="18"/>
          <w:color w:val="auto"/>
        </w:rPr>
        <w:t xml:space="preserve"> and required by the holder of, or pursuant to the terms of any agreement governing, the obligations secured by such Liens, and (3) to release any Guarantor from its obligations under the Security Documents if such Person ceases to be a Restricted Subsidiary or becomes an Unrestricted Entity, in each case, as a result of a transaction or designation permitted hereunder. Upon request by any Collateral Agent at any time, the Required Lenders will confirm in writing such Collateral Agent’s authority to release or subordinate its interest in particular types or items of property, or to release any Guarantor from its obligations under the Loan Documents pursuant to this </w:t>
      </w:r>
      <w:r>
        <w:rPr>
          <w:rFonts w:ascii="Arial" w:cs="Arial" w:eastAsia="Arial" w:hAnsi="Arial"/>
          <w:sz w:val="18"/>
          <w:szCs w:val="18"/>
          <w:u w:val="single" w:color="auto"/>
          <w:color w:val="auto"/>
        </w:rPr>
        <w:t>Section 11.10</w:t>
      </w:r>
      <w:r>
        <w:rPr>
          <w:rFonts w:ascii="Arial" w:cs="Arial" w:eastAsia="Arial" w:hAnsi="Arial"/>
          <w:sz w:val="18"/>
          <w:szCs w:val="18"/>
          <w:color w:val="auto"/>
        </w:rPr>
        <w:t xml:space="preserve">. In each case as specified in this </w:t>
      </w:r>
      <w:r>
        <w:rPr>
          <w:rFonts w:ascii="Arial" w:cs="Arial" w:eastAsia="Arial" w:hAnsi="Arial"/>
          <w:sz w:val="18"/>
          <w:szCs w:val="18"/>
          <w:u w:val="single" w:color="auto"/>
          <w:color w:val="auto"/>
        </w:rPr>
        <w:t>Section 11.10</w:t>
      </w:r>
      <w:r>
        <w:rPr>
          <w:rFonts w:ascii="Arial" w:cs="Arial" w:eastAsia="Arial" w:hAnsi="Arial"/>
          <w:sz w:val="18"/>
          <w:szCs w:val="18"/>
          <w:color w:val="auto"/>
        </w:rPr>
        <w:t xml:space="preserve">, the applicable Collateral Agent will (and each Lender irrevocably authorizes such Collateral Agent to), at the Borrowers’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evidence the release of such Guarantor from its obligations under the Guarantee Agreements, in each case in accordance with the terms of the Loan Documents and this </w:t>
      </w:r>
      <w:r>
        <w:rPr>
          <w:rFonts w:ascii="Arial" w:cs="Arial" w:eastAsia="Arial" w:hAnsi="Arial"/>
          <w:sz w:val="18"/>
          <w:szCs w:val="18"/>
          <w:u w:val="single" w:color="auto"/>
          <w:color w:val="auto"/>
        </w:rPr>
        <w:t>Section 11.10</w:t>
      </w:r>
      <w:r>
        <w:rPr>
          <w:rFonts w:ascii="Arial" w:cs="Arial" w:eastAsia="Arial" w:hAnsi="Arial"/>
          <w:sz w:val="18"/>
          <w:szCs w:val="18"/>
          <w:color w:val="auto"/>
        </w:rPr>
        <w:t>.</w:t>
      </w:r>
    </w:p>
    <w:p>
      <w:pPr>
        <w:spacing w:after="0" w:line="208" w:lineRule="exact"/>
        <w:rPr>
          <w:sz w:val="20"/>
          <w:szCs w:val="20"/>
          <w:color w:val="auto"/>
        </w:rPr>
      </w:pPr>
    </w:p>
    <w:p>
      <w:pPr>
        <w:jc w:val="both"/>
        <w:ind w:left="180"/>
        <w:spacing w:after="0"/>
        <w:rPr>
          <w:sz w:val="20"/>
          <w:szCs w:val="20"/>
          <w:color w:val="auto"/>
        </w:rPr>
      </w:pPr>
      <w:r>
        <w:rPr>
          <w:rFonts w:ascii="Arial" w:cs="Arial" w:eastAsia="Arial" w:hAnsi="Arial"/>
          <w:sz w:val="19"/>
          <w:szCs w:val="19"/>
          <w:color w:val="auto"/>
        </w:rPr>
        <w:t xml:space="preserve">(c)The Administrative Agent and Collateral Agents shall have no obligation whatsoever to the Lenders or to any other Person to assure that the Collateral exists or is owned by any Credit Party or is cared for, protected or insured or that the Liens granted to the Administrative Agent and Collateral Agents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Administrative Agent and Collateral Agents in this </w:t>
      </w:r>
      <w:r>
        <w:rPr>
          <w:rFonts w:ascii="Arial" w:cs="Arial" w:eastAsia="Arial" w:hAnsi="Arial"/>
          <w:sz w:val="19"/>
          <w:szCs w:val="19"/>
          <w:u w:val="single" w:color="auto"/>
          <w:color w:val="auto"/>
        </w:rPr>
        <w:t>Section 11.10</w:t>
      </w:r>
      <w:r>
        <w:rPr>
          <w:rFonts w:ascii="Arial" w:cs="Arial" w:eastAsia="Arial" w:hAnsi="Arial"/>
          <w:sz w:val="19"/>
          <w:szCs w:val="19"/>
          <w:color w:val="auto"/>
        </w:rPr>
        <w:t xml:space="preserve"> or in any of the Security Documents, it being understood and agreed that in respect of the Collateral, or any act, omission or event related thereto, the Administrative Agent and Collateral Agents may act in any manner it may deem appropriate, in its sole discretion, given the Administrative Agent’s and Collateral Agents’ own interest in the Collateral as Lenders and that the Administrative Agent and Collateral Agents shall have no duty or liability whatsoever to the Lenders, except for its gross negligence or willful misconduct</w:t>
      </w:r>
    </w:p>
    <w:p>
      <w:pPr>
        <w:sectPr>
          <w:pgSz w:w="11900" w:h="16838" w:orient="portrait"/>
          <w:cols w:equalWidth="0" w:num="1">
            <w:col w:w="10120"/>
          </w:cols>
          <w:pgMar w:left="1440" w:top="1419" w:right="339" w:bottom="1440" w:gutter="0" w:footer="0" w:header="0"/>
        </w:sectPr>
      </w:pPr>
    </w:p>
    <w:bookmarkStart w:id="307" w:name="page308"/>
    <w:bookmarkEnd w:id="307"/>
    <w:p>
      <w:pPr>
        <w:ind w:left="1300"/>
        <w:spacing w:after="0"/>
        <w:rPr>
          <w:sz w:val="20"/>
          <w:szCs w:val="20"/>
          <w:color w:val="auto"/>
        </w:rPr>
      </w:pPr>
      <w:r>
        <w:rPr>
          <w:rFonts w:ascii="Arial" w:cs="Arial" w:eastAsia="Arial" w:hAnsi="Arial"/>
          <w:sz w:val="20"/>
          <w:szCs w:val="20"/>
          <w:color w:val="auto"/>
        </w:rPr>
        <w:t>(as determined by a court of competent jurisdiction in a final and non-appealable decision).</w:t>
      </w:r>
    </w:p>
    <w:p>
      <w:pPr>
        <w:spacing w:after="0" w:line="229"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u w:val="single" w:color="auto"/>
          <w:color w:val="auto"/>
        </w:rPr>
        <w:t>11.11 Bank Related Debt</w:t>
      </w:r>
      <w:r>
        <w:rPr>
          <w:rFonts w:ascii="Arial" w:cs="Arial" w:eastAsia="Arial" w:hAnsi="Arial"/>
          <w:sz w:val="18"/>
          <w:szCs w:val="18"/>
          <w:color w:val="auto"/>
        </w:rPr>
        <w:t xml:space="preserve">. Except as otherwise expressly set forth herein or in any Guarantee Agreement or any Security Document, no Hedge Bank that obtains the benefits of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any Guarantee Agreement or any Collateral by virtue of the provisions hereof or of any Guarantee Agreement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to the contrary, the Administrative Agent shall not be required to verify the payment of, or that other satisfactory arrangements have been made with respect to, Bank Related Debt unless the Administrative Agent has received written notice of such Bank Related Debt, together with such supporting documentation as the Administrative Agent may request, from the applicable counterparty.</w:t>
      </w:r>
    </w:p>
    <w:p>
      <w:pPr>
        <w:spacing w:after="0" w:line="20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Lenders hereby authorize the Administrative Agent and the Collateral Agents to enter into any Receivables Intercreditor Agreement or other intercreditor agreement or arrangement permitted under this Agreement and any such intercreditor agreement is binding upon the Lenders.</w:t>
      </w:r>
    </w:p>
    <w:p>
      <w:pPr>
        <w:spacing w:after="0" w:line="210" w:lineRule="exact"/>
        <w:rPr>
          <w:sz w:val="20"/>
          <w:szCs w:val="20"/>
          <w:color w:val="auto"/>
        </w:rPr>
      </w:pPr>
    </w:p>
    <w:p>
      <w:pPr>
        <w:jc w:val="both"/>
        <w:ind w:left="660"/>
        <w:spacing w:after="0" w:line="239" w:lineRule="auto"/>
        <w:rPr>
          <w:sz w:val="20"/>
          <w:szCs w:val="20"/>
          <w:color w:val="auto"/>
        </w:rPr>
      </w:pPr>
      <w:r>
        <w:rPr>
          <w:rFonts w:ascii="Arial" w:cs="Arial" w:eastAsia="Arial" w:hAnsi="Arial"/>
          <w:sz w:val="19"/>
          <w:szCs w:val="19"/>
          <w:u w:val="single" w:color="auto"/>
          <w:color w:val="auto"/>
        </w:rPr>
        <w:t>11.12 Withholding Tax Indemnity</w:t>
      </w:r>
      <w:r>
        <w:rPr>
          <w:rFonts w:ascii="Arial" w:cs="Arial" w:eastAsia="Arial" w:hAnsi="Arial"/>
          <w:sz w:val="19"/>
          <w:szCs w:val="19"/>
          <w:color w:val="auto"/>
        </w:rPr>
        <w:t xml:space="preserve">. To the extent required by any applicable law, the applicable Agent may withhold from any payment to any Lender an amount equivalent to any applicable withholding Tax. Without limiting or expanding the provisions of </w:t>
      </w:r>
      <w:r>
        <w:rPr>
          <w:rFonts w:ascii="Arial" w:cs="Arial" w:eastAsia="Arial" w:hAnsi="Arial"/>
          <w:sz w:val="19"/>
          <w:szCs w:val="19"/>
          <w:u w:val="single" w:color="auto"/>
          <w:color w:val="auto"/>
        </w:rPr>
        <w:t>Section 4.7(b)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each Lender shall, and does hereby, indemnify each Agent against, and shall make payable in respect thereof within 30 days after demand therefor, any and all Taxes and any and all related losses, claims, liabilities and expenses (including fees, charges and disbursements of any counsel for Agent) incurred by or asserted against Agent by the IRS or any other Governmental Authority as a result of the failure of Agent to properly withhold tax from amounts paid to or for the account of any Lender for any reason (including, without limitation, because the appropriate form was not delivered or not property executed, or because such Lender failed to notify Agent of a change in circumstance that rendered the exemption from, or reduction of withholding tax ineffective). A certificate as to the amount of such payment or liability delivered to any Lender by the applicable Agent shall be conclusive absent manifest or demonstrable error. Each Lender hereby authorizes each Agent to set off and apply any and all amounts at any time owing to such Lender under this Agreement or any other Loan Document against any amount due such Agent under this </w:t>
      </w:r>
      <w:r>
        <w:rPr>
          <w:rFonts w:ascii="Arial" w:cs="Arial" w:eastAsia="Arial" w:hAnsi="Arial"/>
          <w:sz w:val="19"/>
          <w:szCs w:val="19"/>
          <w:u w:val="single" w:color="auto"/>
          <w:color w:val="auto"/>
        </w:rPr>
        <w:t>Section 11.12</w:t>
      </w:r>
      <w:r>
        <w:rPr>
          <w:rFonts w:ascii="Arial" w:cs="Arial" w:eastAsia="Arial" w:hAnsi="Arial"/>
          <w:sz w:val="19"/>
          <w:szCs w:val="19"/>
          <w:color w:val="auto"/>
        </w:rPr>
        <w:t xml:space="preserve">. The agreements in this </w:t>
      </w:r>
      <w:r>
        <w:rPr>
          <w:rFonts w:ascii="Arial" w:cs="Arial" w:eastAsia="Arial" w:hAnsi="Arial"/>
          <w:sz w:val="19"/>
          <w:szCs w:val="19"/>
          <w:u w:val="single" w:color="auto"/>
          <w:color w:val="auto"/>
        </w:rPr>
        <w:t>Section 11.12</w:t>
      </w:r>
      <w:r>
        <w:rPr>
          <w:rFonts w:ascii="Arial" w:cs="Arial" w:eastAsia="Arial" w:hAnsi="Arial"/>
          <w:sz w:val="19"/>
          <w:szCs w:val="19"/>
          <w:color w:val="auto"/>
        </w:rPr>
        <w:t xml:space="preserve"> shall survive the resignation and/or replacement of Agent, any assignment of rights by, or the replacement of, a Lender, the termination of the Commitments and the repayment, satisfaction or discharge of all other Obligations. For purposes of this </w:t>
      </w:r>
      <w:r>
        <w:rPr>
          <w:rFonts w:ascii="Arial" w:cs="Arial" w:eastAsia="Arial" w:hAnsi="Arial"/>
          <w:sz w:val="19"/>
          <w:szCs w:val="19"/>
          <w:u w:val="single" w:color="auto"/>
          <w:color w:val="auto"/>
        </w:rPr>
        <w:t>Section 11.12</w:t>
      </w:r>
      <w:r>
        <w:rPr>
          <w:rFonts w:ascii="Arial" w:cs="Arial" w:eastAsia="Arial" w:hAnsi="Arial"/>
          <w:sz w:val="19"/>
          <w:szCs w:val="19"/>
          <w:color w:val="auto"/>
        </w:rPr>
        <w:t>, the term “Lender” shall include any Swing Line Lender and any Facing Agent.</w:t>
      </w:r>
    </w:p>
    <w:p>
      <w:pPr>
        <w:spacing w:after="0" w:line="21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u w:val="single" w:color="auto"/>
          <w:color w:val="auto"/>
        </w:rPr>
        <w:t>11.13 Holders</w:t>
      </w:r>
      <w:r>
        <w:rPr>
          <w:rFonts w:ascii="Arial" w:cs="Arial" w:eastAsia="Arial" w:hAnsi="Arial"/>
          <w:sz w:val="18"/>
          <w:szCs w:val="18"/>
          <w:color w:val="auto"/>
        </w:rPr>
        <w:t>. The Administrative Agent may deem and treat the payee of any Note as the owner thereof for all purposes hereof unless and until a written notice of the assignment, transfer or endorsement thereof, as the case may be, shall have been filed with the Administrative Agent. Any request, authority or consent of any Person who, at the time of making such request or giving such authority or consent, is the holder of any Note shall be conclusive and binding on any subsequent holder, transferee, assignee or endorsee, as the case may be, of such Note or of any Note or Notes issued in exchange therefor.</w:t>
      </w:r>
    </w:p>
    <w:p>
      <w:pPr>
        <w:spacing w:after="0" w:line="189"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ARTICLE XII</w:t>
      </w:r>
    </w:p>
    <w:p>
      <w:pPr>
        <w:spacing w:after="0" w:line="2"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MISCELLANEOUS</w:t>
      </w:r>
    </w:p>
    <w:p>
      <w:pPr>
        <w:sectPr>
          <w:pgSz w:w="11900" w:h="16838" w:orient="portrait"/>
          <w:cols w:equalWidth="0" w:num="1">
            <w:col w:w="11240"/>
          </w:cols>
          <w:pgMar w:left="320" w:top="1419" w:right="339" w:bottom="1440" w:gutter="0" w:footer="0" w:header="0"/>
        </w:sectPr>
      </w:pPr>
    </w:p>
    <w:bookmarkStart w:id="308" w:name="page309"/>
    <w:bookmarkEnd w:id="308"/>
    <w:p>
      <w:pPr>
        <w:ind w:left="300" w:hanging="292"/>
        <w:spacing w:after="0"/>
        <w:tabs>
          <w:tab w:leader="none" w:pos="300" w:val="left"/>
        </w:tabs>
        <w:numPr>
          <w:ilvl w:val="0"/>
          <w:numId w:val="260"/>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1 No Waiver; Modifications in Writing</w:t>
      </w:r>
    </w:p>
    <w:p>
      <w:pPr>
        <w:spacing w:after="0" w:line="2" w:lineRule="exact"/>
        <w:rPr>
          <w:rFonts w:ascii="Arial" w:cs="Arial" w:eastAsia="Arial" w:hAnsi="Arial"/>
          <w:sz w:val="20"/>
          <w:szCs w:val="20"/>
          <w:u w:val="single" w:color="auto"/>
          <w:color w:val="auto"/>
        </w:rPr>
      </w:pPr>
    </w:p>
    <w:p>
      <w:pPr>
        <w:ind w:left="660"/>
        <w:spacing w:after="0" w:line="225" w:lineRule="auto"/>
        <w:rPr>
          <w:rFonts w:ascii="Arial" w:cs="Arial" w:eastAsia="Arial" w:hAnsi="Arial"/>
          <w:sz w:val="20"/>
          <w:szCs w:val="20"/>
          <w:u w:val="single" w:color="auto"/>
          <w:color w:val="auto"/>
        </w:rPr>
      </w:pPr>
      <w:r>
        <w:rPr>
          <w:rFonts w:ascii="Arial" w:cs="Arial" w:eastAsia="Arial" w:hAnsi="Arial"/>
          <w:sz w:val="20"/>
          <w:szCs w:val="20"/>
          <w:color w:val="auto"/>
        </w:rPr>
        <w:t>.</w:t>
      </w:r>
    </w:p>
    <w:p>
      <w:pPr>
        <w:jc w:val="both"/>
        <w:ind w:left="1300" w:firstLine="4"/>
        <w:spacing w:after="0" w:line="254" w:lineRule="auto"/>
        <w:tabs>
          <w:tab w:leader="none" w:pos="1591"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No failure or delay on the part of any Agent or any Lender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any Agent or any Lender at law or in equity or otherwise. Neither this Agreement nor any terms hereof may be amended, modified, supplemented, waived, discharged, terminated or otherwise changed unless such amendment, modification, supplement, waiver, discharge, termination or other change is in writing signed by the respective Credit Parties party thereto and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amendment, modification, supplement, waiver, discharge, termination or other change shall, without the consent of each Lender affected thereby (with Obligations directly affected thereby in the case of the following clause (a)(i)),</w:t>
      </w:r>
    </w:p>
    <w:p>
      <w:pPr>
        <w:spacing w:after="0" w:line="199" w:lineRule="exact"/>
        <w:rPr>
          <w:rFonts w:ascii="Arial" w:cs="Arial" w:eastAsia="Arial" w:hAnsi="Arial"/>
          <w:sz w:val="18"/>
          <w:szCs w:val="18"/>
          <w:color w:val="auto"/>
        </w:rPr>
      </w:pPr>
    </w:p>
    <w:p>
      <w:pPr>
        <w:jc w:val="both"/>
        <w:ind w:left="1960" w:hanging="8"/>
        <w:spacing w:after="0" w:line="275" w:lineRule="auto"/>
        <w:tabs>
          <w:tab w:leader="none" w:pos="2197" w:val="left"/>
        </w:tabs>
        <w:numPr>
          <w:ilvl w:val="2"/>
          <w:numId w:val="260"/>
        </w:numPr>
        <w:rPr>
          <w:rFonts w:ascii="Arial" w:cs="Arial" w:eastAsia="Arial" w:hAnsi="Arial"/>
          <w:sz w:val="18"/>
          <w:szCs w:val="18"/>
          <w:color w:val="auto"/>
        </w:rPr>
      </w:pPr>
      <w:r>
        <w:rPr>
          <w:rFonts w:ascii="Arial" w:cs="Arial" w:eastAsia="Arial" w:hAnsi="Arial"/>
          <w:sz w:val="18"/>
          <w:szCs w:val="18"/>
          <w:color w:val="auto"/>
        </w:rPr>
        <w:t>extend the final scheduled maturity of any Loan, Commitment or Note (or extend the stated maturity of any Letter of Credit beyond the Revolver Termination Date), or reduce the rate or extend the time of payment of interest or fees thereon (except payment of interest at the Default Rate), or reduce the principal amount thereof,</w:t>
      </w:r>
    </w:p>
    <w:p>
      <w:pPr>
        <w:spacing w:after="0" w:line="179" w:lineRule="exact"/>
        <w:rPr>
          <w:rFonts w:ascii="Arial" w:cs="Arial" w:eastAsia="Arial" w:hAnsi="Arial"/>
          <w:sz w:val="18"/>
          <w:szCs w:val="18"/>
          <w:color w:val="auto"/>
        </w:rPr>
      </w:pPr>
    </w:p>
    <w:p>
      <w:pPr>
        <w:ind w:left="1960" w:hanging="8"/>
        <w:spacing w:after="0" w:line="246" w:lineRule="auto"/>
        <w:tabs>
          <w:tab w:leader="none" w:pos="2267" w:val="left"/>
        </w:tabs>
        <w:numPr>
          <w:ilvl w:val="2"/>
          <w:numId w:val="260"/>
        </w:numPr>
        <w:rPr>
          <w:rFonts w:ascii="Arial" w:cs="Arial" w:eastAsia="Arial" w:hAnsi="Arial"/>
          <w:sz w:val="20"/>
          <w:szCs w:val="20"/>
          <w:color w:val="auto"/>
        </w:rPr>
      </w:pPr>
      <w:r>
        <w:rPr>
          <w:rFonts w:ascii="Arial" w:cs="Arial" w:eastAsia="Arial" w:hAnsi="Arial"/>
          <w:sz w:val="20"/>
          <w:szCs w:val="20"/>
          <w:color w:val="auto"/>
        </w:rPr>
        <w:t>release all or substantially all of the Guarantors or all or substantially all of the Collateral (except as expressly provided in the Security Documents),</w:t>
      </w:r>
    </w:p>
    <w:p>
      <w:pPr>
        <w:spacing w:after="0" w:line="204" w:lineRule="exact"/>
        <w:rPr>
          <w:sz w:val="20"/>
          <w:szCs w:val="20"/>
          <w:color w:val="auto"/>
        </w:rPr>
      </w:pPr>
    </w:p>
    <w:p>
      <w:pPr>
        <w:jc w:val="both"/>
        <w:ind w:left="1960"/>
        <w:spacing w:after="0" w:line="256" w:lineRule="auto"/>
        <w:rPr>
          <w:sz w:val="20"/>
          <w:szCs w:val="20"/>
          <w:color w:val="auto"/>
        </w:rPr>
      </w:pPr>
      <w:r>
        <w:rPr>
          <w:rFonts w:ascii="Arial" w:cs="Arial" w:eastAsia="Arial" w:hAnsi="Arial"/>
          <w:sz w:val="18"/>
          <w:szCs w:val="18"/>
          <w:color w:val="auto"/>
        </w:rPr>
        <w:t xml:space="preserve">(iii)amend, modify or waive any provision of this </w:t>
      </w:r>
      <w:r>
        <w:rPr>
          <w:rFonts w:ascii="Arial" w:cs="Arial" w:eastAsia="Arial" w:hAnsi="Arial"/>
          <w:sz w:val="18"/>
          <w:szCs w:val="18"/>
          <w:u w:val="single" w:color="auto"/>
          <w:color w:val="auto"/>
        </w:rPr>
        <w:t>Section 12.1(a)</w:t>
      </w:r>
      <w:r>
        <w:rPr>
          <w:rFonts w:ascii="Arial" w:cs="Arial" w:eastAsia="Arial" w:hAnsi="Arial"/>
          <w:sz w:val="18"/>
          <w:szCs w:val="18"/>
          <w:color w:val="auto"/>
        </w:rPr>
        <w:t xml:space="preserve">, or reduce the percentage specified in the definition of “Required Lenders” or amend, modify or waive any other provision of any Loan Document (other than the Receivables Intercreditor Agreements and the Security Documents, which are governed by </w:t>
      </w:r>
      <w:r>
        <w:rPr>
          <w:rFonts w:ascii="Arial" w:cs="Arial" w:eastAsia="Arial" w:hAnsi="Arial"/>
          <w:sz w:val="18"/>
          <w:szCs w:val="18"/>
          <w:u w:val="single" w:color="auto"/>
          <w:color w:val="auto"/>
        </w:rPr>
        <w:t>Section 12.17</w:t>
      </w:r>
      <w:r>
        <w:rPr>
          <w:rFonts w:ascii="Arial" w:cs="Arial" w:eastAsia="Arial" w:hAnsi="Arial"/>
          <w:sz w:val="18"/>
          <w:szCs w:val="18"/>
          <w:color w:val="auto"/>
        </w:rPr>
        <w:t xml:space="preserve">), specifying the number or percentage of Lenders (or Lenders of any Facility) required to waive, amend or modify any rights thereunder or make any determination or grant any consent thereunder (except, in each case, for technical amendments with respect to additional facilities, replacement loans or commitments, extensions of maturity date or additional extensions of credit pursuant to </w:t>
      </w:r>
      <w:r>
        <w:rPr>
          <w:rFonts w:ascii="Arial" w:cs="Arial" w:eastAsia="Arial" w:hAnsi="Arial"/>
          <w:sz w:val="18"/>
          <w:szCs w:val="18"/>
          <w:u w:val="single" w:color="auto"/>
          <w:color w:val="auto"/>
        </w:rPr>
        <w:t>Sections 2.9</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which, except as not otherwise restricted under such Sections, afford the protections to such additional extensions of credit of the type provided to the Term Loans on the Incremental Amendment No. 2 and Third Amendment Effective Date),</w:t>
      </w:r>
    </w:p>
    <w:p>
      <w:pPr>
        <w:spacing w:after="0" w:line="200" w:lineRule="exact"/>
        <w:rPr>
          <w:sz w:val="20"/>
          <w:szCs w:val="20"/>
          <w:color w:val="auto"/>
        </w:rPr>
      </w:pPr>
    </w:p>
    <w:p>
      <w:pPr>
        <w:ind w:left="1960" w:hanging="8"/>
        <w:spacing w:after="0" w:line="246" w:lineRule="auto"/>
        <w:tabs>
          <w:tab w:leader="none" w:pos="234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consent to the assignment or transfer by any Credit Party of any of its rights and obligations under this Agreement,</w:t>
      </w:r>
    </w:p>
    <w:p>
      <w:pPr>
        <w:spacing w:after="0" w:line="203" w:lineRule="exact"/>
        <w:rPr>
          <w:rFonts w:ascii="Arial" w:cs="Arial" w:eastAsia="Arial" w:hAnsi="Arial"/>
          <w:sz w:val="20"/>
          <w:szCs w:val="20"/>
          <w:color w:val="auto"/>
        </w:rPr>
      </w:pPr>
    </w:p>
    <w:p>
      <w:pPr>
        <w:jc w:val="both"/>
        <w:ind w:left="1960" w:hanging="8"/>
        <w:spacing w:after="0" w:line="275" w:lineRule="auto"/>
        <w:tabs>
          <w:tab w:leader="none" w:pos="225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amend or modify the provisions of </w:t>
      </w:r>
      <w:r>
        <w:rPr>
          <w:rFonts w:ascii="Arial" w:cs="Arial" w:eastAsia="Arial" w:hAnsi="Arial"/>
          <w:sz w:val="18"/>
          <w:szCs w:val="18"/>
          <w:u w:val="single" w:color="auto"/>
          <w:color w:val="auto"/>
        </w:rPr>
        <w:t>Section 4.5(a)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10.5</w:t>
      </w:r>
      <w:r>
        <w:rPr>
          <w:rFonts w:ascii="Arial" w:cs="Arial" w:eastAsia="Arial" w:hAnsi="Arial"/>
          <w:sz w:val="18"/>
          <w:szCs w:val="18"/>
          <w:color w:val="auto"/>
        </w:rPr>
        <w:t xml:space="preserve"> in a manner that would by its terms alter the pro rata sharing of payments required thereby, except for technical amendments with respect to additional facilities, replacement loans or commitments, or extensions of the maturity date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2.15</w:t>
      </w:r>
      <w:r>
        <w:rPr>
          <w:rFonts w:ascii="Arial" w:cs="Arial" w:eastAsia="Arial" w:hAnsi="Arial"/>
          <w:sz w:val="18"/>
          <w:szCs w:val="18"/>
          <w:color w:val="auto"/>
        </w:rPr>
        <w:t>, or</w:t>
      </w:r>
    </w:p>
    <w:p>
      <w:pPr>
        <w:spacing w:after="0" w:line="179" w:lineRule="exact"/>
        <w:rPr>
          <w:rFonts w:ascii="Arial" w:cs="Arial" w:eastAsia="Arial" w:hAnsi="Arial"/>
          <w:sz w:val="18"/>
          <w:szCs w:val="18"/>
          <w:color w:val="auto"/>
        </w:rPr>
      </w:pPr>
    </w:p>
    <w:p>
      <w:pPr>
        <w:ind w:left="2280" w:hanging="328"/>
        <w:spacing w:after="0"/>
        <w:tabs>
          <w:tab w:leader="none" w:pos="228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amend or modify the definition of “Pro Rata Share”;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no such amendment, modification, supplement, waiver, discharge, termination or other change shall</w:t>
      </w:r>
    </w:p>
    <w:p>
      <w:pPr>
        <w:sectPr>
          <w:pgSz w:w="11900" w:h="16838" w:orient="portrait"/>
          <w:cols w:equalWidth="0" w:num="1">
            <w:col w:w="11240"/>
          </w:cols>
          <w:pgMar w:left="320" w:top="1419" w:right="339" w:bottom="1440" w:gutter="0" w:footer="0" w:header="0"/>
        </w:sectPr>
      </w:pPr>
    </w:p>
    <w:bookmarkStart w:id="309" w:name="page310"/>
    <w:bookmarkEnd w:id="309"/>
    <w:p>
      <w:pPr>
        <w:jc w:val="both"/>
        <w:ind w:firstLine="1296"/>
        <w:spacing w:after="0" w:line="232" w:lineRule="auto"/>
        <w:rPr>
          <w:sz w:val="20"/>
          <w:szCs w:val="20"/>
          <w:color w:val="auto"/>
        </w:rPr>
      </w:pPr>
      <w:r>
        <w:rPr>
          <w:rFonts w:ascii="Arial" w:cs="Arial" w:eastAsia="Arial" w:hAnsi="Arial"/>
          <w:sz w:val="20"/>
          <w:szCs w:val="20"/>
          <w:color w:val="auto"/>
        </w:rPr>
        <w:t xml:space="preserve">increase the Commitments of any Lender over the amount thereof then in effect without the consent of such Lender (it being understood that waivers or modifications of the definition of “Multicurrency Revolving Sublimit”, </w:t>
      </w:r>
      <w:r>
        <w:rPr>
          <w:rFonts w:ascii="Arial" w:cs="Arial" w:eastAsia="Arial" w:hAnsi="Arial"/>
          <w:sz w:val="20"/>
          <w:szCs w:val="20"/>
          <w:u w:val="single" w:color="auto"/>
          <w:color w:val="auto"/>
        </w:rPr>
        <w:t>Schedule 1.1(b)</w:t>
      </w:r>
      <w:r>
        <w:rPr>
          <w:rFonts w:ascii="Arial" w:cs="Arial" w:eastAsia="Arial" w:hAnsi="Arial"/>
          <w:sz w:val="20"/>
          <w:szCs w:val="20"/>
          <w:color w:val="auto"/>
        </w:rPr>
        <w:t xml:space="preserve">, “Applicable LC Sublimit”, </w:t>
      </w:r>
      <w:r>
        <w:rPr>
          <w:rFonts w:ascii="Arial" w:cs="Arial" w:eastAsia="Arial" w:hAnsi="Arial"/>
          <w:sz w:val="20"/>
          <w:szCs w:val="20"/>
          <w:u w:val="single" w:color="auto"/>
          <w:color w:val="auto"/>
        </w:rPr>
        <w:t>Schedule 1.1(g)</w:t>
      </w:r>
      <w:r>
        <w:rPr>
          <w:rFonts w:ascii="Arial" w:cs="Arial" w:eastAsia="Arial" w:hAnsi="Arial"/>
          <w:sz w:val="20"/>
          <w:szCs w:val="20"/>
          <w:color w:val="auto"/>
        </w:rPr>
        <w:t>, conditions precedent, representations, warranties, covenants, Events of Default or Unmatured Events of Default shall not constitute an increase of the Commitment of any Lender, and that an increase in the available portion of any Commitment of any Lender shall not constitute an increase in the Commitment of such Lender),</w:t>
      </w:r>
    </w:p>
    <w:p>
      <w:pPr>
        <w:spacing w:after="0" w:line="21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without the consent of Administrative Agent and each Facing Agent, amend, modify or waive any provision of </w:t>
      </w:r>
      <w:r>
        <w:rPr>
          <w:rFonts w:ascii="Arial" w:cs="Arial" w:eastAsia="Arial" w:hAnsi="Arial"/>
          <w:sz w:val="20"/>
          <w:szCs w:val="20"/>
          <w:u w:val="single" w:color="auto"/>
          <w:color w:val="auto"/>
        </w:rPr>
        <w:t>Section 2.10</w:t>
      </w:r>
      <w:r>
        <w:rPr>
          <w:rFonts w:ascii="Arial" w:cs="Arial" w:eastAsia="Arial" w:hAnsi="Arial"/>
          <w:sz w:val="20"/>
          <w:szCs w:val="20"/>
          <w:color w:val="auto"/>
        </w:rPr>
        <w:t xml:space="preserve"> or alter the rights or obligations of any Facing Agent with respect to Letters of Credit,</w:t>
      </w:r>
    </w:p>
    <w:p>
      <w:pPr>
        <w:spacing w:after="0" w:line="204"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 xml:space="preserve">without the consent of Administrative Agent, U.K. Administrative Agent or Canadian Administrative Agent, amend, modify or waive any provision of </w:t>
      </w:r>
      <w:r>
        <w:rPr>
          <w:rFonts w:ascii="Arial" w:cs="Arial" w:eastAsia="Arial" w:hAnsi="Arial"/>
          <w:sz w:val="20"/>
          <w:szCs w:val="20"/>
          <w:u w:val="single" w:color="auto"/>
          <w:color w:val="auto"/>
        </w:rPr>
        <w:t>Article XI</w:t>
      </w:r>
      <w:r>
        <w:rPr>
          <w:rFonts w:ascii="Arial" w:cs="Arial" w:eastAsia="Arial" w:hAnsi="Arial"/>
          <w:sz w:val="20"/>
          <w:szCs w:val="20"/>
          <w:color w:val="auto"/>
        </w:rPr>
        <w:t xml:space="preserve"> as same applies to Administrative Agent, U.K. Administrative Agent or Canadian Administrative Agent or any other provisions as same relates to the rights or obligations of Administrative Agent, U.K. Administrative Agent or Canadian Administrative Agent,</w:t>
      </w:r>
    </w:p>
    <w:p>
      <w:pPr>
        <w:spacing w:after="0" w:line="210"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without the consent of Administrative Agent, U.K. Administrative Agent or Canadian Administrative Agent, amend, modify or waive any provisions relating to the rights or obligations of Administrative Agent, U.K. Administrative Agent or Canadian Administrative Agent under the other Loan Documents,</w:t>
      </w:r>
    </w:p>
    <w:p>
      <w:pPr>
        <w:spacing w:after="0" w:line="21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without the consent of the Majority Lenders of each Facility which is being allocated a lesser prepayment, repayment or commitment reduction, alter the required application of any prepayments or repayments (or commitment reduction), as between the various Facilities pursuant to </w:t>
      </w:r>
      <w:r>
        <w:rPr>
          <w:rFonts w:ascii="Arial" w:cs="Arial" w:eastAsia="Arial" w:hAnsi="Arial"/>
          <w:sz w:val="19"/>
          <w:szCs w:val="19"/>
          <w:u w:val="single" w:color="auto"/>
          <w:color w:val="auto"/>
        </w:rPr>
        <w:t>Section 4.5(a)</w:t>
      </w:r>
      <w:r>
        <w:rPr>
          <w:rFonts w:ascii="Arial" w:cs="Arial" w:eastAsia="Arial" w:hAnsi="Arial"/>
          <w:sz w:val="19"/>
          <w:szCs w:val="19"/>
          <w:color w:val="auto"/>
        </w:rPr>
        <w:t xml:space="preserve"> (except for technical amendments with respect to additional facilities, replacement loans or commitments, or extensions of the maturity date pursuant to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2.15</w:t>
      </w:r>
      <w:r>
        <w:rPr>
          <w:rFonts w:ascii="Arial" w:cs="Arial" w:eastAsia="Arial" w:hAnsi="Arial"/>
          <w:sz w:val="19"/>
          <w:szCs w:val="19"/>
          <w:color w:val="auto"/>
        </w:rPr>
        <w:t>) (although the Required Lenders may waive in whole or in part, any such prepayment, repayment or commitment reduction so long as the application, as amongst the various Facilities, of any such prepayment, repayment or commitment reduction which is still required to be made is not altered),</w:t>
      </w:r>
    </w:p>
    <w:p>
      <w:pPr>
        <w:spacing w:after="0" w:line="20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8"/>
          <w:szCs w:val="18"/>
          <w:color w:val="auto"/>
        </w:rPr>
        <w:t xml:space="preserve">without the consent of the Majority Lenders of the applicable Facility, amend the definition of Scheduled Term Repayments for such Facility in a manner that decreases or delays any Scheduled Term Repayment, except for technical amendments with respect to additional facilities, replacement loans or commitments, or extensions of the maturity date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2.15</w:t>
      </w:r>
      <w:r>
        <w:rPr>
          <w:rFonts w:ascii="Arial" w:cs="Arial" w:eastAsia="Arial" w:hAnsi="Arial"/>
          <w:sz w:val="18"/>
          <w:szCs w:val="18"/>
          <w:color w:val="auto"/>
        </w:rPr>
        <w:t>;</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provision of this Agreement may be amended, modified, supplemented, waived, discharged terminated or otherwise changed by an agreement in writing signed by the respective Credit Parties thereto, the Required Lenders (measured after giving effect to such amendment, supplement, waiver, discharger or termination) and any Administrative Agent if (a) by the terms of such agreement all Commitments of each Lender not consenting to the actions therein shall terminate upon the effectiveness of such agreement and (b) at the time such agreement becomes effective, each Lender not consenting thereto receives payment in full of the principal of and interest accrued on each Loan made by it and all other Obligations owing to it or accrued for its account under this Agreement.</w:t>
      </w:r>
    </w:p>
    <w:p>
      <w:pPr>
        <w:spacing w:after="0" w:line="194" w:lineRule="exact"/>
        <w:rPr>
          <w:sz w:val="20"/>
          <w:szCs w:val="20"/>
          <w:color w:val="auto"/>
        </w:rPr>
      </w:pPr>
    </w:p>
    <w:p>
      <w:pPr>
        <w:jc w:val="both"/>
        <w:ind w:firstLine="656"/>
        <w:spacing w:after="0" w:line="224" w:lineRule="exact"/>
        <w:tabs>
          <w:tab w:leader="none" w:pos="958" w:val="left"/>
        </w:tabs>
        <w:numPr>
          <w:ilvl w:val="0"/>
          <w:numId w:val="262"/>
        </w:numPr>
        <w:rPr>
          <w:rFonts w:ascii="Arial" w:cs="Arial" w:eastAsia="Arial" w:hAnsi="Arial"/>
          <w:sz w:val="19"/>
          <w:szCs w:val="19"/>
          <w:color w:val="auto"/>
        </w:rPr>
      </w:pPr>
      <w:r>
        <w:rPr>
          <w:rFonts w:ascii="Arial" w:cs="Arial" w:eastAsia="Arial" w:hAnsi="Arial"/>
          <w:sz w:val="19"/>
          <w:szCs w:val="19"/>
          <w:color w:val="auto"/>
        </w:rPr>
        <w:t xml:space="preserve">If, in connection with any proposed change, waiver, discharge or termination of any of the provisions of this Agreement as contemplated by </w:t>
      </w:r>
      <w:r>
        <w:rPr>
          <w:rFonts w:ascii="Arial" w:cs="Arial" w:eastAsia="Arial" w:hAnsi="Arial"/>
          <w:sz w:val="19"/>
          <w:szCs w:val="19"/>
          <w:u w:val="single" w:color="auto"/>
          <w:color w:val="auto"/>
        </w:rPr>
        <w:t>clauses (a)(i)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inclusive, of the first proviso to the third sentence of </w:t>
      </w:r>
      <w:r>
        <w:rPr>
          <w:rFonts w:ascii="Arial" w:cs="Arial" w:eastAsia="Arial" w:hAnsi="Arial"/>
          <w:sz w:val="19"/>
          <w:szCs w:val="19"/>
          <w:u w:val="single" w:color="auto"/>
          <w:color w:val="auto"/>
        </w:rPr>
        <w:t>Section 12.1(a)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 and (F)</w:t>
      </w:r>
      <w:r>
        <w:rPr>
          <w:rFonts w:ascii="Arial" w:cs="Arial" w:eastAsia="Arial" w:hAnsi="Arial"/>
          <w:sz w:val="19"/>
          <w:szCs w:val="19"/>
          <w:color w:val="auto"/>
        </w:rPr>
        <w:t xml:space="preserve"> of the second proviso to such sentence, the consent of the Required Lenders is obtained but the consent of one or more of such other Lenders whose consent is required is not obtained, then Borrowers shall have the right to replace each such non</w:t>
      </w:r>
      <w:r>
        <w:rPr>
          <w:rFonts w:ascii="MS PGothic" w:cs="MS PGothic" w:eastAsia="MS PGothic" w:hAnsi="MS PGothic"/>
          <w:sz w:val="19"/>
          <w:szCs w:val="19"/>
          <w:color w:val="auto"/>
        </w:rPr>
        <w:t>‑</w:t>
      </w:r>
      <w:r>
        <w:rPr>
          <w:rFonts w:ascii="Arial" w:cs="Arial" w:eastAsia="Arial" w:hAnsi="Arial"/>
          <w:sz w:val="19"/>
          <w:szCs w:val="19"/>
          <w:color w:val="auto"/>
        </w:rPr>
        <w:t>consenting</w:t>
      </w:r>
    </w:p>
    <w:p>
      <w:pPr>
        <w:sectPr>
          <w:pgSz w:w="11900" w:h="16838" w:orient="portrait"/>
          <w:cols w:equalWidth="0" w:num="1">
            <w:col w:w="11240"/>
          </w:cols>
          <w:pgMar w:left="320" w:top="1419" w:right="339" w:bottom="1440" w:gutter="0" w:footer="0" w:header="0"/>
        </w:sectPr>
      </w:pPr>
    </w:p>
    <w:bookmarkStart w:id="310" w:name="page311"/>
    <w:bookmarkEnd w:id="310"/>
    <w:p>
      <w:pPr>
        <w:jc w:val="both"/>
        <w:spacing w:after="0" w:line="267" w:lineRule="auto"/>
        <w:rPr>
          <w:sz w:val="20"/>
          <w:szCs w:val="20"/>
          <w:color w:val="auto"/>
        </w:rPr>
      </w:pPr>
      <w:r>
        <w:rPr>
          <w:rFonts w:ascii="Arial" w:cs="Arial" w:eastAsia="Arial" w:hAnsi="Arial"/>
          <w:sz w:val="18"/>
          <w:szCs w:val="18"/>
          <w:color w:val="auto"/>
        </w:rPr>
        <w:t xml:space="preserve">Lender or Lenders (or, at the option of Borrowers if the respective Lender’s consent is required with respect to less than all Loans, to replace only the respective Loans of the respective non-consenting Lender which gave rise to the need to obtain such Lender’s individual consent) with one or more Replacement Lenders pursuant to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so long as at the time of such replacement, each such Replacement Lender consents to the proposed amendment, modification, supplement, waiver, discharge, termination or other change.</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(c)In addition to the amendments effected pursuant to the foregoing </w:t>
      </w:r>
      <w:r>
        <w:rPr>
          <w:rFonts w:ascii="Arial" w:cs="Arial" w:eastAsia="Arial" w:hAnsi="Arial"/>
          <w:sz w:val="20"/>
          <w:szCs w:val="20"/>
          <w:u w:val="single" w:color="auto"/>
          <w:color w:val="auto"/>
        </w:rPr>
        <w:t>Section 12.1(a)</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Schedules 1.1(b)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1.1(d)</w:t>
      </w:r>
      <w:r>
        <w:rPr>
          <w:rFonts w:ascii="Arial" w:cs="Arial" w:eastAsia="Arial" w:hAnsi="Arial"/>
          <w:sz w:val="20"/>
          <w:szCs w:val="20"/>
          <w:color w:val="auto"/>
        </w:rPr>
        <w:t xml:space="preserve"> and any Receivables Intercreditor Agreement may be amended as follows:</w:t>
      </w:r>
    </w:p>
    <w:p>
      <w:pPr>
        <w:spacing w:after="0" w:line="204" w:lineRule="exact"/>
        <w:rPr>
          <w:sz w:val="20"/>
          <w:szCs w:val="20"/>
          <w:color w:val="auto"/>
        </w:rPr>
      </w:pPr>
    </w:p>
    <w:p>
      <w:pPr>
        <w:jc w:val="both"/>
        <w:ind w:left="1960" w:hanging="8"/>
        <w:spacing w:after="0" w:line="242" w:lineRule="auto"/>
        <w:tabs>
          <w:tab w:leader="none" w:pos="2223" w:val="left"/>
        </w:tabs>
        <w:numPr>
          <w:ilvl w:val="1"/>
          <w:numId w:val="26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Schedules 1.1(b)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will be amended to add Non-U.S. Subsidiaries of Crown International Holdings as additional Subsidiary Borrowers upon (A) execution and delivery by European Borrower, any such Subsidiary Borrower and Administrative Agent of a Joinder Agreement in the form of </w:t>
      </w:r>
      <w:r>
        <w:rPr>
          <w:rFonts w:ascii="Arial" w:cs="Arial" w:eastAsia="Arial" w:hAnsi="Arial"/>
          <w:sz w:val="19"/>
          <w:szCs w:val="19"/>
          <w:u w:val="single" w:color="auto"/>
          <w:color w:val="auto"/>
        </w:rPr>
        <w:t>Exhibit 12.1(c)</w:t>
      </w:r>
      <w:r>
        <w:rPr>
          <w:rFonts w:ascii="Arial" w:cs="Arial" w:eastAsia="Arial" w:hAnsi="Arial"/>
          <w:sz w:val="19"/>
          <w:szCs w:val="19"/>
          <w:color w:val="auto"/>
        </w:rPr>
        <w:t xml:space="preserve"> (or such other form as mutually agreed by Crown Holdings and the Administrative Agent), providing for a Multicurrency Revolving Sublimit acceptable to U.K. Administrative Agent, (B) delivery to Administrative Agents of (1) to the extent not previously delivered, the Additional Security Documents required pursuant to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(2) an opinion of counsel which covers matters reasonably satisfactory to Administrative Agent and (3) to the extent not previously delivered, all documentation and other information required under </w:t>
      </w:r>
      <w:r>
        <w:rPr>
          <w:rFonts w:ascii="Arial" w:cs="Arial" w:eastAsia="Arial" w:hAnsi="Arial"/>
          <w:sz w:val="19"/>
          <w:szCs w:val="19"/>
          <w:u w:val="single" w:color="auto"/>
          <w:color w:val="auto"/>
        </w:rPr>
        <w:t>Section 5.1(f)(ii)</w:t>
      </w:r>
      <w:r>
        <w:rPr>
          <w:rFonts w:ascii="Arial" w:cs="Arial" w:eastAsia="Arial" w:hAnsi="Arial"/>
          <w:sz w:val="19"/>
          <w:szCs w:val="19"/>
          <w:color w:val="auto"/>
        </w:rPr>
        <w:t>.</w:t>
      </w:r>
    </w:p>
    <w:p>
      <w:pPr>
        <w:spacing w:after="0" w:line="208" w:lineRule="exact"/>
        <w:rPr>
          <w:rFonts w:ascii="Arial" w:cs="Arial" w:eastAsia="Arial" w:hAnsi="Arial"/>
          <w:sz w:val="19"/>
          <w:szCs w:val="19"/>
          <w:u w:val="single" w:color="auto"/>
          <w:color w:val="auto"/>
        </w:rPr>
      </w:pPr>
    </w:p>
    <w:p>
      <w:pPr>
        <w:jc w:val="both"/>
        <w:ind w:left="1960" w:right="20" w:hanging="8"/>
        <w:spacing w:after="0" w:line="230" w:lineRule="auto"/>
        <w:tabs>
          <w:tab w:leader="none" w:pos="2292" w:val="left"/>
        </w:tabs>
        <w:numPr>
          <w:ilvl w:val="1"/>
          <w:numId w:val="26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Schedules 1.1(b)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(d)</w:t>
      </w:r>
      <w:r>
        <w:rPr>
          <w:rFonts w:ascii="Arial" w:cs="Arial" w:eastAsia="Arial" w:hAnsi="Arial"/>
          <w:sz w:val="20"/>
          <w:szCs w:val="20"/>
          <w:color w:val="auto"/>
        </w:rPr>
        <w:t xml:space="preserve"> will be amended to remove any Subsidiary as a Subsidiary Borrower upon (A) execution and delivery by European Borrower of a written request providing for such amendment and (B) repayment in full of all outstanding Loans and other Obligations of such Subsidiary Borrower</w:t>
      </w:r>
    </w:p>
    <w:p>
      <w:pPr>
        <w:spacing w:after="0" w:line="2" w:lineRule="exact"/>
        <w:rPr>
          <w:rFonts w:ascii="Arial" w:cs="Arial" w:eastAsia="Arial" w:hAnsi="Arial"/>
          <w:sz w:val="20"/>
          <w:szCs w:val="20"/>
          <w:u w:val="single" w:color="auto"/>
          <w:color w:val="auto"/>
        </w:rPr>
      </w:pPr>
    </w:p>
    <w:p>
      <w:pPr>
        <w:ind w:left="1960"/>
        <w:spacing w:after="0" w:line="225" w:lineRule="auto"/>
        <w:rPr>
          <w:rFonts w:ascii="Arial" w:cs="Arial" w:eastAsia="Arial" w:hAnsi="Arial"/>
          <w:sz w:val="20"/>
          <w:szCs w:val="20"/>
          <w:u w:val="single" w:color="auto"/>
          <w:color w:val="auto"/>
        </w:rPr>
      </w:pPr>
      <w:r>
        <w:rPr>
          <w:rFonts w:ascii="Arial" w:cs="Arial" w:eastAsia="Arial" w:hAnsi="Arial"/>
          <w:sz w:val="20"/>
          <w:szCs w:val="20"/>
          <w:color w:val="auto"/>
        </w:rPr>
        <w:t>.</w:t>
      </w:r>
    </w:p>
    <w:p>
      <w:pPr>
        <w:ind w:left="1960"/>
        <w:spacing w:after="0" w:line="234" w:lineRule="auto"/>
        <w:rPr>
          <w:rFonts w:ascii="Arial" w:cs="Arial" w:eastAsia="Arial" w:hAnsi="Arial"/>
          <w:sz w:val="20"/>
          <w:szCs w:val="20"/>
          <w:u w:val="single" w:color="auto"/>
          <w:color w:val="auto"/>
        </w:rPr>
      </w:pPr>
      <w:r>
        <w:rPr>
          <w:rFonts w:ascii="Arial" w:cs="Arial" w:eastAsia="Arial" w:hAnsi="Arial"/>
          <w:sz w:val="20"/>
          <w:szCs w:val="20"/>
          <w:color w:val="auto"/>
        </w:rPr>
        <w:t>(iii)Any Receivables Intercreditor Agreement may be amended in writing by the parties thereto without the consent of the Lenders.</w:t>
      </w:r>
    </w:p>
    <w:p>
      <w:pPr>
        <w:spacing w:after="0" w:line="210" w:lineRule="exact"/>
        <w:rPr>
          <w:rFonts w:ascii="Arial" w:cs="Arial" w:eastAsia="Arial" w:hAnsi="Arial"/>
          <w:sz w:val="20"/>
          <w:szCs w:val="20"/>
          <w:u w:val="single" w:color="auto"/>
          <w:color w:val="auto"/>
        </w:rPr>
      </w:pPr>
    </w:p>
    <w:p>
      <w:pPr>
        <w:jc w:val="both"/>
        <w:ind w:firstLine="656"/>
        <w:spacing w:after="0" w:line="232" w:lineRule="auto"/>
        <w:tabs>
          <w:tab w:leader="none" w:pos="95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 xml:space="preserve">Notwithstanding the foregoing, upon the execution and delivery of all documentation required by Administrative Agent to be delivered pursuant to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w:t>
      </w:r>
      <w:r>
        <w:rPr>
          <w:rFonts w:ascii="Arial" w:cs="Arial" w:eastAsia="Arial" w:hAnsi="Arial"/>
          <w:sz w:val="20"/>
          <w:szCs w:val="20"/>
          <w:u w:val="single" w:color="auto"/>
          <w:color w:val="auto"/>
        </w:rPr>
        <w:t>2.13</w:t>
      </w:r>
      <w:r>
        <w:rPr>
          <w:rFonts w:ascii="Arial" w:cs="Arial" w:eastAsia="Arial" w:hAnsi="Arial"/>
          <w:sz w:val="20"/>
          <w:szCs w:val="20"/>
          <w:color w:val="auto"/>
        </w:rPr>
        <w:t xml:space="preserve">, </w:t>
      </w:r>
      <w:r>
        <w:rPr>
          <w:rFonts w:ascii="Arial" w:cs="Arial" w:eastAsia="Arial" w:hAnsi="Arial"/>
          <w:sz w:val="20"/>
          <w:szCs w:val="20"/>
          <w:u w:val="single" w:color="auto"/>
          <w:color w:val="auto"/>
        </w:rPr>
        <w:t>2.14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2.15</w:t>
      </w:r>
      <w:r>
        <w:rPr>
          <w:rFonts w:ascii="Arial" w:cs="Arial" w:eastAsia="Arial" w:hAnsi="Arial"/>
          <w:sz w:val="20"/>
          <w:szCs w:val="20"/>
          <w:color w:val="auto"/>
        </w:rPr>
        <w:t>, in connection with any Additional Facility, Replacement Term Loans, Replacement Term Commitments, Replacement Revolving Loans, Replacement Revolving Commitments, and/or any New Maturity Date, as applicable, this Agreement shall be deemed amended without further action by any Lender to reflect, as applicable, any new Lenders and technical and conforming amendments to reflect the terms of such Additional Facility.</w:t>
      </w:r>
    </w:p>
    <w:p>
      <w:pPr>
        <w:spacing w:after="0" w:line="211" w:lineRule="exact"/>
        <w:rPr>
          <w:rFonts w:ascii="Arial" w:cs="Arial" w:eastAsia="Arial" w:hAnsi="Arial"/>
          <w:sz w:val="20"/>
          <w:szCs w:val="20"/>
          <w:color w:val="auto"/>
        </w:rPr>
      </w:pPr>
    </w:p>
    <w:p>
      <w:pPr>
        <w:jc w:val="both"/>
        <w:ind w:firstLine="656"/>
        <w:spacing w:after="0" w:line="237" w:lineRule="auto"/>
        <w:tabs>
          <w:tab w:leader="none" w:pos="918" w:val="left"/>
        </w:tabs>
        <w:numPr>
          <w:ilvl w:val="0"/>
          <w:numId w:val="264"/>
        </w:numPr>
        <w:rPr>
          <w:rFonts w:ascii="Arial" w:cs="Arial" w:eastAsia="Arial" w:hAnsi="Arial"/>
          <w:sz w:val="20"/>
          <w:szCs w:val="20"/>
          <w:color w:val="auto"/>
        </w:rPr>
      </w:pPr>
      <w:r>
        <w:rPr>
          <w:rFonts w:ascii="Arial" w:cs="Arial" w:eastAsia="Arial" w:hAnsi="Arial"/>
          <w:sz w:val="20"/>
          <w:szCs w:val="20"/>
          <w:color w:val="auto"/>
        </w:rPr>
        <w:t xml:space="preserve">A Revolving Lender may allocate any proportion of its Revolving Commitment or Revolving Credit Exposure with respect to any waiver, amendment, modification, consent or any other action pursuant to this </w:t>
      </w:r>
      <w:r>
        <w:rPr>
          <w:rFonts w:ascii="Arial" w:cs="Arial" w:eastAsia="Arial" w:hAnsi="Arial"/>
          <w:sz w:val="20"/>
          <w:szCs w:val="20"/>
          <w:u w:val="single" w:color="auto"/>
          <w:color w:val="auto"/>
        </w:rPr>
        <w:t>Section 12.1</w:t>
      </w:r>
      <w:r>
        <w:rPr>
          <w:rFonts w:ascii="Arial" w:cs="Arial" w:eastAsia="Arial" w:hAnsi="Arial"/>
          <w:sz w:val="20"/>
          <w:szCs w:val="20"/>
          <w:color w:val="auto"/>
        </w:rPr>
        <w:t xml:space="preserve"> or any other Loan Document in order to vote separate portions thereof differently with respect thereto.</w:t>
      </w:r>
    </w:p>
    <w:p>
      <w:pPr>
        <w:spacing w:after="0" w:line="209" w:lineRule="exact"/>
        <w:rPr>
          <w:rFonts w:ascii="Arial" w:cs="Arial" w:eastAsia="Arial" w:hAnsi="Arial"/>
          <w:sz w:val="20"/>
          <w:szCs w:val="20"/>
          <w:color w:val="auto"/>
        </w:rPr>
      </w:pPr>
    </w:p>
    <w:p>
      <w:pPr>
        <w:jc w:val="both"/>
        <w:ind w:firstLine="656"/>
        <w:spacing w:after="0" w:line="260" w:lineRule="auto"/>
        <w:tabs>
          <w:tab w:leader="none" w:pos="91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 addition, notwithstanding the foregoing, this Agreement may be amended with the written consent of Administrative Agent, Crown Holdings, Borrowers and the Lenders providing the relevant Replacement Term Loans (as defined below) to permit the refinancing of all Term Loans outstanding under one or more Term Facilities (“</w:t>
      </w:r>
      <w:r>
        <w:rPr>
          <w:rFonts w:ascii="Arial" w:cs="Arial" w:eastAsia="Arial" w:hAnsi="Arial"/>
          <w:sz w:val="18"/>
          <w:szCs w:val="18"/>
          <w:u w:val="single" w:color="auto"/>
          <w:color w:val="auto"/>
        </w:rPr>
        <w:t>Refinanced Term Loans</w:t>
      </w:r>
      <w:r>
        <w:rPr>
          <w:rFonts w:ascii="Arial" w:cs="Arial" w:eastAsia="Arial" w:hAnsi="Arial"/>
          <w:sz w:val="18"/>
          <w:szCs w:val="18"/>
          <w:color w:val="auto"/>
        </w:rPr>
        <w:t>”) with a replacement term loan tranche hereunder which shall be Loans hereunder (“</w:t>
      </w:r>
      <w:r>
        <w:rPr>
          <w:rFonts w:ascii="Arial" w:cs="Arial" w:eastAsia="Arial" w:hAnsi="Arial"/>
          <w:sz w:val="18"/>
          <w:szCs w:val="18"/>
          <w:u w:val="single" w:color="auto"/>
          <w:color w:val="auto"/>
        </w:rPr>
        <w:t>Replacement Term Loans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aggregate principal amount of such Replacement Term Loans shall not exceed the aggregate principal amount of such Refinanced Term Loans, (b) the weighted average life to maturity of such Replacement Term Loans shall not be shorter than the weighted average life to maturity of such Refinanced Term Loans at the time</w:t>
      </w:r>
    </w:p>
    <w:p>
      <w:pPr>
        <w:sectPr>
          <w:pgSz w:w="11900" w:h="16838" w:orient="portrait"/>
          <w:cols w:equalWidth="0" w:num="1">
            <w:col w:w="11240"/>
          </w:cols>
          <w:pgMar w:left="320" w:top="1419" w:right="339" w:bottom="1440" w:gutter="0" w:footer="0" w:header="0"/>
        </w:sectPr>
      </w:pPr>
    </w:p>
    <w:bookmarkStart w:id="311" w:name="page312"/>
    <w:bookmarkEnd w:id="311"/>
    <w:p>
      <w:pPr>
        <w:jc w:val="both"/>
        <w:spacing w:after="0" w:line="234" w:lineRule="auto"/>
        <w:rPr>
          <w:sz w:val="20"/>
          <w:szCs w:val="20"/>
          <w:color w:val="auto"/>
        </w:rPr>
      </w:pPr>
      <w:r>
        <w:rPr>
          <w:rFonts w:ascii="Arial" w:cs="Arial" w:eastAsia="Arial" w:hAnsi="Arial"/>
          <w:sz w:val="20"/>
          <w:szCs w:val="20"/>
          <w:color w:val="auto"/>
        </w:rPr>
        <w:t>of such refinancing and (c) all other terms applicable to such Replacement Term Loans shall be substantially identical to, or less favorable to the Lenders providing such Replacement Term Loans than, those applicable to such Refinanced Term Loans, except to the extent necessary to provide for covenants and other terms applicable to any period after the latest final maturity of any Term Loans in effect immediately prior to such refinancing.</w:t>
      </w:r>
    </w:p>
    <w:p>
      <w:pPr>
        <w:spacing w:after="0" w:line="210" w:lineRule="exact"/>
        <w:rPr>
          <w:sz w:val="20"/>
          <w:szCs w:val="20"/>
          <w:color w:val="auto"/>
        </w:rPr>
      </w:pPr>
    </w:p>
    <w:p>
      <w:pPr>
        <w:jc w:val="both"/>
        <w:ind w:firstLine="656"/>
        <w:spacing w:after="0" w:line="232" w:lineRule="auto"/>
        <w:tabs>
          <w:tab w:leader="none" w:pos="946" w:val="left"/>
        </w:tabs>
        <w:numPr>
          <w:ilvl w:val="0"/>
          <w:numId w:val="265"/>
        </w:numPr>
        <w:rPr>
          <w:rFonts w:ascii="Arial" w:cs="Arial" w:eastAsia="Arial" w:hAnsi="Arial"/>
          <w:sz w:val="20"/>
          <w:szCs w:val="20"/>
          <w:color w:val="auto"/>
        </w:rPr>
      </w:pPr>
      <w:r>
        <w:rPr>
          <w:rFonts w:ascii="Arial" w:cs="Arial" w:eastAsia="Arial" w:hAnsi="Arial"/>
          <w:sz w:val="20"/>
          <w:szCs w:val="20"/>
          <w:color w:val="auto"/>
        </w:rPr>
        <w:t xml:space="preserve">Notwithstanding the foregoing, with respect to amendments under </w:t>
      </w:r>
      <w:r>
        <w:rPr>
          <w:rFonts w:ascii="Arial" w:cs="Arial" w:eastAsia="Arial" w:hAnsi="Arial"/>
          <w:sz w:val="20"/>
          <w:szCs w:val="20"/>
          <w:u w:val="single" w:color="auto"/>
          <w:color w:val="auto"/>
        </w:rPr>
        <w:t>Section 12.1(a)</w:t>
      </w:r>
      <w:r>
        <w:rPr>
          <w:rFonts w:ascii="Arial" w:cs="Arial" w:eastAsia="Arial" w:hAnsi="Arial"/>
          <w:sz w:val="20"/>
          <w:szCs w:val="20"/>
          <w:color w:val="auto"/>
        </w:rPr>
        <w:t xml:space="preserve"> requiring the approval of all of the Lenders adversely affected thereby, if all such Lenders other than one or more Defaulting Lenders approve such amendment, the failure of such Defaulting Lenders to approve such amendment shall not prevent such amendment from becoming effective with respect to such Lenders approving such amendment (it being understood that such amendment will not be effective with respect to such Defaulting Lenders that do not approve such amendment).</w:t>
      </w:r>
    </w:p>
    <w:p>
      <w:pPr>
        <w:spacing w:after="0" w:line="211" w:lineRule="exact"/>
        <w:rPr>
          <w:rFonts w:ascii="Arial" w:cs="Arial" w:eastAsia="Arial" w:hAnsi="Arial"/>
          <w:sz w:val="20"/>
          <w:szCs w:val="20"/>
          <w:color w:val="auto"/>
        </w:rPr>
      </w:pPr>
    </w:p>
    <w:p>
      <w:pPr>
        <w:jc w:val="both"/>
        <w:ind w:firstLine="656"/>
        <w:spacing w:after="0" w:line="237" w:lineRule="auto"/>
        <w:tabs>
          <w:tab w:leader="none" w:pos="962" w:val="left"/>
        </w:tabs>
        <w:numPr>
          <w:ilvl w:val="0"/>
          <w:numId w:val="265"/>
        </w:numPr>
        <w:rPr>
          <w:rFonts w:ascii="Arial" w:cs="Arial" w:eastAsia="Arial" w:hAnsi="Arial"/>
          <w:sz w:val="20"/>
          <w:szCs w:val="20"/>
          <w:color w:val="auto"/>
        </w:rPr>
      </w:pPr>
      <w:r>
        <w:rPr>
          <w:rFonts w:ascii="Arial" w:cs="Arial" w:eastAsia="Arial" w:hAnsi="Arial"/>
          <w:sz w:val="20"/>
          <w:szCs w:val="20"/>
          <w:color w:val="auto"/>
        </w:rPr>
        <w:t xml:space="preserve">Notwithstanding the foregoing, amendments and waivers of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(or any of financial definitions included in (and for purposes of) </w:t>
      </w:r>
      <w:r>
        <w:rPr>
          <w:rFonts w:ascii="Arial" w:cs="Arial" w:eastAsia="Arial" w:hAnsi="Arial"/>
          <w:sz w:val="20"/>
          <w:szCs w:val="20"/>
          <w:u w:val="single" w:color="auto"/>
          <w:color w:val="auto"/>
        </w:rPr>
        <w:t>Article IX</w:t>
      </w:r>
      <w:r>
        <w:rPr>
          <w:rFonts w:ascii="Arial" w:cs="Arial" w:eastAsia="Arial" w:hAnsi="Arial"/>
          <w:sz w:val="20"/>
          <w:szCs w:val="20"/>
          <w:color w:val="auto"/>
        </w:rPr>
        <w:t>) will require only the consent of the Majority Lenders under the Revolving Facilities, the Term Loan A Facility and the Term Euro Facility and no other consents or approvals from any Lender shall be required.</w:t>
      </w:r>
    </w:p>
    <w:p>
      <w:pPr>
        <w:spacing w:after="0" w:line="210" w:lineRule="exact"/>
        <w:rPr>
          <w:sz w:val="20"/>
          <w:szCs w:val="20"/>
          <w:color w:val="auto"/>
        </w:rPr>
      </w:pPr>
    </w:p>
    <w:p>
      <w:pPr>
        <w:jc w:val="both"/>
        <w:ind w:left="660"/>
        <w:spacing w:after="0" w:line="234" w:lineRule="auto"/>
        <w:rPr>
          <w:sz w:val="20"/>
          <w:szCs w:val="20"/>
          <w:color w:val="auto"/>
        </w:rPr>
      </w:pPr>
      <w:r>
        <w:rPr>
          <w:rFonts w:ascii="Arial" w:cs="Arial" w:eastAsia="Arial" w:hAnsi="Arial"/>
          <w:sz w:val="20"/>
          <w:szCs w:val="20"/>
          <w:u w:val="single" w:color="auto"/>
          <w:color w:val="auto"/>
        </w:rPr>
        <w:t>12.2 Further Assurances</w:t>
      </w:r>
      <w:r>
        <w:rPr>
          <w:rFonts w:ascii="Arial" w:cs="Arial" w:eastAsia="Arial" w:hAnsi="Arial"/>
          <w:sz w:val="20"/>
          <w:szCs w:val="20"/>
          <w:color w:val="auto"/>
        </w:rPr>
        <w:t>. Crown Holdings agrees to, and to cause its Subsidiaries to, do such further acts and things and to execute and deliver to Agent such additional assignments, agreements, powers and instruments, as Agent may reasonably require or deem advisable to carry into effect the purposes of this Agreement or any of the Loan Documents or to better assure and confirm unto Agent its rights, powers and remedies hereunder.</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12.3 Notices, Etc</w:t>
      </w:r>
      <w:r>
        <w:rPr>
          <w:rFonts w:ascii="Arial" w:cs="Arial" w:eastAsia="Arial" w:hAnsi="Arial"/>
          <w:sz w:val="20"/>
          <w:szCs w:val="20"/>
          <w:color w:val="auto"/>
        </w:rPr>
        <w:t>.</w:t>
      </w:r>
    </w:p>
    <w:p>
      <w:pPr>
        <w:spacing w:after="0" w:line="229" w:lineRule="exact"/>
        <w:rPr>
          <w:sz w:val="20"/>
          <w:szCs w:val="20"/>
          <w:color w:val="auto"/>
        </w:rPr>
      </w:pPr>
    </w:p>
    <w:p>
      <w:pPr>
        <w:jc w:val="both"/>
        <w:ind w:left="1300" w:firstLine="4"/>
        <w:spacing w:after="0"/>
        <w:tabs>
          <w:tab w:leader="none" w:pos="1569" w:val="left"/>
        </w:tabs>
        <w:numPr>
          <w:ilvl w:val="0"/>
          <w:numId w:val="266"/>
        </w:numPr>
        <w:rPr>
          <w:rFonts w:ascii="Arial" w:cs="Arial" w:eastAsia="Arial" w:hAnsi="Arial"/>
          <w:sz w:val="19"/>
          <w:szCs w:val="19"/>
          <w:color w:val="auto"/>
        </w:rPr>
      </w:pPr>
      <w:r>
        <w:rPr>
          <w:rFonts w:ascii="Arial" w:cs="Arial" w:eastAsia="Arial" w:hAnsi="Arial"/>
          <w:sz w:val="19"/>
          <w:szCs w:val="19"/>
          <w:color w:val="auto"/>
        </w:rPr>
        <w:t xml:space="preserve">Except where telephonic instructions or notices are authorized herein to be given (and except as provided in paragraph (b) below), all notices, demands, instructions and other communications required or permitted to be given to or made upon any party hereto or any other Person shall be in writing and shall be personally delivered or sent by registered or certified mail, postage prepaid, return receipt requested, or by a reputable overnight or courier delivery service, or by telecopier, and shall be deemed to be given for purposes of this Agreement when received or in the case of notice delivered by telecopy, upon completion of transmission with a copy of such notice also being delivered under any of the methods provided above, all in accordance with the provisions of this </w:t>
      </w:r>
      <w:r>
        <w:rPr>
          <w:rFonts w:ascii="Arial" w:cs="Arial" w:eastAsia="Arial" w:hAnsi="Arial"/>
          <w:sz w:val="19"/>
          <w:szCs w:val="19"/>
          <w:u w:val="single" w:color="auto"/>
          <w:color w:val="auto"/>
        </w:rPr>
        <w:t>Section 12.3</w:t>
      </w:r>
      <w:r>
        <w:rPr>
          <w:rFonts w:ascii="Arial" w:cs="Arial" w:eastAsia="Arial" w:hAnsi="Arial"/>
          <w:sz w:val="19"/>
          <w:szCs w:val="19"/>
          <w:color w:val="auto"/>
        </w:rPr>
        <w:t xml:space="preserve">. Unless otherwise specified in a notice sent or delivered in accordance with the foregoing provisions of this </w:t>
      </w:r>
      <w:r>
        <w:rPr>
          <w:rFonts w:ascii="Arial" w:cs="Arial" w:eastAsia="Arial" w:hAnsi="Arial"/>
          <w:sz w:val="19"/>
          <w:szCs w:val="19"/>
          <w:u w:val="single" w:color="auto"/>
          <w:color w:val="auto"/>
        </w:rPr>
        <w:t>Section 12.3</w:t>
      </w:r>
      <w:r>
        <w:rPr>
          <w:rFonts w:ascii="Arial" w:cs="Arial" w:eastAsia="Arial" w:hAnsi="Arial"/>
          <w:sz w:val="19"/>
          <w:szCs w:val="19"/>
          <w:color w:val="auto"/>
        </w:rPr>
        <w:t>, notices, demands, instructions and other communications in writing shall be given to or made upon the respective parties hereto at their respective addresses (or to their respective telecopier numbers) and, in the case of telephonic instructions or notices, by calling the telephone number or numbers indicated for such party as follows:</w:t>
      </w:r>
    </w:p>
    <w:p>
      <w:pPr>
        <w:spacing w:after="0" w:line="215" w:lineRule="exact"/>
        <w:rPr>
          <w:rFonts w:ascii="Arial" w:cs="Arial" w:eastAsia="Arial" w:hAnsi="Arial"/>
          <w:sz w:val="19"/>
          <w:szCs w:val="19"/>
          <w:color w:val="auto"/>
        </w:rPr>
      </w:pPr>
    </w:p>
    <w:p>
      <w:pPr>
        <w:jc w:val="both"/>
        <w:ind w:left="1960" w:hanging="8"/>
        <w:spacing w:after="0" w:line="234" w:lineRule="auto"/>
        <w:tabs>
          <w:tab w:leader="none" w:pos="2202" w:val="left"/>
        </w:tabs>
        <w:numPr>
          <w:ilvl w:val="1"/>
          <w:numId w:val="266"/>
        </w:numPr>
        <w:rPr>
          <w:rFonts w:ascii="Arial" w:cs="Arial" w:eastAsia="Arial" w:hAnsi="Arial"/>
          <w:sz w:val="20"/>
          <w:szCs w:val="20"/>
          <w:color w:val="auto"/>
        </w:rPr>
      </w:pPr>
      <w:r>
        <w:rPr>
          <w:rFonts w:ascii="Arial" w:cs="Arial" w:eastAsia="Arial" w:hAnsi="Arial"/>
          <w:sz w:val="20"/>
          <w:szCs w:val="20"/>
          <w:color w:val="auto"/>
        </w:rPr>
        <w:t>if to Crown Holdings, Crown International, CCSC, U.S. Borrower, European Borrower or Canadian Borrower, to it at One Crown Way, Philadelphia, Pennsylvania 19154, attention: Mr. Tom Kelly (telecopy: (215) 276-6011), with a copy to Dechert LLP, 2929 Arch Street, Philadelphia, Pennsylvania 19104, attention: Mr. William G. Lawlor, Esq. (telecopy: (215) 994-2222);</w:t>
      </w:r>
    </w:p>
    <w:p>
      <w:pPr>
        <w:spacing w:after="0" w:line="210" w:lineRule="exact"/>
        <w:rPr>
          <w:rFonts w:ascii="Arial" w:cs="Arial" w:eastAsia="Arial" w:hAnsi="Arial"/>
          <w:sz w:val="20"/>
          <w:szCs w:val="20"/>
          <w:color w:val="auto"/>
        </w:rPr>
      </w:pPr>
    </w:p>
    <w:p>
      <w:pPr>
        <w:ind w:left="2240" w:hanging="288"/>
        <w:spacing w:after="0"/>
        <w:tabs>
          <w:tab w:leader="none" w:pos="2240" w:val="left"/>
        </w:tabs>
        <w:numPr>
          <w:ilvl w:val="1"/>
          <w:numId w:val="266"/>
        </w:numPr>
        <w:rPr>
          <w:rFonts w:ascii="Arial" w:cs="Arial" w:eastAsia="Arial" w:hAnsi="Arial"/>
          <w:sz w:val="20"/>
          <w:szCs w:val="20"/>
          <w:color w:val="auto"/>
        </w:rPr>
      </w:pPr>
      <w:r>
        <w:rPr>
          <w:rFonts w:ascii="Arial" w:cs="Arial" w:eastAsia="Arial" w:hAnsi="Arial"/>
          <w:sz w:val="20"/>
          <w:szCs w:val="20"/>
          <w:color w:val="auto"/>
        </w:rPr>
        <w:t>if to Administrative Agent, to it at the Notice Address;</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(iii)if to U.K. Administrative Agent, to it at the Notice Address;</w:t>
      </w:r>
    </w:p>
    <w:p>
      <w:pPr>
        <w:sectPr>
          <w:pgSz w:w="11900" w:h="16838" w:orient="portrait"/>
          <w:cols w:equalWidth="0" w:num="1">
            <w:col w:w="11240"/>
          </w:cols>
          <w:pgMar w:left="320" w:top="1419" w:right="339" w:bottom="1440" w:gutter="0" w:footer="0" w:header="0"/>
        </w:sectPr>
      </w:pPr>
    </w:p>
    <w:bookmarkStart w:id="312" w:name="page313"/>
    <w:bookmarkEnd w:id="312"/>
    <w:p>
      <w:pPr>
        <w:ind w:left="2280" w:hanging="328"/>
        <w:spacing w:after="0"/>
        <w:tabs>
          <w:tab w:leader="none" w:pos="2280" w:val="left"/>
        </w:tabs>
        <w:numPr>
          <w:ilvl w:val="1"/>
          <w:numId w:val="267"/>
        </w:numPr>
        <w:rPr>
          <w:rFonts w:ascii="Arial" w:cs="Arial" w:eastAsia="Arial" w:hAnsi="Arial"/>
          <w:sz w:val="20"/>
          <w:szCs w:val="20"/>
          <w:color w:val="auto"/>
        </w:rPr>
      </w:pPr>
      <w:r>
        <w:rPr>
          <w:rFonts w:ascii="Arial" w:cs="Arial" w:eastAsia="Arial" w:hAnsi="Arial"/>
          <w:sz w:val="20"/>
          <w:szCs w:val="20"/>
          <w:color w:val="auto"/>
        </w:rPr>
        <w:t>if to Canadian Administrative Agent, to it at the Notice Address;</w:t>
      </w:r>
    </w:p>
    <w:p>
      <w:pPr>
        <w:spacing w:after="0" w:line="229" w:lineRule="exact"/>
        <w:rPr>
          <w:rFonts w:ascii="Arial" w:cs="Arial" w:eastAsia="Arial" w:hAnsi="Arial"/>
          <w:sz w:val="20"/>
          <w:szCs w:val="20"/>
          <w:color w:val="auto"/>
        </w:rPr>
      </w:pPr>
    </w:p>
    <w:p>
      <w:pPr>
        <w:ind w:left="1960" w:hanging="8"/>
        <w:spacing w:after="0" w:line="246" w:lineRule="auto"/>
        <w:tabs>
          <w:tab w:leader="none" w:pos="2250" w:val="left"/>
        </w:tabs>
        <w:numPr>
          <w:ilvl w:val="1"/>
          <w:numId w:val="267"/>
        </w:numPr>
        <w:rPr>
          <w:rFonts w:ascii="Arial" w:cs="Arial" w:eastAsia="Arial" w:hAnsi="Arial"/>
          <w:sz w:val="20"/>
          <w:szCs w:val="20"/>
          <w:color w:val="auto"/>
        </w:rPr>
      </w:pPr>
      <w:r>
        <w:rPr>
          <w:rFonts w:ascii="Arial" w:cs="Arial" w:eastAsia="Arial" w:hAnsi="Arial"/>
          <w:sz w:val="20"/>
          <w:szCs w:val="20"/>
          <w:color w:val="auto"/>
        </w:rPr>
        <w:t>if to Deutsche Bank AG London Branch, as Facing Agent, to it at 175 Bishopsgate, EC2A 2JN London, United Kingdom;</w:t>
      </w:r>
    </w:p>
    <w:p>
      <w:pPr>
        <w:spacing w:after="0" w:line="203" w:lineRule="exact"/>
        <w:rPr>
          <w:rFonts w:ascii="Arial" w:cs="Arial" w:eastAsia="Arial" w:hAnsi="Arial"/>
          <w:sz w:val="20"/>
          <w:szCs w:val="20"/>
          <w:color w:val="auto"/>
        </w:rPr>
      </w:pPr>
    </w:p>
    <w:p>
      <w:pPr>
        <w:jc w:val="both"/>
        <w:ind w:left="1960" w:hanging="8"/>
        <w:spacing w:after="0" w:line="237" w:lineRule="auto"/>
        <w:tabs>
          <w:tab w:leader="none" w:pos="2315" w:val="left"/>
        </w:tabs>
        <w:numPr>
          <w:ilvl w:val="1"/>
          <w:numId w:val="267"/>
        </w:numPr>
        <w:rPr>
          <w:rFonts w:ascii="Arial" w:cs="Arial" w:eastAsia="Arial" w:hAnsi="Arial"/>
          <w:sz w:val="20"/>
          <w:szCs w:val="20"/>
          <w:color w:val="auto"/>
        </w:rPr>
      </w:pPr>
      <w:r>
        <w:rPr>
          <w:rFonts w:ascii="Arial" w:cs="Arial" w:eastAsia="Arial" w:hAnsi="Arial"/>
          <w:sz w:val="20"/>
          <w:szCs w:val="20"/>
          <w:color w:val="auto"/>
        </w:rPr>
        <w:t>f to a Lender or any other Facing Agent, to it at its address (or telecopy number) set forth on its most recent administrative questionnaire delivered to Administrative Agent or in the assignment and acceptance agreement pursuant to which such Lender shall have become a party hereto.</w:t>
      </w:r>
    </w:p>
    <w:p>
      <w:pPr>
        <w:spacing w:after="0" w:line="209" w:lineRule="exact"/>
        <w:rPr>
          <w:rFonts w:ascii="Arial" w:cs="Arial" w:eastAsia="Arial" w:hAnsi="Arial"/>
          <w:sz w:val="20"/>
          <w:szCs w:val="20"/>
          <w:color w:val="auto"/>
        </w:rPr>
      </w:pPr>
    </w:p>
    <w:p>
      <w:pPr>
        <w:jc w:val="both"/>
        <w:ind w:firstLine="656"/>
        <w:spacing w:after="0" w:line="244" w:lineRule="auto"/>
        <w:tabs>
          <w:tab w:leader="none" w:pos="967" w:val="left"/>
        </w:tabs>
        <w:numPr>
          <w:ilvl w:val="0"/>
          <w:numId w:val="268"/>
        </w:numPr>
        <w:rPr>
          <w:rFonts w:ascii="Arial" w:cs="Arial" w:eastAsia="Arial" w:hAnsi="Arial"/>
          <w:sz w:val="19"/>
          <w:szCs w:val="19"/>
          <w:color w:val="auto"/>
        </w:rPr>
      </w:pPr>
      <w:r>
        <w:rPr>
          <w:rFonts w:ascii="Arial" w:cs="Arial" w:eastAsia="Arial" w:hAnsi="Arial"/>
          <w:sz w:val="19"/>
          <w:szCs w:val="19"/>
          <w:color w:val="auto"/>
        </w:rPr>
        <w:t xml:space="preserve">Notices and other communications to or by any Agent, the Lenders and the Facing Agent hereunder may be delivered or furnished by electronic communication (including e-mail and Internet or intranet websites) pursuant to procedures approved by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unless otherwise agreed by Administrative Agent and the applicable Lender and, to the extent applicable, the Facing Agent. Any Agent or Borrower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Unless Administrative Agent otherwise prescribes, (i) notices and other communications sent to an e-mail address or by facsimile transmission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sent after 5:00 p.m. (New York City time),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Each Credit Party and Lender hereunder agrees to notify Administrative Agent in writing promptly of any change to the notice information provided above.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12.4 Costs and Expenses; Indemnification</w:t>
      </w:r>
    </w:p>
    <w:p>
      <w:pPr>
        <w:ind w:left="66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left="1300" w:firstLine="4"/>
        <w:spacing w:after="0" w:line="252" w:lineRule="auto"/>
        <w:tabs>
          <w:tab w:leader="none" w:pos="1569" w:val="left"/>
        </w:tabs>
        <w:numPr>
          <w:ilvl w:val="0"/>
          <w:numId w:val="26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Each Credit Party (jointly and severally to the extent legally permissible) agrees to pay promptly upon request by any Agent (or any Lender in connection with any enforcement or atonement as provided below) (i) all reasonable out-of-pocket costs and expenses in connection with the negotiation, preparation, printing, typing, reproduction, execution, delivery and syndication of this Agreement and the other Loan Documents and the documents and instruments referred to herein and therein and any amendment, waiver or consent relating hereto or thereto or other modifications of (or supplements to) any of the foregoing and any and all other documents and instruments furnished pursuant hereto or thereto or in connection herewith or therewith (including in connection with the pledge of Additional Collateral), including without limitation, the reasonable fees and out-of-pocket expenses of independent public accountants and other outside experts retained by Administrative Agent and of Cahill Gordon &amp; Reindel llp, counsel to Administrative Agent, and any local counsel retained by Administrative Agent relative thereto and other Attorney Costs, in connection with the administration of this Agreement and the other Loan Documents, and all search fees, appraisal fees and expenses, title insurance policy fees, costs and expenses and filing and recording fees, (ii) all reasonable out-of-pocket expenses incurred by any Facing Agent in connection with the issuance, amendment, renewal or extension of any Letter of Credit or any demand for payment thereunder and (iii) all reasonable out-of-pocket costs and expenses incurred by any Agent, any Lender</w:t>
      </w:r>
    </w:p>
    <w:p>
      <w:pPr>
        <w:sectPr>
          <w:pgSz w:w="11900" w:h="16838" w:orient="portrait"/>
          <w:cols w:equalWidth="0" w:num="1">
            <w:col w:w="11240"/>
          </w:cols>
          <w:pgMar w:left="320" w:top="1419" w:right="339" w:bottom="1440" w:gutter="0" w:footer="0" w:header="0"/>
        </w:sectPr>
      </w:pPr>
    </w:p>
    <w:bookmarkStart w:id="313" w:name="page314"/>
    <w:bookmarkEnd w:id="313"/>
    <w:p>
      <w:pPr>
        <w:jc w:val="both"/>
        <w:ind w:left="180"/>
        <w:spacing w:after="0" w:line="248" w:lineRule="auto"/>
        <w:rPr>
          <w:sz w:val="20"/>
          <w:szCs w:val="20"/>
          <w:color w:val="auto"/>
        </w:rPr>
      </w:pPr>
      <w:r>
        <w:rPr>
          <w:rFonts w:ascii="Arial" w:cs="Arial" w:eastAsia="Arial" w:hAnsi="Arial"/>
          <w:sz w:val="19"/>
          <w:szCs w:val="19"/>
          <w:color w:val="auto"/>
        </w:rPr>
        <w:t>or any Facing Agent, including the fees, charges and Attorney Costs in connection with the enforcement or protection of its rights in connection with this Agreement and the other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204" w:lineRule="exact"/>
        <w:rPr>
          <w:sz w:val="20"/>
          <w:szCs w:val="20"/>
          <w:color w:val="auto"/>
        </w:rPr>
      </w:pPr>
    </w:p>
    <w:p>
      <w:pPr>
        <w:jc w:val="both"/>
        <w:ind w:left="180" w:firstLine="4"/>
        <w:spacing w:after="0" w:line="252" w:lineRule="auto"/>
        <w:tabs>
          <w:tab w:leader="none" w:pos="487" w:val="left"/>
        </w:tabs>
        <w:numPr>
          <w:ilvl w:val="0"/>
          <w:numId w:val="27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Each Credit Party (jointly and severally to the extent legally permissible) will indemnify and hold harmless each Agent and each Lender and each director, officer, employee, agent, attorney and Affiliate of each Agent and each Lender (each such Person an “</w:t>
      </w:r>
      <w:r>
        <w:rPr>
          <w:rFonts w:ascii="Arial" w:cs="Arial" w:eastAsia="Arial" w:hAnsi="Arial"/>
          <w:sz w:val="18"/>
          <w:szCs w:val="18"/>
          <w:u w:val="single" w:color="auto"/>
          <w:color w:val="auto"/>
        </w:rPr>
        <w:t>Indemnified 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Indemnified Persons</w:t>
      </w:r>
      <w:r>
        <w:rPr>
          <w:rFonts w:ascii="Arial" w:cs="Arial" w:eastAsia="Arial" w:hAnsi="Arial"/>
          <w:sz w:val="18"/>
          <w:szCs w:val="18"/>
          <w:color w:val="auto"/>
        </w:rPr>
        <w:t xml:space="preserve">”) from and against all losses, claims, damages, or liabilities and related reasonable, documented and out-of-pocket expenses, including Attorney Costs, charges and disbursements to which such Indemnified Person may become subject or which may be asserted against such Indemnified Person by any third party or by any Credit Party, insofar as such losses, claims, damages, penalties, expenses or liabilities (or actions, suits or proceedings including any inquiry or investigation or claims in respect thereof (whether or not an Agent or any Lender is a party thereto)) arise out of, in any way relate to, or result from (i) the execution or delivery of this Agreement, any other Loan Document or any agreement or instrument contemplated hereby or thereby, the performance by the parties hereto of their respective obligations hereunder or the consummation of the transactions contemplated hereby or thereby, (ii) any Loan or Letter of Credit or the use of the proceeds therefrom (including any refusal by the Facing Agent to honor a demand for payment under a Letter of Credit if the documents presented in connection with such demand do not strictly comply with the terms of such Letter of Credit), (iii) any Release or threatened Release of any Hazardous Materials into the Environment for which any Credit Party or any of its Subsidiaries has any liability or which is related to any property currently or formerly owned, leased or operated by or on behalf of Crown Holdings or any of its Subsidiaries, any Environmental Lien for which any Credit Party or any of its Subsidiaries has any liability, any Environmental Liability related in any way to Crown Holdings or any of its Subsidiaries or any liability which occurs by a breach of any of the representations, warranties or covenants relating to environmental matters contained herein, or (iv) any actual or prospective claim, litigation, investigation or proceeding relating to any of the foregoing, whether based on contract, tort or any other theory and regardless of whether brought by a third party or by a Credit Party and regardless of whether any Indemnified Person is a party thereto, and to reimburse each Indemnified Person upon their demand, for any Attorney Costs or other expenses incurred in connection with investigating, preparing to defend or defending any such loss, claim, damage, liability, action or claim;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w:t>
      </w:r>
    </w:p>
    <w:p>
      <w:pPr>
        <w:spacing w:after="0" w:line="212" w:lineRule="exact"/>
        <w:rPr>
          <w:rFonts w:ascii="Arial" w:cs="Arial" w:eastAsia="Arial" w:hAnsi="Arial"/>
          <w:sz w:val="18"/>
          <w:szCs w:val="18"/>
          <w:u w:val="single" w:color="auto"/>
          <w:color w:val="auto"/>
        </w:rPr>
      </w:pPr>
    </w:p>
    <w:p>
      <w:pPr>
        <w:jc w:val="both"/>
        <w:ind w:left="840" w:hanging="8"/>
        <w:spacing w:after="0" w:line="254" w:lineRule="auto"/>
        <w:tabs>
          <w:tab w:leader="none" w:pos="1107" w:val="left"/>
        </w:tabs>
        <w:numPr>
          <w:ilvl w:val="1"/>
          <w:numId w:val="270"/>
        </w:numPr>
        <w:rPr>
          <w:rFonts w:ascii="Arial" w:cs="Arial" w:eastAsia="Arial" w:hAnsi="Arial"/>
          <w:sz w:val="19"/>
          <w:szCs w:val="19"/>
          <w:color w:val="auto"/>
        </w:rPr>
      </w:pPr>
      <w:r>
        <w:rPr>
          <w:rFonts w:ascii="Arial" w:cs="Arial" w:eastAsia="Arial" w:hAnsi="Arial"/>
          <w:sz w:val="19"/>
          <w:szCs w:val="19"/>
          <w:color w:val="auto"/>
        </w:rPr>
        <w:t>that no Indemnified Person shall have the right to be so indemnified hereunder for any loss, claim, damage, penalties, obligations, expense or liability to the extent it arises or results from the gross negligence, bad faith or willful misconduct of such Indemnified Person as finally determined by a court of competent jurisdiction; and</w:t>
      </w:r>
    </w:p>
    <w:p>
      <w:pPr>
        <w:spacing w:after="0" w:line="197" w:lineRule="exact"/>
        <w:rPr>
          <w:sz w:val="20"/>
          <w:szCs w:val="20"/>
          <w:color w:val="auto"/>
        </w:rPr>
      </w:pPr>
    </w:p>
    <w:p>
      <w:pPr>
        <w:ind w:left="840" w:right="20"/>
        <w:spacing w:after="0" w:line="246" w:lineRule="auto"/>
        <w:rPr>
          <w:sz w:val="20"/>
          <w:szCs w:val="20"/>
          <w:color w:val="auto"/>
        </w:rPr>
      </w:pPr>
      <w:r>
        <w:rPr>
          <w:rFonts w:ascii="Arial" w:cs="Arial" w:eastAsia="Arial" w:hAnsi="Arial"/>
          <w:sz w:val="20"/>
          <w:szCs w:val="20"/>
          <w:color w:val="auto"/>
        </w:rPr>
        <w:t>(ii)that nothing contained herein shall affect the express contractual obligations of the Lenders to any Credit Party contained herein or in the other Loan Documents.</w:t>
      </w:r>
    </w:p>
    <w:p>
      <w:pPr>
        <w:sectPr>
          <w:pgSz w:w="11900" w:h="16838" w:orient="portrait"/>
          <w:cols w:equalWidth="0" w:num="1">
            <w:col w:w="10120"/>
          </w:cols>
          <w:pgMar w:left="1440" w:top="1419" w:right="339" w:bottom="1440" w:gutter="0" w:footer="0" w:header="0"/>
        </w:sectPr>
      </w:pPr>
    </w:p>
    <w:bookmarkStart w:id="314" w:name="page315"/>
    <w:bookmarkEnd w:id="314"/>
    <w:p>
      <w:pPr>
        <w:jc w:val="both"/>
        <w:ind w:right="20" w:firstLine="648"/>
        <w:spacing w:after="0" w:line="246" w:lineRule="auto"/>
        <w:rPr>
          <w:sz w:val="20"/>
          <w:szCs w:val="20"/>
          <w:color w:val="auto"/>
        </w:rPr>
      </w:pPr>
      <w:r>
        <w:rPr>
          <w:rFonts w:ascii="Arial" w:cs="Arial" w:eastAsia="Arial" w:hAnsi="Arial"/>
          <w:sz w:val="20"/>
          <w:szCs w:val="20"/>
          <w:color w:val="auto"/>
        </w:rPr>
        <w:t xml:space="preserve">For the avoidance of doubt, this </w:t>
      </w:r>
      <w:r>
        <w:rPr>
          <w:rFonts w:ascii="Arial" w:cs="Arial" w:eastAsia="Arial" w:hAnsi="Arial"/>
          <w:sz w:val="20"/>
          <w:szCs w:val="20"/>
          <w:u w:val="single" w:color="auto"/>
          <w:color w:val="auto"/>
        </w:rPr>
        <w:t>Section 12.4(b)</w:t>
      </w:r>
      <w:r>
        <w:rPr>
          <w:rFonts w:ascii="Arial" w:cs="Arial" w:eastAsia="Arial" w:hAnsi="Arial"/>
          <w:sz w:val="20"/>
          <w:szCs w:val="20"/>
          <w:color w:val="auto"/>
        </w:rPr>
        <w:t xml:space="preserve"> shall not apply to Taxes, except any Taxes that represent claims, demands, liabilities, damages, losses, costs, charges and expenses arising from any non-Tax claim.</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If any action, suit or proceeding arising from any of the foregoing is brought against any Agent, any Lender or any other Person indemnified or intended to be indemnified pursuant to this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Crown Holdings or the applicable Borrower will, if requested by any Agent, any Lender or any such Indemnified Person, resist and defend such action, suit or proceeding or cause the same to be resisted and defended by counsel reasonably satisfactory to the Person or Persons indemnified or intended to be indemnified. Each Indemnified Person shall, unless an Agent, a Lender or other Indemnified Person has made the request described in the preceding sentence and such request has been complied with, have the right to employ its own counsel (or (but not as well as) staff counsel) to investigate and control the defense of any matter covered by such indemnity and the reasonable fees and expenses of such counsel shall be at the expense of the indemnifying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any one action or separate but similar or related actions in the same jurisdiction arising out of the same general allegations or circumstances, the Credit Parties shall not be liable for fees and expenses of more than one counsel (in addition to any local counsel), which counsel shall be designated by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each Indemnified Person shall have the right to employ separate counsel in any such inquiry, action, claim or proceeding and to control the defense thereof, and the reasonable fees and expenses of such counsel shall be at the expense of the Credit Parties to the extent that (i) Crown Holdings or any other Credit Party shall have agreed in writing to pay such fees and expenses or (ii) such Indemnified Person shall have notified Crown Holdings that it has been advised by counsel that there may be one or more legal defenses available to such Indemnified Person that are different from or additional to those available to the other Indemnified Persons and that such common representation would adversely impact the adequacy of the proposed representation.</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Any and all amounts so expended by any Agent shall be repaid to it by the Credit Parties promptly upon such Agent’s demand therefor, with interest at the Default Rate in effect from time to time during the period including the date so expended by such Agent to the date of repayment. To the extent that the undertaking to indemnify, pay or hold harmless any Indemnified Person as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12.4</w:t>
      </w:r>
      <w:r>
        <w:rPr>
          <w:rFonts w:ascii="Arial" w:cs="Arial" w:eastAsia="Arial" w:hAnsi="Arial"/>
          <w:sz w:val="18"/>
          <w:szCs w:val="18"/>
          <w:color w:val="auto"/>
        </w:rPr>
        <w:t xml:space="preserve"> may be unenforceable because it is violative of any law or public policy, the Credit Parties shall make the maximum contribution to the payment and satisfaction of each of the indemnified liabilities which is permissible under applicable law. The obligations of the Credit Parties under this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shall survive the termination of this Agreement and the discharge of the Credit Party’s other Obligations hereunder.</w:t>
      </w:r>
    </w:p>
    <w:p>
      <w:pPr>
        <w:spacing w:after="0" w:line="194" w:lineRule="exact"/>
        <w:rPr>
          <w:sz w:val="20"/>
          <w:szCs w:val="20"/>
          <w:color w:val="auto"/>
        </w:rPr>
      </w:pPr>
    </w:p>
    <w:p>
      <w:pPr>
        <w:jc w:val="both"/>
        <w:ind w:left="1300"/>
        <w:spacing w:after="0" w:line="288" w:lineRule="auto"/>
        <w:rPr>
          <w:sz w:val="20"/>
          <w:szCs w:val="20"/>
          <w:color w:val="auto"/>
        </w:rPr>
      </w:pPr>
      <w:r>
        <w:rPr>
          <w:rFonts w:ascii="Arial" w:cs="Arial" w:eastAsia="Arial" w:hAnsi="Arial"/>
          <w:sz w:val="16"/>
          <w:szCs w:val="16"/>
          <w:u w:val="single" w:color="auto"/>
          <w:color w:val="auto"/>
        </w:rPr>
        <w:t>(c)Foreign Exchange Indemnity</w:t>
      </w:r>
      <w:r>
        <w:rPr>
          <w:rFonts w:ascii="Arial" w:cs="Arial" w:eastAsia="Arial" w:hAnsi="Arial"/>
          <w:sz w:val="16"/>
          <w:szCs w:val="16"/>
          <w:color w:val="auto"/>
        </w:rPr>
        <w:t>. If any sum due from any Credit Party or any of its Subsidiaries under this Agreement or any order or judgment given or made in relation hereto has to be converted from the currency (the “</w:t>
      </w:r>
      <w:r>
        <w:rPr>
          <w:rFonts w:ascii="Arial" w:cs="Arial" w:eastAsia="Arial" w:hAnsi="Arial"/>
          <w:sz w:val="16"/>
          <w:szCs w:val="16"/>
          <w:u w:val="single" w:color="auto"/>
          <w:color w:val="auto"/>
        </w:rPr>
        <w:t>First Currency</w:t>
      </w:r>
      <w:r>
        <w:rPr>
          <w:rFonts w:ascii="Arial" w:cs="Arial" w:eastAsia="Arial" w:hAnsi="Arial"/>
          <w:sz w:val="16"/>
          <w:szCs w:val="16"/>
          <w:color w:val="auto"/>
        </w:rPr>
        <w:t>”) in which the same is payable hereunder or under such order or judgment into another currency (the “</w:t>
      </w:r>
      <w:r>
        <w:rPr>
          <w:rFonts w:ascii="Arial" w:cs="Arial" w:eastAsia="Arial" w:hAnsi="Arial"/>
          <w:sz w:val="16"/>
          <w:szCs w:val="16"/>
          <w:u w:val="single" w:color="auto"/>
          <w:color w:val="auto"/>
        </w:rPr>
        <w:t>Second Currency</w:t>
      </w:r>
      <w:r>
        <w:rPr>
          <w:rFonts w:ascii="Arial" w:cs="Arial" w:eastAsia="Arial" w:hAnsi="Arial"/>
          <w:sz w:val="16"/>
          <w:szCs w:val="16"/>
          <w:color w:val="auto"/>
        </w:rPr>
        <w:t>”) for the purpose of</w:t>
      </w:r>
    </w:p>
    <w:p>
      <w:pPr>
        <w:spacing w:after="0" w:line="2" w:lineRule="exact"/>
        <w:rPr>
          <w:sz w:val="20"/>
          <w:szCs w:val="20"/>
          <w:color w:val="auto"/>
        </w:rPr>
      </w:pPr>
    </w:p>
    <w:p>
      <w:pPr>
        <w:ind w:left="1540" w:hanging="236"/>
        <w:spacing w:after="0"/>
        <w:tabs>
          <w:tab w:leader="none" w:pos="15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making or filing a claim or proof against any Credit Party with any Governmental Authority or in any court or tribunal, or</w:t>
      </w:r>
    </w:p>
    <w:p>
      <w:pPr>
        <w:spacing w:after="0" w:line="9" w:lineRule="exact"/>
        <w:rPr>
          <w:rFonts w:ascii="Arial" w:cs="Arial" w:eastAsia="Arial" w:hAnsi="Arial"/>
          <w:sz w:val="18"/>
          <w:szCs w:val="18"/>
          <w:color w:val="auto"/>
        </w:rPr>
      </w:pPr>
    </w:p>
    <w:p>
      <w:pPr>
        <w:jc w:val="both"/>
        <w:ind w:left="1300" w:firstLine="4"/>
        <w:spacing w:after="0" w:line="255" w:lineRule="auto"/>
        <w:tabs>
          <w:tab w:leader="none" w:pos="160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enforcing any order or judgment given or made in relation hereto, such Credit Party shall indemnify and hold harmless each of the Persons to whom such sum is due from and against any loss actually suffered as a result of any discrepancy between (a) the rate of exchange used to convert the amount in question from the First Currency into the Second Currency, and (b) the rate or rates of exchange at which such Person, acting in good faith in a commercially reasonable manner, purchased the First Currency with the Second Currency after receipt of a sum paid to it in the Second Currency in satisfaction, in whole or in part, of any such order, judgment, claim or proof. The foregoing indemnity shall constitute a separate obligation of each Credit Party distinct from its other obligations hereunder and shall</w:t>
      </w:r>
    </w:p>
    <w:p>
      <w:pPr>
        <w:sectPr>
          <w:pgSz w:w="11900" w:h="16838" w:orient="portrait"/>
          <w:cols w:equalWidth="0" w:num="1">
            <w:col w:w="11240"/>
          </w:cols>
          <w:pgMar w:left="320" w:top="1419" w:right="339" w:bottom="1440" w:gutter="0" w:footer="0" w:header="0"/>
        </w:sectPr>
      </w:pPr>
    </w:p>
    <w:bookmarkStart w:id="315" w:name="page316"/>
    <w:bookmarkEnd w:id="315"/>
    <w:p>
      <w:pPr>
        <w:ind w:left="644"/>
        <w:spacing w:after="0"/>
        <w:rPr>
          <w:sz w:val="20"/>
          <w:szCs w:val="20"/>
          <w:color w:val="auto"/>
        </w:rPr>
      </w:pPr>
      <w:r>
        <w:rPr>
          <w:rFonts w:ascii="Arial" w:cs="Arial" w:eastAsia="Arial" w:hAnsi="Arial"/>
          <w:sz w:val="20"/>
          <w:szCs w:val="20"/>
          <w:color w:val="auto"/>
        </w:rPr>
        <w:t>survive the giving or making of any judgment or order in relation to all or any of such other obligations.</w:t>
      </w:r>
    </w:p>
    <w:p>
      <w:pPr>
        <w:spacing w:after="0" w:line="229" w:lineRule="exact"/>
        <w:rPr>
          <w:sz w:val="20"/>
          <w:szCs w:val="20"/>
          <w:color w:val="auto"/>
        </w:rPr>
      </w:pPr>
    </w:p>
    <w:p>
      <w:pPr>
        <w:jc w:val="both"/>
        <w:ind w:left="644" w:firstLine="4"/>
        <w:spacing w:after="0"/>
        <w:tabs>
          <w:tab w:leader="none" w:pos="927" w:val="left"/>
        </w:tabs>
        <w:numPr>
          <w:ilvl w:val="0"/>
          <w:numId w:val="272"/>
        </w:numPr>
        <w:rPr>
          <w:rFonts w:ascii="Arial" w:cs="Arial" w:eastAsia="Arial" w:hAnsi="Arial"/>
          <w:sz w:val="19"/>
          <w:szCs w:val="19"/>
          <w:color w:val="auto"/>
        </w:rPr>
      </w:pPr>
      <w:r>
        <w:rPr>
          <w:rFonts w:ascii="Arial" w:cs="Arial" w:eastAsia="Arial" w:hAnsi="Arial"/>
          <w:sz w:val="19"/>
          <w:szCs w:val="19"/>
          <w:color w:val="auto"/>
        </w:rPr>
        <w:t xml:space="preserve">To the extent permitted by applicable law, no party hereto, no Indemnified Person, and no Credit Party or any Affiliate of any Credit Party, shall assert, and each hereby waive, any claim against any party hereto, Indemnified Person, or Credit Party or any Affiliate of any Credit Party, on any theory of liability, for indirect, special, exemplary, incidental, punitive or consequential damages (including, without limitation, any loss of profits, business or anticipated savings) (as opposed to direct or actual damages) (whether or not the claim therefor is based on contract, tort or duty imposed by any applicable legal requirement) arising out of, in connection with, or as a result of, this Agreement, any other Loan Document or any agreement or instrument contemplated hereby, the transactions contemplated hereby or thereby (including the Transactions), or any Loan or Letter of Credit, or, in each case, the use of the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contained in this sentence shall limit the Credit Parties’ indemnification obligations to the extent set forth above to the extent such indirect, special, exemplary, incidental, punitive or consequential damages (including, without limitation, any loss of profits, business or anticipated savings) are included in any third party claim in connection with which such Indemnified Person is entitled to indemnification hereunder.</w:t>
      </w:r>
    </w:p>
    <w:p>
      <w:pPr>
        <w:spacing w:after="0" w:line="213" w:lineRule="exact"/>
        <w:rPr>
          <w:sz w:val="20"/>
          <w:szCs w:val="20"/>
          <w:color w:val="auto"/>
        </w:rPr>
      </w:pPr>
    </w:p>
    <w:p>
      <w:pPr>
        <w:jc w:val="both"/>
        <w:ind w:left="4"/>
        <w:spacing w:after="0" w:line="254" w:lineRule="auto"/>
        <w:rPr>
          <w:sz w:val="20"/>
          <w:szCs w:val="20"/>
          <w:color w:val="auto"/>
        </w:rPr>
      </w:pPr>
      <w:r>
        <w:rPr>
          <w:rFonts w:ascii="Arial" w:cs="Arial" w:eastAsia="Arial" w:hAnsi="Arial"/>
          <w:sz w:val="19"/>
          <w:szCs w:val="19"/>
          <w:u w:val="single" w:color="auto"/>
          <w:color w:val="auto"/>
        </w:rPr>
        <w:t>12.5 Confirmations</w:t>
      </w:r>
      <w:r>
        <w:rPr>
          <w:rFonts w:ascii="Arial" w:cs="Arial" w:eastAsia="Arial" w:hAnsi="Arial"/>
          <w:sz w:val="19"/>
          <w:szCs w:val="19"/>
          <w:color w:val="auto"/>
        </w:rPr>
        <w:t>. Each Borrower and each holder of any portion of the Obligations agrees from time to time, upon written request received by it from the other, to confirm to the other in writing (with a copy of each such confirmation to Administrative Agent) the aggregate unpaid principal amount of the Loan or Loans and other Obligations then outstanding.</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20"/>
          <w:szCs w:val="20"/>
          <w:u w:val="single" w:color="auto"/>
          <w:color w:val="auto"/>
        </w:rPr>
        <w:t>12.6 Adjustment; Setoff</w:t>
      </w:r>
    </w:p>
    <w:p>
      <w:pPr>
        <w:ind w:left="4"/>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left="-656" w:firstLine="656"/>
        <w:spacing w:after="0" w:line="253" w:lineRule="auto"/>
        <w:tabs>
          <w:tab w:leader="none" w:pos="28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If any lender (a “</w:t>
      </w:r>
      <w:r>
        <w:rPr>
          <w:rFonts w:ascii="Arial" w:cs="Arial" w:eastAsia="Arial" w:hAnsi="Arial"/>
          <w:sz w:val="18"/>
          <w:szCs w:val="18"/>
          <w:u w:val="single" w:color="auto"/>
          <w:color w:val="auto"/>
        </w:rPr>
        <w:t>Benefited Lender</w:t>
      </w:r>
      <w:r>
        <w:rPr>
          <w:rFonts w:ascii="Arial" w:cs="Arial" w:eastAsia="Arial" w:hAnsi="Arial"/>
          <w:sz w:val="18"/>
          <w:szCs w:val="18"/>
          <w:color w:val="auto"/>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Arial" w:cs="Arial" w:eastAsia="Arial" w:hAnsi="Arial"/>
          <w:sz w:val="18"/>
          <w:szCs w:val="18"/>
          <w:u w:val="single" w:color="auto"/>
          <w:color w:val="auto"/>
        </w:rPr>
        <w:t>Section 10.1(i)</w:t>
      </w:r>
      <w:r>
        <w:rPr>
          <w:rFonts w:ascii="Arial" w:cs="Arial" w:eastAsia="Arial" w:hAnsi="Arial"/>
          <w:sz w:val="18"/>
          <w:szCs w:val="18"/>
          <w:color w:val="auto"/>
        </w:rPr>
        <w:t xml:space="preserve"> hereof, or otherwise) in a greater proportion than any such payment to and collateral received by any other Lender in respect of such other Lender’s Loans or interest thereon, such Benefited Lender shall (i) notify Administrative Agent of that fact and (ii) purchase for cash at face value from the other Lenders such portion of each such other Lender’s Loans, or shall provide such other Lenders with the benefits of any such collateral, or the proceeds thereof, as shall be necessary to cause such Benefited Lender to share the excess payment or benefits of such collateral or proceeds ratably with each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(x) if all or any portion of such excess payment or benefits is thereafter recovered from such Benefited Lender, such purchase shall be rescinded, and the purchase price and benefits returned, to the extent of such recovery, but without interest and (y) this </w:t>
      </w:r>
      <w:r>
        <w:rPr>
          <w:rFonts w:ascii="Arial" w:cs="Arial" w:eastAsia="Arial" w:hAnsi="Arial"/>
          <w:sz w:val="18"/>
          <w:szCs w:val="18"/>
          <w:u w:val="single" w:color="auto"/>
          <w:color w:val="auto"/>
        </w:rPr>
        <w:t>Section 12.6(a)</w:t>
      </w:r>
      <w:r>
        <w:rPr>
          <w:rFonts w:ascii="Arial" w:cs="Arial" w:eastAsia="Arial" w:hAnsi="Arial"/>
          <w:sz w:val="18"/>
          <w:szCs w:val="18"/>
          <w:color w:val="auto"/>
        </w:rPr>
        <w:t xml:space="preserve"> shall not apply to (1) any payment made by a Credit Party pursuant to and in accordance with the express terms of this Agreement or (2) any payment obtained by a Lender as consideration for the assignment or sale of a participation to any assignee or participant, other than to any Credit Party or any Subsidiary thereof. Each Credit Party agrees that each Lender so purchasing a portion of another Lender’s Loans may exercise all rights of payment (including, without limitation, rights of setoff) with respect to such portion as fully as if such Lender were the direct holder of such portion.</w:t>
      </w:r>
    </w:p>
    <w:p>
      <w:pPr>
        <w:spacing w:after="0" w:line="198" w:lineRule="exact"/>
        <w:rPr>
          <w:rFonts w:ascii="Arial" w:cs="Arial" w:eastAsia="Arial" w:hAnsi="Arial"/>
          <w:sz w:val="18"/>
          <w:szCs w:val="18"/>
          <w:color w:val="auto"/>
        </w:rPr>
      </w:pPr>
    </w:p>
    <w:p>
      <w:pPr>
        <w:jc w:val="both"/>
        <w:ind w:left="-656" w:firstLine="656"/>
        <w:spacing w:after="0" w:line="232" w:lineRule="auto"/>
        <w:tabs>
          <w:tab w:leader="none" w:pos="276" w:val="left"/>
        </w:tabs>
        <w:numPr>
          <w:ilvl w:val="0"/>
          <w:numId w:val="273"/>
        </w:numPr>
        <w:rPr>
          <w:rFonts w:ascii="Arial" w:cs="Arial" w:eastAsia="Arial" w:hAnsi="Arial"/>
          <w:sz w:val="20"/>
          <w:szCs w:val="20"/>
          <w:color w:val="auto"/>
        </w:rPr>
      </w:pPr>
      <w:r>
        <w:rPr>
          <w:rFonts w:ascii="Arial" w:cs="Arial" w:eastAsia="Arial" w:hAnsi="Arial"/>
          <w:sz w:val="20"/>
          <w:szCs w:val="20"/>
          <w:color w:val="auto"/>
        </w:rPr>
        <w:t>In addition to any rights and remedies of the Lenders provided by law, each Lender and its Affiliates shall have the right, without prior notice to any Credit Party or any of its Subsidiaries, any such notice being expressly waived by Crown Holdings, on behalf of itself and its Subsidiaries, upon the occurrence and during the continuance of an Event of Default, to setoff and apply against any Obligations, whether matured or unmatured, of Crown Holdings or any Credit Party to such Lender, any amount owing from such Lender to Crown Holdings or any of its Subsidiaries, at or at any time after, the</w:t>
      </w:r>
    </w:p>
    <w:p>
      <w:pPr>
        <w:sectPr>
          <w:pgSz w:w="11900" w:h="16838" w:orient="portrait"/>
          <w:cols w:equalWidth="0" w:num="1">
            <w:col w:w="10584"/>
          </w:cols>
          <w:pgMar w:left="976" w:top="1419" w:right="339" w:bottom="1440" w:gutter="0" w:footer="0" w:header="0"/>
        </w:sectPr>
      </w:pPr>
    </w:p>
    <w:bookmarkStart w:id="316" w:name="page317"/>
    <w:bookmarkEnd w:id="316"/>
    <w:p>
      <w:pPr>
        <w:jc w:val="both"/>
        <w:spacing w:after="0" w:line="253" w:lineRule="auto"/>
        <w:rPr>
          <w:sz w:val="20"/>
          <w:szCs w:val="20"/>
          <w:color w:val="auto"/>
        </w:rPr>
      </w:pPr>
      <w:r>
        <w:rPr>
          <w:rFonts w:ascii="Arial" w:cs="Arial" w:eastAsia="Arial" w:hAnsi="Arial"/>
          <w:sz w:val="18"/>
          <w:szCs w:val="18"/>
          <w:color w:val="auto"/>
        </w:rPr>
        <w:t xml:space="preserve">happening of any of the above-mentioned events, and the aforesaid right of setoff may be exercised by such Lender against Crown Holdings or any Credit Party or against any trustee in bankruptcy, debtor in possession, assignee for the benefit of creditors, Receivers, administrator, administrative Receiver, court appointed monitor or other similar official, or execution, judgment or attachment creditor of Crown Holdings or any Credit Party, or against anyone else claiming through or against, Crown Holdings or any Credit Party or such trustee in bankruptcy, debtor in possession, assignee for the benefit of creditors, Receivers, administrator, administrative receiver, court appointed monitor or other similar official, or execution, judgment or attachment creditor, notwithstanding the fact that such right of setoff shall not have been exercised by such Lender prior to the making, filing or issuance, or service upon such Lender of, or of notice of, any such petition, assignment for the benefit of creditors, appointment or application for the appointment of a Receiver, administrator, administrative receiver, court appointed monitor or other similar official, or issuance of execution, subpoena, order or warrant. Each Lender agrees promptly to notify Crown Holdings and Administrative Agent after any such setoff and application made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 In the event that any Defaulting Lender exercises any such right of setoff, (x) all amounts so set off will be paid over immediately to the Administrative Agent for further application in accordance with the provisions of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and, pending such payment, will be segregated by such Defaulting Lender from its other funds and deemed held in trust for the benefit of the Administrative Agent, the applicable Facing Agent, the Swing Line Lender and the Lenders and (y) the Defaulting Lender will provide promptly to the Administrative Agent a statement describing in reasonable detail the Obligations owing to such Defaulting Lender as to which it exercised such right of setoff.</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(c)Crown Holdings expressly agrees, on behalf of itself and its Subsidiaries, that to the extent Crown Holdings or any other Credit Party makes a payment or payments and such payment or payments, or any part thereof, are subsequently invalidated, declared to be fraudulent or preferential, set aside or are required to be repaid to a trustee, Receiver, administrator, administrative receiver, court appointed monitor or other similar official, or any other party under any bankruptcy act, state, provincial or federal law, common law or equitable cause in any jurisdiction, then to the extent of such payment or repayment, the Indebtedness to the Lenders or part thereof intended to be satisfied shall be revived and continued in full force and effect as if said payment or payments had not been made.</w:t>
      </w:r>
    </w:p>
    <w:p>
      <w:pPr>
        <w:spacing w:after="0" w:line="194" w:lineRule="exact"/>
        <w:rPr>
          <w:sz w:val="20"/>
          <w:szCs w:val="20"/>
          <w:color w:val="auto"/>
        </w:rPr>
      </w:pPr>
    </w:p>
    <w:p>
      <w:pPr>
        <w:jc w:val="both"/>
        <w:ind w:left="660"/>
        <w:spacing w:after="0" w:line="246" w:lineRule="auto"/>
        <w:rPr>
          <w:sz w:val="20"/>
          <w:szCs w:val="20"/>
          <w:color w:val="auto"/>
        </w:rPr>
      </w:pPr>
      <w:r>
        <w:rPr>
          <w:rFonts w:ascii="Arial" w:cs="Arial" w:eastAsia="Arial" w:hAnsi="Arial"/>
          <w:sz w:val="19"/>
          <w:szCs w:val="19"/>
          <w:u w:val="single" w:color="auto"/>
          <w:color w:val="auto"/>
        </w:rPr>
        <w:t>12.7 Execution in Counterparts; Electronic Execution</w:t>
      </w:r>
      <w:r>
        <w:rPr>
          <w:rFonts w:ascii="Arial" w:cs="Arial" w:eastAsia="Arial" w:hAnsi="Arial"/>
          <w:sz w:val="19"/>
          <w:szCs w:val="19"/>
          <w:color w:val="auto"/>
        </w:rPr>
        <w:t>. This Agreement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Agreement. Delivery of an executed counterpart of a signature page of this Agreement by telecopier, facsimile or other electronic transmission (i.e., a “pdf” or “tif”) shall be effective as delivery of a manually executed counterpart of this Agreement.</w:t>
      </w:r>
    </w:p>
    <w:p>
      <w:pPr>
        <w:spacing w:after="0" w:line="203" w:lineRule="exact"/>
        <w:rPr>
          <w:sz w:val="20"/>
          <w:szCs w:val="20"/>
          <w:color w:val="auto"/>
        </w:rPr>
      </w:pPr>
    </w:p>
    <w:p>
      <w:pPr>
        <w:ind w:left="660" w:right="4920"/>
        <w:spacing w:after="0" w:line="233" w:lineRule="auto"/>
        <w:rPr>
          <w:sz w:val="20"/>
          <w:szCs w:val="20"/>
          <w:color w:val="auto"/>
        </w:rPr>
      </w:pPr>
      <w:r>
        <w:rPr>
          <w:rFonts w:ascii="Arial" w:cs="Arial" w:eastAsia="Arial" w:hAnsi="Arial"/>
          <w:sz w:val="20"/>
          <w:szCs w:val="20"/>
          <w:u w:val="single" w:color="auto"/>
          <w:color w:val="auto"/>
        </w:rPr>
        <w:t xml:space="preserve">12.8 Binding Effect; Assignment; Addition and Substitution of Lenders </w:t>
      </w:r>
      <w:r>
        <w:rPr>
          <w:rFonts w:ascii="Arial" w:cs="Arial" w:eastAsia="Arial" w:hAnsi="Arial"/>
          <w:sz w:val="20"/>
          <w:szCs w:val="20"/>
          <w:color w:val="auto"/>
        </w:rPr>
        <w:t>.</w:t>
      </w:r>
    </w:p>
    <w:p>
      <w:pPr>
        <w:spacing w:after="0" w:line="1" w:lineRule="exact"/>
        <w:rPr>
          <w:sz w:val="20"/>
          <w:szCs w:val="20"/>
          <w:color w:val="auto"/>
        </w:rPr>
      </w:pPr>
    </w:p>
    <w:p>
      <w:pPr>
        <w:jc w:val="both"/>
        <w:ind w:left="1300" w:firstLine="4"/>
        <w:spacing w:after="0" w:line="228" w:lineRule="auto"/>
        <w:tabs>
          <w:tab w:leader="none" w:pos="1575" w:val="left"/>
        </w:tabs>
        <w:numPr>
          <w:ilvl w:val="0"/>
          <w:numId w:val="274"/>
        </w:numPr>
        <w:rPr>
          <w:rFonts w:ascii="Arial" w:cs="Arial" w:eastAsia="Arial" w:hAnsi="Arial"/>
          <w:sz w:val="20"/>
          <w:szCs w:val="20"/>
          <w:color w:val="auto"/>
        </w:rPr>
      </w:pPr>
      <w:r>
        <w:rPr>
          <w:rFonts w:ascii="Arial" w:cs="Arial" w:eastAsia="Arial" w:hAnsi="Arial"/>
          <w:sz w:val="20"/>
          <w:szCs w:val="20"/>
          <w:color w:val="auto"/>
        </w:rPr>
        <w:t>This Agreement shall be binding upon, and inure to the benefit of, Crown Holdings, U.S. Borrower, European Borrower, Canadian Borrower and each other Credit Party hereto</w:t>
      </w:r>
      <w:r>
        <w:rPr>
          <w:rFonts w:ascii="Arial" w:cs="Arial" w:eastAsia="Arial" w:hAnsi="Arial"/>
          <w:sz w:val="20"/>
          <w:szCs w:val="20"/>
          <w:i w:val="1"/>
          <w:iCs w:val="1"/>
          <w:color w:val="auto"/>
        </w:rPr>
        <w:t>,</w:t>
      </w:r>
      <w:r>
        <w:rPr>
          <w:rFonts w:ascii="Arial" w:cs="Arial" w:eastAsia="Arial" w:hAnsi="Arial"/>
          <w:sz w:val="20"/>
          <w:szCs w:val="20"/>
          <w:color w:val="auto"/>
        </w:rPr>
        <w:t xml:space="preserve"> Agents, the Lenders, all future holders of the Notes and their respective successors and assigns;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none of Crown Holdings, U.S. Borrower, European Borrower, Canadian Borrower or any other Credit Party may assign its rights or obligations hereunder or in connection herewith or any interest herein (voluntarily, by operation of law or otherwise) without the prior written consent of Administrative Agent and all of the Lenders.</w:t>
      </w:r>
    </w:p>
    <w:p>
      <w:pPr>
        <w:spacing w:after="0" w:line="212" w:lineRule="exact"/>
        <w:rPr>
          <w:rFonts w:ascii="Arial" w:cs="Arial" w:eastAsia="Arial" w:hAnsi="Arial"/>
          <w:sz w:val="20"/>
          <w:szCs w:val="20"/>
          <w:color w:val="auto"/>
        </w:rPr>
      </w:pPr>
    </w:p>
    <w:p>
      <w:pPr>
        <w:ind w:left="1300" w:right="20" w:firstLine="4"/>
        <w:spacing w:after="0" w:line="246" w:lineRule="auto"/>
        <w:tabs>
          <w:tab w:leader="none" w:pos="1613" w:val="left"/>
        </w:tabs>
        <w:numPr>
          <w:ilvl w:val="0"/>
          <w:numId w:val="274"/>
        </w:numPr>
        <w:rPr>
          <w:rFonts w:ascii="Arial" w:cs="Arial" w:eastAsia="Arial" w:hAnsi="Arial"/>
          <w:sz w:val="20"/>
          <w:szCs w:val="20"/>
          <w:color w:val="auto"/>
        </w:rPr>
      </w:pPr>
      <w:r>
        <w:rPr>
          <w:rFonts w:ascii="Arial" w:cs="Arial" w:eastAsia="Arial" w:hAnsi="Arial"/>
          <w:sz w:val="20"/>
          <w:szCs w:val="20"/>
          <w:color w:val="auto"/>
        </w:rPr>
        <w:t>Each Lender may at any time sell to one or more banks or other financial institutions (other than any Disqualified Institutions) (“</w:t>
      </w:r>
      <w:r>
        <w:rPr>
          <w:rFonts w:ascii="Arial" w:cs="Arial" w:eastAsia="Arial" w:hAnsi="Arial"/>
          <w:sz w:val="20"/>
          <w:szCs w:val="20"/>
          <w:u w:val="single" w:color="auto"/>
          <w:color w:val="auto"/>
        </w:rPr>
        <w:t>Participants</w:t>
      </w:r>
      <w:r>
        <w:rPr>
          <w:rFonts w:ascii="Arial" w:cs="Arial" w:eastAsia="Arial" w:hAnsi="Arial"/>
          <w:sz w:val="20"/>
          <w:szCs w:val="20"/>
          <w:color w:val="auto"/>
        </w:rPr>
        <w:t>”) participating interests in all or</w:t>
      </w:r>
    </w:p>
    <w:p>
      <w:pPr>
        <w:sectPr>
          <w:pgSz w:w="11900" w:h="16838" w:orient="portrait"/>
          <w:cols w:equalWidth="0" w:num="1">
            <w:col w:w="11240"/>
          </w:cols>
          <w:pgMar w:left="320" w:top="1419" w:right="339" w:bottom="1440" w:gutter="0" w:footer="0" w:header="0"/>
        </w:sectPr>
      </w:pPr>
    </w:p>
    <w:bookmarkStart w:id="317" w:name="page318"/>
    <w:bookmarkEnd w:id="317"/>
    <w:p>
      <w:pPr>
        <w:jc w:val="both"/>
        <w:ind w:left="180"/>
        <w:spacing w:after="0" w:line="217" w:lineRule="exact"/>
        <w:rPr>
          <w:sz w:val="20"/>
          <w:szCs w:val="20"/>
          <w:color w:val="auto"/>
        </w:rPr>
      </w:pPr>
      <w:r>
        <w:rPr>
          <w:rFonts w:ascii="Arial" w:cs="Arial" w:eastAsia="Arial" w:hAnsi="Arial"/>
          <w:sz w:val="18"/>
          <w:szCs w:val="18"/>
          <w:color w:val="auto"/>
        </w:rPr>
        <w:t>any portion of its Commitment and Loans or participation in Letters of Credit or any other interest of such Lender hereunder (in respect of any Lender, its “</w:t>
      </w:r>
      <w:r>
        <w:rPr>
          <w:rFonts w:ascii="Arial" w:cs="Arial" w:eastAsia="Arial" w:hAnsi="Arial"/>
          <w:sz w:val="18"/>
          <w:szCs w:val="18"/>
          <w:u w:val="single" w:color="auto"/>
          <w:color w:val="auto"/>
        </w:rPr>
        <w:t>Credit Exposure</w:t>
      </w:r>
      <w:r>
        <w:rPr>
          <w:rFonts w:ascii="Arial" w:cs="Arial" w:eastAsia="Arial" w:hAnsi="Arial"/>
          <w:sz w:val="18"/>
          <w:szCs w:val="18"/>
          <w:color w:val="auto"/>
        </w:rPr>
        <w:t xml:space="preserve">”). In the event of any such sale by a Lender of participating interests to a Participant, such Lender’s obligations under this Agreement shall remain unchanged, such Lender shall remain solely responsible for the performance thereof, and the Credit Parties and Administrative Agents shall continue to deal solely and directly with such Lender in connection with such Lender’s rights and obligations under this Agreement. Crown Holdings, U.S. Borrower, European Borrower and each other Credit Party hereto agrees that if amounts outstanding under this Agreement or any of the Loan Documents are due or unpaid, or shall have been declared or shall have become due and payable upon the occurrence and during the continuance of an Event of Default, each Participant shall be deemed to have the right of setoff in respect of its participating interest in amounts owing under this Agreement and the Loan Documents to the same extent as if the amount of its participating interest were owing directly to it as a Lender under this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right of setoff shall be subject to the obligation of such Participant to share with the Lenders, and the Lenders agree to share with such Participant, as provided in </w:t>
      </w:r>
      <w:r>
        <w:rPr>
          <w:rFonts w:ascii="Arial" w:cs="Arial" w:eastAsia="Arial" w:hAnsi="Arial"/>
          <w:sz w:val="18"/>
          <w:szCs w:val="18"/>
          <w:u w:val="single" w:color="auto"/>
          <w:color w:val="auto"/>
        </w:rPr>
        <w:t>Section 12.6</w:t>
      </w:r>
      <w:r>
        <w:rPr>
          <w:rFonts w:ascii="Arial" w:cs="Arial" w:eastAsia="Arial" w:hAnsi="Arial"/>
          <w:sz w:val="18"/>
          <w:szCs w:val="18"/>
          <w:color w:val="auto"/>
        </w:rPr>
        <w:t xml:space="preserve">. Crown Holdings, U.S. Borrower, European Borrower and each other Credit Party hereto also agrees that each Participant shall be entitled to the benefits of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(subject to the requirements and limitations of such Sections and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including the requirements of </w:t>
      </w:r>
      <w:r>
        <w:rPr>
          <w:rFonts w:ascii="Arial" w:cs="Arial" w:eastAsia="Arial" w:hAnsi="Arial"/>
          <w:sz w:val="18"/>
          <w:szCs w:val="18"/>
          <w:u w:val="single" w:color="auto"/>
          <w:color w:val="auto"/>
        </w:rPr>
        <w:t>Section 4.7(d)</w:t>
      </w:r>
      <w:r>
        <w:rPr>
          <w:rFonts w:ascii="Arial" w:cs="Arial" w:eastAsia="Arial" w:hAnsi="Arial"/>
          <w:sz w:val="18"/>
          <w:szCs w:val="18"/>
          <w:color w:val="auto"/>
        </w:rPr>
        <w:t xml:space="preserve">, it being understood that any forms required to be provided by any Participant pursuant to </w:t>
      </w:r>
      <w:r>
        <w:rPr>
          <w:rFonts w:ascii="Arial" w:cs="Arial" w:eastAsia="Arial" w:hAnsi="Arial"/>
          <w:sz w:val="18"/>
          <w:szCs w:val="18"/>
          <w:u w:val="single" w:color="auto"/>
          <w:color w:val="auto"/>
        </w:rPr>
        <w:t>Section 4.7(d)</w:t>
      </w:r>
      <w:r>
        <w:rPr>
          <w:rFonts w:ascii="Arial" w:cs="Arial" w:eastAsia="Arial" w:hAnsi="Arial"/>
          <w:sz w:val="18"/>
          <w:szCs w:val="18"/>
          <w:color w:val="auto"/>
        </w:rPr>
        <w:t xml:space="preserve"> shall be provided solely to the applicable Lender) with respect to its participation in the Loans outstanding from time to time, as if such Participant becomes a Lender on the date it acquired an interest pursuant to this </w:t>
      </w:r>
      <w:r>
        <w:rPr>
          <w:rFonts w:ascii="Arial" w:cs="Arial" w:eastAsia="Arial" w:hAnsi="Arial"/>
          <w:sz w:val="18"/>
          <w:szCs w:val="18"/>
          <w:u w:val="single" w:color="auto"/>
          <w:color w:val="auto"/>
        </w:rPr>
        <w:t>Section 12.8(b)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participant shall not be entitled to receive any greater payment, under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than the participating Lender would have been entitled to receive under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with respect to the participation sold to such Participant, except to the extent such entitlement to a greater payment results from a change in any law after the sale of the participation takes place. Each Lender agrees that any agreement between such Lender and any such Participant in respect of such participating interest shall not restrict such Lender’s right to approve or agree to any amendment, restatement, supplement or other modification to, waiver of, or consent under, this Agreement or any of the Loan Documents except to the extent that any of the forgoing would (i) extend the final scheduled maturity of any Loan or Note in which such Participant is participating (it being understood that amending the definition of any Scheduled Term Repayment (other than any Term Maturity Date), shall not constitute an extension of the final scheduled maturity of any Loan or Note) or extend the stated maturity of any Letter of Credit in which such Participant is participating beyond the Revolver Termination Date for the Multicurrency Revolving Facility or the Canadian Revolver Termination Date, as applicable, or reduce the rate or extend the time of payment of interest or fees on any such Loan, Note or Letter of Credit (except in connection with a waiver of applicability of any post</w:t>
      </w:r>
      <w:r>
        <w:rPr>
          <w:rFonts w:ascii="MS PGothic" w:cs="MS PGothic" w:eastAsia="MS PGothic" w:hAnsi="MS PGothic"/>
          <w:sz w:val="18"/>
          <w:szCs w:val="18"/>
          <w:color w:val="auto"/>
        </w:rPr>
        <w:t>‑</w:t>
      </w:r>
      <w:r>
        <w:rPr>
          <w:rFonts w:ascii="Arial" w:cs="Arial" w:eastAsia="Arial" w:hAnsi="Arial"/>
          <w:sz w:val="18"/>
          <w:szCs w:val="18"/>
          <w:color w:val="auto"/>
        </w:rPr>
        <w:t>default increase in interest rates) or reduce the principal amount thereof, or increase the amount of the Participant’s participation over the amount thereof then in effect (it being understood that waivers or modifications of conditions precedent, covenants, representations, warranties, Events of Default or Unmatured Events of Default or of a mandatory reduction in Commitments shall not constitute a change in the terms of such participation, and that an increase in any Commitment or Loan shall be permitted without the consent of any Participant if the Participant’s participation is not increased as a result thereof), (ii) consent to the assignment or transfer by any Borrower or any other Credit Party of any of its rights and obligations under this Agreement or (iii) release all or substantially all of the Collateral under all of the Security Documents (except as expressly provided in the Loan</w:t>
      </w:r>
    </w:p>
    <w:p>
      <w:pPr>
        <w:sectPr>
          <w:pgSz w:w="11900" w:h="16838" w:orient="portrait"/>
          <w:cols w:equalWidth="0" w:num="1">
            <w:col w:w="10120"/>
          </w:cols>
          <w:pgMar w:left="1440" w:top="1419" w:right="339" w:bottom="1440" w:gutter="0" w:footer="0" w:header="0"/>
        </w:sectPr>
      </w:pPr>
    </w:p>
    <w:bookmarkStart w:id="318" w:name="page319"/>
    <w:bookmarkEnd w:id="318"/>
    <w:p>
      <w:pPr>
        <w:jc w:val="both"/>
        <w:ind w:left="1300"/>
        <w:spacing w:after="0" w:line="234" w:lineRule="auto"/>
        <w:rPr>
          <w:sz w:val="20"/>
          <w:szCs w:val="20"/>
          <w:color w:val="auto"/>
        </w:rPr>
      </w:pPr>
      <w:r>
        <w:rPr>
          <w:rFonts w:ascii="Arial" w:cs="Arial" w:eastAsia="Arial" w:hAnsi="Arial"/>
          <w:sz w:val="20"/>
          <w:szCs w:val="20"/>
          <w:color w:val="auto"/>
        </w:rPr>
        <w:t>Documents) supporting the Loans and/or Letters of Credit hereunder in which such Participant is participating. Notwithstanding the foregoing, prior to any CAM Exchange, no Lender shall sell participations of Canadian Revolving Loans or Canadian Revolving Commitments to any Person that is not a resident of Canada for purpose of the ITA or is not deemed to be resident in Canada for the purposes of Part XIII of the ITA.</w:t>
      </w:r>
    </w:p>
    <w:p>
      <w:pPr>
        <w:spacing w:after="0" w:line="2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Each Lender that sells a participation to a Participant pursuant to this </w:t>
      </w:r>
      <w:r>
        <w:rPr>
          <w:rFonts w:ascii="Arial" w:cs="Arial" w:eastAsia="Arial" w:hAnsi="Arial"/>
          <w:sz w:val="18"/>
          <w:szCs w:val="18"/>
          <w:u w:val="single" w:color="auto"/>
          <w:color w:val="auto"/>
        </w:rPr>
        <w:t>Section 12.8(b)</w:t>
      </w:r>
      <w:r>
        <w:rPr>
          <w:rFonts w:ascii="Arial" w:cs="Arial" w:eastAsia="Arial" w:hAnsi="Arial"/>
          <w:sz w:val="18"/>
          <w:szCs w:val="18"/>
          <w:color w:val="auto"/>
        </w:rPr>
        <w:t xml:space="preserve"> shall, acting solely for this purpose as a non-fiduciary agent of the Borrowers, maintain a register on which it enters the name and address of each Participant and the principal amounts (and interest amounts)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in connection with a tax audit or other proceeding to establish that such Commitment, Loan, Letter of Credit or other obligation is in registered form under Section 5f.103-1(c) of the United States Treasury Regulations. This </w:t>
      </w:r>
      <w:r>
        <w:rPr>
          <w:rFonts w:ascii="Arial" w:cs="Arial" w:eastAsia="Arial" w:hAnsi="Arial"/>
          <w:sz w:val="18"/>
          <w:szCs w:val="18"/>
          <w:u w:val="single" w:color="auto"/>
          <w:color w:val="auto"/>
        </w:rPr>
        <w:t>Section 12.8(b)</w:t>
      </w:r>
      <w:r>
        <w:rPr>
          <w:rFonts w:ascii="Arial" w:cs="Arial" w:eastAsia="Arial" w:hAnsi="Arial"/>
          <w:sz w:val="18"/>
          <w:szCs w:val="18"/>
          <w:color w:val="auto"/>
        </w:rPr>
        <w:t xml:space="preserve"> shall be construed so that the participations are at all times maintained in “registered form” within the meaning of Sections 163(f), 871(h)(2) and 881(c)(2) of the Code.</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(c)Notwithstanding anything in this </w:t>
      </w:r>
      <w:r>
        <w:rPr>
          <w:rFonts w:ascii="Arial" w:cs="Arial" w:eastAsia="Arial" w:hAnsi="Arial"/>
          <w:sz w:val="18"/>
          <w:szCs w:val="18"/>
          <w:u w:val="single" w:color="auto"/>
          <w:color w:val="auto"/>
        </w:rPr>
        <w:t>Section 12.8</w:t>
      </w:r>
      <w:r>
        <w:rPr>
          <w:rFonts w:ascii="Arial" w:cs="Arial" w:eastAsia="Arial" w:hAnsi="Arial"/>
          <w:sz w:val="18"/>
          <w:szCs w:val="18"/>
          <w:color w:val="auto"/>
        </w:rPr>
        <w:t xml:space="preserve"> to the contrary, any Participant that is a Farm Credit Lender that (i) has purchased a participation in a minimum amount of $5,000,000.00 (ii) has been designated as a voting Participant (a “</w:t>
      </w:r>
      <w:r>
        <w:rPr>
          <w:rFonts w:ascii="Arial" w:cs="Arial" w:eastAsia="Arial" w:hAnsi="Arial"/>
          <w:sz w:val="18"/>
          <w:szCs w:val="18"/>
          <w:u w:val="single" w:color="auto"/>
          <w:color w:val="auto"/>
        </w:rPr>
        <w:t>Voting Participant</w:t>
      </w:r>
      <w:r>
        <w:rPr>
          <w:rFonts w:ascii="Arial" w:cs="Arial" w:eastAsia="Arial" w:hAnsi="Arial"/>
          <w:sz w:val="18"/>
          <w:szCs w:val="18"/>
          <w:color w:val="auto"/>
        </w:rPr>
        <w:t>”) in a notice (a “</w:t>
      </w:r>
      <w:r>
        <w:rPr>
          <w:rFonts w:ascii="Arial" w:cs="Arial" w:eastAsia="Arial" w:hAnsi="Arial"/>
          <w:sz w:val="18"/>
          <w:szCs w:val="18"/>
          <w:u w:val="single" w:color="auto"/>
          <w:color w:val="auto"/>
        </w:rPr>
        <w:t>Voting Participant Notice</w:t>
      </w:r>
      <w:r>
        <w:rPr>
          <w:rFonts w:ascii="Arial" w:cs="Arial" w:eastAsia="Arial" w:hAnsi="Arial"/>
          <w:sz w:val="18"/>
          <w:szCs w:val="18"/>
          <w:color w:val="auto"/>
        </w:rPr>
        <w:t xml:space="preserve">”) sent by the relevant Lender (including any existing Voting Participant) to the Administrative Agent and (iii) receives, prior to becoming a Voting Participant, the consent of the Administrative Agent (such consent to be required only to the extent and under the circumstances it would be required if such Voting Participant were to become a Lender pursuant to an assignment in accordance with this </w:t>
      </w:r>
      <w:r>
        <w:rPr>
          <w:rFonts w:ascii="Arial" w:cs="Arial" w:eastAsia="Arial" w:hAnsi="Arial"/>
          <w:sz w:val="18"/>
          <w:szCs w:val="18"/>
          <w:u w:val="single" w:color="auto"/>
          <w:color w:val="auto"/>
        </w:rPr>
        <w:t>Section 12.8</w:t>
      </w:r>
      <w:r>
        <w:rPr>
          <w:rFonts w:ascii="Arial" w:cs="Arial" w:eastAsia="Arial" w:hAnsi="Arial"/>
          <w:sz w:val="18"/>
          <w:szCs w:val="18"/>
          <w:color w:val="auto"/>
        </w:rPr>
        <w:t xml:space="preserve"> and such consent is not required for an assignment to an existing Voting Participant), shall be entitled to vote as if such Voting Participant were a Lender on all matters subject to a vote by Lenders, and the voting rights of the selling Lender (including any existing Voting Participant) shall be correspondingly reduced, on a dollar-for-dollar basis. Each Voting Participant Notice shall include, with respect to each Voting Participant, the information that would be included by a prospective Lender in an Assignment and Assumption Agreement. Notwithstanding the foregoing, each Farm Credit Lender designated as a Voting Participant in </w:t>
      </w:r>
      <w:r>
        <w:rPr>
          <w:rFonts w:ascii="Arial" w:cs="Arial" w:eastAsia="Arial" w:hAnsi="Arial"/>
          <w:sz w:val="18"/>
          <w:szCs w:val="18"/>
          <w:u w:val="single" w:color="auto"/>
          <w:color w:val="auto"/>
        </w:rPr>
        <w:t>Schedule 12.8(c)</w:t>
      </w:r>
      <w:r>
        <w:rPr>
          <w:rFonts w:ascii="Arial" w:cs="Arial" w:eastAsia="Arial" w:hAnsi="Arial"/>
          <w:sz w:val="18"/>
          <w:szCs w:val="18"/>
          <w:color w:val="auto"/>
        </w:rPr>
        <w:t xml:space="preserve"> shall be a Voting Participant without delivery of a Voting Participant Notice and without the prior written consent of the Administrative Agent. The selling Lender (including any existing Voting Participant) and the purchasing Voting Participant shall notify the Administrative Agent within three</w:t>
      </w:r>
    </w:p>
    <w:p>
      <w:pPr>
        <w:spacing w:after="0" w:line="10" w:lineRule="exact"/>
        <w:rPr>
          <w:sz w:val="20"/>
          <w:szCs w:val="20"/>
          <w:color w:val="auto"/>
        </w:rPr>
      </w:pPr>
    </w:p>
    <w:p>
      <w:pPr>
        <w:jc w:val="both"/>
        <w:ind w:firstLine="8"/>
        <w:spacing w:after="0" w:line="230" w:lineRule="auto"/>
        <w:tabs>
          <w:tab w:leader="none" w:pos="288" w:val="left"/>
        </w:tabs>
        <w:numPr>
          <w:ilvl w:val="0"/>
          <w:numId w:val="275"/>
        </w:numPr>
        <w:rPr>
          <w:rFonts w:ascii="Arial" w:cs="Arial" w:eastAsia="Arial" w:hAnsi="Arial"/>
          <w:sz w:val="20"/>
          <w:szCs w:val="20"/>
          <w:color w:val="auto"/>
        </w:rPr>
      </w:pPr>
      <w:r>
        <w:rPr>
          <w:rFonts w:ascii="Arial" w:cs="Arial" w:eastAsia="Arial" w:hAnsi="Arial"/>
          <w:sz w:val="20"/>
          <w:szCs w:val="20"/>
          <w:color w:val="auto"/>
        </w:rPr>
        <w:t>Business Days of any termination, reduction or increase of the amount of, such participation. The Administrative Agent shall be entitled to conclusively rely on information contained in Voting Participant Notices and all other notices delivered pursuant hereto. The voting rights of each Voting Participant are solely for the benefit of such Voting Participant and shall not inure to any assignee or participant of such Voting Participant that is not a Farm Credit Lender.</w:t>
      </w:r>
    </w:p>
    <w:p>
      <w:pPr>
        <w:spacing w:after="0" w:line="209" w:lineRule="exact"/>
        <w:rPr>
          <w:rFonts w:ascii="Arial" w:cs="Arial" w:eastAsia="Arial" w:hAnsi="Arial"/>
          <w:sz w:val="20"/>
          <w:szCs w:val="20"/>
          <w:color w:val="auto"/>
        </w:rPr>
      </w:pPr>
    </w:p>
    <w:p>
      <w:pPr>
        <w:jc w:val="both"/>
        <w:ind w:firstLine="656"/>
        <w:spacing w:after="0" w:line="260" w:lineRule="auto"/>
        <w:tabs>
          <w:tab w:leader="none" w:pos="933"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Any Lender may at any time assign to one or more Eligible Assignees, including an Affiliate thereof (each an “</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all or any part of its Credit Exposure pursuant to an Assignment and Assumption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assignment of all or any portion of any Lender’s Credit Exposure to an Assignee other than an Affiliate of such Lender or another Lender, or in the case of a Lender that is a Fund, any Related Fund of any Lender (i) shall be an assignment of its Credit Exposure in an amount not less than $5,000,000 for the Dollar Revolving Facility, Multicurrency Revolving Facility or Canadian Revolving Facility and $1,000,000 for the Term Facilities (treating any Fund and its Related Funds as a single Eligible Assignee) (or if less the entire amount of Lender’s Credit Exposure with</w:t>
      </w:r>
    </w:p>
    <w:p>
      <w:pPr>
        <w:sectPr>
          <w:pgSz w:w="11900" w:h="16838" w:orient="portrait"/>
          <w:cols w:equalWidth="0" w:num="1">
            <w:col w:w="11240"/>
          </w:cols>
          <w:pgMar w:left="320" w:top="1419" w:right="339" w:bottom="1440" w:gutter="0" w:footer="0" w:header="0"/>
        </w:sectPr>
      </w:pPr>
    </w:p>
    <w:bookmarkStart w:id="319" w:name="page320"/>
    <w:bookmarkEnd w:id="319"/>
    <w:p>
      <w:pPr>
        <w:jc w:val="both"/>
        <w:spacing w:after="0" w:line="251" w:lineRule="auto"/>
        <w:rPr>
          <w:sz w:val="20"/>
          <w:szCs w:val="20"/>
          <w:color w:val="auto"/>
        </w:rPr>
      </w:pPr>
      <w:r>
        <w:rPr>
          <w:rFonts w:ascii="Arial" w:cs="Arial" w:eastAsia="Arial" w:hAnsi="Arial"/>
          <w:sz w:val="18"/>
          <w:szCs w:val="18"/>
          <w:color w:val="auto"/>
        </w:rPr>
        <w:t xml:space="preserve">respect to such Facility), and (ii) shall require the prior written consent of an Administrative Agent (not to be unreasonably withheld)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no Event of Default then exists and is continuing, the applicable Borrower (the consent of such Borrower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Borrower shall be deemed to have consented to any such assignment unless it shall object thereto by written notice to the Administrative Agent within 10 Business Days after having received notice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the foregoing limitations, any Lender may at any time assign all or any part of its Credit Exposure to any Affiliate of such Lender or to any other Lender (or in the case of a Lender which is a Fund, to any Related Fund of such Lender). In addition to the foregoing, the consent of the applicable Facing Agent (such consent not to be unreasonably withheld or delayed) shall be required for any assignment that increases the obligation of the assignee to participate in exposure under one or more Letters of Credit (whether or not then outstanding). Upon execution of an Assignment and Assumption Agreement and the payment of a nonrefundable assignment fee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fee shall be payable upon assignments by any Lender which is a Fund to one or more Related Funds and that the Administrative Agent may, in its sole discretion, elect to waive such processing and recordation fee in the case of any assignment) in immediately available funds to such Administrative Agent at its Payment Office in connection with each such assignment, written notice thereof by such transferor Lender to Administrative Agent and the recording by such Administrative Agent or Canadian Administrative Agent of such assignment and the resulting effect upon the Loans and Dollar Revolving Commitment, Multicurrency Revolving Commitment and Canadian Revolving Commitment of the assigning Lender and the Assignee, the Assignee shall have, to the extent of such assignment, the same rights, benefits and obligations as it would have if it were a Lender hereunder and the holder of the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Borrower, each other Credit Party hereto, Canadian Administrative Agent and Administrative Agent shall be entitled to continue to deal solely and directly with the assignor Lender in connection with the interests so assigned to the Assignee until written notice of such assignment, together with payment instructions, addresses and related information with respect to the Assignee, shall have been given to the applicable Borrower, Canadian Administrative Agent and Administrative Agent by the assignor Lender and the Assignee) and, if the Assignee has expressly assumed, for the benefit of any Borrower or any other Credit Party hereto, some or all of the transferor Lender’s obligations hereunder, such transferor Lender shall be relieved of its obligations hereunder to the extent of such assignment and assumption, and except as described above, no further consent or action by any Borrower, the Lenders, Canadian Administrative Agent or Administrative Agent shall be required. At the time of each assignment pursuant to this </w:t>
      </w:r>
      <w:r>
        <w:rPr>
          <w:rFonts w:ascii="Arial" w:cs="Arial" w:eastAsia="Arial" w:hAnsi="Arial"/>
          <w:sz w:val="18"/>
          <w:szCs w:val="18"/>
          <w:u w:val="single" w:color="auto"/>
          <w:color w:val="auto"/>
        </w:rPr>
        <w:t>Section 12.8(d)</w:t>
      </w:r>
      <w:r>
        <w:rPr>
          <w:rFonts w:ascii="Arial" w:cs="Arial" w:eastAsia="Arial" w:hAnsi="Arial"/>
          <w:sz w:val="18"/>
          <w:szCs w:val="18"/>
          <w:color w:val="auto"/>
        </w:rPr>
        <w:t xml:space="preserve"> to a Person which is not already a Lender hereunder, the respective Assignee shall provide to the applicable and Administrative Agents the appropriate forms, certificates and information as provided in </w:t>
      </w:r>
      <w:r>
        <w:rPr>
          <w:rFonts w:ascii="Arial" w:cs="Arial" w:eastAsia="Arial" w:hAnsi="Arial"/>
          <w:sz w:val="18"/>
          <w:szCs w:val="18"/>
          <w:u w:val="single" w:color="auto"/>
          <w:color w:val="auto"/>
        </w:rPr>
        <w:t>Section 4.7(d)</w:t>
      </w:r>
      <w:r>
        <w:rPr>
          <w:rFonts w:ascii="Arial" w:cs="Arial" w:eastAsia="Arial" w:hAnsi="Arial"/>
          <w:sz w:val="18"/>
          <w:szCs w:val="18"/>
          <w:color w:val="auto"/>
        </w:rPr>
        <w:t xml:space="preserve">, if applicable. Each Assignee shall take such Credit Exposure subject to the provisions of this Agreement and to any request made, waiver or consent given or other action taken hereunder, prior to the receipt by Administrative Agents and the applicable Borrower of written notice of such transfer, by each previous holder of such Credit Exposure. Such Assignment and Assumption Agreement shall be deemed to amend this Agreement and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hereto (or, with respect to Term Loans, the Register), to the extent, and only to the extent, necessary to reflect the addition of such Assignee as a Lender and the resulting adjustment of all or a portion of the rights and obligations of such transferor Lender under this Agreement, the Maximum Commitment, the determination of its Term Pro Rata Share, Canadian Revolver Pro Rata Share or Revolver Pro Rata Share, as the case may be (in each case, rounded to twelve decimal places), the Loans, any outstanding Letters of Credit and any new Notes, if requested, to be issued, at the applicable Borrower’s expense, to such Assignee, and no further consent or action by any Credit Party or the Lenders shall be required to effect such amendments.</w:t>
      </w:r>
    </w:p>
    <w:p>
      <w:pPr>
        <w:spacing w:after="0" w:line="227" w:lineRule="exact"/>
        <w:rPr>
          <w:sz w:val="20"/>
          <w:szCs w:val="20"/>
          <w:color w:val="auto"/>
        </w:rPr>
      </w:pPr>
    </w:p>
    <w:p>
      <w:pPr>
        <w:ind w:right="20" w:firstLine="656"/>
        <w:spacing w:after="0" w:line="246" w:lineRule="auto"/>
        <w:tabs>
          <w:tab w:leader="none" w:pos="942" w:val="left"/>
        </w:tabs>
        <w:numPr>
          <w:ilvl w:val="0"/>
          <w:numId w:val="276"/>
        </w:numPr>
        <w:rPr>
          <w:rFonts w:ascii="Arial" w:cs="Arial" w:eastAsia="Arial" w:hAnsi="Arial"/>
          <w:sz w:val="20"/>
          <w:szCs w:val="20"/>
          <w:color w:val="auto"/>
        </w:rPr>
      </w:pPr>
      <w:r>
        <w:rPr>
          <w:rFonts w:ascii="Arial" w:cs="Arial" w:eastAsia="Arial" w:hAnsi="Arial"/>
          <w:sz w:val="20"/>
          <w:szCs w:val="20"/>
          <w:color w:val="auto"/>
        </w:rPr>
        <w:t>No such assignment will be made to any Defaulting Lender or any of its Subsidiaries, or any Person who, upon becoming a Lender hereunder, would constitute any of the foregoing Persons described in this clause.</w:t>
      </w:r>
    </w:p>
    <w:p>
      <w:pPr>
        <w:sectPr>
          <w:pgSz w:w="11900" w:h="16838" w:orient="portrait"/>
          <w:cols w:equalWidth="0" w:num="1">
            <w:col w:w="11240"/>
          </w:cols>
          <w:pgMar w:left="320" w:top="1419" w:right="339" w:bottom="1440" w:gutter="0" w:footer="0" w:header="0"/>
        </w:sectPr>
      </w:pPr>
    </w:p>
    <w:bookmarkStart w:id="320" w:name="page321"/>
    <w:bookmarkEnd w:id="320"/>
    <w:p>
      <w:pPr>
        <w:jc w:val="both"/>
        <w:ind w:firstLine="648"/>
        <w:spacing w:after="0" w:line="255" w:lineRule="auto"/>
        <w:rPr>
          <w:sz w:val="20"/>
          <w:szCs w:val="20"/>
          <w:color w:val="auto"/>
        </w:rPr>
      </w:pPr>
      <w:r>
        <w:rPr>
          <w:rFonts w:ascii="Arial" w:cs="Arial" w:eastAsia="Arial" w:hAnsi="Arial"/>
          <w:sz w:val="18"/>
          <w:szCs w:val="18"/>
          <w:color w:val="auto"/>
        </w:rPr>
        <w:t xml:space="preserve">In connection with any assignment of rights and obligations of any Defaulting Lender hereunder, no such assignment will be effective unless and until, in addition to the other conditions 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Facing Agent, the Swing Line Lender and each other Lender hereunder (and interest accrued thereon), and (y) acquire (and fund as appropriate) its full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all Loans and participations in Letters of Credit and Swing Line Loans in accordance with its applicable Revolving Commitments.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w:t>
      </w:r>
    </w:p>
    <w:p>
      <w:pPr>
        <w:spacing w:after="0" w:line="200" w:lineRule="exact"/>
        <w:rPr>
          <w:sz w:val="20"/>
          <w:szCs w:val="20"/>
          <w:color w:val="auto"/>
        </w:rPr>
      </w:pPr>
    </w:p>
    <w:p>
      <w:pPr>
        <w:jc w:val="both"/>
        <w:ind w:firstLine="656"/>
        <w:spacing w:after="0" w:line="260" w:lineRule="auto"/>
        <w:tabs>
          <w:tab w:leader="none" w:pos="90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Crown Holdings and each Borrower authorize each Lender to disclose to any Participant or Assignee (each, a “</w:t>
      </w:r>
      <w:r>
        <w:rPr>
          <w:rFonts w:ascii="Arial" w:cs="Arial" w:eastAsia="Arial" w:hAnsi="Arial"/>
          <w:sz w:val="18"/>
          <w:szCs w:val="18"/>
          <w:u w:val="single" w:color="auto"/>
          <w:color w:val="auto"/>
        </w:rPr>
        <w:t>Transferee</w:t>
      </w:r>
      <w:r>
        <w:rPr>
          <w:rFonts w:ascii="Arial" w:cs="Arial" w:eastAsia="Arial" w:hAnsi="Arial"/>
          <w:sz w:val="18"/>
          <w:szCs w:val="18"/>
          <w:color w:val="auto"/>
        </w:rPr>
        <w:t xml:space="preserve">”) and any prospective Transferee any and all financial information in such Lender’s possession concerning Crown Holdings, such Borrower and any of their Subsidiaries which has been delivered to such Lender by Crown Holdings or any Borrower pursuant to this Agreement or which has been delivered to such Lender by Crown Holdings or any Borrower in connection with such Lender’s credit evaluation of Crown Holdings or any Borrower prior to entering into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Transferee or prospective Transferee agrees to treat any such information which is not public as confidential in accordance with the terms of </w:t>
      </w:r>
      <w:r>
        <w:rPr>
          <w:rFonts w:ascii="Arial" w:cs="Arial" w:eastAsia="Arial" w:hAnsi="Arial"/>
          <w:sz w:val="18"/>
          <w:szCs w:val="18"/>
          <w:u w:val="single" w:color="auto"/>
          <w:color w:val="auto"/>
        </w:rPr>
        <w:t>Section 12.16</w:t>
      </w:r>
      <w:r>
        <w:rPr>
          <w:rFonts w:ascii="Arial" w:cs="Arial" w:eastAsia="Arial" w:hAnsi="Arial"/>
          <w:sz w:val="18"/>
          <w:szCs w:val="18"/>
          <w:color w:val="auto"/>
        </w:rPr>
        <w:t xml:space="preserve"> hereof.</w:t>
      </w:r>
    </w:p>
    <w:p>
      <w:pPr>
        <w:spacing w:after="0" w:line="193" w:lineRule="exact"/>
        <w:rPr>
          <w:rFonts w:ascii="Arial" w:cs="Arial" w:eastAsia="Arial" w:hAnsi="Arial"/>
          <w:sz w:val="18"/>
          <w:szCs w:val="18"/>
          <w:color w:val="auto"/>
        </w:rPr>
      </w:pPr>
    </w:p>
    <w:p>
      <w:pPr>
        <w:jc w:val="both"/>
        <w:ind w:firstLine="656"/>
        <w:spacing w:after="0" w:line="242" w:lineRule="auto"/>
        <w:tabs>
          <w:tab w:leader="none" w:pos="935" w:val="left"/>
        </w:tabs>
        <w:numPr>
          <w:ilvl w:val="0"/>
          <w:numId w:val="277"/>
        </w:numPr>
        <w:rPr>
          <w:rFonts w:ascii="Arial" w:cs="Arial" w:eastAsia="Arial" w:hAnsi="Arial"/>
          <w:sz w:val="19"/>
          <w:szCs w:val="19"/>
          <w:color w:val="auto"/>
        </w:rPr>
      </w:pPr>
      <w:r>
        <w:rPr>
          <w:rFonts w:ascii="Arial" w:cs="Arial" w:eastAsia="Arial" w:hAnsi="Arial"/>
          <w:sz w:val="19"/>
          <w:szCs w:val="19"/>
          <w:color w:val="auto"/>
        </w:rPr>
        <w:t>Each Lender with a Multicurrency Revolving Commitment hereby represents that it is a professional market party (</w:t>
      </w:r>
      <w:r>
        <w:rPr>
          <w:rFonts w:ascii="Arial" w:cs="Arial" w:eastAsia="Arial" w:hAnsi="Arial"/>
          <w:sz w:val="19"/>
          <w:szCs w:val="19"/>
          <w:i w:val="1"/>
          <w:iCs w:val="1"/>
          <w:color w:val="auto"/>
        </w:rPr>
        <w:t>professionele</w:t>
      </w:r>
      <w:r>
        <w:rPr>
          <w:rFonts w:ascii="Arial" w:cs="Arial" w:eastAsia="Arial" w:hAnsi="Arial"/>
          <w:sz w:val="19"/>
          <w:szCs w:val="19"/>
          <w:color w:val="auto"/>
        </w:rPr>
        <w:t xml:space="preserve"> </w:t>
      </w:r>
      <w:r>
        <w:rPr>
          <w:rFonts w:ascii="Arial" w:cs="Arial" w:eastAsia="Arial" w:hAnsi="Arial"/>
          <w:sz w:val="19"/>
          <w:szCs w:val="19"/>
          <w:i w:val="1"/>
          <w:iCs w:val="1"/>
          <w:color w:val="auto"/>
        </w:rPr>
        <w:t>marktpartij</w:t>
      </w:r>
      <w:r>
        <w:rPr>
          <w:rFonts w:ascii="Arial" w:cs="Arial" w:eastAsia="Arial" w:hAnsi="Arial"/>
          <w:sz w:val="19"/>
          <w:szCs w:val="19"/>
          <w:color w:val="auto"/>
        </w:rPr>
        <w:t>) within the meaning of the Dutch Financial Supervision Act (</w:t>
      </w:r>
      <w:r>
        <w:rPr>
          <w:rFonts w:ascii="Arial" w:cs="Arial" w:eastAsia="Arial" w:hAnsi="Arial"/>
          <w:sz w:val="19"/>
          <w:szCs w:val="19"/>
          <w:i w:val="1"/>
          <w:iCs w:val="1"/>
          <w:color w:val="auto"/>
        </w:rPr>
        <w:t>Wet op het financieel toezicht</w:t>
      </w:r>
      <w:r>
        <w:rPr>
          <w:rFonts w:ascii="Arial" w:cs="Arial" w:eastAsia="Arial" w:hAnsi="Arial"/>
          <w:sz w:val="19"/>
          <w:szCs w:val="19"/>
          <w:color w:val="auto"/>
        </w:rPr>
        <w:t>) at the Incremental Amendment No. 2</w:t>
      </w:r>
      <w:r>
        <w:rPr>
          <w:rFonts w:ascii="Arial" w:cs="Arial" w:eastAsia="Arial" w:hAnsi="Arial"/>
          <w:sz w:val="19"/>
          <w:szCs w:val="19"/>
          <w:i w:val="1"/>
          <w:iCs w:val="1"/>
          <w:color w:val="auto"/>
        </w:rPr>
        <w:t xml:space="preserve"> </w:t>
      </w:r>
      <w:r>
        <w:rPr>
          <w:rFonts w:ascii="Arial" w:cs="Arial" w:eastAsia="Arial" w:hAnsi="Arial"/>
          <w:sz w:val="19"/>
          <w:szCs w:val="19"/>
          <w:color w:val="auto"/>
        </w:rPr>
        <w:t>and Third Amendment Effective Date or, in the case of any Person that becomes a Lender with a Multicurrency Revolving Commitment pursuant to the Agreement, at the date it becomes a Lender. If an assignment or transfer does not include an amount outstanding from each Borrower which is a Dutch Borrower of at least €100,000 (or its equivalent in other currencies) (or such other amount as may be required from time to time under the Dutch Financial Supervision Act (</w:t>
      </w:r>
      <w:r>
        <w:rPr>
          <w:rFonts w:ascii="Arial" w:cs="Arial" w:eastAsia="Arial" w:hAnsi="Arial"/>
          <w:sz w:val="19"/>
          <w:szCs w:val="19"/>
          <w:i w:val="1"/>
          <w:iCs w:val="1"/>
          <w:color w:val="auto"/>
        </w:rPr>
        <w:t>Wet op het financieel toezicht</w:t>
      </w:r>
      <w:r>
        <w:rPr>
          <w:rFonts w:ascii="Arial" w:cs="Arial" w:eastAsia="Arial" w:hAnsi="Arial"/>
          <w:sz w:val="19"/>
          <w:szCs w:val="19"/>
          <w:color w:val="auto"/>
        </w:rPr>
        <w:t>)), the Transferee shall confirm in the relevant assignment or transfer agreement to each such Borrower that it is a professional market party (</w:t>
      </w:r>
      <w:r>
        <w:rPr>
          <w:rFonts w:ascii="Arial" w:cs="Arial" w:eastAsia="Arial" w:hAnsi="Arial"/>
          <w:sz w:val="19"/>
          <w:szCs w:val="19"/>
          <w:i w:val="1"/>
          <w:iCs w:val="1"/>
          <w:color w:val="auto"/>
        </w:rPr>
        <w:t>professionele marktpartij</w:t>
      </w:r>
      <w:r>
        <w:rPr>
          <w:rFonts w:ascii="Arial" w:cs="Arial" w:eastAsia="Arial" w:hAnsi="Arial"/>
          <w:sz w:val="19"/>
          <w:szCs w:val="19"/>
          <w:color w:val="auto"/>
        </w:rPr>
        <w:t>) within the meaning of the Dutch Financial Supervisions Act.</w:t>
      </w:r>
    </w:p>
    <w:p>
      <w:pPr>
        <w:spacing w:after="0" w:line="208" w:lineRule="exact"/>
        <w:rPr>
          <w:rFonts w:ascii="Arial" w:cs="Arial" w:eastAsia="Arial" w:hAnsi="Arial"/>
          <w:sz w:val="19"/>
          <w:szCs w:val="19"/>
          <w:color w:val="auto"/>
        </w:rPr>
      </w:pPr>
    </w:p>
    <w:p>
      <w:pPr>
        <w:jc w:val="both"/>
        <w:ind w:firstLine="656"/>
        <w:spacing w:after="0" w:line="257" w:lineRule="auto"/>
        <w:tabs>
          <w:tab w:leader="none" w:pos="93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set forth in this Agreement, any Lender may at any time pledge or assign all or any portion of its rights under this Agreement and the other Loan Documents to secure its obligations (including, without limitation, the Notes held by it), including any pledge or assignment to secure obligations to any Federal Reserve Bank or other central banking authority in accordance with Regulation A of the Federal Reserve Board, without notice to, or the consent of, any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under this </w:t>
      </w:r>
      <w:r>
        <w:rPr>
          <w:rFonts w:ascii="Arial" w:cs="Arial" w:eastAsia="Arial" w:hAnsi="Arial"/>
          <w:sz w:val="18"/>
          <w:szCs w:val="18"/>
          <w:u w:val="single" w:color="auto"/>
          <w:color w:val="auto"/>
        </w:rPr>
        <w:t>Section 12.8(h)</w:t>
      </w:r>
      <w:r>
        <w:rPr>
          <w:rFonts w:ascii="Arial" w:cs="Arial" w:eastAsia="Arial" w:hAnsi="Arial"/>
          <w:sz w:val="18"/>
          <w:szCs w:val="18"/>
          <w:color w:val="auto"/>
        </w:rPr>
        <w:t xml:space="preserve"> shall release a Lender from any obligations hereunder or substitute any such pledgee or assignee for such Lender as a party hereto. Any Lender which is a fund may pledge all or any portion of its Notes or Loans to any holders of obligations owed or securities issued by such Lender including any to its trustee for or representative of such holders. No such pledge or assignment shall release the transferor Lender from its obligations hereunder.</w:t>
      </w:r>
    </w:p>
    <w:p>
      <w:pPr>
        <w:spacing w:after="0" w:line="198" w:lineRule="exact"/>
        <w:rPr>
          <w:sz w:val="20"/>
          <w:szCs w:val="20"/>
          <w:color w:val="auto"/>
        </w:rPr>
      </w:pPr>
    </w:p>
    <w:p>
      <w:pPr>
        <w:ind w:left="660" w:right="2220"/>
        <w:spacing w:after="0" w:line="246" w:lineRule="auto"/>
        <w:rPr>
          <w:sz w:val="20"/>
          <w:szCs w:val="20"/>
          <w:color w:val="auto"/>
        </w:rPr>
      </w:pPr>
      <w:r>
        <w:rPr>
          <w:rFonts w:ascii="Arial" w:cs="Arial" w:eastAsia="Arial" w:hAnsi="Arial"/>
          <w:sz w:val="20"/>
          <w:szCs w:val="20"/>
          <w:u w:val="single" w:color="auto"/>
          <w:color w:val="auto"/>
        </w:rPr>
        <w:t xml:space="preserve">12.9 CONSENT TO JURISDICTION; MUTUAL WAIVER OF JURY TRIAL; SERVICE OF PROCESS </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321" w:name="page322"/>
    <w:bookmarkEnd w:id="321"/>
    <w:p>
      <w:pPr>
        <w:jc w:val="both"/>
        <w:ind w:firstLine="656"/>
        <w:spacing w:after="0" w:line="239" w:lineRule="auto"/>
        <w:tabs>
          <w:tab w:leader="none" w:pos="997" w:val="left"/>
        </w:tabs>
        <w:numPr>
          <w:ilvl w:val="0"/>
          <w:numId w:val="278"/>
        </w:numPr>
        <w:rPr>
          <w:rFonts w:ascii="Arial" w:cs="Arial" w:eastAsia="Arial" w:hAnsi="Arial"/>
          <w:sz w:val="19"/>
          <w:szCs w:val="19"/>
          <w:color w:val="auto"/>
        </w:rPr>
      </w:pPr>
      <w:r>
        <w:rPr>
          <w:rFonts w:ascii="Arial" w:cs="Arial" w:eastAsia="Arial" w:hAnsi="Arial"/>
          <w:sz w:val="19"/>
          <w:szCs w:val="19"/>
          <w:color w:val="auto"/>
        </w:rPr>
        <w:t xml:space="preserve">ANY LEGAL ACTION OR PROCEEDING WITH RESPECT TO THIS AGREEMENT OR ANY OTHER LOAN DOCUMENT MAY BE BROUGHT IN THE COURTS OF THE STATE OF NEW YORK SITTING IN NEW YORK, NEW YORK OR COURTS OF THE UNITED STATES FOR THE SOUTHERN DISTRICT OF NEW YORK, AND, BY EXECUTION AND DELIVERY OF THIS AGREEMENT, EACH CREDIT PARTY HEREBY IRREVOCABLY ACCEPTS FOR ITSELF AND IN RESPECT OF ITS PROPERTY, GENERALLY AND UNCONDITIONALLY, THE NON-EXCLUSIVE JURISDICTION OF THE AFORESAID COURTS. EACH CREDIT PARTY HEREBY IRREVOCABLY DESIGNATES, APPOINTS AND EMPOWERS CT CORPORATION SYSTEM WITH OFFICES ON THE ORIGINAL CLOSING DATE AT 111 EIGHTH AVENUE, NEW YORK, NEW YORK 10011 AS ITS DESIGNEE, APPOINTEE AND ADMINISTRATIVE AGENT TO RECEIVE, ACCEPT AND ACKNOWLEDGE FOR AND ON ITS BEHALF, AND IN RESPECT OF ITS PROPERTY, SERVICE OF ANY AND ALL LEGAL PROCESS, SUMMONS, NOTICES AND DOCUMENTS WHICH MAY BE SERVED IN ANY SUCH ACTION OR PROCEEDING. IF FOR ANY REASON SUCH DESIGNEE, APPOINTEE AND ADMINISTRATIVE AGENT SHALL CEASE TO BE AVAILABLE TO ACT AS SUCH, EACH CREDIT PARTY AGREES TO DESIGNATE A NEW DESIGNEE, APPOINTEE AND ADMINISTRATIVE AGENT IN NEW YORK CITY ON THE TERMS AND FOR THE PURPOSES OF THIS PROVISION REASONABLY SATISFACTORY TO ADMINISTRATIVE AGENT UNDER THIS AGREEMENT. EACH CREDIT PARTY FURTHER IRREVOCABLY CONSENTS TO THE SERVICE OF PROCESS OUT OF ANY OF THE AFOREMENTIONED COURTS IN ANY SUCH ACTION OR PROCEEDING BY THE MAILING OF COPIES THEREOF BY REGISTERED OR CERTIFIED MAIL, POSTAGE PREPAID, TO SUCH CREDIT PARTY, AT ITS ADDRESS SET FORTH IN AND IN ACCORDANCE WITH </w:t>
      </w:r>
      <w:r>
        <w:rPr>
          <w:rFonts w:ascii="Arial" w:cs="Arial" w:eastAsia="Arial" w:hAnsi="Arial"/>
          <w:sz w:val="19"/>
          <w:szCs w:val="19"/>
          <w:u w:val="single" w:color="auto"/>
          <w:color w:val="auto"/>
        </w:rPr>
        <w:t>SECTION 12.3</w:t>
      </w:r>
      <w:r>
        <w:rPr>
          <w:rFonts w:ascii="Arial" w:cs="Arial" w:eastAsia="Arial" w:hAnsi="Arial"/>
          <w:sz w:val="19"/>
          <w:szCs w:val="19"/>
          <w:color w:val="auto"/>
        </w:rPr>
        <w:t>, SUCH SERVICE TO BECOME EFFECTIVE THIRTY (30) DAYS AFTER SUCH MAILING. NOTHING HEREIN SHALL AFFECT THE RIGHT OF ADMINISTRATIVE AGENT UNDER THIS AGREEMENT, ANY LENDER OR THE HOLDER OF ANY NOTE TO SERVE PROCESS IN ANY OTHER MANNER PERMITTED BY LAW OR TO COMMENCE LEGAL PROCEEDINGS OR OTHERWISE PROCEED AGAINST EACH CREDIT PARTY IN ANY OTHER JURISDICTION.</w:t>
      </w:r>
    </w:p>
    <w:p>
      <w:pPr>
        <w:spacing w:after="0" w:line="209" w:lineRule="exact"/>
        <w:rPr>
          <w:rFonts w:ascii="Arial" w:cs="Arial" w:eastAsia="Arial" w:hAnsi="Arial"/>
          <w:sz w:val="19"/>
          <w:szCs w:val="19"/>
          <w:color w:val="auto"/>
        </w:rPr>
      </w:pPr>
    </w:p>
    <w:p>
      <w:pPr>
        <w:jc w:val="both"/>
        <w:ind w:firstLine="656"/>
        <w:spacing w:after="0" w:line="231" w:lineRule="auto"/>
        <w:tabs>
          <w:tab w:leader="none" w:pos="94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EACH CREDIT PARTY HEREBY IRREVOCABLY WAIVES ANY OBJECTION WHICH IT MAY NOW OR HEREAFTER HAVE TO THE LAYING OF VENUE OF ANY OF THE AFORESAID ACTIONS OR PROCEEDINGS ARISING OUT OF OR IN CONNECTION WITH THIS AGREEMENT OR ANY OTHER LOAN DOCUMENT BROUGHT IN THE COURTS REFERRED TO IN CLAUSE (A) ABOVE AND HEREBY FURTHER IRREVOCABLY WAIVES AND AGREES NOT TO PLEAD OR CLAIM IN ANY SUCH COURT THAT ANY SUCH ACTION OR PROCEEDING BROUGHT IN ANY SUCH COURT HAS BEEN BROUGHT IN AN INCONVENIENT FORUM.</w:t>
      </w:r>
    </w:p>
    <w:p>
      <w:pPr>
        <w:spacing w:after="0" w:line="211" w:lineRule="exact"/>
        <w:rPr>
          <w:sz w:val="20"/>
          <w:szCs w:val="20"/>
          <w:color w:val="auto"/>
        </w:rPr>
      </w:pPr>
    </w:p>
    <w:p>
      <w:pPr>
        <w:ind w:firstLine="648"/>
        <w:spacing w:after="0" w:line="246" w:lineRule="auto"/>
        <w:rPr>
          <w:sz w:val="20"/>
          <w:szCs w:val="20"/>
          <w:color w:val="auto"/>
        </w:rPr>
      </w:pPr>
      <w:r>
        <w:rPr>
          <w:rFonts w:ascii="Arial" w:cs="Arial" w:eastAsia="Arial" w:hAnsi="Arial"/>
          <w:sz w:val="19"/>
          <w:szCs w:val="19"/>
          <w:color w:val="auto"/>
        </w:rPr>
        <w:t>(c)EACH OF THE PARTIES TO THIS AGREEMENT HEREBY IRREVOCABLY WAIVES ANY RIGHT IT MAY HAVE TO TRIAL BY JURY IN ANY COURT OR JURISDICTION, INCLUDING WITHOUT LIMITATION THOSE REFERRED TO IN CLAUSE</w:t>
      </w:r>
    </w:p>
    <w:p>
      <w:pPr>
        <w:ind w:right="20" w:firstLine="8"/>
        <w:spacing w:after="0" w:line="234" w:lineRule="auto"/>
        <w:tabs>
          <w:tab w:leader="none" w:pos="332" w:val="left"/>
        </w:tabs>
        <w:numPr>
          <w:ilvl w:val="0"/>
          <w:numId w:val="279"/>
        </w:numPr>
        <w:rPr>
          <w:rFonts w:ascii="Arial" w:cs="Arial" w:eastAsia="Arial" w:hAnsi="Arial"/>
          <w:sz w:val="20"/>
          <w:szCs w:val="20"/>
          <w:color w:val="auto"/>
        </w:rPr>
      </w:pPr>
      <w:r>
        <w:rPr>
          <w:rFonts w:ascii="Arial" w:cs="Arial" w:eastAsia="Arial" w:hAnsi="Arial"/>
          <w:sz w:val="20"/>
          <w:szCs w:val="20"/>
          <w:color w:val="auto"/>
        </w:rPr>
        <w:t>ABOVE, IN RESPECT OF ANY MATTER ARISING OUT OF OR RELATING TO THIS AGREEMENT AND THE OTHER LOAN DOCUMENTS OR THE TRANSACTIONS CONTEMPLATED HEREBY OR THEREBY.</w:t>
      </w:r>
    </w:p>
    <w:p>
      <w:pPr>
        <w:spacing w:after="0" w:line="210" w:lineRule="exact"/>
        <w:rPr>
          <w:rFonts w:ascii="Arial" w:cs="Arial" w:eastAsia="Arial" w:hAnsi="Arial"/>
          <w:sz w:val="20"/>
          <w:szCs w:val="20"/>
          <w:color w:val="auto"/>
        </w:rPr>
      </w:pPr>
    </w:p>
    <w:p>
      <w:pPr>
        <w:jc w:val="both"/>
        <w:ind w:firstLine="656"/>
        <w:spacing w:after="0" w:line="234" w:lineRule="auto"/>
        <w:tabs>
          <w:tab w:leader="none" w:pos="930" w:val="left"/>
        </w:tabs>
        <w:numPr>
          <w:ilvl w:val="1"/>
          <w:numId w:val="279"/>
        </w:numPr>
        <w:rPr>
          <w:rFonts w:ascii="Arial" w:cs="Arial" w:eastAsia="Arial" w:hAnsi="Arial"/>
          <w:sz w:val="20"/>
          <w:szCs w:val="20"/>
          <w:color w:val="auto"/>
        </w:rPr>
      </w:pPr>
      <w:r>
        <w:rPr>
          <w:rFonts w:ascii="Arial" w:cs="Arial" w:eastAsia="Arial" w:hAnsi="Arial"/>
          <w:sz w:val="20"/>
          <w:szCs w:val="20"/>
          <w:color w:val="auto"/>
        </w:rPr>
        <w:t>THIS AGREEMENT AND EACH NOTE SHALL BE DEEMED TO BE A CONTRACT MADE UNDER THE LAWS OF THE STATE OF NEW YORK, AND FOR ALL PURPOSES SHALL BE CONSTRUED IN ACCORDANCE WITH THE INTERNAL LAWS AND DECISIONS OF SAID STATE, INCLUDING SECTIONS 5-1401 AND 5-1402 OF THE NEW YORK GENERAL OBLIGATIONS LAW BUT EXCLUDING ALL OTHER CHOICE OF LAW AND CONFLICTS OF LAWS RULES.</w:t>
      </w:r>
    </w:p>
    <w:p>
      <w:pPr>
        <w:spacing w:after="0" w:line="210" w:lineRule="exact"/>
        <w:rPr>
          <w:rFonts w:ascii="Arial" w:cs="Arial" w:eastAsia="Arial" w:hAnsi="Arial"/>
          <w:sz w:val="20"/>
          <w:szCs w:val="20"/>
          <w:color w:val="auto"/>
        </w:rPr>
      </w:pPr>
    </w:p>
    <w:p>
      <w:pPr>
        <w:ind w:firstLine="656"/>
        <w:spacing w:after="0" w:line="246" w:lineRule="auto"/>
        <w:tabs>
          <w:tab w:leader="none" w:pos="957" w:val="left"/>
        </w:tabs>
        <w:numPr>
          <w:ilvl w:val="1"/>
          <w:numId w:val="279"/>
        </w:numPr>
        <w:rPr>
          <w:rFonts w:ascii="Arial" w:cs="Arial" w:eastAsia="Arial" w:hAnsi="Arial"/>
          <w:sz w:val="20"/>
          <w:szCs w:val="20"/>
          <w:color w:val="auto"/>
        </w:rPr>
      </w:pPr>
      <w:r>
        <w:rPr>
          <w:rFonts w:ascii="Arial" w:cs="Arial" w:eastAsia="Arial" w:hAnsi="Arial"/>
          <w:sz w:val="20"/>
          <w:szCs w:val="20"/>
          <w:color w:val="auto"/>
        </w:rPr>
        <w:t xml:space="preserve">EACH PARTY TO THIS AGREEMENT IRREVOCABLY CONSENTS TO SERVICE OF PROCESS IN THE MANNER PROVIDED FOR NOTICES IN </w:t>
      </w:r>
      <w:r>
        <w:rPr>
          <w:rFonts w:ascii="Arial" w:cs="Arial" w:eastAsia="Arial" w:hAnsi="Arial"/>
          <w:sz w:val="20"/>
          <w:szCs w:val="20"/>
          <w:u w:val="single" w:color="auto"/>
          <w:color w:val="auto"/>
        </w:rPr>
        <w:t>SECTION 12.3</w:t>
      </w:r>
      <w:r>
        <w:rPr>
          <w:rFonts w:ascii="Arial" w:cs="Arial" w:eastAsia="Arial" w:hAnsi="Arial"/>
          <w:sz w:val="20"/>
          <w:szCs w:val="20"/>
          <w:color w:val="auto"/>
        </w:rPr>
        <w:t>, SUBJECT TO SUCH</w:t>
      </w:r>
    </w:p>
    <w:p>
      <w:pPr>
        <w:sectPr>
          <w:pgSz w:w="11900" w:h="16838" w:orient="portrait"/>
          <w:cols w:equalWidth="0" w:num="1">
            <w:col w:w="11240"/>
          </w:cols>
          <w:pgMar w:left="320" w:top="1419" w:right="339" w:bottom="1440" w:gutter="0" w:footer="0" w:header="0"/>
        </w:sectPr>
      </w:pPr>
    </w:p>
    <w:bookmarkStart w:id="322" w:name="page323"/>
    <w:bookmarkEnd w:id="322"/>
    <w:p>
      <w:pPr>
        <w:jc w:val="both"/>
        <w:spacing w:after="0" w:line="237" w:lineRule="auto"/>
        <w:rPr>
          <w:sz w:val="20"/>
          <w:szCs w:val="20"/>
          <w:color w:val="auto"/>
        </w:rPr>
      </w:pPr>
      <w:r>
        <w:rPr>
          <w:rFonts w:ascii="Arial" w:cs="Arial" w:eastAsia="Arial" w:hAnsi="Arial"/>
          <w:sz w:val="20"/>
          <w:szCs w:val="20"/>
          <w:color w:val="auto"/>
        </w:rPr>
        <w:t>OTHER FORM OF NOTICE AS MAY BE REQUIRED UNDER APPLICABLE LAW WITH RESPECT TO THE GERMAN BORROWERS. NOTHING IN THIS AGREEMENT OR ANY OTHER LOAN DOCUMENT WILL AFFECT THE RIGHT OF ANY PARTY TO THIS AGREEMENT TO SERVE PROCESS IN ANY OTHER MANNER PERMITTED BY LAW.</w:t>
      </w:r>
    </w:p>
    <w:p>
      <w:pPr>
        <w:spacing w:after="0" w:line="210" w:lineRule="exact"/>
        <w:rPr>
          <w:sz w:val="20"/>
          <w:szCs w:val="20"/>
          <w:color w:val="auto"/>
        </w:rPr>
      </w:pPr>
    </w:p>
    <w:p>
      <w:pPr>
        <w:jc w:val="both"/>
        <w:ind w:firstLine="656"/>
        <w:spacing w:after="0" w:line="231" w:lineRule="auto"/>
        <w:tabs>
          <w:tab w:leader="none" w:pos="916" w:val="left"/>
        </w:tabs>
        <w:numPr>
          <w:ilvl w:val="0"/>
          <w:numId w:val="280"/>
        </w:numPr>
        <w:rPr>
          <w:rFonts w:ascii="Arial" w:cs="Arial" w:eastAsia="Arial" w:hAnsi="Arial"/>
          <w:sz w:val="20"/>
          <w:szCs w:val="20"/>
          <w:color w:val="auto"/>
        </w:rPr>
      </w:pPr>
      <w:r>
        <w:rPr>
          <w:rFonts w:ascii="Arial" w:cs="Arial" w:eastAsia="Arial" w:hAnsi="Arial"/>
          <w:sz w:val="20"/>
          <w:szCs w:val="20"/>
          <w:color w:val="auto"/>
        </w:rPr>
        <w:t>BY THE EXECUTION AND DELIVERY OF THIS AGREEMENT, EUROPEAN BORROWER AND EACH SUBSIDIARY BORROWER ACKNOWLEDGES THAT IT HAS BY SEPARATE WRITTEN INSTRUMENT, DESIGNATED AND APPOINTED CROWN HOLDINGS, INC., ONE CROWN WAY, PHILADELPHIA, PA 19154, ATTN: SENIOR VICE PRESIDENT - FINANCE (AND ANY SUCCESSOR ENTITY), AS ITS AUTHORIZED AGENT UPON WHICH PROCESS MAY BE SERVED IN ANY SUIT OR PROCEEDING ARISING OUT OF OR RELATING TO THIS AGREEMENT OR THE LOAN DOCUMENTS THAT MAY BE INSTITUTED IN ANY FEDERAL OR STATE COURT IN THE STATE OF NEW YORK.</w:t>
      </w:r>
    </w:p>
    <w:p>
      <w:pPr>
        <w:spacing w:after="0" w:line="210" w:lineRule="exact"/>
        <w:rPr>
          <w:rFonts w:ascii="Arial" w:cs="Arial" w:eastAsia="Arial" w:hAnsi="Arial"/>
          <w:sz w:val="20"/>
          <w:szCs w:val="20"/>
          <w:color w:val="auto"/>
        </w:rPr>
      </w:pPr>
    </w:p>
    <w:p>
      <w:pPr>
        <w:jc w:val="both"/>
        <w:ind w:firstLine="656"/>
        <w:spacing w:after="0" w:line="241" w:lineRule="auto"/>
        <w:tabs>
          <w:tab w:leader="none" w:pos="946" w:val="left"/>
        </w:tabs>
        <w:numPr>
          <w:ilvl w:val="0"/>
          <w:numId w:val="280"/>
        </w:numPr>
        <w:rPr>
          <w:rFonts w:ascii="Arial" w:cs="Arial" w:eastAsia="Arial" w:hAnsi="Arial"/>
          <w:sz w:val="19"/>
          <w:szCs w:val="19"/>
          <w:color w:val="auto"/>
        </w:rPr>
      </w:pPr>
      <w:r>
        <w:rPr>
          <w:rFonts w:ascii="Arial" w:cs="Arial" w:eastAsia="Arial" w:hAnsi="Arial"/>
          <w:sz w:val="19"/>
          <w:szCs w:val="19"/>
          <w:color w:val="auto"/>
        </w:rPr>
        <w:t>EUROPEAN BORROWER AND EACH SUBSIDIARY BORROWER, TO THE EXTENT THAT IT HAS OR HEREAFTER MAY ACQUIRE ANY IMMUNITY (SOVEREIGN OR OTHERWISE) FROM ANY LEGAL ACTION, SUIT OR PROCEEDING, FROM JURISDICTION OF ANY COURT OR FROM SETOFF OR ANY LEGAL PROCESS (WHETHER SERVICE OF NOTICE, ATTACHMENT PRIOR TO JUDGMENT, ATTACHMENT IN AID OF EXECUTION OF JUDGMENT, EXECUTION OF JUDGMENT OR OTHERWISE) WITH RESPECT TO ITSELF OR ANY OF ITS PROPERTY OR ASSETS, HEREBY WAIVES AND AGREES NOT TO PLEAD OR CLAIM SUCH IMMUNITY IN RESPECT OF ITS OBLIGATIONS UNDER THIS AGREEMENT AND THE OTHER LOAN DOCUMENTS (IT BEING UNDERSTOOD THAT THE WAIVERS CONTAINED IN THIS PARAGRAPH (E) SHALL HAVE THE FULLEST EXTENT PERMITTED UNDER THE FOREIGN SOVEREIGN IMMUNITIES ACT OF 1976, AS AMENDED, AND ARE INTENDED TO BE IRREVOCABLE AND NOT SUBJECT TO WITHDRAWAL FOR THE PURPOSES OF SUCH ACT).</w:t>
      </w:r>
    </w:p>
    <w:p>
      <w:pPr>
        <w:spacing w:after="0" w:line="212" w:lineRule="exact"/>
        <w:rPr>
          <w:rFonts w:ascii="Arial" w:cs="Arial" w:eastAsia="Arial" w:hAnsi="Arial"/>
          <w:sz w:val="19"/>
          <w:szCs w:val="19"/>
          <w:color w:val="auto"/>
        </w:rPr>
      </w:pPr>
    </w:p>
    <w:p>
      <w:pPr>
        <w:jc w:val="both"/>
        <w:ind w:firstLine="656"/>
        <w:spacing w:after="0" w:line="237" w:lineRule="auto"/>
        <w:tabs>
          <w:tab w:leader="none" w:pos="1025" w:val="left"/>
        </w:tabs>
        <w:numPr>
          <w:ilvl w:val="0"/>
          <w:numId w:val="280"/>
        </w:numPr>
        <w:rPr>
          <w:rFonts w:ascii="Arial" w:cs="Arial" w:eastAsia="Arial" w:hAnsi="Arial"/>
          <w:sz w:val="20"/>
          <w:szCs w:val="20"/>
          <w:color w:val="auto"/>
        </w:rPr>
      </w:pPr>
      <w:r>
        <w:rPr>
          <w:rFonts w:ascii="Arial" w:cs="Arial" w:eastAsia="Arial" w:hAnsi="Arial"/>
          <w:sz w:val="20"/>
          <w:szCs w:val="20"/>
          <w:color w:val="auto"/>
        </w:rPr>
        <w:t>EUROPEAN BORROWER AND CROWN DEVELOPPEMENT EACH, ON BEHALF OF ITSELF AND THEIR RESPECTIVE SUBSIDIARIES, HEREBY WAIVE THE BENEFIT OF THE PROVISIONS OF ARTICLE XIV OF THE FRENCH CIVIL CODE.</w:t>
      </w:r>
    </w:p>
    <w:p>
      <w:pPr>
        <w:spacing w:after="0" w:line="210" w:lineRule="exact"/>
        <w:rPr>
          <w:sz w:val="20"/>
          <w:szCs w:val="20"/>
          <w:color w:val="auto"/>
        </w:rPr>
      </w:pPr>
    </w:p>
    <w:p>
      <w:pPr>
        <w:jc w:val="both"/>
        <w:ind w:left="660"/>
        <w:spacing w:after="0" w:line="237" w:lineRule="auto"/>
        <w:rPr>
          <w:sz w:val="20"/>
          <w:szCs w:val="20"/>
          <w:color w:val="auto"/>
        </w:rPr>
      </w:pPr>
      <w:r>
        <w:rPr>
          <w:rFonts w:ascii="Arial" w:cs="Arial" w:eastAsia="Arial" w:hAnsi="Arial"/>
          <w:sz w:val="20"/>
          <w:szCs w:val="20"/>
          <w:u w:val="single" w:color="auto"/>
          <w:color w:val="auto"/>
        </w:rPr>
        <w:t>12.10Severability of Provisions</w:t>
      </w:r>
      <w:r>
        <w:rPr>
          <w:rFonts w:ascii="Arial" w:cs="Arial" w:eastAsia="Arial" w:hAnsi="Arial"/>
          <w:sz w:val="20"/>
          <w:szCs w:val="20"/>
          <w:color w:val="auto"/>
        </w:rPr>
        <w:t>. 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21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u w:val="single" w:color="auto"/>
          <w:color w:val="auto"/>
        </w:rPr>
        <w:t>12.11Transfers of Notes</w:t>
      </w:r>
      <w:r>
        <w:rPr>
          <w:rFonts w:ascii="Arial" w:cs="Arial" w:eastAsia="Arial" w:hAnsi="Arial"/>
          <w:sz w:val="18"/>
          <w:szCs w:val="18"/>
          <w:color w:val="auto"/>
        </w:rPr>
        <w:t>. In the event that the holder of any Note (including any Lender) shall transfer such Note, it shall immediately advise Administrative Agent and the applicable Borrower of such transfer, and Agents and Borrowers shall be entitled conclusively to assume that no transfer of any Note has been made by any holder (including any Lender) unless and until Administrative Agent and the applicable Borrower shall have received written notice to the contrary. Except as otherwise provided in this Agreement or as otherwise expressly agreed in writing by all of the other parties hereto, no Lender shall, by reason of the transfer of a Note or otherwise, be relieved of any of its obligations hereunder. Each transferee of any Note shall take such Note subject to the provisions of this Agreement and to any request made, waiver or consent given or other action taken hereunder, prior to the receipt by Administrative Agent and the applicable Borrower of written notice of such transfer, by each previous holder of such Note, and, except as expressly otherwise provided in such transfer, Agents and Borrowers shall be entitled conclusively to assume that the transferee named in such notice shall hereafter be vested with all rights and powers under this Agreement with respect to the Pro Rata Share of the Loans of the Lender named as the payee of the Note which is the subject of such transfer.</w:t>
      </w:r>
    </w:p>
    <w:p>
      <w:pPr>
        <w:sectPr>
          <w:pgSz w:w="11900" w:h="16838" w:orient="portrait"/>
          <w:cols w:equalWidth="0" w:num="1">
            <w:col w:w="11240"/>
          </w:cols>
          <w:pgMar w:left="320" w:top="1419" w:right="33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u w:val="single" w:color="auto"/>
          <w:color w:val="auto"/>
        </w:rPr>
        <w:t>12.12 Registry</w:t>
      </w:r>
      <w:r>
        <w:rPr>
          <w:rFonts w:ascii="Arial" w:cs="Arial" w:eastAsia="Arial" w:hAnsi="Arial"/>
          <w:sz w:val="18"/>
          <w:szCs w:val="18"/>
          <w:color w:val="auto"/>
        </w:rPr>
        <w:t xml:space="preserve">. Borrowers hereby designate Administrative Agent to serve as Borrowers’ agent, solely for purposes of this </w:t>
      </w:r>
      <w:r>
        <w:rPr>
          <w:rFonts w:ascii="Arial" w:cs="Arial" w:eastAsia="Arial" w:hAnsi="Arial"/>
          <w:sz w:val="18"/>
          <w:szCs w:val="18"/>
          <w:u w:val="single" w:color="auto"/>
          <w:color w:val="auto"/>
        </w:rPr>
        <w:t>Section</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12.12</w:t>
      </w:r>
      <w:r>
        <w:rPr>
          <w:rFonts w:ascii="Arial" w:cs="Arial" w:eastAsia="Arial" w:hAnsi="Arial"/>
          <w:sz w:val="18"/>
          <w:szCs w:val="18"/>
          <w:color w:val="auto"/>
        </w:rPr>
        <w:t xml:space="preserve"> to maintain a register (the “</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on which it will record the Commitment from time to time of each of the Lenders, the Loans made by each of the Lenders and each repayment in respect of the principal amount (and interest amounts) of the Loans of each Lender. Failure to make any such recordation, or any error in such recordation shall not affect any Credit Party’s obligations in respect of such Loans. With respect to any Lender, the transfer of the Commitments of such Lender and the rights to the principal of, and interest on, any Loan made pursuant to such Commitment shall not be effective until such transfer is recorded on the Register maintained by Administrative Agents with respect to ownership of such Commitment and Loans and prior to such recordation all amounts owing to the transferor with respect to such Commitments and Loans shall remain owing to the transferor. The registration of assignment or transfer of all or part of any Commitment and Loans shall be recorded by Administrative Agents on the Register only upon the acceptance by such Administrative Agents of a properly executed and delivered Assignment and Assumption Agreement pursuant to </w:t>
      </w:r>
      <w:r>
        <w:rPr>
          <w:rFonts w:ascii="Arial" w:cs="Arial" w:eastAsia="Arial" w:hAnsi="Arial"/>
          <w:sz w:val="18"/>
          <w:szCs w:val="18"/>
          <w:u w:val="single" w:color="auto"/>
          <w:color w:val="auto"/>
        </w:rPr>
        <w:t>Section 12.8</w:t>
      </w:r>
      <w:r>
        <w:rPr>
          <w:rFonts w:ascii="Arial" w:cs="Arial" w:eastAsia="Arial" w:hAnsi="Arial"/>
          <w:sz w:val="18"/>
          <w:szCs w:val="18"/>
          <w:color w:val="auto"/>
        </w:rPr>
        <w:t>. The entries in the Register shall be conclusive absent manifest error, and the Credit Parties, the Agents and the Lenders shall treat each person whose name is recorded in the Register pursuant to the terms hereof as a Lender hereunder for all purposes of this Agreement, notwithstanding any notice to the contrary. Coincident with the delivery of such an Assignment and Assumption Agreement to such Administrative Agents for acceptance and registration of assignment or transfer of all or part of a Loan, or as soon thereafter as practicable, the assigning or transferor Lender shall surrender any Note evidencing such Loan, and thereupon, if requested by the assigning or transferor Lender or new Lender, one or more new Notes in the same aggregate principal amount then owing to such assignor or transferor Lender shall be issued to the assigning or transferor Lender and/or the new Lender.</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auto"/>
        </w:rPr>
        <w:t>12.13 USA PATRIOT Act and Beneficial Ownership Certificate Notice</w:t>
      </w:r>
      <w:r>
        <w:rPr>
          <w:rFonts w:ascii="Arial" w:cs="Arial" w:eastAsia="Arial" w:hAnsi="Arial"/>
          <w:sz w:val="18"/>
          <w:szCs w:val="18"/>
          <w:color w:val="auto"/>
        </w:rPr>
        <w:t>. Each Lender and the Administrative Agent (for itself and not on behalf of any Lender) hereby notifies Crown Holdings and each Borrower that pursuant to the requirements of the Patriot Act and the Beneficial Ownership Regulation, it is required to obtain, verify and record information that identifies Crown Holdings and each Borrower, which information includes the name and address of Crown Holdings and each Borrower, a Beneficial Ownership Certification (if any Borrower qualifies as a “legal entity customer” under the Beneficial Ownership Regulation) and other information that will allow such Lender or the Administrative Agent, as applicable, to identify Crown Holdings and each Borrower in accordance with the Patriot Act and the Beneficial Ownership Regulation. Crown Holdings and each Borrower shall, promptly following a request by any Lender or the Administrative Agent, provide all documentation and other information that such Lender reasonably requests in order to comply with its ongoing obligations under applicable “know your customer” and anti-money laundering rules and regulations, including the Patriot Act and the Beneficial Ownership Regulation.</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12.14 Headings</w:t>
      </w:r>
      <w:r>
        <w:rPr>
          <w:rFonts w:ascii="Arial" w:cs="Arial" w:eastAsia="Arial" w:hAnsi="Arial"/>
          <w:sz w:val="20"/>
          <w:szCs w:val="20"/>
          <w:color w:val="auto"/>
        </w:rPr>
        <w:t>. The Table of Contents and Article and Section headings used in this Agreement are for convenience of reference only and shall not affect the construction of this Agreement.</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u w:val="single" w:color="auto"/>
          <w:color w:val="auto"/>
        </w:rPr>
        <w:t>12.15 Termination of Agreement</w:t>
      </w:r>
      <w:r>
        <w:rPr>
          <w:rFonts w:ascii="Arial" w:cs="Arial" w:eastAsia="Arial" w:hAnsi="Arial"/>
          <w:sz w:val="19"/>
          <w:szCs w:val="19"/>
          <w:color w:val="auto"/>
        </w:rPr>
        <w:t xml:space="preserve">. This Agreement shall terminate when the Commitment of each Lender has terminated and all outstanding Obligations (other than any obligations and liabilities under Bank Related Debt as to which arrangements reasonably satisfactory to the applicable Hedge Bank shall have been made) and Loans have been paid in full and all Letters of Credit have expired or been terminated (unless cash collateralized or otherwise backstopped on terms reasonably acceptable to the Facing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rights and remedies of each Agent and each Lender with respect to any representation and warranty made by any Credit Party pursuant to this Agreement or any other Loan Document, and the indemnification and expense reimbursement provisions contained in this Agreement and any other Loan Document,</w:t>
      </w:r>
    </w:p>
    <w:p>
      <w:pPr>
        <w:sectPr>
          <w:pgSz w:w="11900" w:h="16838" w:orient="portrait"/>
          <w:cols w:equalWidth="0" w:num="1">
            <w:col w:w="10580"/>
          </w:cols>
          <w:pgMar w:left="980" w:top="1419" w:right="339" w:bottom="1440" w:gutter="0" w:footer="0" w:header="0"/>
        </w:sectPr>
      </w:pPr>
    </w:p>
    <w:bookmarkStart w:id="324" w:name="page325"/>
    <w:bookmarkEnd w:id="324"/>
    <w:p>
      <w:pPr>
        <w:ind w:left="660"/>
        <w:spacing w:after="0"/>
        <w:rPr>
          <w:sz w:val="20"/>
          <w:szCs w:val="20"/>
          <w:color w:val="auto"/>
        </w:rPr>
      </w:pPr>
      <w:r>
        <w:rPr>
          <w:rFonts w:ascii="Arial" w:cs="Arial" w:eastAsia="Arial" w:hAnsi="Arial"/>
          <w:sz w:val="20"/>
          <w:szCs w:val="20"/>
          <w:color w:val="auto"/>
        </w:rPr>
        <w:t>shall be continuing and shall survive any termination of this Agreement or any other Loan Document.</w:t>
      </w:r>
    </w:p>
    <w:p>
      <w:pPr>
        <w:spacing w:after="0" w:line="229"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u w:val="single" w:color="auto"/>
          <w:color w:val="auto"/>
        </w:rPr>
        <w:t>12.16 Treatment of Certain Information; Confidentiality</w:t>
      </w:r>
      <w:r>
        <w:rPr>
          <w:rFonts w:ascii="Arial" w:cs="Arial" w:eastAsia="Arial" w:hAnsi="Arial"/>
          <w:sz w:val="18"/>
          <w:szCs w:val="18"/>
          <w:color w:val="auto"/>
        </w:rPr>
        <w:t>. Each of the Agents, the Lenders, the Sustainability Coordinator and each Facing Agent agrees to maintain the confidentiality of the Information (as defined below) in accordance with its customary practices and procedures for handling such information and in a prudent fashion, except that information may be disclosed (a) to its and its Affiliates’ directors, officers, employees, agents, including accountants, legal counsel and other advisors, insurers, insurance brokers and service providers (it being understood that the Persons to whom such disclosure is made will be informed of the confidential nature of such information and instructed to keep such information confidential), (b) to the extent requested by any governmental or regulatory authority purporting to have jurisdiction over it (including any self-regulatory authority, such as the National Association of Insurance Commissioners), (c) to the extent required by applicable laws or regulations or by any subpoena or similar legal process,</w:t>
      </w:r>
    </w:p>
    <w:p>
      <w:pPr>
        <w:spacing w:after="0" w:line="5" w:lineRule="exact"/>
        <w:rPr>
          <w:sz w:val="20"/>
          <w:szCs w:val="20"/>
          <w:color w:val="auto"/>
        </w:rPr>
      </w:pPr>
    </w:p>
    <w:p>
      <w:pPr>
        <w:jc w:val="both"/>
        <w:ind w:left="660" w:hanging="4"/>
        <w:spacing w:after="0" w:line="239" w:lineRule="auto"/>
        <w:tabs>
          <w:tab w:leader="none" w:pos="941" w:val="left"/>
        </w:tabs>
        <w:numPr>
          <w:ilvl w:val="0"/>
          <w:numId w:val="281"/>
        </w:numPr>
        <w:rPr>
          <w:rFonts w:ascii="Arial" w:cs="Arial" w:eastAsia="Arial" w:hAnsi="Arial"/>
          <w:sz w:val="19"/>
          <w:szCs w:val="19"/>
          <w:color w:val="auto"/>
        </w:rPr>
      </w:pPr>
      <w:r>
        <w:rPr>
          <w:rFonts w:ascii="Arial" w:cs="Arial" w:eastAsia="Arial" w:hAnsi="Arial"/>
          <w:sz w:val="19"/>
          <w:szCs w:val="19"/>
          <w:color w:val="auto"/>
        </w:rPr>
        <w:t>to any other party hereto, (e) in connection with the exercise of any remedies hereunder or under any other Loan Document or the enforcement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of its agents or professional advisers), or any prospective assignee of or Participant in, any of its rights and obligations under this Agreement, (ii) any actual or prospective counterparty (or its advisors) to any swap or derivative transaction relating to the Crown Holdings or any other Credit Party and its obligations or (iii) any rating agency, market data collector or direct or indirect provider of credit protection (or its brokers) to it or its Affiliates, (g) with the consent of Crown Holdings or (h) to the extent such information (x) becomes publicly available other than as a result of a breach of this Section or (y) becomes available to any Agent, any Lender or any Facing Agent or any of their respective Affiliates on a nonconfidential basis from a source other than Crown Holdings. Nothing in this provision shall imply that any party has waived any privilege that it may have with respect to advice it has received.</w:t>
      </w:r>
    </w:p>
    <w:p>
      <w:pPr>
        <w:spacing w:after="0" w:line="21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For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means all information received from Crown Holdings or any of its Subsidiaries relating to Crown Holdings or any of its Subsidiaries or any of their respective businesses in the context of this Agreement and any other Loan Document, other than any such information that is available to Administrative Agent, any Lender or any Facing Agent on a nonconfidential basis prior to disclosure by Crown Holdings or any of its Subsidiaries. In addition, Administrative Agent may disclose to any agency or organization that assigns standard identification numbers to loan facilities such basic information describing the facilities provided hereunder as is necessary to assign unique identifiers (and, if requested, supply a copy of this Agreement but not the Schedules hereto), it being understood that the Person to whom such disclosure is made will be informed of the confidential nature of information and instructed to make available in the course of its business of assigning identification numbers.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1.17Concerning the Collateral and the Loan Documents</w:t>
      </w:r>
    </w:p>
    <w:p>
      <w:pPr>
        <w:ind w:left="660"/>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left="660" w:firstLine="644"/>
        <w:spacing w:after="0" w:line="256" w:lineRule="auto"/>
        <w:tabs>
          <w:tab w:leader="none" w:pos="1577" w:val="left"/>
        </w:tabs>
        <w:numPr>
          <w:ilvl w:val="0"/>
          <w:numId w:val="28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Each Lender and each other Secured Creditor hereby irrevocably (for itself and its assignees, Participants and successors) authorizes Administrative Agent to enter into the Receivables Intercreditor Agreements and any amendments thereto (including, if applicable, additional Receivables Intercreditor Agreements in connection with a Permitted Receivables or Factoring Financing and any amendments thereto) and any amendments thereto and each U.S. Security Document on behalf of and for the benefit of that Lender or other Secured Creditor and its assignees, Participants and successors, and agrees to be bound by the terms of the Receivables Intercreditor Agreements and each U.S. Security Document. Each Lender and each other Secured</w:t>
      </w:r>
    </w:p>
    <w:p>
      <w:pPr>
        <w:sectPr>
          <w:pgSz w:w="11900" w:h="16838" w:orient="portrait"/>
          <w:cols w:equalWidth="0" w:num="1">
            <w:col w:w="11240"/>
          </w:cols>
          <w:pgMar w:left="320" w:top="1419" w:right="339" w:bottom="1440" w:gutter="0" w:footer="0" w:header="0"/>
        </w:sectPr>
      </w:pPr>
    </w:p>
    <w:bookmarkStart w:id="325" w:name="page326"/>
    <w:bookmarkEnd w:id="325"/>
    <w:p>
      <w:pPr>
        <w:jc w:val="both"/>
        <w:spacing w:after="0" w:line="267" w:lineRule="auto"/>
        <w:rPr>
          <w:sz w:val="20"/>
          <w:szCs w:val="20"/>
          <w:color w:val="auto"/>
        </w:rPr>
      </w:pPr>
      <w:r>
        <w:rPr>
          <w:rFonts w:ascii="Arial" w:cs="Arial" w:eastAsia="Arial" w:hAnsi="Arial"/>
          <w:sz w:val="18"/>
          <w:szCs w:val="18"/>
          <w:color w:val="auto"/>
        </w:rPr>
        <w:t>Creditor agrees irrevocably (for itself and its assignees, Participants and successors) that it and its assignees, Participants and successors shall not have any right individually to seek to realize upon the security granted by any U.S. Security Document, it being understood and agreed that such rights and remedies may be exercised by the U.S. Collateral Agent for the benefit of Administrative Agent, the Lenders and the other Secured Creditors upon the terms of the U.S. Security Documents.</w:t>
      </w:r>
    </w:p>
    <w:p>
      <w:pPr>
        <w:spacing w:after="0" w:line="186" w:lineRule="exact"/>
        <w:rPr>
          <w:sz w:val="20"/>
          <w:szCs w:val="20"/>
          <w:color w:val="auto"/>
        </w:rPr>
      </w:pPr>
    </w:p>
    <w:p>
      <w:pPr>
        <w:jc w:val="both"/>
        <w:ind w:firstLine="644"/>
        <w:spacing w:after="0" w:line="239" w:lineRule="auto"/>
        <w:tabs>
          <w:tab w:leader="none" w:pos="951" w:val="left"/>
        </w:tabs>
        <w:numPr>
          <w:ilvl w:val="0"/>
          <w:numId w:val="283"/>
        </w:numPr>
        <w:rPr>
          <w:rFonts w:ascii="Arial" w:cs="Arial" w:eastAsia="Arial" w:hAnsi="Arial"/>
          <w:sz w:val="19"/>
          <w:szCs w:val="19"/>
          <w:color w:val="auto"/>
        </w:rPr>
      </w:pPr>
      <w:r>
        <w:rPr>
          <w:rFonts w:ascii="Arial" w:cs="Arial" w:eastAsia="Arial" w:hAnsi="Arial"/>
          <w:sz w:val="19"/>
          <w:szCs w:val="19"/>
          <w:color w:val="auto"/>
        </w:rPr>
        <w:t xml:space="preserve">Each Canadian Revolving Lender, Multicurrency Revolving Lender and each Term Lender with Loans outstanding to European Borrower (for itself and its assignees, Participants and successors) hereby authorizes irrevocably U.K. Administrative Agent and Euro Collateral Agent to enter into the Receivables Intercreditor Agreements and any amendments thereto (including, if applicable, additional Receivables Intercreditor Agreements in connection with a Permitted Receivables or Factoring Financing and any amendments thereto) and any amendments thereto and the Euro Security Documents on behalf of and for the benefit of that Lender and its assignees, Participants and successors, and agrees to be bound by the terms of the Receivables Intercreditor Agreements and the Euro Security Documents. Each Lender agrees that U.K. Administrative Agent, Canadian Administrative Agent and Euro Collateral Agent shall not enter into or consent to any amendment, modification, termination or waiver of any provision contained in the Euro Security Documents without the prior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release of all or substantially all of the Euro Collateral shall require the prior consent of each Lender. Each Lender irrevocably (for itself and its assignees, Participants and successors) agrees that it and its assignees, Participants and successors shall not have any right individually to seek to realize upon the security granted by any Euro Security Document, it being understood and agreed that such rights and remedies may be exercised by Euro Collateral Agent for the benefit of each Multicurrency Revolving Lender, each Canadian Revolving Lender and each Term Lender with Loans outstanding to European Borrower upon the terms of the Euro Security Documents.</w:t>
      </w:r>
    </w:p>
    <w:p>
      <w:pPr>
        <w:spacing w:after="0" w:line="21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(c)Notwithstanding any other provision contained in this Agreement or any other Loan Document, if a “secured creditor” (as that term is defined under the BIA) is determined by a court of competent jurisdiction not to include a Person to whom obligations are owed on a joint or joint and several basis, then the Canadian Borrower’s and any Canadian Credit Party’s Canadian Obligations, to the extent such Obligations are secured, only shall be several obligations and not joint or joint and several obligations.</w:t>
      </w:r>
    </w:p>
    <w:p>
      <w:pPr>
        <w:spacing w:after="0" w:line="186" w:lineRule="exact"/>
        <w:rPr>
          <w:sz w:val="20"/>
          <w:szCs w:val="20"/>
          <w:color w:val="auto"/>
        </w:rPr>
      </w:pPr>
    </w:p>
    <w:p>
      <w:pPr>
        <w:ind w:left="920" w:hanging="276"/>
        <w:spacing w:after="0"/>
        <w:tabs>
          <w:tab w:leader="none" w:pos="92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[Reserved].</w:t>
      </w:r>
    </w:p>
    <w:p>
      <w:pPr>
        <w:spacing w:after="0" w:line="229" w:lineRule="exact"/>
        <w:rPr>
          <w:rFonts w:ascii="Arial" w:cs="Arial" w:eastAsia="Arial" w:hAnsi="Arial"/>
          <w:sz w:val="20"/>
          <w:szCs w:val="20"/>
          <w:color w:val="auto"/>
        </w:rPr>
      </w:pPr>
    </w:p>
    <w:p>
      <w:pPr>
        <w:jc w:val="both"/>
        <w:ind w:left="640" w:firstLine="4"/>
        <w:spacing w:after="0" w:line="255" w:lineRule="auto"/>
        <w:tabs>
          <w:tab w:leader="none" w:pos="933"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Each Lender and each other Secured Creditor agrees that any action taken by Administrative Agents or the Required Lenders (or, where required by the express terms, hereof, a different proportion of the Lenders) in accordance with the provisions hereof or of the other Loan Documents, and the exercise by any Agent, any Collateral Agent or the Required Lenders (or, where so required, such different proportion) of the powers set forth herein or therein, together with such other powers as are reasonably incidental thereto, shall be authorized and binding upon all of the Lenders and each other Secured Creditor. Without limiting the generality of the foregoing, Administrative Agent and Collateral Agents shall have the sole and exclusive right and authority to (i) act as the disbursing and collecting agent for the Lenders and each other Secured Creditor with respect to all payments and collections arising in connection herewith and with the Loan Documents relating to the Collateral; (ii) execute and deliver each Loan Document relating to the Collateral and accept delivery of each such agreement delivered by Crown Holdings or any of its Subsidiaries, (iii) act as collateral trustee for the Lenders and each other Secured Creditor for purposes stated therein to the extent such action is provided</w:t>
      </w:r>
    </w:p>
    <w:p>
      <w:pPr>
        <w:sectPr>
          <w:pgSz w:w="11900" w:h="16838" w:orient="portrait"/>
          <w:cols w:equalWidth="0" w:num="1">
            <w:col w:w="10580"/>
          </w:cols>
          <w:pgMar w:left="980" w:top="1419" w:right="339" w:bottom="1440" w:gutter="0" w:footer="0" w:header="0"/>
        </w:sectPr>
      </w:pPr>
    </w:p>
    <w:bookmarkStart w:id="326" w:name="page327"/>
    <w:bookmarkEnd w:id="326"/>
    <w:p>
      <w:pPr>
        <w:jc w:val="both"/>
        <w:ind w:left="1300"/>
        <w:spacing w:after="0" w:line="241" w:lineRule="auto"/>
        <w:rPr>
          <w:sz w:val="20"/>
          <w:szCs w:val="20"/>
          <w:color w:val="auto"/>
        </w:rPr>
      </w:pPr>
      <w:r>
        <w:rPr>
          <w:rFonts w:ascii="Arial" w:cs="Arial" w:eastAsia="Arial" w:hAnsi="Arial"/>
          <w:sz w:val="19"/>
          <w:szCs w:val="19"/>
          <w:color w:val="auto"/>
        </w:rPr>
        <w:t xml:space="preserve">for under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Administrative Agent hereby appoints, authorizes and directs each Lender and each other Secured Creditor to act as collateral sub-agent for Administrative Agent and the Lenders for purposes of the perfection of all security interests and Liens with respect to Crown Holdings’ and its Subsidiaries’ respective deposit accounts maintained with, and Cash and Cash Equivalents held by, such Lender and each other Secured Creditor; (iv) manage, supervise and otherwise deal with the Collateral; (v) take such action as is necessary or desirable to maintain the perfection and priority of the security interests and liens created or purported to be created by the Loan Documents, and (vi) except as may be otherwise specifically restricted by the terms hereof or of any other Loan Document, exercise all remedies given to any Agent or the Lenders and each other Secured Creditor with respect to the Collateral under the Loan Documents relating thereto, applicable law or otherwise.</w:t>
      </w:r>
    </w:p>
    <w:p>
      <w:pPr>
        <w:spacing w:after="0" w:line="212" w:lineRule="exact"/>
        <w:rPr>
          <w:sz w:val="20"/>
          <w:szCs w:val="20"/>
          <w:color w:val="auto"/>
        </w:rPr>
      </w:pPr>
    </w:p>
    <w:p>
      <w:pPr>
        <w:ind w:left="660" w:right="20"/>
        <w:spacing w:after="0" w:line="246" w:lineRule="auto"/>
        <w:rPr>
          <w:sz w:val="20"/>
          <w:szCs w:val="20"/>
          <w:color w:val="auto"/>
        </w:rPr>
      </w:pPr>
      <w:r>
        <w:rPr>
          <w:rFonts w:ascii="Arial" w:cs="Arial" w:eastAsia="Arial" w:hAnsi="Arial"/>
          <w:sz w:val="20"/>
          <w:szCs w:val="20"/>
          <w:u w:val="single" w:color="auto"/>
          <w:color w:val="auto"/>
        </w:rPr>
        <w:t>12.18 U.K. Administrative Agent and Euro Collateral Agent as Joint Creditors</w:t>
      </w:r>
      <w:r>
        <w:rPr>
          <w:rFonts w:ascii="Arial" w:cs="Arial" w:eastAsia="Arial" w:hAnsi="Arial"/>
          <w:sz w:val="20"/>
          <w:szCs w:val="20"/>
          <w:color w:val="auto"/>
        </w:rPr>
        <w:t>. Each of the Credit Parties and each Lender and Agent agree that each of U.K. Administrative Agent and Euro Collateral Agent shall be:</w:t>
      </w:r>
    </w:p>
    <w:p>
      <w:pPr>
        <w:spacing w:after="0" w:line="204"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a joint creditor (together with the relevant Lender or Agent) of the Euro Obligations and the Canadian Obligations of European Borrower, Subsidiary Borrowers, and Canadian Borrower toward each Lender or Agent under or in connection with the Loan Documents;</w:t>
      </w:r>
    </w:p>
    <w:p>
      <w:pPr>
        <w:spacing w:after="0" w:line="210"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a joint creditor (together with the relevant Agent, Lender, Affiliate thereof, or any other person permitted under the Credit Agreement at the time such Bank Related Debt was entered into) of the Bank Related Debt to the extent such Bank Related Debt is owed to entities which are bound by the terms of this Section and to the extent such obligations are incurred by European Borrower, Canadian Borrower or another Non-U.S. Subsidiary; and</w:t>
      </w:r>
    </w:p>
    <w:p>
      <w:pPr>
        <w:spacing w:after="0" w:line="21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a joint creditor (together with the relevant Lender or Agent) of each and every obligation under the Loan Documents to the extent such obligations are incurred by European Borrower, Canadian Borrower or another Non-U.S. Subsidiary;</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and that accordingly U.K. Administrative Agent and Euro Collateral Agent will have its own independent right to demand performance by such obligors of those obligations. However, any discharge of any such obligation to U.K. Administrative Agent, Euro Collateral Agent or any other relevant creditor referred to above, shall, to the same extent, discharge the corresponding obligation owing to the others.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12.19 Dutch Parallel Debt</w:t>
      </w:r>
      <w:r>
        <w:rPr>
          <w:rFonts w:ascii="Arial" w:cs="Arial" w:eastAsia="Arial" w:hAnsi="Arial"/>
          <w:sz w:val="20"/>
          <w:szCs w:val="20"/>
          <w:color w:val="auto"/>
        </w:rPr>
        <w:t xml:space="preserve">. Solely for purposes of this </w:t>
      </w:r>
      <w:r>
        <w:rPr>
          <w:rFonts w:ascii="Arial" w:cs="Arial" w:eastAsia="Arial" w:hAnsi="Arial"/>
          <w:sz w:val="20"/>
          <w:szCs w:val="20"/>
          <w:u w:val="single" w:color="auto"/>
          <w:color w:val="auto"/>
        </w:rPr>
        <w:t>Section 12.19</w:t>
      </w:r>
      <w:r>
        <w:rPr>
          <w:rFonts w:ascii="Arial" w:cs="Arial" w:eastAsia="Arial" w:hAnsi="Arial"/>
          <w:sz w:val="20"/>
          <w:szCs w:val="20"/>
          <w:color w:val="auto"/>
        </w:rPr>
        <w:t>:</w:t>
      </w:r>
    </w:p>
    <w:p>
      <w:pPr>
        <w:spacing w:after="0" w:line="22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Dutch Parallel Debt</w:t>
      </w:r>
      <w:r>
        <w:rPr>
          <w:rFonts w:ascii="Arial" w:cs="Arial" w:eastAsia="Arial" w:hAnsi="Arial"/>
          <w:sz w:val="20"/>
          <w:szCs w:val="20"/>
          <w:color w:val="auto"/>
        </w:rPr>
        <w:t>” means, in relation to an Underlying Debt, an obligation to pay to the Euro Collateral Agent an amount equal to (and in the same currency as) the amount of that Underlying Debt.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Obligor</w:t>
      </w:r>
      <w:r>
        <w:rPr>
          <w:rFonts w:ascii="Arial" w:cs="Arial" w:eastAsia="Arial" w:hAnsi="Arial"/>
          <w:sz w:val="20"/>
          <w:szCs w:val="20"/>
          <w:color w:val="auto"/>
        </w:rPr>
        <w:t>” means the European Borrower, the Canadian Borrower, any Subsidiary Borrower or a Non-U.S. Subsidiary.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Underlying Debt</w:t>
      </w:r>
      <w:r>
        <w:rPr>
          <w:rFonts w:ascii="Arial" w:cs="Arial" w:eastAsia="Arial" w:hAnsi="Arial"/>
          <w:sz w:val="18"/>
          <w:szCs w:val="18"/>
          <w:color w:val="auto"/>
        </w:rPr>
        <w:t xml:space="preserve">” means, in relation to a Obligor, and at any given time, each obligation (whether present or future, actual or contingent) owing by any Obligor to a relevant Lender or Agent under </w:t>
      </w:r>
      <w:r>
        <w:rPr>
          <w:rFonts w:ascii="Arial" w:cs="Arial" w:eastAsia="Arial" w:hAnsi="Arial"/>
          <w:sz w:val="18"/>
          <w:szCs w:val="18"/>
          <w:u w:val="single" w:color="auto"/>
          <w:color w:val="auto"/>
        </w:rPr>
        <w:t>Section 12.18</w:t>
      </w:r>
      <w:r>
        <w:rPr>
          <w:rFonts w:ascii="Arial" w:cs="Arial" w:eastAsia="Arial" w:hAnsi="Arial"/>
          <w:sz w:val="18"/>
          <w:szCs w:val="18"/>
          <w:color w:val="auto"/>
        </w:rPr>
        <w:t xml:space="preserve"> (including, for the avoidance of doubt, any change or increase in those obligations pursuant to or in connection with any amendment or supplement or restatement or novation of any Loan Document, in each case whether or not anticipated as of the date of this Agreement) excluding that Obligor’s Dutch Parallel Debts.</w:t>
      </w:r>
    </w:p>
    <w:p>
      <w:pPr>
        <w:sectPr>
          <w:pgSz w:w="11900" w:h="16838" w:orient="portrait"/>
          <w:cols w:equalWidth="0" w:num="1">
            <w:col w:w="11240"/>
          </w:cols>
          <w:pgMar w:left="320" w:top="1419" w:right="339" w:bottom="1440" w:gutter="0" w:footer="0" w:header="0"/>
        </w:sectPr>
      </w:pPr>
    </w:p>
    <w:bookmarkStart w:id="327" w:name="page328"/>
    <w:bookmarkEnd w:id="327"/>
    <w:p>
      <w:pPr>
        <w:jc w:val="both"/>
        <w:ind w:right="20" w:firstLine="656"/>
        <w:spacing w:after="0" w:line="237" w:lineRule="auto"/>
        <w:tabs>
          <w:tab w:leader="none" w:pos="93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Each Obligor undertakes with the Euro Collateral Agent to pay to the Euro Collateral Agent its Dutch Parallel Debts for the purpose of ensuring the validity and effect of any Collateral governed by Dutch law and granted or to be granted by any Obligor pursuant to the Loan Documents and without prejudice to the other provisions of the Loan Documents.</w:t>
      </w:r>
    </w:p>
    <w:p>
      <w:pPr>
        <w:spacing w:after="0" w:line="209" w:lineRule="exact"/>
        <w:rPr>
          <w:rFonts w:ascii="Arial" w:cs="Arial" w:eastAsia="Arial" w:hAnsi="Arial"/>
          <w:sz w:val="20"/>
          <w:szCs w:val="20"/>
          <w:color w:val="auto"/>
        </w:rPr>
      </w:pPr>
    </w:p>
    <w:p>
      <w:pPr>
        <w:ind w:right="20" w:firstLine="656"/>
        <w:spacing w:after="0" w:line="246" w:lineRule="auto"/>
        <w:tabs>
          <w:tab w:leader="none" w:pos="942" w:val="left"/>
        </w:tabs>
        <w:numPr>
          <w:ilvl w:val="0"/>
          <w:numId w:val="285"/>
        </w:numPr>
        <w:rPr>
          <w:rFonts w:ascii="Arial" w:cs="Arial" w:eastAsia="Arial" w:hAnsi="Arial"/>
          <w:sz w:val="20"/>
          <w:szCs w:val="20"/>
          <w:color w:val="auto"/>
        </w:rPr>
      </w:pPr>
      <w:r>
        <w:rPr>
          <w:rFonts w:ascii="Arial" w:cs="Arial" w:eastAsia="Arial" w:hAnsi="Arial"/>
          <w:sz w:val="20"/>
          <w:szCs w:val="20"/>
          <w:color w:val="auto"/>
        </w:rPr>
        <w:t>Each Dutch Parallel Debt is a separate and independent obligation and shall not constitute the Euro Collateral Agent and any Lender as joint creditors of any Underlying Debt.</w:t>
      </w:r>
    </w:p>
    <w:p>
      <w:pPr>
        <w:spacing w:after="0" w:line="203" w:lineRule="exact"/>
        <w:rPr>
          <w:rFonts w:ascii="Arial" w:cs="Arial" w:eastAsia="Arial" w:hAnsi="Arial"/>
          <w:sz w:val="20"/>
          <w:szCs w:val="20"/>
          <w:color w:val="auto"/>
        </w:rPr>
      </w:pPr>
    </w:p>
    <w:p>
      <w:pPr>
        <w:ind w:firstLine="656"/>
        <w:spacing w:after="0" w:line="233" w:lineRule="auto"/>
        <w:tabs>
          <w:tab w:leader="none" w:pos="944" w:val="left"/>
        </w:tabs>
        <w:numPr>
          <w:ilvl w:val="0"/>
          <w:numId w:val="285"/>
        </w:numPr>
        <w:rPr>
          <w:rFonts w:ascii="Arial" w:cs="Arial" w:eastAsia="Arial" w:hAnsi="Arial"/>
          <w:sz w:val="20"/>
          <w:szCs w:val="20"/>
          <w:color w:val="auto"/>
        </w:rPr>
      </w:pPr>
      <w:r>
        <w:rPr>
          <w:rFonts w:ascii="Arial" w:cs="Arial" w:eastAsia="Arial" w:hAnsi="Arial"/>
          <w:sz w:val="20"/>
          <w:szCs w:val="20"/>
          <w:color w:val="auto"/>
        </w:rPr>
        <w:t>No Obligor may pay any Dutch Parallel Debt other than at the instruction of, and in the manner determined by, the Euro Collateral Agent.</w:t>
      </w:r>
    </w:p>
    <w:p>
      <w:pPr>
        <w:spacing w:after="0" w:line="1" w:lineRule="exact"/>
        <w:rPr>
          <w:rFonts w:ascii="Arial" w:cs="Arial" w:eastAsia="Arial" w:hAnsi="Arial"/>
          <w:sz w:val="20"/>
          <w:szCs w:val="20"/>
          <w:color w:val="auto"/>
        </w:rPr>
      </w:pPr>
    </w:p>
    <w:p>
      <w:pPr>
        <w:ind w:firstLine="656"/>
        <w:spacing w:after="0" w:line="234" w:lineRule="auto"/>
        <w:tabs>
          <w:tab w:leader="none" w:pos="955" w:val="left"/>
        </w:tabs>
        <w:numPr>
          <w:ilvl w:val="0"/>
          <w:numId w:val="285"/>
        </w:numPr>
        <w:rPr>
          <w:rFonts w:ascii="Arial" w:cs="Arial" w:eastAsia="Arial" w:hAnsi="Arial"/>
          <w:sz w:val="20"/>
          <w:szCs w:val="20"/>
          <w:color w:val="auto"/>
        </w:rPr>
      </w:pPr>
      <w:r>
        <w:rPr>
          <w:rFonts w:ascii="Arial" w:cs="Arial" w:eastAsia="Arial" w:hAnsi="Arial"/>
          <w:sz w:val="20"/>
          <w:szCs w:val="20"/>
          <w:color w:val="auto"/>
        </w:rPr>
        <w:t xml:space="preserve">Without prejudice to </w:t>
      </w:r>
      <w:r>
        <w:rPr>
          <w:rFonts w:ascii="Arial" w:cs="Arial" w:eastAsia="Arial" w:hAnsi="Arial"/>
          <w:sz w:val="20"/>
          <w:szCs w:val="20"/>
          <w:u w:val="single" w:color="auto"/>
          <w:color w:val="auto"/>
        </w:rPr>
        <w:t>Section 12.19(c)</w:t>
      </w:r>
      <w:r>
        <w:rPr>
          <w:rFonts w:ascii="Arial" w:cs="Arial" w:eastAsia="Arial" w:hAnsi="Arial"/>
          <w:sz w:val="20"/>
          <w:szCs w:val="20"/>
          <w:color w:val="auto"/>
        </w:rPr>
        <w:t>, no Obligor shall be obliged to pay any Dutch Parallel Debt before the corresponding Underlying Debt has fallen due.</w:t>
      </w:r>
    </w:p>
    <w:p>
      <w:pPr>
        <w:spacing w:after="0" w:line="210" w:lineRule="exact"/>
        <w:rPr>
          <w:rFonts w:ascii="Arial" w:cs="Arial" w:eastAsia="Arial" w:hAnsi="Arial"/>
          <w:sz w:val="20"/>
          <w:szCs w:val="20"/>
          <w:color w:val="auto"/>
        </w:rPr>
      </w:pPr>
    </w:p>
    <w:p>
      <w:pPr>
        <w:ind w:firstLine="656"/>
        <w:spacing w:after="0" w:line="300" w:lineRule="auto"/>
        <w:tabs>
          <w:tab w:leader="none" w:pos="93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payment made, or amount recovered, in respect of an Obligor’s Dutch Parallel Debts shall reduce the Underlying Debts owed to any Lender by the amount which that Lender is entitled to receive out of that payment or recovery under the Loan Documents.</w:t>
      </w:r>
    </w:p>
    <w:p>
      <w:pPr>
        <w:spacing w:after="0" w:line="157" w:lineRule="exact"/>
        <w:rPr>
          <w:rFonts w:ascii="Arial" w:cs="Arial" w:eastAsia="Arial" w:hAnsi="Arial"/>
          <w:sz w:val="18"/>
          <w:szCs w:val="18"/>
          <w:color w:val="auto"/>
        </w:rPr>
      </w:pPr>
    </w:p>
    <w:p>
      <w:pPr>
        <w:jc w:val="both"/>
        <w:ind w:firstLine="656"/>
        <w:spacing w:after="0" w:line="275" w:lineRule="auto"/>
        <w:tabs>
          <w:tab w:leader="none" w:pos="89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If the Euro Collateral Agent resigns, each Obligor shall execute such documents and take all such other action as is necessary or (in the opinion of the Euro Collateral Agent) desirable in connection with the substitution, in accordance with applicable law, of the successor Euro Collateral Agent as creditor of the Dutch Parallel Debts and as beneficiary of any Euro Collateral securing the Dutch Parallel Debts.</w:t>
      </w:r>
    </w:p>
    <w:p>
      <w:pPr>
        <w:spacing w:after="0" w:line="179" w:lineRule="exact"/>
        <w:rPr>
          <w:rFonts w:ascii="Arial" w:cs="Arial" w:eastAsia="Arial" w:hAnsi="Arial"/>
          <w:sz w:val="18"/>
          <w:szCs w:val="18"/>
          <w:color w:val="auto"/>
        </w:rPr>
      </w:pPr>
    </w:p>
    <w:p>
      <w:pPr>
        <w:jc w:val="both"/>
        <w:ind w:firstLine="656"/>
        <w:spacing w:after="0" w:line="248" w:lineRule="auto"/>
        <w:tabs>
          <w:tab w:leader="none" w:pos="928" w:val="left"/>
        </w:tabs>
        <w:numPr>
          <w:ilvl w:val="0"/>
          <w:numId w:val="285"/>
        </w:numPr>
        <w:rPr>
          <w:rFonts w:ascii="Arial" w:cs="Arial" w:eastAsia="Arial" w:hAnsi="Arial"/>
          <w:sz w:val="19"/>
          <w:szCs w:val="19"/>
          <w:color w:val="auto"/>
        </w:rPr>
      </w:pPr>
      <w:r>
        <w:rPr>
          <w:rFonts w:ascii="Arial" w:cs="Arial" w:eastAsia="Arial" w:hAnsi="Arial"/>
          <w:sz w:val="19"/>
          <w:szCs w:val="19"/>
          <w:color w:val="auto"/>
        </w:rPr>
        <w:t>Notwithstanding any provision to the contrary in any Loan Document, in relation to the Dutch Parallel Debts and any Collateral governed by Dutch law: (i) the Euro Collateral Agent shall act in its own name and not as agent of any Lender (but always for the benefit of the Lenders in accordance with the provisions of the Loan Documents), and (ii) the rights, powers and authorities vested in the Euro Collateral Agent pursuant to the Loan Documents are subject to any restrictions imposed by mandatory Dutch law.</w:t>
      </w:r>
    </w:p>
    <w:p>
      <w:pPr>
        <w:spacing w:after="0" w:line="204"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u w:val="single" w:color="auto"/>
          <w:color w:val="auto"/>
        </w:rPr>
        <w:t>12.20Acknowledgement and Consent to Bail-In of EEA Financial Institutions</w:t>
      </w:r>
      <w:r>
        <w:rPr>
          <w:rFonts w:ascii="Arial" w:cs="Arial" w:eastAsia="Arial" w:hAnsi="Arial"/>
          <w:sz w:val="20"/>
          <w:szCs w:val="20"/>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211"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29" w:lineRule="exact"/>
        <w:rPr>
          <w:sz w:val="20"/>
          <w:szCs w:val="20"/>
          <w:color w:val="auto"/>
        </w:rPr>
      </w:pPr>
    </w:p>
    <w:p>
      <w:pPr>
        <w:ind w:left="1540" w:hanging="236"/>
        <w:spacing w:after="0"/>
        <w:tabs>
          <w:tab w:leader="none" w:pos="154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29" w:lineRule="exact"/>
        <w:rPr>
          <w:rFonts w:ascii="Arial" w:cs="Arial" w:eastAsia="Arial" w:hAnsi="Arial"/>
          <w:sz w:val="20"/>
          <w:szCs w:val="20"/>
          <w:color w:val="auto"/>
        </w:rPr>
      </w:pPr>
    </w:p>
    <w:p>
      <w:pPr>
        <w:jc w:val="both"/>
        <w:ind w:firstLine="1304"/>
        <w:spacing w:after="0" w:line="234" w:lineRule="auto"/>
        <w:tabs>
          <w:tab w:leader="none" w:pos="1601" w:val="left"/>
        </w:tabs>
        <w:numPr>
          <w:ilvl w:val="0"/>
          <w:numId w:val="286"/>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ectPr>
          <w:pgSz w:w="11900" w:h="16838" w:orient="portrait"/>
          <w:cols w:equalWidth="0" w:num="1">
            <w:col w:w="11240"/>
          </w:cols>
          <w:pgMar w:left="320" w:top="1419" w:right="339" w:bottom="1440" w:gutter="0" w:footer="0" w:header="0"/>
        </w:sectPr>
      </w:pPr>
    </w:p>
    <w:bookmarkStart w:id="328" w:name="page329"/>
    <w:bookmarkEnd w:id="328"/>
    <w:p>
      <w:pPr>
        <w:ind w:left="-656" w:firstLine="1304"/>
        <w:spacing w:after="0" w:line="246" w:lineRule="auto"/>
        <w:tabs>
          <w:tab w:leader="none" w:pos="986" w:val="left"/>
        </w:tabs>
        <w:numPr>
          <w:ilvl w:val="0"/>
          <w:numId w:val="287"/>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204" w:lineRule="exact"/>
        <w:rPr>
          <w:sz w:val="20"/>
          <w:szCs w:val="20"/>
          <w:color w:val="auto"/>
        </w:rPr>
      </w:pPr>
    </w:p>
    <w:p>
      <w:pPr>
        <w:jc w:val="both"/>
        <w:ind w:left="4"/>
        <w:spacing w:after="0" w:line="251" w:lineRule="auto"/>
        <w:rPr>
          <w:sz w:val="20"/>
          <w:szCs w:val="20"/>
          <w:color w:val="auto"/>
        </w:rPr>
      </w:pPr>
      <w:r>
        <w:rPr>
          <w:rFonts w:ascii="Arial" w:cs="Arial" w:eastAsia="Arial" w:hAnsi="Arial"/>
          <w:sz w:val="18"/>
          <w:szCs w:val="18"/>
          <w:u w:val="single" w:color="auto"/>
          <w:color w:val="auto"/>
        </w:rPr>
        <w:t>12.21Redesignation of Unrestricted Entities as Subsidiaries</w:t>
      </w:r>
      <w:r>
        <w:rPr>
          <w:rFonts w:ascii="Arial" w:cs="Arial" w:eastAsia="Arial" w:hAnsi="Arial"/>
          <w:sz w:val="18"/>
          <w:szCs w:val="18"/>
          <w:color w:val="auto"/>
        </w:rPr>
        <w:t xml:space="preserve">. Any Unrestricted Entity that would be a Subsidiary but for the last sentence of the definition of “Subsidiary” may be redesignated by Crown Holdings as a Subsidiary (with such redesignation being deemed to be an Acquisition by Crown Holdings of such Subsidiary which shall be deemed to constitute a Permitted Acquisition for purposes of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Crown Holdings shall have delivered to the Administrative Agent (not less than 30 days prior to the date Crown Holdings desires such redesignation to be effective) a notice signed by a Responsible Officer identifying such Unrestricted Entity to be redesignated and providing such other information as the Administrative Agent may reasonably request, (ii) immediately before and immediately after the effectiveness of such redesignation, no Unmatured Event of Default or Event of Default exists or will exist (including, without limitation, the permissibility of any Investment, Indebtedness, Liens or other obligations existing at such Subsidiaries), (iii) Crown Holdings has complied, to the extent applicable, with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7.14</w:t>
      </w:r>
      <w:r>
        <w:rPr>
          <w:rFonts w:ascii="Arial" w:cs="Arial" w:eastAsia="Arial" w:hAnsi="Arial"/>
          <w:sz w:val="18"/>
          <w:szCs w:val="18"/>
          <w:color w:val="auto"/>
        </w:rPr>
        <w:t xml:space="preserve"> and the applicable Subsidiaries, on the effective date of such redesignation or such later date as agreed to by the Administrative Agent but in no event later than 120 days after such date, are in compliance with the terms and conditions of all applicable Security Documents, (iv) after giving effect to such redesignation, Crown Holdings shall be in compliance with the financial covenant set forth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(calculated on a Pro Forma Basis) as of the end of the most recent Test Period, (v) the Administrative Agent has received such other documents, instruments and opinions as it may reasonably request in connection with such redesignation, and all such instruments, documents and opinions shall be reasonably satisfactory in form and substance to the Administrative Agent and</w:t>
      </w:r>
    </w:p>
    <w:p>
      <w:pPr>
        <w:spacing w:after="0" w:line="9" w:lineRule="exact"/>
        <w:rPr>
          <w:sz w:val="20"/>
          <w:szCs w:val="20"/>
          <w:color w:val="auto"/>
        </w:rPr>
      </w:pPr>
    </w:p>
    <w:p>
      <w:pPr>
        <w:jc w:val="both"/>
        <w:ind w:left="4" w:hanging="4"/>
        <w:spacing w:after="0" w:line="229" w:lineRule="auto"/>
        <w:tabs>
          <w:tab w:leader="none" w:pos="376" w:val="left"/>
        </w:tabs>
        <w:numPr>
          <w:ilvl w:val="0"/>
          <w:numId w:val="288"/>
        </w:numPr>
        <w:rPr>
          <w:rFonts w:ascii="Arial" w:cs="Arial" w:eastAsia="Arial" w:hAnsi="Arial"/>
          <w:sz w:val="20"/>
          <w:szCs w:val="20"/>
          <w:color w:val="auto"/>
        </w:rPr>
      </w:pPr>
      <w:r>
        <w:rPr>
          <w:rFonts w:ascii="Arial" w:cs="Arial" w:eastAsia="Arial" w:hAnsi="Arial"/>
          <w:sz w:val="20"/>
          <w:szCs w:val="20"/>
          <w:color w:val="auto"/>
        </w:rPr>
        <w:t>on the desired effective date of such redesignation, Crown Holdings shall deliver a certificate from a Responsible Officer confirming clauses (ii) through (v) above and that the representations and warranties contained in this Agreement and the other Loan Documents are true and correct in all material respects on the date of, and after giving effect to, such redesignation as though made on such date (except to the extent such representations and warranties are expressly made of a specified date in which event they shall be true as of such date).</w:t>
      </w:r>
    </w:p>
    <w:p>
      <w:pPr>
        <w:spacing w:after="0" w:line="210"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u w:val="single" w:color="auto"/>
          <w:color w:val="auto"/>
        </w:rPr>
        <w:t>12.22No Fiduciary Responsibility</w:t>
      </w:r>
      <w:r>
        <w:rPr>
          <w:rFonts w:ascii="Arial" w:cs="Arial" w:eastAsia="Arial" w:hAnsi="Arial"/>
          <w:sz w:val="18"/>
          <w:szCs w:val="18"/>
          <w:color w:val="auto"/>
        </w:rPr>
        <w:t>. Each Credit Party hereby acknowledges that (i) none of the Agents nor any Lender has any fiduciary relationship with or duty to the Credit Parties arising out of or in connection with this Agreement or any of the other Loan Documents, and the relationship between Borrowers and the Credit Parties, on one hand, and the Agents and Lenders, on the other hand, in connection herewith or therewith is solely that of debtor and creditor and (ii) each Agent, Lender and their Affiliates may have economic interests that conflict with those of the Credit Parties, their stockholders and/or their Affiliates.</w:t>
      </w:r>
    </w:p>
    <w:p>
      <w:pPr>
        <w:spacing w:after="0" w:line="189"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u w:val="single" w:color="auto"/>
          <w:color w:val="auto"/>
        </w:rPr>
        <w:t>12.23 Joint and Several Liability</w:t>
      </w:r>
      <w:r>
        <w:rPr>
          <w:rFonts w:ascii="Arial" w:cs="Arial" w:eastAsia="Arial" w:hAnsi="Arial"/>
          <w:sz w:val="18"/>
          <w:szCs w:val="18"/>
          <w:color w:val="auto"/>
        </w:rPr>
        <w:t>. (a) The obligations of any U.S. Borrower hereunder and under the other Loan Documents to which each U.S. Borrower is a party shall be joint and several and, as such, each U.S. Borrower shall be liable for all of such obligations of each other U.S. Borrower under this Agreement and the other Loan Documents to which any U.S. Borrower is a party. To the fullest extent permitted by law, the liability of each U.S. Borrower for the obligations under this Agreement and the other Loan Documents of the other applicable U.S. Borrowers with whom it has joint and several liability shall be absolute, unconditional and irrevocable, without regard to (i) the validity or enforceability of this Agreement or any other Loan Document, any of the obligations hereunder or thereunder or any other collateral security therefor or guarantee or right of offset with respect thereto at any time or from time to time held by any applicable Secured Creditor, (ii) any defense, set-off or counterclaim which may at any time be available to or be asserted by such other applicable U.S. Borrower or any other Person against any Secured Creditor or (iii) any other circumstance whatsoever (with or without notice to or knowledge of such other</w:t>
      </w:r>
    </w:p>
    <w:p>
      <w:pPr>
        <w:sectPr>
          <w:pgSz w:w="11900" w:h="16838" w:orient="portrait"/>
          <w:cols w:equalWidth="0" w:num="1">
            <w:col w:w="10584"/>
          </w:cols>
          <w:pgMar w:left="976" w:top="1419" w:right="339" w:bottom="1440" w:gutter="0" w:footer="0" w:header="0"/>
        </w:sectPr>
      </w:pPr>
    </w:p>
    <w:bookmarkStart w:id="329" w:name="page330"/>
    <w:bookmarkEnd w:id="329"/>
    <w:p>
      <w:pPr>
        <w:jc w:val="both"/>
        <w:ind w:left="4"/>
        <w:spacing w:after="0" w:line="232" w:lineRule="auto"/>
        <w:rPr>
          <w:sz w:val="20"/>
          <w:szCs w:val="20"/>
          <w:color w:val="auto"/>
        </w:rPr>
      </w:pPr>
      <w:r>
        <w:rPr>
          <w:rFonts w:ascii="Arial" w:cs="Arial" w:eastAsia="Arial" w:hAnsi="Arial"/>
          <w:sz w:val="20"/>
          <w:szCs w:val="20"/>
          <w:color w:val="auto"/>
        </w:rPr>
        <w:t xml:space="preserve">applicable U.S. Borrower or such U.S. Borrower) which constitutes, or might be construed to constitute, an equitable or legal discharge of such other applicable U.S. Borrower for the obligations hereunder or under any other Loan Document, or of such U.S. Borrower under this </w:t>
      </w:r>
      <w:r>
        <w:rPr>
          <w:rFonts w:ascii="Arial" w:cs="Arial" w:eastAsia="Arial" w:hAnsi="Arial"/>
          <w:sz w:val="20"/>
          <w:szCs w:val="20"/>
          <w:u w:val="single" w:color="auto"/>
          <w:color w:val="auto"/>
        </w:rPr>
        <w:t>Section 12.23</w:t>
      </w:r>
      <w:r>
        <w:rPr>
          <w:rFonts w:ascii="Arial" w:cs="Arial" w:eastAsia="Arial" w:hAnsi="Arial"/>
          <w:sz w:val="20"/>
          <w:szCs w:val="20"/>
          <w:color w:val="auto"/>
        </w:rPr>
        <w:t xml:space="preserve">, in bankruptcy or in any other instance, in each case of the foregoing clauses (i) through (iii), other than a defense of payment or performance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U.S. Borrower hereby waives any suit for breach of a contractual provision of any of the Loan Documents.</w:t>
      </w:r>
    </w:p>
    <w:p>
      <w:pPr>
        <w:spacing w:after="0" w:line="211" w:lineRule="exact"/>
        <w:rPr>
          <w:sz w:val="20"/>
          <w:szCs w:val="20"/>
          <w:color w:val="auto"/>
        </w:rPr>
      </w:pPr>
    </w:p>
    <w:p>
      <w:pPr>
        <w:jc w:val="both"/>
        <w:ind w:left="-656" w:firstLine="656"/>
        <w:spacing w:after="0"/>
        <w:tabs>
          <w:tab w:leader="none" w:pos="286" w:val="left"/>
        </w:tabs>
        <w:numPr>
          <w:ilvl w:val="0"/>
          <w:numId w:val="289"/>
        </w:numPr>
        <w:rPr>
          <w:rFonts w:ascii="Arial" w:cs="Arial" w:eastAsia="Arial" w:hAnsi="Arial"/>
          <w:sz w:val="19"/>
          <w:szCs w:val="19"/>
          <w:color w:val="auto"/>
        </w:rPr>
      </w:pPr>
      <w:r>
        <w:rPr>
          <w:rFonts w:ascii="Arial" w:cs="Arial" w:eastAsia="Arial" w:hAnsi="Arial"/>
          <w:sz w:val="19"/>
          <w:szCs w:val="19"/>
          <w:color w:val="auto"/>
        </w:rPr>
        <w:t xml:space="preserve">Each U.S. Borrower agrees that it will not exercise any rights which it may acquire by way of rights of subrogation under this Agreement, by any payments made hereunder or otherwise, until the prior payment in full in cash of all of the obligations hereunder and under any other Loan Document, the termination or expiration of all Letters of Credit and the permanent termination of all Commitments. Any amount paid to any U.S. Borrower on account of any such subrogation rights prior to the payment in full in cash of all of the obligations hereunder and under any other Loan Document, the termination or expiration of all Letters of Credit and the permanent termination of all Commitments shall be held in trust for the benefit of the applicable Lenders and shall immediately be paid to the Administrative Agent for the benefit of the applicable Lenders and credited and applied against the obligations of the applicable U.S. Borrower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2.2(c)</w:t>
      </w:r>
      <w:r>
        <w:rPr>
          <w:rFonts w:ascii="Arial" w:cs="Arial" w:eastAsia="Arial" w:hAnsi="Arial"/>
          <w:sz w:val="19"/>
          <w:szCs w:val="19"/>
          <w:color w:val="auto"/>
        </w:rPr>
        <w:t>. In furtherance of the foregoing, for so long as any obligations of the U.S. Borrowers hereunder, any Letters of Credit or any Commitments remain outstanding, each U.S. Borrower shall refrain from taking any action or commencing any proceeding against any other U.S. Borrower (or any of its successors or assigns, whether in connection with a bankruptcy proceeding or otherwise) to recover any amounts in respect of payments made in respect of the obligations hereunder or under any other Loan Document of such other U.S. Borrower to any Secured Creditor.</w:t>
      </w:r>
    </w:p>
    <w:p>
      <w:pPr>
        <w:spacing w:after="0" w:line="213"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u w:val="single" w:color="auto"/>
          <w:color w:val="auto"/>
        </w:rPr>
        <w:t>12.24 Acknowledgement Regarding Any Supported QFCs</w:t>
      </w:r>
      <w:r>
        <w:rPr>
          <w:rFonts w:ascii="Arial" w:cs="Arial" w:eastAsia="Arial" w:hAnsi="Arial"/>
          <w:sz w:val="18"/>
          <w:szCs w:val="18"/>
          <w:color w:val="auto"/>
        </w:rPr>
        <w:t>. To the extent that the Loan Documents provide support, through a guarantee or otherwise, for any Hedging Agreement or any other agreement or instrument that is a QFC (such support, “</w:t>
      </w:r>
      <w:r>
        <w:rPr>
          <w:rFonts w:ascii="Arial" w:cs="Arial" w:eastAsia="Arial" w:hAnsi="Arial"/>
          <w:sz w:val="18"/>
          <w:szCs w:val="18"/>
          <w:u w:val="single" w:color="auto"/>
          <w:color w:val="auto"/>
        </w:rPr>
        <w:t>QFC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ectPr>
          <w:pgSz w:w="11900" w:h="16838" w:orient="portrait"/>
          <w:cols w:equalWidth="0" w:num="1">
            <w:col w:w="10584"/>
          </w:cols>
          <w:pgMar w:left="976" w:top="1419" w:right="339" w:bottom="1440" w:gutter="0" w:footer="0" w:header="0"/>
        </w:sectPr>
      </w:pPr>
    </w:p>
    <w:bookmarkStart w:id="330" w:name="page331"/>
    <w:bookmarkEnd w:id="330"/>
    <w:p>
      <w:pPr>
        <w:ind w:left="284" w:hanging="284"/>
        <w:spacing w:after="0"/>
        <w:tabs>
          <w:tab w:leader="none" w:pos="284" w:val="left"/>
        </w:tabs>
        <w:numPr>
          <w:ilvl w:val="0"/>
          <w:numId w:val="290"/>
        </w:numPr>
        <w:rPr>
          <w:rFonts w:ascii="Arial" w:cs="Arial" w:eastAsia="Arial" w:hAnsi="Arial"/>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u w:val="single" w:color="auto"/>
          <w:color w:val="auto"/>
        </w:rPr>
        <w:t>Section 12.24</w:t>
      </w:r>
      <w:r>
        <w:rPr>
          <w:rFonts w:ascii="Arial" w:cs="Arial" w:eastAsia="Arial" w:hAnsi="Arial"/>
          <w:sz w:val="20"/>
          <w:szCs w:val="20"/>
          <w:color w:val="auto"/>
        </w:rPr>
        <w:t>, the following terms have the following meanings:</w:t>
      </w:r>
    </w:p>
    <w:p>
      <w:pPr>
        <w:spacing w:after="0" w:line="229" w:lineRule="exact"/>
        <w:rPr>
          <w:rFonts w:ascii="Arial" w:cs="Arial" w:eastAsia="Arial" w:hAnsi="Arial"/>
          <w:sz w:val="20"/>
          <w:szCs w:val="20"/>
          <w:color w:val="auto"/>
        </w:rPr>
      </w:pPr>
    </w:p>
    <w:p>
      <w:pPr>
        <w:ind w:left="1304" w:hanging="8"/>
        <w:spacing w:after="0" w:line="246" w:lineRule="auto"/>
        <w:tabs>
          <w:tab w:leader="none" w:pos="1540" w:val="left"/>
        </w:tabs>
        <w:numPr>
          <w:ilvl w:val="1"/>
          <w:numId w:val="2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203" w:lineRule="exact"/>
        <w:rPr>
          <w:rFonts w:ascii="Arial" w:cs="Arial" w:eastAsia="Arial" w:hAnsi="Arial"/>
          <w:sz w:val="20"/>
          <w:szCs w:val="20"/>
          <w:color w:val="auto"/>
        </w:rPr>
      </w:pPr>
    </w:p>
    <w:p>
      <w:pPr>
        <w:jc w:val="both"/>
        <w:ind w:left="1304" w:hanging="8"/>
        <w:spacing w:after="0" w:line="234" w:lineRule="auto"/>
        <w:tabs>
          <w:tab w:leader="none" w:pos="1595" w:val="left"/>
        </w:tabs>
        <w:numPr>
          <w:ilvl w:val="1"/>
          <w:numId w:val="2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10" w:lineRule="exact"/>
        <w:rPr>
          <w:rFonts w:ascii="Arial" w:cs="Arial" w:eastAsia="Arial" w:hAnsi="Arial"/>
          <w:sz w:val="20"/>
          <w:szCs w:val="20"/>
          <w:color w:val="auto"/>
        </w:rPr>
      </w:pPr>
    </w:p>
    <w:p>
      <w:pPr>
        <w:ind w:left="1304" w:right="20" w:hanging="8"/>
        <w:spacing w:after="0" w:line="246" w:lineRule="auto"/>
        <w:tabs>
          <w:tab w:leader="none" w:pos="1650" w:val="left"/>
        </w:tabs>
        <w:numPr>
          <w:ilvl w:val="1"/>
          <w:numId w:val="2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203" w:lineRule="exact"/>
        <w:rPr>
          <w:rFonts w:ascii="Arial" w:cs="Arial" w:eastAsia="Arial" w:hAnsi="Arial"/>
          <w:sz w:val="20"/>
          <w:szCs w:val="20"/>
          <w:color w:val="auto"/>
        </w:rPr>
      </w:pPr>
    </w:p>
    <w:p>
      <w:pPr>
        <w:ind w:left="1304" w:hanging="8"/>
        <w:spacing w:after="0" w:line="246" w:lineRule="auto"/>
        <w:tabs>
          <w:tab w:leader="none" w:pos="1680" w:val="left"/>
        </w:tabs>
        <w:numPr>
          <w:ilvl w:val="1"/>
          <w:numId w:val="2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20"/>
          <w:szCs w:val="20"/>
          <w:u w:val="single" w:color="auto"/>
          <w:color w:val="auto"/>
        </w:rPr>
        <w:t>12.25 Certain ERISA Matters</w:t>
      </w:r>
      <w:r>
        <w:rPr>
          <w:rFonts w:ascii="Arial" w:cs="Arial" w:eastAsia="Arial" w:hAnsi="Arial"/>
          <w:sz w:val="20"/>
          <w:szCs w:val="20"/>
          <w:color w:val="auto"/>
        </w:rPr>
        <w:t>.</w:t>
      </w:r>
    </w:p>
    <w:p>
      <w:pPr>
        <w:spacing w:after="0" w:line="229" w:lineRule="exact"/>
        <w:rPr>
          <w:sz w:val="20"/>
          <w:szCs w:val="20"/>
          <w:color w:val="auto"/>
        </w:rPr>
      </w:pPr>
    </w:p>
    <w:p>
      <w:pPr>
        <w:jc w:val="both"/>
        <w:ind w:left="-656" w:firstLine="656"/>
        <w:spacing w:after="0" w:line="229" w:lineRule="auto"/>
        <w:tabs>
          <w:tab w:leader="none" w:pos="262" w:val="left"/>
        </w:tabs>
        <w:numPr>
          <w:ilvl w:val="0"/>
          <w:numId w:val="291"/>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Agents and not, for the avoidance of doubt, to or for the benefit of the Borrowers or any other Credit Party, that at least one of the following is and will be true:</w:t>
      </w:r>
    </w:p>
    <w:p>
      <w:pPr>
        <w:spacing w:after="0" w:line="2" w:lineRule="exact"/>
        <w:rPr>
          <w:rFonts w:ascii="Arial" w:cs="Arial" w:eastAsia="Arial" w:hAnsi="Arial"/>
          <w:sz w:val="20"/>
          <w:szCs w:val="20"/>
          <w:color w:val="auto"/>
        </w:rPr>
      </w:pPr>
    </w:p>
    <w:p>
      <w:pPr>
        <w:jc w:val="both"/>
        <w:ind w:left="1304" w:hanging="8"/>
        <w:spacing w:after="0" w:line="231" w:lineRule="auto"/>
        <w:tabs>
          <w:tab w:leader="none" w:pos="1558" w:val="left"/>
        </w:tabs>
        <w:numPr>
          <w:ilvl w:val="1"/>
          <w:numId w:val="291"/>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210" w:lineRule="exact"/>
        <w:rPr>
          <w:rFonts w:ascii="Arial" w:cs="Arial" w:eastAsia="Arial" w:hAnsi="Arial"/>
          <w:sz w:val="20"/>
          <w:szCs w:val="20"/>
          <w:color w:val="auto"/>
        </w:rPr>
      </w:pPr>
    </w:p>
    <w:p>
      <w:pPr>
        <w:jc w:val="both"/>
        <w:ind w:left="1304" w:hanging="8"/>
        <w:spacing w:after="0" w:line="229" w:lineRule="auto"/>
        <w:tabs>
          <w:tab w:leader="none" w:pos="1626" w:val="left"/>
        </w:tabs>
        <w:numPr>
          <w:ilvl w:val="1"/>
          <w:numId w:val="291"/>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and covers, such Lender’s entrance into, participation in, administration of and performance of the Loans, the Letters of Credit, the Commitments and this Agreement,</w:t>
      </w:r>
    </w:p>
    <w:p>
      <w:pPr>
        <w:spacing w:after="0" w:line="215" w:lineRule="exact"/>
        <w:rPr>
          <w:rFonts w:ascii="Arial" w:cs="Arial" w:eastAsia="Arial" w:hAnsi="Arial"/>
          <w:sz w:val="20"/>
          <w:szCs w:val="20"/>
          <w:color w:val="auto"/>
        </w:rPr>
      </w:pPr>
    </w:p>
    <w:p>
      <w:pPr>
        <w:jc w:val="both"/>
        <w:ind w:left="1304" w:hanging="8"/>
        <w:spacing w:after="0" w:line="258" w:lineRule="auto"/>
        <w:tabs>
          <w:tab w:leader="none" w:pos="1687" w:val="left"/>
        </w:tabs>
        <w:numPr>
          <w:ilvl w:val="1"/>
          <w:numId w:val="291"/>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w:t>
      </w:r>
    </w:p>
    <w:p>
      <w:pPr>
        <w:sectPr>
          <w:pgSz w:w="11900" w:h="16838" w:orient="portrait"/>
          <w:cols w:equalWidth="0" w:num="1">
            <w:col w:w="10584"/>
          </w:cols>
          <w:pgMar w:left="976" w:top="1419" w:right="339" w:bottom="1440" w:gutter="0" w:footer="0" w:header="0"/>
        </w:sectPr>
      </w:pPr>
    </w:p>
    <w:bookmarkStart w:id="331" w:name="page332"/>
    <w:bookmarkEnd w:id="331"/>
    <w:p>
      <w:pPr>
        <w:ind w:left="1304"/>
        <w:spacing w:after="0"/>
        <w:rPr>
          <w:sz w:val="20"/>
          <w:szCs w:val="20"/>
          <w:color w:val="auto"/>
        </w:rPr>
      </w:pPr>
      <w:r>
        <w:rPr>
          <w:rFonts w:ascii="Arial" w:cs="Arial" w:eastAsia="Arial" w:hAnsi="Arial"/>
          <w:sz w:val="18"/>
          <w:szCs w:val="18"/>
          <w:color w:val="auto"/>
        </w:rPr>
        <w:t>administration of and performance of the Loans, the Letters of Credit, the Commitments and this Agreement, or</w:t>
      </w:r>
    </w:p>
    <w:p>
      <w:pPr>
        <w:spacing w:after="0" w:line="252" w:lineRule="exact"/>
        <w:rPr>
          <w:sz w:val="20"/>
          <w:szCs w:val="20"/>
          <w:color w:val="auto"/>
        </w:rPr>
      </w:pPr>
    </w:p>
    <w:p>
      <w:pPr>
        <w:ind w:left="1304" w:hanging="8"/>
        <w:spacing w:after="0" w:line="246" w:lineRule="auto"/>
        <w:tabs>
          <w:tab w:leader="none" w:pos="1649" w:val="left"/>
        </w:tabs>
        <w:numPr>
          <w:ilvl w:val="1"/>
          <w:numId w:val="292"/>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Agents, in their sole discretion, and such Lender.</w:t>
      </w:r>
    </w:p>
    <w:p>
      <w:pPr>
        <w:spacing w:after="0" w:line="203" w:lineRule="exact"/>
        <w:rPr>
          <w:rFonts w:ascii="Arial" w:cs="Arial" w:eastAsia="Arial" w:hAnsi="Arial"/>
          <w:sz w:val="20"/>
          <w:szCs w:val="20"/>
          <w:color w:val="auto"/>
        </w:rPr>
      </w:pPr>
    </w:p>
    <w:p>
      <w:pPr>
        <w:jc w:val="both"/>
        <w:ind w:left="-656" w:firstLine="656"/>
        <w:spacing w:after="0" w:line="257" w:lineRule="auto"/>
        <w:tabs>
          <w:tab w:leader="none" w:pos="273"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no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Agents under this Agreement, any Loan Document or any documents related hereto or thereto).</w:t>
      </w:r>
    </w:p>
    <w:p>
      <w:pPr>
        <w:spacing w:after="0" w:line="198" w:lineRule="exact"/>
        <w:rPr>
          <w:sz w:val="20"/>
          <w:szCs w:val="20"/>
          <w:color w:val="auto"/>
        </w:rPr>
      </w:pPr>
    </w:p>
    <w:p>
      <w:pPr>
        <w:ind w:left="4684"/>
        <w:spacing w:after="0"/>
        <w:rPr>
          <w:sz w:val="20"/>
          <w:szCs w:val="20"/>
          <w:color w:val="auto"/>
        </w:rPr>
      </w:pPr>
      <w:r>
        <w:rPr>
          <w:rFonts w:ascii="Arial" w:cs="Arial" w:eastAsia="Arial" w:hAnsi="Arial"/>
          <w:sz w:val="20"/>
          <w:szCs w:val="20"/>
          <w:color w:val="auto"/>
        </w:rPr>
        <w:t>ARTICLE XIII</w:t>
      </w:r>
    </w:p>
    <w:p>
      <w:pPr>
        <w:spacing w:after="0" w:line="2" w:lineRule="exact"/>
        <w:rPr>
          <w:sz w:val="20"/>
          <w:szCs w:val="20"/>
          <w:color w:val="auto"/>
        </w:rPr>
      </w:pPr>
    </w:p>
    <w:p>
      <w:pPr>
        <w:ind w:left="3324"/>
        <w:spacing w:after="0"/>
        <w:rPr>
          <w:sz w:val="20"/>
          <w:szCs w:val="20"/>
          <w:color w:val="auto"/>
        </w:rPr>
      </w:pPr>
      <w:r>
        <w:rPr>
          <w:rFonts w:ascii="Arial" w:cs="Arial" w:eastAsia="Arial" w:hAnsi="Arial"/>
          <w:sz w:val="20"/>
          <w:szCs w:val="20"/>
          <w:u w:val="single" w:color="auto"/>
          <w:color w:val="auto"/>
        </w:rPr>
        <w:t>COLLECTION ACTION MECHANISM</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20"/>
          <w:szCs w:val="20"/>
          <w:color w:val="auto"/>
        </w:rPr>
        <w:t>To the extent permitted by applicable law and regulation: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u w:val="single" w:color="auto"/>
          <w:color w:val="auto"/>
        </w:rPr>
        <w:t>13.1 Implementation of CAM</w:t>
      </w:r>
    </w:p>
    <w:p>
      <w:pPr>
        <w:ind w:left="4"/>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left="1304" w:hanging="332"/>
        <w:spacing w:after="0" w:line="252" w:lineRule="auto"/>
        <w:tabs>
          <w:tab w:leader="none" w:pos="1293"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(i) On the CAM Exchange Date, to the extent not otherwise prohibited by a Requirement of Law or otherwise, each Multicurrency Revolving Lender shall immediately be deemed to have acquired (and shall promptly make payment therefor to Swing Line Lender in accordance with </w:t>
      </w:r>
      <w:r>
        <w:rPr>
          <w:rFonts w:ascii="Arial" w:cs="Arial" w:eastAsia="Arial" w:hAnsi="Arial"/>
          <w:sz w:val="18"/>
          <w:szCs w:val="18"/>
          <w:u w:val="single" w:color="auto"/>
          <w:color w:val="auto"/>
        </w:rPr>
        <w:t>Section 2.1(c)(iii)</w:t>
      </w:r>
      <w:r>
        <w:rPr>
          <w:rFonts w:ascii="Arial" w:cs="Arial" w:eastAsia="Arial" w:hAnsi="Arial"/>
          <w:sz w:val="18"/>
          <w:szCs w:val="18"/>
          <w:color w:val="auto"/>
        </w:rPr>
        <w:t>) participations in the Swing Line Loans in an amount equal to such Multicurrency Revolving Lender’s Multicurrency Revolver Pro Rata Share of each Swing Line Loan outstanding on such date and (ii) on the CAM Exchange Date, all Loans outstanding in any currency other than Dollars (“</w:t>
      </w:r>
      <w:r>
        <w:rPr>
          <w:rFonts w:ascii="Arial" w:cs="Arial" w:eastAsia="Arial" w:hAnsi="Arial"/>
          <w:sz w:val="18"/>
          <w:szCs w:val="18"/>
          <w:u w:val="single" w:color="auto"/>
          <w:color w:val="auto"/>
        </w:rPr>
        <w:t>Loans to be Converted</w:t>
      </w:r>
      <w:r>
        <w:rPr>
          <w:rFonts w:ascii="Arial" w:cs="Arial" w:eastAsia="Arial" w:hAnsi="Arial"/>
          <w:sz w:val="18"/>
          <w:szCs w:val="18"/>
          <w:color w:val="auto"/>
        </w:rPr>
        <w:t>”) shall be converted into Dollars (calculated on the basis of the relevant Exchange Rates as of the Business Day immediately preceding the CAM Exchange Date) (“</w:t>
      </w:r>
      <w:r>
        <w:rPr>
          <w:rFonts w:ascii="Arial" w:cs="Arial" w:eastAsia="Arial" w:hAnsi="Arial"/>
          <w:sz w:val="18"/>
          <w:szCs w:val="18"/>
          <w:u w:val="single" w:color="auto"/>
          <w:color w:val="auto"/>
        </w:rPr>
        <w:t>Converted Loans</w:t>
      </w:r>
      <w:r>
        <w:rPr>
          <w:rFonts w:ascii="Arial" w:cs="Arial" w:eastAsia="Arial" w:hAnsi="Arial"/>
          <w:sz w:val="18"/>
          <w:szCs w:val="18"/>
          <w:color w:val="auto"/>
        </w:rPr>
        <w:t>”), (iii) on each date on or after the CAM Exchange Date on which any B/As or B/A Equivalent Loans shall mature such B/As or B/A Equivalent Loans (“</w:t>
      </w:r>
      <w:r>
        <w:rPr>
          <w:rFonts w:ascii="Arial" w:cs="Arial" w:eastAsia="Arial" w:hAnsi="Arial"/>
          <w:sz w:val="18"/>
          <w:szCs w:val="18"/>
          <w:u w:val="single" w:color="auto"/>
          <w:color w:val="auto"/>
        </w:rPr>
        <w:t>Acceptances to be Converted</w:t>
      </w:r>
      <w:r>
        <w:rPr>
          <w:rFonts w:ascii="Arial" w:cs="Arial" w:eastAsia="Arial" w:hAnsi="Arial"/>
          <w:sz w:val="18"/>
          <w:szCs w:val="18"/>
          <w:color w:val="auto"/>
        </w:rPr>
        <w:t>”) shall be converted into Canadian Revolving Loans denominated in Dollars (calculated on the basis of the Exchange Rate as of the Business Day immediately preceding such maturity date) (“</w:t>
      </w:r>
      <w:r>
        <w:rPr>
          <w:rFonts w:ascii="Arial" w:cs="Arial" w:eastAsia="Arial" w:hAnsi="Arial"/>
          <w:sz w:val="18"/>
          <w:szCs w:val="18"/>
          <w:u w:val="single" w:color="auto"/>
          <w:color w:val="auto"/>
        </w:rPr>
        <w:t>Converted Acceptances</w:t>
      </w:r>
      <w:r>
        <w:rPr>
          <w:rFonts w:ascii="Arial" w:cs="Arial" w:eastAsia="Arial" w:hAnsi="Arial"/>
          <w:sz w:val="18"/>
          <w:szCs w:val="18"/>
          <w:color w:val="auto"/>
        </w:rPr>
        <w:t>”), (iv) on the CAM Exchange Date (with respect to Loans described in the foregoing clause (ii)), and on the respective maturity date (with respect to B/As and B/A Equivalent Loans described in the foregoing clause (iii)) to the extent necessary to cause the fraction for each Lender described in the definitions of Dollar Revolver Pro Rata Share, Multicurrency Revolver Pro Rata Share, each Term Pro Rata Share and Canadian Revolver Pro Rata Share to be equal for each Facility for such Lender after giving effect to the purchase and sale of participating interests under this clause, each Lender severally, unconditionally and irrevocably agrees that it shall purchase or sell in U.S. Dollars a participating interest in the Loans (including such Converted Loans) and Converted Acceptances in an amount equal to its CAM Percentage of (x) the outstanding principal amount of the Loans (including Converted Loans)</w:t>
      </w:r>
    </w:p>
    <w:p>
      <w:pPr>
        <w:sectPr>
          <w:pgSz w:w="11900" w:h="16838" w:orient="portrait"/>
          <w:cols w:equalWidth="0" w:num="1">
            <w:col w:w="10584"/>
          </w:cols>
          <w:pgMar w:left="976" w:top="1419" w:right="339" w:bottom="1440" w:gutter="0" w:footer="0" w:header="0"/>
        </w:sectPr>
      </w:pPr>
    </w:p>
    <w:bookmarkStart w:id="332" w:name="page333"/>
    <w:bookmarkEnd w:id="332"/>
    <w:p>
      <w:pPr>
        <w:jc w:val="both"/>
        <w:ind w:left="1300"/>
        <w:spacing w:after="0" w:line="229" w:lineRule="auto"/>
        <w:rPr>
          <w:sz w:val="20"/>
          <w:szCs w:val="20"/>
          <w:color w:val="auto"/>
        </w:rPr>
      </w:pPr>
      <w:r>
        <w:rPr>
          <w:rFonts w:ascii="Arial" w:cs="Arial" w:eastAsia="Arial" w:hAnsi="Arial"/>
          <w:sz w:val="20"/>
          <w:szCs w:val="20"/>
          <w:color w:val="auto"/>
        </w:rPr>
        <w:t>and (y) the face amount of matured B/As and B/A Equivalent Loans, as applicable. All Converted Loans and Converted Acceptances (which shall have been converted into Canadian Revolving Loans denominated in Dollars) shall bear interest at the rate which would otherwise be applicable to Base Rate Loans and (v) on the CAM Exchange Date, all Commitments shall be automatically deemed terminated. Each Lender and each Borrower hereby consents and agrees to the CAM Exchange, and each Lender agrees that the CAM Exchange shall be binding upon its successors and assigns and any person that acquires a participation in its interests in any Facility. Each Borrower agrees from time to time to execute and deliver to Agents all instruments and documents as any such Agent shall reasonably request to evidence and confirm the respective interests of the Lenders after giving effect to the CAM Exchange.</w:t>
      </w:r>
    </w:p>
    <w:p>
      <w:pPr>
        <w:spacing w:after="0" w:line="212" w:lineRule="exact"/>
        <w:rPr>
          <w:sz w:val="20"/>
          <w:szCs w:val="20"/>
          <w:color w:val="auto"/>
        </w:rPr>
      </w:pPr>
    </w:p>
    <w:p>
      <w:pPr>
        <w:jc w:val="both"/>
        <w:ind w:left="1300" w:hanging="332"/>
        <w:spacing w:after="0" w:line="255" w:lineRule="auto"/>
        <w:tabs>
          <w:tab w:leader="none" w:pos="13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If, for any reason, the Loans to be Converted or Acceptances to be Converted, as the case may be, may not be converted into Dollars in the manner contemplated by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(i) Administrative Agent shall determine the Dollar Equivalent of the Loans to be Converted or Acceptances to be Converted, as the case may be (calculated on the basis of the Exchange Rate as of the Business Day immediately preceding the date on which such conversion would otherwise occur pursuant to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13.1</w:t>
      </w:r>
      <w:r>
        <w:rPr>
          <w:rFonts w:ascii="Arial" w:cs="Arial" w:eastAsia="Arial" w:hAnsi="Arial"/>
          <w:sz w:val="18"/>
          <w:szCs w:val="18"/>
          <w:color w:val="auto"/>
        </w:rPr>
        <w:t>) and (ii) effective on such CAM Exchange Date, each Lender severally, unconditionally and irrevocably agrees that it shall purchase in Dollars a participating interest in such Loans to be Converted or Acceptances to be Converted, as the case may be, in an amount equal to its CAM Percentage of such Loans to be Converted or Acceptances to be converted, as the case may be. Each Lender will immediately transfer to the appropriate Agent, in immediately available funds, the amount(s) of its participation(s) and the proceeds of such participation(s) shall be distributed by such Agent to each relevant Lender in the amount(s) provided for in the preceding sentence.</w:t>
      </w:r>
    </w:p>
    <w:p>
      <w:pPr>
        <w:spacing w:after="0" w:line="199" w:lineRule="exact"/>
        <w:rPr>
          <w:rFonts w:ascii="Arial" w:cs="Arial" w:eastAsia="Arial" w:hAnsi="Arial"/>
          <w:sz w:val="18"/>
          <w:szCs w:val="18"/>
          <w:color w:val="auto"/>
        </w:rPr>
      </w:pPr>
    </w:p>
    <w:p>
      <w:pPr>
        <w:jc w:val="both"/>
        <w:ind w:left="1300" w:hanging="332"/>
        <w:spacing w:after="0" w:line="231" w:lineRule="auto"/>
        <w:tabs>
          <w:tab w:leader="none" w:pos="1289" w:val="left"/>
        </w:tabs>
        <w:numPr>
          <w:ilvl w:val="0"/>
          <w:numId w:val="295"/>
        </w:numPr>
        <w:rPr>
          <w:rFonts w:ascii="Arial" w:cs="Arial" w:eastAsia="Arial" w:hAnsi="Arial"/>
          <w:sz w:val="20"/>
          <w:szCs w:val="20"/>
          <w:color w:val="auto"/>
        </w:rPr>
      </w:pPr>
      <w:r>
        <w:rPr>
          <w:rFonts w:ascii="Arial" w:cs="Arial" w:eastAsia="Arial" w:hAnsi="Arial"/>
          <w:sz w:val="20"/>
          <w:szCs w:val="20"/>
          <w:color w:val="auto"/>
        </w:rPr>
        <w:t>To the extent any Taxes are required to be withheld from any amounts payable by a Lender (the “</w:t>
      </w:r>
      <w:r>
        <w:rPr>
          <w:rFonts w:ascii="Arial" w:cs="Arial" w:eastAsia="Arial" w:hAnsi="Arial"/>
          <w:sz w:val="20"/>
          <w:szCs w:val="20"/>
          <w:u w:val="single" w:color="auto"/>
          <w:color w:val="auto"/>
        </w:rPr>
        <w:t>First Lender</w:t>
      </w:r>
      <w:r>
        <w:rPr>
          <w:rFonts w:ascii="Arial" w:cs="Arial" w:eastAsia="Arial" w:hAnsi="Arial"/>
          <w:sz w:val="20"/>
          <w:szCs w:val="20"/>
          <w:color w:val="auto"/>
        </w:rPr>
        <w:t>”) to another Lender (the “</w:t>
      </w:r>
      <w:r>
        <w:rPr>
          <w:rFonts w:ascii="Arial" w:cs="Arial" w:eastAsia="Arial" w:hAnsi="Arial"/>
          <w:sz w:val="20"/>
          <w:szCs w:val="20"/>
          <w:u w:val="single" w:color="auto"/>
          <w:color w:val="auto"/>
        </w:rPr>
        <w:t>Other Lender</w:t>
      </w:r>
      <w:r>
        <w:rPr>
          <w:rFonts w:ascii="Arial" w:cs="Arial" w:eastAsia="Arial" w:hAnsi="Arial"/>
          <w:sz w:val="20"/>
          <w:szCs w:val="20"/>
          <w:color w:val="auto"/>
        </w:rPr>
        <w:t xml:space="preserve">”) in connection with its participating interest in any Loan or Converted Acceptance, each Borrower, with respect to the relevant Loans made to it, shall be required to pay additional amounts to the Other Lender receiving such payments from the First Lender to the same extent they would be required under </w:t>
      </w:r>
      <w:r>
        <w:rPr>
          <w:rFonts w:ascii="Arial" w:cs="Arial" w:eastAsia="Arial" w:hAnsi="Arial"/>
          <w:sz w:val="20"/>
          <w:szCs w:val="20"/>
          <w:u w:val="single" w:color="auto"/>
          <w:color w:val="auto"/>
        </w:rPr>
        <w:t>Section 4.7</w:t>
      </w:r>
      <w:r>
        <w:rPr>
          <w:rFonts w:ascii="Arial" w:cs="Arial" w:eastAsia="Arial" w:hAnsi="Arial"/>
          <w:sz w:val="20"/>
          <w:szCs w:val="20"/>
          <w:color w:val="auto"/>
        </w:rPr>
        <w:t xml:space="preserve"> if such Borrower were making payments with respect to the participating interest directly to the Other Lender.</w:t>
      </w:r>
    </w:p>
    <w:p>
      <w:pPr>
        <w:spacing w:after="0" w:line="210" w:lineRule="exact"/>
        <w:rPr>
          <w:rFonts w:ascii="Arial" w:cs="Arial" w:eastAsia="Arial" w:hAnsi="Arial"/>
          <w:sz w:val="20"/>
          <w:szCs w:val="20"/>
          <w:color w:val="auto"/>
        </w:rPr>
      </w:pPr>
    </w:p>
    <w:p>
      <w:pPr>
        <w:jc w:val="both"/>
        <w:ind w:left="1300" w:hanging="332"/>
        <w:spacing w:after="0" w:line="243" w:lineRule="auto"/>
        <w:tabs>
          <w:tab w:leader="none" w:pos="1300" w:val="left"/>
        </w:tabs>
        <w:numPr>
          <w:ilvl w:val="0"/>
          <w:numId w:val="295"/>
        </w:numPr>
        <w:rPr>
          <w:rFonts w:ascii="Arial" w:cs="Arial" w:eastAsia="Arial" w:hAnsi="Arial"/>
          <w:sz w:val="19"/>
          <w:szCs w:val="19"/>
          <w:color w:val="auto"/>
        </w:rPr>
      </w:pPr>
      <w:r>
        <w:rPr>
          <w:rFonts w:ascii="Arial" w:cs="Arial" w:eastAsia="Arial" w:hAnsi="Arial"/>
          <w:sz w:val="19"/>
          <w:szCs w:val="19"/>
          <w:color w:val="auto"/>
        </w:rPr>
        <w:t>As a result of the CAM Exchange, upon and after the CAM Exchange Date, each payment received by Administrative Agent, Canadian Administrative Agent or Collateral Agent pursuant to any Loan Document in respect of the Obligations, and each distribution made by Collateral Agent pursuant to any Security Document in respect of the Obligations, shall be distributed to the Lenders based upon their Pro Rata Share of the Facilities pro rata in accordance with their respective CAM Percentages. Any direct payment received by a Lender upon or after the CAM Exchange Date, including by way of setoff, in respect of an Obligation shall be paid over to Administrative Agent for distribution to the Lenders in accordance herewith.</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13.2 Letters of Credit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0580"/>
          </w:cols>
          <w:pgMar w:left="980" w:top="1419" w:right="339" w:bottom="1440" w:gutter="0" w:footer="0" w:header="0"/>
        </w:sectPr>
      </w:pPr>
    </w:p>
    <w:bookmarkStart w:id="333" w:name="page334"/>
    <w:bookmarkEnd w:id="333"/>
    <w:p>
      <w:pPr>
        <w:jc w:val="both"/>
        <w:ind w:left="180" w:firstLine="4"/>
        <w:spacing w:after="0" w:line="252" w:lineRule="auto"/>
        <w:tabs>
          <w:tab w:leader="none" w:pos="45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event that on the CAM Exchange Date any Letter of Credit shall be outstanding and undrawn in whole or in part, or any amount drawn under a Letter of Credit shall not have been reimbursed either by Borrowers or with the proceeds of a Revolving Loan or a Canadian Revolving Loan, as the case may be, each Multicurrency Revolving Lender with respect to Multicurrency Letters of Credit, each Dollar Revolving Lender with respect to Dollar Letters of Credit and each Canadian Revolving Lender with respect to each Canadian Letter of Credit shall promptly pay over to Administrative Agent, in immediately available funds in the same currency as such Letter of Credit, as the case may be, in the case of any undrawn amount, and in Dollars, in the case of any unreimbursed amount, an amount equal to such Multicurrency Revolving Lender’s or Canadian Revolving Lender’s applicable Pro Rata Share of such undrawn face amount or (to the extent it has not already done so) such unreimbursed drawing, as the case may be, together with interest thereon from the CAM Exchange Date to the date on which such amount shall be paid to Administrative Agent at the rate that would be applicable at the time to a Base Rate Revolving Loan in a principal amount equal to such amount. Administrative Agent shall establish a separate interest bearing account or accounts for each Lender (each, an “</w:t>
      </w:r>
      <w:r>
        <w:rPr>
          <w:rFonts w:ascii="Arial" w:cs="Arial" w:eastAsia="Arial" w:hAnsi="Arial"/>
          <w:sz w:val="18"/>
          <w:szCs w:val="18"/>
          <w:u w:val="single" w:color="auto"/>
          <w:color w:val="auto"/>
        </w:rPr>
        <w:t>LC Reserve Account</w:t>
      </w:r>
      <w:r>
        <w:rPr>
          <w:rFonts w:ascii="Arial" w:cs="Arial" w:eastAsia="Arial" w:hAnsi="Arial"/>
          <w:sz w:val="18"/>
          <w:szCs w:val="18"/>
          <w:color w:val="auto"/>
        </w:rPr>
        <w:t xml:space="preserve">”) for the amounts received with respect to each such Letter of Credit pursuant to the preceding sentence. Administrative Agent shall deposit in each Lender’s LC Reserve Account such Lender’s CAM Percentage of the amounts received from the Revolving Lenders and the Canadian Revolving Lenders as provided above. Administrative Agent shall have sole dominion and control over each LC Reserve Account, and the amounts deposited in each LC Reserve Account shall be held in such LC Reserve Account until withdrawn as provided in paragraph (b), (c), (d) or (e) below. Administrative Agent shall maintain records enabling it to determine the amounts paid over to it and deposited in the LC Reserve Accounts in respect of each Letter of Credit and the amounts on deposit and shall establish a sub-account within each Lender’s LC Reserve Account in respect of each Letter of Credit attributable to each Lender’s CAM Percentage. The amounts held in each Lender’s LC Reserve Account shall be held as a reserve against the outstanding LC Obligations, shall be the property of such Lender, shall not constitute Loans to or give rise to any claim of or against any Credit Party and shall not give rise to any obligation on the part of any Borrower to pay interest to such Lender, it being agreed that the reimbursement obligations in respect of Letters of Credit shall arise only at such times as drawings are made thereunder, as provided in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180" w:firstLine="4"/>
        <w:spacing w:after="0"/>
        <w:tabs>
          <w:tab w:leader="none" w:pos="461" w:val="left"/>
        </w:tabs>
        <w:numPr>
          <w:ilvl w:val="0"/>
          <w:numId w:val="296"/>
        </w:numPr>
        <w:rPr>
          <w:rFonts w:ascii="Arial" w:cs="Arial" w:eastAsia="Arial" w:hAnsi="Arial"/>
          <w:sz w:val="19"/>
          <w:szCs w:val="19"/>
          <w:color w:val="auto"/>
        </w:rPr>
      </w:pPr>
      <w:r>
        <w:rPr>
          <w:rFonts w:ascii="Arial" w:cs="Arial" w:eastAsia="Arial" w:hAnsi="Arial"/>
          <w:sz w:val="19"/>
          <w:szCs w:val="19"/>
          <w:color w:val="auto"/>
        </w:rPr>
        <w:t xml:space="preserve">In the event that after the CAM Exchange Date any drawing shall be made in respect of a Letter of Credit, Administrative Agent shall, at the request of Facing Agent, withdraw from the LC Reserve Account of each Lender any amounts, up to the amount of such Lender’s CAM Percentage (but not in excess of the amount allocated to the sub-account for such Letter of Credit) of such drawing, deposited in respect of such Letter of Credit and remaining on deposit and deliver such amounts to Facing Agent in satisfaction of the reimbursement obligations of the applicable Revolving Lenders or Canadian Revolving Lenders, as applicable, under </w:t>
      </w:r>
      <w:r>
        <w:rPr>
          <w:rFonts w:ascii="Arial" w:cs="Arial" w:eastAsia="Arial" w:hAnsi="Arial"/>
          <w:sz w:val="19"/>
          <w:szCs w:val="19"/>
          <w:u w:val="single" w:color="auto"/>
          <w:color w:val="auto"/>
        </w:rPr>
        <w:t>subsection (f)</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In the event any Revolving Lender shall default on its obligation to pay over any amount to Administrative Agent in respect of any Letter of Credit as provided in this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Facing Agent shall, in the event of a drawing thereunder, have a claim against such Revolving Lender to the same extent as if such Lender had defaulted on its obligations under </w:t>
      </w:r>
      <w:r>
        <w:rPr>
          <w:rFonts w:ascii="Arial" w:cs="Arial" w:eastAsia="Arial" w:hAnsi="Arial"/>
          <w:sz w:val="19"/>
          <w:szCs w:val="19"/>
          <w:u w:val="single" w:color="auto"/>
          <w:color w:val="auto"/>
        </w:rPr>
        <w:t>subsection (f)</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but shall have no claim against any other Lender in respect of such defaulted amount, notwithstanding the exchange of interests in Borrowers’ reimbursement obligations pursuant to </w:t>
      </w:r>
      <w:r>
        <w:rPr>
          <w:rFonts w:ascii="Arial" w:cs="Arial" w:eastAsia="Arial" w:hAnsi="Arial"/>
          <w:sz w:val="19"/>
          <w:szCs w:val="19"/>
          <w:u w:val="single" w:color="auto"/>
          <w:color w:val="auto"/>
        </w:rPr>
        <w:t>Section 13.1</w:t>
      </w:r>
      <w:r>
        <w:rPr>
          <w:rFonts w:ascii="Arial" w:cs="Arial" w:eastAsia="Arial" w:hAnsi="Arial"/>
          <w:sz w:val="19"/>
          <w:szCs w:val="19"/>
          <w:color w:val="auto"/>
        </w:rPr>
        <w:t>. Each other Lender shall have a claim against such defaulting Revolving Lender for any damages sustained by it as</w:t>
      </w:r>
    </w:p>
    <w:p>
      <w:pPr>
        <w:sectPr>
          <w:pgSz w:w="11900" w:h="16838" w:orient="portrait"/>
          <w:cols w:equalWidth="0" w:num="1">
            <w:col w:w="10120"/>
          </w:cols>
          <w:pgMar w:left="1440" w:top="1419" w:right="339" w:bottom="1440" w:gutter="0" w:footer="0" w:header="0"/>
        </w:sectPr>
      </w:pPr>
    </w:p>
    <w:bookmarkStart w:id="334" w:name="page335"/>
    <w:bookmarkEnd w:id="334"/>
    <w:p>
      <w:pPr>
        <w:jc w:val="both"/>
        <w:ind w:left="1300"/>
        <w:spacing w:after="0" w:line="246" w:lineRule="auto"/>
        <w:rPr>
          <w:sz w:val="20"/>
          <w:szCs w:val="20"/>
          <w:color w:val="auto"/>
        </w:rPr>
      </w:pPr>
      <w:r>
        <w:rPr>
          <w:rFonts w:ascii="Arial" w:cs="Arial" w:eastAsia="Arial" w:hAnsi="Arial"/>
          <w:sz w:val="20"/>
          <w:szCs w:val="20"/>
          <w:color w:val="auto"/>
        </w:rPr>
        <w:t>a result of such default, including, in the event such Letter of Credit shall expire undrawn, its CAM Percentage of the defaulted amount.</w:t>
      </w:r>
    </w:p>
    <w:p>
      <w:pPr>
        <w:spacing w:after="0" w:line="204" w:lineRule="exact"/>
        <w:rPr>
          <w:sz w:val="20"/>
          <w:szCs w:val="20"/>
          <w:color w:val="auto"/>
        </w:rPr>
      </w:pPr>
    </w:p>
    <w:p>
      <w:pPr>
        <w:jc w:val="both"/>
        <w:ind w:left="1300"/>
        <w:spacing w:after="0" w:line="237" w:lineRule="auto"/>
        <w:rPr>
          <w:sz w:val="20"/>
          <w:szCs w:val="20"/>
          <w:color w:val="auto"/>
        </w:rPr>
      </w:pPr>
      <w:r>
        <w:rPr>
          <w:rFonts w:ascii="Arial" w:cs="Arial" w:eastAsia="Arial" w:hAnsi="Arial"/>
          <w:sz w:val="20"/>
          <w:szCs w:val="20"/>
          <w:color w:val="auto"/>
        </w:rPr>
        <w:t>(c)In the event that after the CAM Exchange Date any Letter of Credit shall expire undrawn, Administrative Agent shall withdraw from the LC Reserve Account of each applicable Lender the amount remaining on deposit therein in respect of such Letter of Credit and distribute such amount to such Lender.</w:t>
      </w:r>
    </w:p>
    <w:p>
      <w:pPr>
        <w:spacing w:after="0" w:line="210" w:lineRule="exact"/>
        <w:rPr>
          <w:sz w:val="20"/>
          <w:szCs w:val="20"/>
          <w:color w:val="auto"/>
        </w:rPr>
      </w:pPr>
    </w:p>
    <w:p>
      <w:pPr>
        <w:jc w:val="both"/>
        <w:ind w:left="1300" w:firstLine="4"/>
        <w:spacing w:after="0" w:line="232" w:lineRule="auto"/>
        <w:tabs>
          <w:tab w:leader="none" w:pos="1582" w:val="left"/>
        </w:tabs>
        <w:numPr>
          <w:ilvl w:val="0"/>
          <w:numId w:val="297"/>
        </w:numPr>
        <w:rPr>
          <w:rFonts w:ascii="Arial" w:cs="Arial" w:eastAsia="Arial" w:hAnsi="Arial"/>
          <w:sz w:val="20"/>
          <w:szCs w:val="20"/>
          <w:color w:val="auto"/>
        </w:rPr>
      </w:pPr>
      <w:r>
        <w:rPr>
          <w:rFonts w:ascii="Arial" w:cs="Arial" w:eastAsia="Arial" w:hAnsi="Arial"/>
          <w:sz w:val="20"/>
          <w:szCs w:val="20"/>
          <w:color w:val="auto"/>
        </w:rPr>
        <w:t>With the prior written approval of Administrative Agent and Facing Agent (not to be unreasonably withheld), any Lender may withdraw the amount held in its LC Reserve Account in respect of the undrawn amount of any Letter of Credit. Any Lender making such a withdrawal shall be unconditionally obligated, in the event there shall subsequently be a drawing under such Letter of Credit, to pay over to Administrative Agent, for the account of Facing Agent, on demand, its CAM Percentage of such drawing.</w:t>
      </w:r>
    </w:p>
    <w:p>
      <w:pPr>
        <w:spacing w:after="0" w:line="211" w:lineRule="exact"/>
        <w:rPr>
          <w:rFonts w:ascii="Arial" w:cs="Arial" w:eastAsia="Arial" w:hAnsi="Arial"/>
          <w:sz w:val="20"/>
          <w:szCs w:val="20"/>
          <w:color w:val="auto"/>
        </w:rPr>
      </w:pPr>
    </w:p>
    <w:p>
      <w:pPr>
        <w:jc w:val="both"/>
        <w:ind w:left="1300" w:firstLine="4"/>
        <w:spacing w:after="0" w:line="230" w:lineRule="auto"/>
        <w:tabs>
          <w:tab w:leader="none" w:pos="1598" w:val="left"/>
        </w:tabs>
        <w:numPr>
          <w:ilvl w:val="0"/>
          <w:numId w:val="297"/>
        </w:numPr>
        <w:rPr>
          <w:rFonts w:ascii="Arial" w:cs="Arial" w:eastAsia="Arial" w:hAnsi="Arial"/>
          <w:sz w:val="20"/>
          <w:szCs w:val="20"/>
          <w:color w:val="auto"/>
        </w:rPr>
      </w:pPr>
      <w:r>
        <w:rPr>
          <w:rFonts w:ascii="Arial" w:cs="Arial" w:eastAsia="Arial" w:hAnsi="Arial"/>
          <w:sz w:val="20"/>
          <w:szCs w:val="20"/>
          <w:color w:val="auto"/>
        </w:rPr>
        <w:t>Pending the withdrawal by any Lender of any amounts from its LC Reserve Account as contemplated by the above paragraphs, Administrative Agent will, at the direction of such Lender and subject to such rules as such Administrative Agent may prescribe for the avoidance of inconvenience, invest such amounts in Cash and Cash Equivalents. Each Lender which has not withdrawn its CAM Percentage of amounts in its LC Reserve Account as provided in paragraph (d) above shall have the right, at intervals reasonably specified by any Administrative Agent, to withdraw the earnings on investments so made by such Administrative Agent with amounts in its LC Reserve Account and to retain such earnings for its own account.</w:t>
      </w:r>
    </w:p>
    <w:p>
      <w:pPr>
        <w:spacing w:after="0" w:line="212"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ARTICLE XIV</w:t>
      </w:r>
    </w:p>
    <w:p>
      <w:pPr>
        <w:spacing w:after="0" w:line="2"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GUARANTY</w:t>
      </w:r>
    </w:p>
    <w:p>
      <w:pPr>
        <w:spacing w:after="0" w:line="213"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u w:val="single" w:color="auto"/>
          <w:color w:val="auto"/>
        </w:rPr>
        <w:t>14.1 Guarantee of Each of the Parent Guarantors</w:t>
      </w:r>
      <w:r>
        <w:rPr>
          <w:rFonts w:ascii="Arial" w:cs="Arial" w:eastAsia="Arial" w:hAnsi="Arial"/>
          <w:sz w:val="18"/>
          <w:szCs w:val="18"/>
          <w:color w:val="auto"/>
        </w:rPr>
        <w:t xml:space="preserve">. In order to induce Administrative Agent, the Facing Agents and the Lenders to execute and deliver this Agreement and to make or maintain the Loans and to issue Letters of Credit hereunder, and in consideration thereof, each Parent Guarantor hereby, jointly and severally, unconditionally and irrevocably guarantees, as primary obligor and not merely as surety, to the Agents, for the ratable benefit of the Facing Agents and the Lenders, the prompt and complete payment and performance by each Borrower when due (whether at stated maturity, by acceleration or otherwise) of the Obligations and all Bank Related Debt (but not any Excluded Swap Obligations), and each of the Parent Guarantors further agrees to pay any and all reasonable expenses (including, without limitation, all reasonable fees, charges and disbursements of counsel) which may be paid or incurred by the Agents, the Facing Agents or any Lender in enforcing any of their rights under the guarantee contained in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XIV</w:t>
      </w:r>
      <w:r>
        <w:rPr>
          <w:rFonts w:ascii="Arial" w:cs="Arial" w:eastAsia="Arial" w:hAnsi="Arial"/>
          <w:sz w:val="18"/>
          <w:szCs w:val="18"/>
          <w:color w:val="auto"/>
        </w:rPr>
        <w:t xml:space="preserve">.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14.6</w:t>
      </w:r>
      <w:r>
        <w:rPr>
          <w:rFonts w:ascii="Arial" w:cs="Arial" w:eastAsia="Arial" w:hAnsi="Arial"/>
          <w:sz w:val="18"/>
          <w:szCs w:val="18"/>
          <w:color w:val="auto"/>
        </w:rPr>
        <w:t>, shall remain in full force and effect until all Letters of Credit have terminated, the Obligations are paid in full and the Commitments are terminated.</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Each Parent Guarantor agrees that whenever, at any time, or from time to time, it shall make any payment to any Agent, any Facing Agent or any Lender on account of its liability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it will notify such Agent, the applicable Facing Agent and such Lender in writing that such payment is made under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for such purpose. No payment or payments made by any Borrower or any other Person or received or collected by any Agent, any Facing Agent or any 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each Parent</w:t>
      </w:r>
    </w:p>
    <w:p>
      <w:pPr>
        <w:sectPr>
          <w:pgSz w:w="11900" w:h="16838" w:orient="portrait"/>
          <w:cols w:equalWidth="0" w:num="1">
            <w:col w:w="11240"/>
          </w:cols>
          <w:pgMar w:left="320" w:top="1419" w:right="339" w:bottom="1440" w:gutter="0" w:footer="0" w:header="0"/>
        </w:sectPr>
      </w:pPr>
    </w:p>
    <w:bookmarkStart w:id="335" w:name="page336"/>
    <w:bookmarkEnd w:id="335"/>
    <w:p>
      <w:pPr>
        <w:spacing w:after="0" w:line="246" w:lineRule="auto"/>
        <w:rPr>
          <w:sz w:val="20"/>
          <w:szCs w:val="20"/>
          <w:color w:val="auto"/>
        </w:rPr>
      </w:pPr>
      <w:r>
        <w:rPr>
          <w:rFonts w:ascii="Arial" w:cs="Arial" w:eastAsia="Arial" w:hAnsi="Arial"/>
          <w:sz w:val="20"/>
          <w:szCs w:val="20"/>
          <w:color w:val="auto"/>
        </w:rPr>
        <w:t xml:space="preserve">Guarantor under this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which, notwithstanding any such payment or payments, shall remain liable for the unpaid and outstanding Obligations until, subject to </w:t>
      </w:r>
      <w:r>
        <w:rPr>
          <w:rFonts w:ascii="Arial" w:cs="Arial" w:eastAsia="Arial" w:hAnsi="Arial"/>
          <w:sz w:val="20"/>
          <w:szCs w:val="20"/>
          <w:u w:val="single" w:color="auto"/>
          <w:color w:val="auto"/>
        </w:rPr>
        <w:t>Section 14.6</w:t>
      </w:r>
      <w:r>
        <w:rPr>
          <w:rFonts w:ascii="Arial" w:cs="Arial" w:eastAsia="Arial" w:hAnsi="Arial"/>
          <w:sz w:val="20"/>
          <w:szCs w:val="20"/>
          <w:color w:val="auto"/>
        </w:rPr>
        <w:t>, the Obligations are paid in full and the Commitments are terminated.</w:t>
      </w:r>
    </w:p>
    <w:p>
      <w:pPr>
        <w:spacing w:after="0" w:line="20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u w:val="single" w:color="auto"/>
          <w:color w:val="auto"/>
        </w:rPr>
        <w:t>14.2 Guarantee of European Borrower</w:t>
      </w:r>
      <w:r>
        <w:rPr>
          <w:rFonts w:ascii="Arial" w:cs="Arial" w:eastAsia="Arial" w:hAnsi="Arial"/>
          <w:sz w:val="18"/>
          <w:szCs w:val="18"/>
          <w:color w:val="auto"/>
        </w:rPr>
        <w:t xml:space="preserve">. In order to induce U.K. Administrative Agent and the Multicurrency Revolving Lenders and Canadian Administrative Agent and the Canadian Revolving Lenders to execute and deliver this Agreement and to make or maintain the Multicurrency Revolving Loans and Canadian Revolving Loans hereunder, and in consideration thereof, European Borrower hereby unconditionally and irrevocably guarantees, as primary obligor and not merely as surety, to the Agents, for the ratable benefit of the Term Euro Lenders, Multicurrency Revolving Lenders and Canadian Revolving Lenders, the prompt and complete payment and performance by each Subsidiary Borrower and Canadian Borrower when due (whether at stated maturity, by acceleration or otherwise) of the Subsidiary Borrower Obligations, the Canadian Obligations, and all Bank Related Debt (but excluding any Excluded Swap Obligations), and European Borrower further agrees to pay any and all reasonable expenses (including, without limitation, all reasonable fees, charges and disbursements of counsel) which may be paid or incurred by the Agents or any Multicurrency Revolving Lender or Canadian Revolving Lender in enforcing any of their rights under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14.6</w:t>
      </w:r>
      <w:r>
        <w:rPr>
          <w:rFonts w:ascii="Arial" w:cs="Arial" w:eastAsia="Arial" w:hAnsi="Arial"/>
          <w:sz w:val="18"/>
          <w:szCs w:val="18"/>
          <w:color w:val="auto"/>
        </w:rPr>
        <w:t>, shall remain in full force and effect until all Subsidiary Borrower Obligations and Canadian Obligations are paid in full and the Commitments are terminated.</w:t>
      </w:r>
    </w:p>
    <w:p>
      <w:pPr>
        <w:spacing w:after="0" w:line="196"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0"/>
          <w:szCs w:val="20"/>
          <w:color w:val="auto"/>
        </w:rPr>
        <w:t xml:space="preserve">European Borrower agrees that whenever, at any time, or from time to time, it shall make any payment to any Agent or any Multicurrency Revolving Lender or Canadian Revolving Lender on account of its liability under this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it will notify such Agent or such Multicurrency Revolving Lender or Canadian Revolving Lender in writing that such payment is made under the guarantee contained in this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for such purpose. No payment or payments made by any Subsidiary Borrower, Canadian Borrower or any other Person or received or collected by any Agent or any Multicurrency Revolving Lender from any Subsidiary Borrower or any Canadian Revolving Lender from Canadian Borrower or any other Person by virtue of any action or proceeding or any setoff or appropriation or application, at any time or from time to time, in reduction of or in payment of the Subsidiary Borrower Obligations or Canadian Obligations shall be deemed to modify, reduce, release or otherwise affect the liability of European Borrower under this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which, notwithstanding any such payment or payments, shall remain liable for the unpaid and outstanding Subsidiary Borrower Obligations and Canadian Obligations until, subject to </w:t>
      </w:r>
      <w:r>
        <w:rPr>
          <w:rFonts w:ascii="Arial" w:cs="Arial" w:eastAsia="Arial" w:hAnsi="Arial"/>
          <w:sz w:val="20"/>
          <w:szCs w:val="20"/>
          <w:u w:val="single" w:color="auto"/>
          <w:color w:val="auto"/>
        </w:rPr>
        <w:t>Section 14.6</w:t>
      </w:r>
      <w:r>
        <w:rPr>
          <w:rFonts w:ascii="Arial" w:cs="Arial" w:eastAsia="Arial" w:hAnsi="Arial"/>
          <w:sz w:val="20"/>
          <w:szCs w:val="20"/>
          <w:color w:val="auto"/>
        </w:rPr>
        <w:t>, the Subsidiary Borrower Obligations and Canadian Obligations are paid in full and the Commitments are terminated.</w:t>
      </w:r>
    </w:p>
    <w:p>
      <w:pPr>
        <w:spacing w:after="0" w:line="216" w:lineRule="exact"/>
        <w:rPr>
          <w:sz w:val="20"/>
          <w:szCs w:val="20"/>
          <w:color w:val="auto"/>
        </w:rPr>
      </w:pPr>
    </w:p>
    <w:p>
      <w:pPr>
        <w:jc w:val="both"/>
        <w:ind w:left="660"/>
        <w:spacing w:after="0" w:line="241" w:lineRule="auto"/>
        <w:rPr>
          <w:sz w:val="20"/>
          <w:szCs w:val="20"/>
          <w:color w:val="auto"/>
        </w:rPr>
      </w:pPr>
      <w:r>
        <w:rPr>
          <w:rFonts w:ascii="Arial" w:cs="Arial" w:eastAsia="Arial" w:hAnsi="Arial"/>
          <w:sz w:val="19"/>
          <w:szCs w:val="19"/>
          <w:u w:val="single" w:color="auto"/>
          <w:color w:val="auto"/>
        </w:rPr>
        <w:t>14.3 Guarantee of Crown Finance</w:t>
      </w:r>
      <w:r>
        <w:rPr>
          <w:rFonts w:ascii="Arial" w:cs="Arial" w:eastAsia="Arial" w:hAnsi="Arial"/>
          <w:sz w:val="19"/>
          <w:szCs w:val="19"/>
          <w:color w:val="auto"/>
        </w:rPr>
        <w:t xml:space="preserve">. In order to induce Administrative Agent, the Facing Agents and the Lenders to execute and deliver this Agreement and to make or maintain the Loans and to issue Letters of Credit hereunder, and in consideration thereof, Crown Finance hereby unconditionally and irrevocably guarantees, as primary obligor and not merely as surety, to the Agents, for the ratable benefit of the Facing Agents and the Lenders, the prompt and complete payment and performance by each Borrower when due (whether at stated maturity, by acceleration or otherwise) of the Obligations and all Bank Related Debt (but excluding any Excluded Swap Obligations), and Crown Finance further agrees to pay any and all reasonable expenses (including, without limitation, all reasonable fees, charges and disbursements of counsel) which may be paid or incurred by the Agents, the Facing Agents or any Lender in enforcing any of their rights under the guarantee contained in this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The guarantee contained in this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14.6</w:t>
      </w:r>
      <w:r>
        <w:rPr>
          <w:rFonts w:ascii="Arial" w:cs="Arial" w:eastAsia="Arial" w:hAnsi="Arial"/>
          <w:sz w:val="19"/>
          <w:szCs w:val="19"/>
          <w:color w:val="auto"/>
        </w:rPr>
        <w:t>, shall remain in full force and effect until all Letters of Credit have terminated, the Obligations are paid in full and the Commitments are terminated.</w:t>
      </w:r>
    </w:p>
    <w:p>
      <w:pPr>
        <w:sectPr>
          <w:pgSz w:w="11900" w:h="16838" w:orient="portrait"/>
          <w:cols w:equalWidth="0" w:num="1">
            <w:col w:w="11240"/>
          </w:cols>
          <w:pgMar w:left="320" w:top="1419" w:right="339" w:bottom="1440" w:gutter="0" w:footer="0" w:header="0"/>
        </w:sectPr>
      </w:pPr>
    </w:p>
    <w:bookmarkStart w:id="336" w:name="page337"/>
    <w:bookmarkEnd w:id="336"/>
    <w:p>
      <w:pPr>
        <w:jc w:val="both"/>
        <w:ind w:firstLine="648"/>
        <w:spacing w:after="0" w:line="257" w:lineRule="auto"/>
        <w:rPr>
          <w:sz w:val="20"/>
          <w:szCs w:val="20"/>
          <w:color w:val="auto"/>
        </w:rPr>
      </w:pPr>
      <w:r>
        <w:rPr>
          <w:rFonts w:ascii="Arial" w:cs="Arial" w:eastAsia="Arial" w:hAnsi="Arial"/>
          <w:sz w:val="18"/>
          <w:szCs w:val="18"/>
          <w:color w:val="auto"/>
        </w:rPr>
        <w:t xml:space="preserve">Crown Finance agrees that whenever, at any time, or from time to time, it shall make any payment to any Agent, any Facing Agent or any Lender on account of its liability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it will notify such Agent, the applicable Facing Agent and such Lender in writing that such payment is made under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for such purpose. No payment or payments made by any Borrower or any other Person or received or collected by any Agent, any Facing Agent or any 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Crown Finance under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XIV</w:t>
      </w:r>
      <w:r>
        <w:rPr>
          <w:rFonts w:ascii="Arial" w:cs="Arial" w:eastAsia="Arial" w:hAnsi="Arial"/>
          <w:sz w:val="18"/>
          <w:szCs w:val="18"/>
          <w:color w:val="auto"/>
        </w:rPr>
        <w:t xml:space="preserve">, which, notwithstanding any such payment or payments, shall remain liable for the unpaid and outstanding Obligations until, subject to </w:t>
      </w:r>
      <w:r>
        <w:rPr>
          <w:rFonts w:ascii="Arial" w:cs="Arial" w:eastAsia="Arial" w:hAnsi="Arial"/>
          <w:sz w:val="18"/>
          <w:szCs w:val="18"/>
          <w:u w:val="single" w:color="auto"/>
          <w:color w:val="auto"/>
        </w:rPr>
        <w:t>Section 14.6</w:t>
      </w:r>
      <w:r>
        <w:rPr>
          <w:rFonts w:ascii="Arial" w:cs="Arial" w:eastAsia="Arial" w:hAnsi="Arial"/>
          <w:sz w:val="18"/>
          <w:szCs w:val="18"/>
          <w:color w:val="auto"/>
        </w:rPr>
        <w:t>, the Obligations are paid in full and the Commitments are terminated.</w:t>
      </w:r>
    </w:p>
    <w:p>
      <w:pPr>
        <w:spacing w:after="0" w:line="198"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u w:val="single" w:color="auto"/>
          <w:color w:val="auto"/>
        </w:rPr>
        <w:t>14.4 Amendments, etc. with Respect to the Applicable Obligations</w:t>
      </w:r>
      <w:r>
        <w:rPr>
          <w:rFonts w:ascii="Arial" w:cs="Arial" w:eastAsia="Arial" w:hAnsi="Arial"/>
          <w:sz w:val="18"/>
          <w:szCs w:val="18"/>
          <w:color w:val="auto"/>
        </w:rPr>
        <w:t xml:space="preserve">. Each Guarantor shall remain obligated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notwithstanding that, without any reservation of rights against such Guarantor, and without notice to or further assent by such Guarantor, any demand for payment of or reduction in the principal amount of any of the applicable Obligations made by the Agents, any Facing Agent or any Lender may be rescinded by the Agents, any Facing Agent or such Lender, and any of the applicable Obligations continued, and the applicable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Agents, any Facing Agent or any Lender, and this Agreement and any other documents executed and delivered in connection herewith may be amended, modified, supplemented or terminated, in whole or in part, as the Lenders (or the Required Lenders, as the case may be) may deem advisable from time to time, and any collateral security, guarantee or right of offset at any time held by the Agents, any Facing Agent or any Lender for the payment of the applicable Obligations may be sold, exchanged, waived, surrendered or released. None of the Agents, any Facing Agent nor any Lender shall have any obligation to protect, secure, perfect or insure any lien at any time held by it as security for the applicable Obligations or for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or any property subject thereto.</w:t>
      </w:r>
    </w:p>
    <w:p>
      <w:pPr>
        <w:spacing w:after="0" w:line="203"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u w:val="single" w:color="auto"/>
          <w:color w:val="auto"/>
        </w:rPr>
        <w:t>14.5 Guarantee Absolute and Unconditional</w:t>
      </w:r>
      <w:r>
        <w:rPr>
          <w:rFonts w:ascii="Arial" w:cs="Arial" w:eastAsia="Arial" w:hAnsi="Arial"/>
          <w:sz w:val="18"/>
          <w:szCs w:val="18"/>
          <w:color w:val="auto"/>
        </w:rPr>
        <w:t xml:space="preserve">. Each Guarantor waives any and all notice of the creation, renewal, extension or accrual of any of the applicable Obligations and notice of or proof of reliance by the Agents, any Facing Agent or any Lender upon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or acceptance of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the applicable Obligations, and any of them, shall conclusively be deemed to have been created, contracted or incurred, or renewed, extended, amended or waived, in reliance upon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and all dealings between each Guarantor, on the one hand, and the Agents, the Facing Agents and the Lenders, on the other, shall likewise be conclusively presumed to have been had or consummated in reliance upon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The Agents will, to the extent permitted by applicable law, request payment of any applicable Obligation from the applicable Borrower before making any claim against the applicable Guarantor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but will have no further obligation to proceed against a Borrower or to defer for any period a claim against the applicable Guarantor hereunder. Except as expressly provided in the preceding sentence, each Guarantor waives diligence, presentment, protest, demand for payment and notice of default or nonpayment to or upon such Guarantor or any Borrower with respect to the applicable Obligations. Each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shall be construed as a continuing, absolute and unconditional guarantee of payment without regard to (a) the validity or enforceability of this Agreement or any other Loan Document, any of the applicable Obligations or any collateral security therefor or guarantee or right of offset with respect thereto at any time or from time to time held by any Agent, any Facing Agent or any Lender, (b) the legality under applicable laws of repayment by the relevant Borrower of any</w:t>
      </w:r>
    </w:p>
    <w:p>
      <w:pPr>
        <w:sectPr>
          <w:pgSz w:w="11900" w:h="16838" w:orient="portrait"/>
          <w:cols w:equalWidth="0" w:num="1">
            <w:col w:w="11240"/>
          </w:cols>
          <w:pgMar w:left="320" w:top="1419" w:right="339" w:bottom="1440" w:gutter="0" w:footer="0" w:header="0"/>
        </w:sectPr>
      </w:pPr>
    </w:p>
    <w:bookmarkStart w:id="337" w:name="page338"/>
    <w:bookmarkEnd w:id="337"/>
    <w:p>
      <w:pPr>
        <w:jc w:val="both"/>
        <w:spacing w:after="0" w:line="254" w:lineRule="auto"/>
        <w:rPr>
          <w:sz w:val="20"/>
          <w:szCs w:val="20"/>
          <w:color w:val="auto"/>
        </w:rPr>
      </w:pPr>
      <w:r>
        <w:rPr>
          <w:rFonts w:ascii="Arial" w:cs="Arial" w:eastAsia="Arial" w:hAnsi="Arial"/>
          <w:sz w:val="18"/>
          <w:szCs w:val="18"/>
          <w:color w:val="auto"/>
        </w:rPr>
        <w:t xml:space="preserve">applicable Obligations or the adoption of any applicable laws purporting to render any applicable Obligations null and void, (c) any defense, setoff or counterclaim (other than a defense of payment or performance) which may at any time be available to or be asserted by any Guarantor or the applicable Borrower against the Agents, any Facing Agent or any Lender, or (d) any other circumstance whatsoever (with or without notice to or knowledge of any Guarantor or any Borrower) which constitutes, or might be construed to constitute, an equitable or legal discharge of any Borrower for any applicable Obligations, or of any Guarantor under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in bankruptcy or in any other instance. When any Agent, any Facing Agent or any Lender is pursuing its rights and remedies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against any Guarantor, such Agent, such Facing Agent or any Lender may, but shall be under no obligation to, pursue such rights and remedies as it may have against any Borrower or any other Person or against any collateral security or guarantee for the applicable Obligations or any right of offset with respect thereto, and any failure by any Agent, any Facing Agent or any Lender to pursue such other rights or remedies or to collect any payments from any Borrower or any such other Person or to realize upon any such collateral security or guarantee or to exercise any such right of offset, or any release of any Borrower or any such other Person or of any such collateral security, guarantee or right of offset, shall not relieve any Guarantor of any liability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and shall not impair or affect the rights and remedies, whether express, implied or available as a matter of law, of the Agents, the Facing Agents and the Lenders against any Guarantor.</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14.6 Reinstatement</w:t>
      </w:r>
      <w:r>
        <w:rPr>
          <w:rFonts w:ascii="Arial" w:cs="Arial" w:eastAsia="Arial" w:hAnsi="Arial"/>
          <w:sz w:val="18"/>
          <w:szCs w:val="18"/>
          <w:color w:val="auto"/>
        </w:rPr>
        <w:t xml:space="preserve">. Each of the guarantees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shall continue to be effective, or be reinstated, as the case may be, if at any time payment, or any part thereof, of any of the applicable Obligations is rescinded or must otherwise be restored or returned by any Agent, any Facing Agent or any Lender upon the insolvency, bankruptcy, dissolution, liquidation or reorganization of any Borrower or upon or as a result of the appointment of a Receiver, intervenor or conservator of, or trustee or similar officer for, any Borrower or any substantial part of its property, or otherwise, all as though such payments had not been made.</w:t>
      </w:r>
    </w:p>
    <w:p>
      <w:pPr>
        <w:spacing w:after="0" w:line="18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u w:val="single" w:color="auto"/>
          <w:color w:val="auto"/>
        </w:rPr>
        <w:t>14.7 Payments</w:t>
      </w:r>
      <w:r>
        <w:rPr>
          <w:rFonts w:ascii="Arial" w:cs="Arial" w:eastAsia="Arial" w:hAnsi="Arial"/>
          <w:sz w:val="20"/>
          <w:szCs w:val="20"/>
          <w:color w:val="auto"/>
        </w:rPr>
        <w:t xml:space="preserve">. Each Guarantor hereby agrees that any payments in respect of the applicable Obligations pursuant to this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will be paid without setoff (including, for the purposes of Luxembourg law, legal set-off) or counterclaim, at the option of the relevant Facing Agent(s) or the relevant Lender(s), in the currency in which the applicable Loans are denominated at the Notice Address of the applicable Agent.</w:t>
      </w:r>
    </w:p>
    <w:p>
      <w:pPr>
        <w:spacing w:after="0" w:line="210" w:lineRule="exact"/>
        <w:rPr>
          <w:sz w:val="20"/>
          <w:szCs w:val="20"/>
          <w:color w:val="auto"/>
        </w:rPr>
      </w:pPr>
    </w:p>
    <w:p>
      <w:pPr>
        <w:jc w:val="both"/>
        <w:spacing w:after="0" w:line="231" w:lineRule="auto"/>
        <w:rPr>
          <w:sz w:val="20"/>
          <w:szCs w:val="20"/>
          <w:color w:val="auto"/>
        </w:rPr>
      </w:pPr>
      <w:r>
        <w:rPr>
          <w:rFonts w:ascii="Arial" w:cs="Arial" w:eastAsia="Arial" w:hAnsi="Arial"/>
          <w:sz w:val="20"/>
          <w:szCs w:val="20"/>
          <w:u w:val="single" w:color="auto"/>
          <w:color w:val="auto"/>
        </w:rPr>
        <w:t>14.8 Independent Obligations</w:t>
      </w:r>
      <w:r>
        <w:rPr>
          <w:rFonts w:ascii="Arial" w:cs="Arial" w:eastAsia="Arial" w:hAnsi="Arial"/>
          <w:sz w:val="20"/>
          <w:szCs w:val="20"/>
          <w:color w:val="auto"/>
        </w:rPr>
        <w:t xml:space="preserve">. The obligations of each Guarantor under the guarantee contained in this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are independent of the obligations of each Borrower, and a separate action or actions may be brought and prosecuted against any Guarantor whether or not the relevant Borrower is joined in any such action or actions. Each Guarantor waives, to the full extent permitted by law, the benefit of any statute of limitations affecting its liability hereunder or the enforcement thereof. Any payment by the relevant Borrower or other circumstance which operates to toll any statute of limitations as to such Borrower shall operate to toll the statute of limitations as to the relevant Guarantor.</w:t>
      </w:r>
    </w:p>
    <w:p>
      <w:pPr>
        <w:spacing w:after="0" w:line="21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u w:val="single" w:color="auto"/>
          <w:color w:val="auto"/>
        </w:rPr>
        <w:t>14.9 Guarantee Limitations for French Guarantees</w:t>
      </w:r>
      <w:r>
        <w:rPr>
          <w:rFonts w:ascii="Arial" w:cs="Arial" w:eastAsia="Arial" w:hAnsi="Arial"/>
          <w:sz w:val="19"/>
          <w:szCs w:val="19"/>
          <w:color w:val="auto"/>
        </w:rPr>
        <w:t xml:space="preserve">. The Obligations of any Guarantor incorporated under the laws of France under the Loan Documents (a) will not include any obligation or liability which if incurred would cause the infringement of the provision of financial assistance within the meaning of Article L. 225-216 of the French Commercial Code and/or would constitute a “misuse of corporate assets or powers” within the meaning of Article L. 241-3 or L. 242-6 of the French Commercial Code (such articles are applicable to </w:t>
      </w:r>
      <w:r>
        <w:rPr>
          <w:rFonts w:ascii="Arial" w:cs="Arial" w:eastAsia="Arial" w:hAnsi="Arial"/>
          <w:sz w:val="19"/>
          <w:szCs w:val="19"/>
          <w:i w:val="1"/>
          <w:iCs w:val="1"/>
          <w:color w:val="auto"/>
        </w:rPr>
        <w:t>societés par actions simplifiées</w:t>
      </w:r>
      <w:r>
        <w:rPr>
          <w:rFonts w:ascii="Arial" w:cs="Arial" w:eastAsia="Arial" w:hAnsi="Arial"/>
          <w:sz w:val="19"/>
          <w:szCs w:val="19"/>
          <w:color w:val="auto"/>
        </w:rPr>
        <w:t xml:space="preserve"> pursuant to Article L. 244-1 of the French Commercial Code); and (b) shall be limited to the extent required by applicable law to the maximum amount any such Guarantor can pay without exceeding its financial capacity or otherwise resulting in insolvency of such Guarantor, as</w:t>
      </w:r>
    </w:p>
    <w:p>
      <w:pPr>
        <w:sectPr>
          <w:pgSz w:w="11900" w:h="16838" w:orient="portrait"/>
          <w:cols w:equalWidth="0" w:num="1">
            <w:col w:w="10580"/>
          </w:cols>
          <w:pgMar w:left="980" w:top="1419" w:right="339" w:bottom="1440" w:gutter="0" w:footer="0" w:header="0"/>
        </w:sectPr>
      </w:pPr>
    </w:p>
    <w:bookmarkStart w:id="338" w:name="page339"/>
    <w:bookmarkEnd w:id="338"/>
    <w:p>
      <w:pPr>
        <w:jc w:val="both"/>
        <w:ind w:left="4"/>
        <w:spacing w:after="0" w:line="231" w:lineRule="auto"/>
        <w:rPr>
          <w:sz w:val="20"/>
          <w:szCs w:val="20"/>
          <w:color w:val="auto"/>
        </w:rPr>
      </w:pPr>
      <w:r>
        <w:rPr>
          <w:rFonts w:ascii="Arial" w:cs="Arial" w:eastAsia="Arial" w:hAnsi="Arial"/>
          <w:sz w:val="20"/>
          <w:szCs w:val="20"/>
          <w:color w:val="auto"/>
        </w:rPr>
        <w:t>of the date the French guarantee is executed or, if later further amended, restated or reaffirmed, as of such later date, and that the guarantee given by any Guarantor incorporated under the laws of France will in addition be limited to an amount that represents either (i) the amount of such proceeds made available to such Guarantor via intragroup loans or otherwise or (ii) the equivalent in Euros of the portion of the proceeds of the Loans used directly or indirectly to repay or refinance obligations of or obligations guaranteed (to the extent permitted under French law) by, such Guarantor, or to fund or refinance (directly or indirectly) advances or loans to Guarantor.</w:t>
      </w:r>
    </w:p>
    <w:p>
      <w:pPr>
        <w:spacing w:after="0" w:line="211" w:lineRule="exact"/>
        <w:rPr>
          <w:sz w:val="20"/>
          <w:szCs w:val="20"/>
          <w:color w:val="auto"/>
        </w:rPr>
      </w:pPr>
    </w:p>
    <w:p>
      <w:pPr>
        <w:jc w:val="both"/>
        <w:ind w:left="4"/>
        <w:spacing w:after="0" w:line="234" w:lineRule="auto"/>
        <w:rPr>
          <w:sz w:val="20"/>
          <w:szCs w:val="20"/>
          <w:color w:val="auto"/>
        </w:rPr>
      </w:pPr>
      <w:r>
        <w:rPr>
          <w:rFonts w:ascii="Arial" w:cs="Arial" w:eastAsia="Arial" w:hAnsi="Arial"/>
          <w:sz w:val="20"/>
          <w:szCs w:val="20"/>
          <w:color w:val="auto"/>
        </w:rPr>
        <w:t>14.10 Guarantee Limitations for Luxembourg Guarantees. Notwithstanding any provision to the contrary in this Agreement, the liability of any Guarantor incorporated under the laws of Luxembourg (a “</w:t>
      </w:r>
      <w:r>
        <w:rPr>
          <w:rFonts w:ascii="Arial" w:cs="Arial" w:eastAsia="Arial" w:hAnsi="Arial"/>
          <w:sz w:val="20"/>
          <w:szCs w:val="20"/>
          <w:u w:val="single" w:color="auto"/>
          <w:color w:val="auto"/>
        </w:rPr>
        <w:t>Luxembourg Guarantor</w:t>
      </w:r>
      <w:r>
        <w:rPr>
          <w:rFonts w:ascii="Arial" w:cs="Arial" w:eastAsia="Arial" w:hAnsi="Arial"/>
          <w:sz w:val="20"/>
          <w:szCs w:val="20"/>
          <w:color w:val="auto"/>
        </w:rPr>
        <w:t xml:space="preserve">”) under this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w:t>
      </w:r>
      <w:r>
        <w:rPr>
          <w:rFonts w:ascii="Arial" w:cs="Arial" w:eastAsia="Arial" w:hAnsi="Arial"/>
          <w:sz w:val="20"/>
          <w:szCs w:val="20"/>
          <w:i w:val="1"/>
          <w:iCs w:val="1"/>
          <w:color w:val="auto"/>
        </w:rPr>
        <w:t>Guaranty</w:t>
      </w:r>
      <w:r>
        <w:rPr>
          <w:rFonts w:ascii="Arial" w:cs="Arial" w:eastAsia="Arial" w:hAnsi="Arial"/>
          <w:sz w:val="20"/>
          <w:szCs w:val="20"/>
          <w:color w:val="auto"/>
        </w:rPr>
        <w:t>) for the obligations of any Credit Party, which is not a direct or indirect subsidiary of that Luxembourg Guarantor, may not exceed, in aggregate, the Maximum Amount (as defined below).</w:t>
      </w:r>
    </w:p>
    <w:p>
      <w:pPr>
        <w:spacing w:after="0" w:line="210" w:lineRule="exact"/>
        <w:rPr>
          <w:sz w:val="20"/>
          <w:szCs w:val="20"/>
          <w:color w:val="auto"/>
        </w:rPr>
      </w:pPr>
    </w:p>
    <w:p>
      <w:pPr>
        <w:ind w:left="644" w:firstLine="4"/>
        <w:spacing w:after="0" w:line="233" w:lineRule="auto"/>
        <w:tabs>
          <w:tab w:leader="none" w:pos="940" w:val="left"/>
        </w:tabs>
        <w:numPr>
          <w:ilvl w:val="1"/>
          <w:numId w:val="298"/>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Maximum Amount</w:t>
      </w:r>
      <w:r>
        <w:rPr>
          <w:rFonts w:ascii="Arial" w:cs="Arial" w:eastAsia="Arial" w:hAnsi="Arial"/>
          <w:sz w:val="20"/>
          <w:szCs w:val="20"/>
          <w:color w:val="auto"/>
        </w:rPr>
        <w:t>”, in relation to a Luxembourg Guarantor, means an amount equal to the aggregate (without double counting) of:</w:t>
      </w:r>
    </w:p>
    <w:p>
      <w:pPr>
        <w:spacing w:after="0" w:line="1" w:lineRule="exact"/>
        <w:rPr>
          <w:rFonts w:ascii="Arial" w:cs="Arial" w:eastAsia="Arial" w:hAnsi="Arial"/>
          <w:sz w:val="20"/>
          <w:szCs w:val="20"/>
          <w:color w:val="auto"/>
        </w:rPr>
      </w:pPr>
    </w:p>
    <w:p>
      <w:pPr>
        <w:ind w:left="1304" w:firstLine="640"/>
        <w:spacing w:after="0" w:line="234" w:lineRule="auto"/>
        <w:tabs>
          <w:tab w:leader="none" w:pos="2204" w:val="left"/>
        </w:tabs>
        <w:numPr>
          <w:ilvl w:val="2"/>
          <w:numId w:val="298"/>
        </w:numPr>
        <w:rPr>
          <w:rFonts w:ascii="Arial" w:cs="Arial" w:eastAsia="Arial" w:hAnsi="Arial"/>
          <w:sz w:val="20"/>
          <w:szCs w:val="20"/>
          <w:color w:val="auto"/>
        </w:rPr>
      </w:pPr>
      <w:r>
        <w:rPr>
          <w:rFonts w:ascii="Arial" w:cs="Arial" w:eastAsia="Arial" w:hAnsi="Arial"/>
          <w:sz w:val="20"/>
          <w:szCs w:val="20"/>
          <w:color w:val="auto"/>
        </w:rPr>
        <w:t>all moneys received by that Luxembourg Guarantor or its direct and indirect subsidiaries as a borrower under this Agreement;</w:t>
      </w:r>
    </w:p>
    <w:p>
      <w:pPr>
        <w:spacing w:after="0" w:line="210" w:lineRule="exact"/>
        <w:rPr>
          <w:rFonts w:ascii="Arial" w:cs="Arial" w:eastAsia="Arial" w:hAnsi="Arial"/>
          <w:sz w:val="20"/>
          <w:szCs w:val="20"/>
          <w:color w:val="auto"/>
        </w:rPr>
      </w:pPr>
    </w:p>
    <w:p>
      <w:pPr>
        <w:jc w:val="both"/>
        <w:ind w:left="1304" w:firstLine="640"/>
        <w:spacing w:after="0" w:line="275" w:lineRule="auto"/>
        <w:tabs>
          <w:tab w:leader="none" w:pos="2244" w:val="left"/>
        </w:tabs>
        <w:numPr>
          <w:ilvl w:val="2"/>
          <w:numId w:val="298"/>
        </w:numPr>
        <w:rPr>
          <w:rFonts w:ascii="Arial" w:cs="Arial" w:eastAsia="Arial" w:hAnsi="Arial"/>
          <w:sz w:val="18"/>
          <w:szCs w:val="18"/>
          <w:color w:val="auto"/>
        </w:rPr>
      </w:pPr>
      <w:r>
        <w:rPr>
          <w:rFonts w:ascii="Arial" w:cs="Arial" w:eastAsia="Arial" w:hAnsi="Arial"/>
          <w:sz w:val="18"/>
          <w:szCs w:val="18"/>
          <w:color w:val="auto"/>
        </w:rPr>
        <w:t>the aggregate amount of any outstanding intercompany or shareholder loans or debt funding (in any form whatsoever) made available to that Luxembourg Guarantor or any of its direct or indirect subsidiaries by any other member of its group which has been directly or indirectly funded by a borrowing under this Agreement; and</w:t>
      </w:r>
    </w:p>
    <w:p>
      <w:pPr>
        <w:spacing w:after="0" w:line="179" w:lineRule="exact"/>
        <w:rPr>
          <w:rFonts w:ascii="Arial" w:cs="Arial" w:eastAsia="Arial" w:hAnsi="Arial"/>
          <w:sz w:val="18"/>
          <w:szCs w:val="18"/>
          <w:color w:val="auto"/>
        </w:rPr>
      </w:pPr>
    </w:p>
    <w:p>
      <w:pPr>
        <w:ind w:left="2284" w:hanging="340"/>
        <w:spacing w:after="0"/>
        <w:tabs>
          <w:tab w:leader="none" w:pos="2284" w:val="left"/>
        </w:tabs>
        <w:numPr>
          <w:ilvl w:val="2"/>
          <w:numId w:val="298"/>
        </w:numPr>
        <w:rPr>
          <w:rFonts w:ascii="Arial" w:cs="Arial" w:eastAsia="Arial" w:hAnsi="Arial"/>
          <w:sz w:val="20"/>
          <w:szCs w:val="20"/>
          <w:color w:val="auto"/>
        </w:rPr>
      </w:pPr>
      <w:r>
        <w:rPr>
          <w:rFonts w:ascii="Arial" w:cs="Arial" w:eastAsia="Arial" w:hAnsi="Arial"/>
          <w:sz w:val="20"/>
          <w:szCs w:val="20"/>
          <w:color w:val="auto"/>
        </w:rPr>
        <w:t xml:space="preserve">an amount equal to one hundred </w:t>
      </w:r>
      <w:r>
        <w:rPr>
          <w:rFonts w:ascii="Arial" w:cs="Arial" w:eastAsia="Arial" w:hAnsi="Arial"/>
          <w:sz w:val="20"/>
          <w:szCs w:val="20"/>
          <w:i w:val="1"/>
          <w:iCs w:val="1"/>
          <w:color w:val="auto"/>
        </w:rPr>
        <w:t>per</w:t>
      </w:r>
      <w:r>
        <w:rPr>
          <w:rFonts w:ascii="Arial" w:cs="Arial" w:eastAsia="Arial" w:hAnsi="Arial"/>
          <w:sz w:val="20"/>
          <w:szCs w:val="20"/>
          <w:color w:val="auto"/>
        </w:rPr>
        <w:t xml:space="preserve"> cent 100% of the greater of:</w:t>
      </w:r>
    </w:p>
    <w:p>
      <w:pPr>
        <w:spacing w:after="0" w:line="229" w:lineRule="exact"/>
        <w:rPr>
          <w:rFonts w:ascii="Arial" w:cs="Arial" w:eastAsia="Arial" w:hAnsi="Arial"/>
          <w:sz w:val="20"/>
          <w:szCs w:val="20"/>
          <w:color w:val="auto"/>
        </w:rPr>
      </w:pPr>
    </w:p>
    <w:p>
      <w:pPr>
        <w:jc w:val="both"/>
        <w:ind w:left="1944" w:firstLine="324"/>
        <w:spacing w:after="0" w:line="241" w:lineRule="auto"/>
        <w:tabs>
          <w:tab w:leader="none" w:pos="2582" w:val="left"/>
        </w:tabs>
        <w:numPr>
          <w:ilvl w:val="3"/>
          <w:numId w:val="298"/>
        </w:numPr>
        <w:rPr>
          <w:rFonts w:ascii="Arial" w:cs="Arial" w:eastAsia="Arial" w:hAnsi="Arial"/>
          <w:sz w:val="19"/>
          <w:szCs w:val="19"/>
          <w:color w:val="auto"/>
        </w:rPr>
      </w:pPr>
      <w:r>
        <w:rPr>
          <w:rFonts w:ascii="Arial" w:cs="Arial" w:eastAsia="Arial" w:hAnsi="Arial"/>
          <w:sz w:val="19"/>
          <w:szCs w:val="19"/>
          <w:color w:val="auto"/>
        </w:rPr>
        <w:t>eighty per cent. (80%) of the sum of (i) the Luxembourg Guarantor’s own funds (</w:t>
      </w:r>
      <w:r>
        <w:rPr>
          <w:rFonts w:ascii="Arial" w:cs="Arial" w:eastAsia="Arial" w:hAnsi="Arial"/>
          <w:sz w:val="19"/>
          <w:szCs w:val="19"/>
          <w:i w:val="1"/>
          <w:iCs w:val="1"/>
          <w:color w:val="auto"/>
        </w:rPr>
        <w:t>capitaux propres</w:t>
      </w:r>
      <w:r>
        <w:rPr>
          <w:rFonts w:ascii="Arial" w:cs="Arial" w:eastAsia="Arial" w:hAnsi="Arial"/>
          <w:sz w:val="19"/>
          <w:szCs w:val="19"/>
          <w:color w:val="auto"/>
        </w:rPr>
        <w:t>) (as referred to in Annex I to the Grand-Ducal Regulation dated 18 December 2015 setting out the form and content of the presentation of the balance sheet and profit and loss account), enforcing the Luxembourg act of 19 December 2002 on the trade and companies register and the accounting and annual accounts of undertakings, as amended (the “</w:t>
      </w:r>
      <w:r>
        <w:rPr>
          <w:rFonts w:ascii="Arial" w:cs="Arial" w:eastAsia="Arial" w:hAnsi="Arial"/>
          <w:sz w:val="19"/>
          <w:szCs w:val="19"/>
          <w:u w:val="single" w:color="auto"/>
          <w:color w:val="auto"/>
        </w:rPr>
        <w:t>Own Funds</w:t>
      </w:r>
      <w:r>
        <w:rPr>
          <w:rFonts w:ascii="Arial" w:cs="Arial" w:eastAsia="Arial" w:hAnsi="Arial"/>
          <w:sz w:val="19"/>
          <w:szCs w:val="19"/>
          <w:color w:val="auto"/>
        </w:rPr>
        <w:t>”) and (ii) the Luxembourg Guarantor’s debt which is subordinated in right of payment (whether generally or specifically) to any claim of any Lender under any of the Loan Documents (the “</w:t>
      </w:r>
      <w:r>
        <w:rPr>
          <w:rFonts w:ascii="Arial" w:cs="Arial" w:eastAsia="Arial" w:hAnsi="Arial"/>
          <w:sz w:val="19"/>
          <w:szCs w:val="19"/>
          <w:u w:val="single" w:color="auto"/>
          <w:color w:val="auto"/>
        </w:rPr>
        <w:t>Subordinated Debt</w:t>
      </w:r>
      <w:r>
        <w:rPr>
          <w:rFonts w:ascii="Arial" w:cs="Arial" w:eastAsia="Arial" w:hAnsi="Arial"/>
          <w:sz w:val="19"/>
          <w:szCs w:val="19"/>
          <w:color w:val="auto"/>
        </w:rPr>
        <w:t>”), in each case as determined on the basis of the then latest available annual accounts of the Luxembourg Guarantor duly established in accordance with applicable accounting rules, as at the date of this Agreement; and</w:t>
      </w:r>
    </w:p>
    <w:p>
      <w:pPr>
        <w:spacing w:after="0" w:line="212" w:lineRule="exact"/>
        <w:rPr>
          <w:rFonts w:ascii="Arial" w:cs="Arial" w:eastAsia="Arial" w:hAnsi="Arial"/>
          <w:sz w:val="19"/>
          <w:szCs w:val="19"/>
          <w:color w:val="auto"/>
        </w:rPr>
      </w:pPr>
    </w:p>
    <w:p>
      <w:pPr>
        <w:jc w:val="both"/>
        <w:ind w:left="1944" w:firstLine="324"/>
        <w:spacing w:after="0" w:line="234" w:lineRule="auto"/>
        <w:tabs>
          <w:tab w:leader="none" w:pos="2584" w:val="left"/>
        </w:tabs>
        <w:numPr>
          <w:ilvl w:val="3"/>
          <w:numId w:val="298"/>
        </w:numPr>
        <w:rPr>
          <w:rFonts w:ascii="Arial" w:cs="Arial" w:eastAsia="Arial" w:hAnsi="Arial"/>
          <w:sz w:val="20"/>
          <w:szCs w:val="20"/>
          <w:color w:val="auto"/>
        </w:rPr>
      </w:pPr>
      <w:r>
        <w:rPr>
          <w:rFonts w:ascii="Arial" w:cs="Arial" w:eastAsia="Arial" w:hAnsi="Arial"/>
          <w:sz w:val="20"/>
          <w:szCs w:val="20"/>
          <w:color w:val="auto"/>
        </w:rPr>
        <w:t xml:space="preserve">eighty per cent. (80%) of the sum of (i) the Own Funds and (ii) the Subordinated Debt, in each case as determined on the basis of the then latest available annual accounts of the Luxembourg Guarantor duly established in accordance with applicable accounting rules, as at the date on which the guarantee under this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is called.</w:t>
      </w:r>
    </w:p>
    <w:p>
      <w:pPr>
        <w:spacing w:after="0" w:line="210" w:lineRule="exact"/>
        <w:rPr>
          <w:rFonts w:ascii="Arial" w:cs="Arial" w:eastAsia="Arial" w:hAnsi="Arial"/>
          <w:sz w:val="20"/>
          <w:szCs w:val="20"/>
          <w:color w:val="auto"/>
        </w:rPr>
      </w:pPr>
    </w:p>
    <w:p>
      <w:pPr>
        <w:jc w:val="both"/>
        <w:ind w:left="-656" w:firstLine="656"/>
        <w:spacing w:after="0" w:line="248" w:lineRule="auto"/>
        <w:tabs>
          <w:tab w:leader="none" w:pos="311" w:val="left"/>
        </w:tabs>
        <w:numPr>
          <w:ilvl w:val="0"/>
          <w:numId w:val="299"/>
        </w:numPr>
        <w:rPr>
          <w:rFonts w:ascii="Arial" w:cs="Arial" w:eastAsia="Arial" w:hAnsi="Arial"/>
          <w:sz w:val="19"/>
          <w:szCs w:val="19"/>
          <w:color w:val="auto"/>
        </w:rPr>
      </w:pPr>
      <w:r>
        <w:rPr>
          <w:rFonts w:ascii="Arial" w:cs="Arial" w:eastAsia="Arial" w:hAnsi="Arial"/>
          <w:sz w:val="19"/>
          <w:szCs w:val="19"/>
          <w:color w:val="auto"/>
        </w:rPr>
        <w:t>Where, for the purpose of the above determinations, (i) no duly established annual accounts are available for the relevant reference period (which will include a situation where, in respect of the determinations to be made above, no final annual accounts have been established in due time in respect of the then most recently ended financial year) or (ii) the relevant annual accounts do not adequately reflect the status of the Subordinated Debt or Own Funds as envisaged above or (iii) the Luxembourg Guarantor</w:t>
      </w:r>
    </w:p>
    <w:p>
      <w:pPr>
        <w:sectPr>
          <w:pgSz w:w="11900" w:h="16838" w:orient="portrait"/>
          <w:cols w:equalWidth="0" w:num="1">
            <w:col w:w="10584"/>
          </w:cols>
          <w:pgMar w:left="976" w:top="1419" w:right="339" w:bottom="1440" w:gutter="0" w:footer="0" w:header="0"/>
        </w:sectPr>
      </w:pPr>
    </w:p>
    <w:bookmarkStart w:id="339" w:name="page340"/>
    <w:bookmarkEnd w:id="339"/>
    <w:p>
      <w:pPr>
        <w:jc w:val="both"/>
        <w:spacing w:after="0" w:line="232" w:lineRule="auto"/>
        <w:rPr>
          <w:sz w:val="20"/>
          <w:szCs w:val="20"/>
          <w:color w:val="auto"/>
        </w:rPr>
      </w:pPr>
      <w:r>
        <w:rPr>
          <w:rFonts w:ascii="Arial" w:cs="Arial" w:eastAsia="Arial" w:hAnsi="Arial"/>
          <w:sz w:val="20"/>
          <w:szCs w:val="20"/>
          <w:color w:val="auto"/>
        </w:rPr>
        <w:t>has taken corporate or contractual actions having resulted in the increase of its Own Funds or its Subordinated Debt since the close of its last financial year, the Administrative Agent (acting in good faith) shall make the determination of the relevant Own Funds and Subordinated Debt amounts based on such available elements and facts as deemed relevant by it at such time. Any costs and expenses incurred by the Administrative Agent pursuant to this paragraph will be paid in accordance with the relevant provisions relating to costs and expenses under this Agreement.</w:t>
      </w:r>
    </w:p>
    <w:p>
      <w:pPr>
        <w:spacing w:after="0" w:line="21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(c)Each Credit Party incorporated under the laws of Luxembourg hereby expressly accepts and confirms, if applicable, for the purposes of articles 1278 and 1281 of the Luxembourg civil code, respectively, that notwithstanding any assignment, transfer and/or novation permitted under, and made in accordance with the provisions of this Agreement, any Security granted by a Credit Party incorporated under the laws of Luxembourg and any guaranty granted by a Luxembourg Guarantor given under any Loan Document shall be preserved for the benefit of any New Lender.</w:t>
      </w:r>
    </w:p>
    <w:p>
      <w:pPr>
        <w:spacing w:after="0" w:line="211" w:lineRule="exact"/>
        <w:rPr>
          <w:sz w:val="20"/>
          <w:szCs w:val="20"/>
          <w:color w:val="auto"/>
        </w:rPr>
      </w:pPr>
    </w:p>
    <w:p>
      <w:pPr>
        <w:jc w:val="both"/>
        <w:ind w:firstLine="8"/>
        <w:spacing w:after="0" w:line="237" w:lineRule="auto"/>
        <w:tabs>
          <w:tab w:leader="none" w:pos="294" w:val="left"/>
        </w:tabs>
        <w:numPr>
          <w:ilvl w:val="0"/>
          <w:numId w:val="300"/>
        </w:numPr>
        <w:rPr>
          <w:rFonts w:ascii="Arial" w:cs="Arial" w:eastAsia="Arial" w:hAnsi="Arial"/>
          <w:sz w:val="20"/>
          <w:szCs w:val="20"/>
          <w:color w:val="auto"/>
        </w:rPr>
      </w:pPr>
      <w:r>
        <w:rPr>
          <w:rFonts w:ascii="Arial" w:cs="Arial" w:eastAsia="Arial" w:hAnsi="Arial"/>
          <w:sz w:val="20"/>
          <w:szCs w:val="20"/>
          <w:color w:val="auto"/>
        </w:rPr>
        <w:t>The obligations of any Luxembourg Guarantor shall not extend to the guaranteeing or securing of any amount which would breach the prohibitions on financial assistance as set out in the Luxembourg law of 10 August 1915 on commercial companies, as amended (the “</w:t>
      </w:r>
      <w:r>
        <w:rPr>
          <w:rFonts w:ascii="Arial" w:cs="Arial" w:eastAsia="Arial" w:hAnsi="Arial"/>
          <w:sz w:val="20"/>
          <w:szCs w:val="20"/>
          <w:u w:val="single" w:color="auto"/>
          <w:color w:val="auto"/>
        </w:rPr>
        <w:t>Luxembourg Law of 1915</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jc w:val="both"/>
        <w:ind w:firstLine="8"/>
        <w:spacing w:after="0" w:line="237" w:lineRule="auto"/>
        <w:tabs>
          <w:tab w:leader="none" w:pos="286" w:val="left"/>
        </w:tabs>
        <w:numPr>
          <w:ilvl w:val="0"/>
          <w:numId w:val="300"/>
        </w:numPr>
        <w:rPr>
          <w:rFonts w:ascii="Arial" w:cs="Arial" w:eastAsia="Arial" w:hAnsi="Arial"/>
          <w:sz w:val="20"/>
          <w:szCs w:val="20"/>
          <w:color w:val="auto"/>
        </w:rPr>
      </w:pPr>
      <w:r>
        <w:rPr>
          <w:rFonts w:ascii="Arial" w:cs="Arial" w:eastAsia="Arial" w:hAnsi="Arial"/>
          <w:sz w:val="20"/>
          <w:szCs w:val="20"/>
          <w:color w:val="auto"/>
        </w:rPr>
        <w:t>Notwithstanding anything to the contrary herein, the obligations and liabilities of any Luxembourg Guarantor under this Agreement or under any Loan Document shall not include any obligation or liability to the extent that, if so included, would constitute an abuse of assets as defined under article 1500-11 of the Luxembourg Law of 1915.</w:t>
      </w:r>
    </w:p>
    <w:p>
      <w:pPr>
        <w:spacing w:after="0" w:line="21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u w:val="single" w:color="auto"/>
          <w:color w:val="auto"/>
        </w:rPr>
        <w:t>14.11 Guarantee Limitations for Spanish Guarantees and Security</w:t>
      </w:r>
      <w:r>
        <w:rPr>
          <w:rFonts w:ascii="Arial" w:cs="Arial" w:eastAsia="Arial" w:hAnsi="Arial"/>
          <w:sz w:val="16"/>
          <w:szCs w:val="16"/>
          <w:color w:val="auto"/>
        </w:rPr>
        <w:t xml:space="preserve">. In respect of the obligations of any Subsidiary Credit Party incorporated under the laws of Spain under the Loan Documents, a Spanish guarantee and/or security shall not include and shall not extend (in the case of Spanish guarantors/providers of security incorporated as </w:t>
      </w:r>
      <w:r>
        <w:rPr>
          <w:rFonts w:ascii="Arial" w:cs="Arial" w:eastAsia="Arial" w:hAnsi="Arial"/>
          <w:sz w:val="16"/>
          <w:szCs w:val="16"/>
          <w:i w:val="1"/>
          <w:iCs w:val="1"/>
          <w:color w:val="auto"/>
        </w:rPr>
        <w:t>sociedad anónima</w:t>
      </w:r>
      <w:r>
        <w:rPr>
          <w:rFonts w:ascii="Arial" w:cs="Arial" w:eastAsia="Arial" w:hAnsi="Arial"/>
          <w:sz w:val="16"/>
          <w:szCs w:val="16"/>
          <w:color w:val="auto"/>
        </w:rPr>
        <w:t xml:space="preserve">) to any Obligation related in any manner whatsoever to, and/or any amount utilised to fund (or refinance the indebtedness incurred by any party for) the acquisition of the shares in the Spanish guarantor/provider of security and/or the acquisition of the shares of its controlling corporation or that amounts to financial assistance in accordance with section 150 of the Spanish Capital Companies Act, or (in the case of Spanish guarantors/providers of security incorporated as </w:t>
      </w:r>
      <w:r>
        <w:rPr>
          <w:rFonts w:ascii="Arial" w:cs="Arial" w:eastAsia="Arial" w:hAnsi="Arial"/>
          <w:sz w:val="16"/>
          <w:szCs w:val="16"/>
          <w:i w:val="1"/>
          <w:iCs w:val="1"/>
          <w:color w:val="auto"/>
        </w:rPr>
        <w:t>sociedades de responsabilidad limitada</w:t>
      </w:r>
      <w:r>
        <w:rPr>
          <w:rFonts w:ascii="Arial" w:cs="Arial" w:eastAsia="Arial" w:hAnsi="Arial"/>
          <w:sz w:val="16"/>
          <w:szCs w:val="16"/>
          <w:color w:val="auto"/>
        </w:rPr>
        <w:t>), as the case may be, shall not extend to any Obligation related in any manner whatsoever to, and/or any amount utilised to fund (or refinance the indebtedness incurred by any party for) the acquisition of the shares in the Spanish guarantor/provider of security and/or the acquisition of the shares of its controlling corporation or any company of the group of the Spanish guarantor/provider of security or that amounts to financial assistance in accordance with section 143.2 of the Spanish Capital Companies Act.</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14.12Guarantee Limitations for German Guarantees and Security</w:t>
      </w:r>
      <w:r>
        <w:rPr>
          <w:rFonts w:ascii="Arial" w:cs="Arial" w:eastAsia="Arial" w:hAnsi="Arial"/>
          <w:sz w:val="20"/>
          <w:szCs w:val="20"/>
          <w:color w:val="auto"/>
        </w:rPr>
        <w:t>.</w:t>
      </w:r>
    </w:p>
    <w:p>
      <w:pPr>
        <w:spacing w:after="0" w:line="229" w:lineRule="exact"/>
        <w:rPr>
          <w:sz w:val="20"/>
          <w:szCs w:val="20"/>
          <w:color w:val="auto"/>
        </w:rPr>
      </w:pPr>
    </w:p>
    <w:p>
      <w:pPr>
        <w:jc w:val="both"/>
        <w:ind w:firstLine="656"/>
        <w:spacing w:after="0" w:line="243" w:lineRule="auto"/>
        <w:tabs>
          <w:tab w:leader="none" w:pos="919" w:val="left"/>
        </w:tabs>
        <w:numPr>
          <w:ilvl w:val="0"/>
          <w:numId w:val="301"/>
        </w:numPr>
        <w:rPr>
          <w:rFonts w:ascii="Arial" w:cs="Arial" w:eastAsia="Arial" w:hAnsi="Arial"/>
          <w:sz w:val="19"/>
          <w:szCs w:val="19"/>
          <w:color w:val="auto"/>
        </w:rPr>
      </w:pPr>
      <w:r>
        <w:rPr>
          <w:rFonts w:ascii="Arial" w:cs="Arial" w:eastAsia="Arial" w:hAnsi="Arial"/>
          <w:sz w:val="19"/>
          <w:szCs w:val="19"/>
          <w:color w:val="auto"/>
        </w:rPr>
        <w:t>If the enforcement of the guarantee given by any Guarantor incorporated under the laws of Germany by the Administrative Agent would cause, in breach of sections 30 and 31 of the German Limited Liability Companies Act (</w:t>
      </w:r>
      <w:r>
        <w:rPr>
          <w:rFonts w:ascii="Arial" w:cs="Arial" w:eastAsia="Arial" w:hAnsi="Arial"/>
          <w:sz w:val="19"/>
          <w:szCs w:val="19"/>
          <w:i w:val="1"/>
          <w:iCs w:val="1"/>
          <w:color w:val="auto"/>
        </w:rPr>
        <w:t>Gesetz betreffend die Gesellschaften mit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beschränkter Haftung </w:t>
      </w:r>
      <w:r>
        <w:rPr>
          <w:rFonts w:ascii="Arial" w:cs="Arial" w:eastAsia="Arial" w:hAnsi="Arial"/>
          <w:sz w:val="19"/>
          <w:szCs w:val="19"/>
          <w:color w:val="auto"/>
        </w:rPr>
        <w:t>(“</w:t>
      </w:r>
      <w:r>
        <w:rPr>
          <w:rFonts w:ascii="Arial" w:cs="Arial" w:eastAsia="Arial" w:hAnsi="Arial"/>
          <w:sz w:val="19"/>
          <w:szCs w:val="19"/>
          <w:u w:val="single" w:color="auto"/>
          <w:color w:val="auto"/>
        </w:rPr>
        <w:t>GmbHG</w:t>
      </w:r>
      <w:r>
        <w:rPr>
          <w:rFonts w:ascii="Arial" w:cs="Arial" w:eastAsia="Arial" w:hAnsi="Arial"/>
          <w:sz w:val="19"/>
          <w:szCs w:val="19"/>
          <w:color w:val="auto"/>
        </w:rPr>
        <w:t>”)), the net assets (</w:t>
      </w:r>
      <w:r>
        <w:rPr>
          <w:rFonts w:ascii="Arial" w:cs="Arial" w:eastAsia="Arial" w:hAnsi="Arial"/>
          <w:sz w:val="19"/>
          <w:szCs w:val="19"/>
          <w:i w:val="1"/>
          <w:iCs w:val="1"/>
          <w:color w:val="auto"/>
        </w:rPr>
        <w:t xml:space="preserve">Reinvermögen </w:t>
      </w:r>
      <w:r>
        <w:rPr>
          <w:rFonts w:ascii="Arial" w:cs="Arial" w:eastAsia="Arial" w:hAnsi="Arial"/>
          <w:sz w:val="19"/>
          <w:szCs w:val="19"/>
          <w:color w:val="auto"/>
        </w:rPr>
        <w:t>– being the total assets less liabilities) of the relevant Guarantor to fall</w:t>
      </w:r>
      <w:r>
        <w:rPr>
          <w:rFonts w:ascii="Arial" w:cs="Arial" w:eastAsia="Arial" w:hAnsi="Arial"/>
          <w:sz w:val="19"/>
          <w:szCs w:val="19"/>
          <w:i w:val="1"/>
          <w:iCs w:val="1"/>
          <w:color w:val="auto"/>
        </w:rPr>
        <w:t xml:space="preserve"> </w:t>
      </w:r>
      <w:r>
        <w:rPr>
          <w:rFonts w:ascii="Arial" w:cs="Arial" w:eastAsia="Arial" w:hAnsi="Arial"/>
          <w:sz w:val="19"/>
          <w:szCs w:val="19"/>
          <w:color w:val="auto"/>
        </w:rPr>
        <w:t>below the amount of its nominal share capital (</w:t>
      </w:r>
      <w:r>
        <w:rPr>
          <w:rFonts w:ascii="Arial" w:cs="Arial" w:eastAsia="Arial" w:hAnsi="Arial"/>
          <w:sz w:val="19"/>
          <w:szCs w:val="19"/>
          <w:i w:val="1"/>
          <w:iCs w:val="1"/>
          <w:color w:val="auto"/>
        </w:rPr>
        <w:t>Stammkapital</w:t>
      </w:r>
      <w:r>
        <w:rPr>
          <w:rFonts w:ascii="Arial" w:cs="Arial" w:eastAsia="Arial" w:hAnsi="Arial"/>
          <w:sz w:val="19"/>
          <w:szCs w:val="19"/>
          <w:color w:val="auto"/>
        </w:rPr>
        <w:t>), the Administrative Agent may not enforce the guarantee to the extent enforcement would require payment by the relevant Guarantor out of assets necessary to preserve its nominal share capital (</w:t>
      </w:r>
      <w:r>
        <w:rPr>
          <w:rFonts w:ascii="Arial" w:cs="Arial" w:eastAsia="Arial" w:hAnsi="Arial"/>
          <w:sz w:val="19"/>
          <w:szCs w:val="19"/>
          <w:i w:val="1"/>
          <w:iCs w:val="1"/>
          <w:color w:val="auto"/>
        </w:rPr>
        <w:t>Stammkapital</w:t>
      </w:r>
      <w:r>
        <w:rPr>
          <w:rFonts w:ascii="Arial" w:cs="Arial" w:eastAsia="Arial" w:hAnsi="Arial"/>
          <w:sz w:val="19"/>
          <w:szCs w:val="19"/>
          <w:color w:val="auto"/>
        </w:rPr>
        <w:t>). For the purposes of the calculation, whether the net assets of the relevant Guarantor would fall below the amount of the nominal share capital (</w:t>
      </w:r>
      <w:r>
        <w:rPr>
          <w:rFonts w:ascii="Arial" w:cs="Arial" w:eastAsia="Arial" w:hAnsi="Arial"/>
          <w:sz w:val="19"/>
          <w:szCs w:val="19"/>
          <w:i w:val="1"/>
          <w:iCs w:val="1"/>
          <w:color w:val="auto"/>
        </w:rPr>
        <w:t>Stammkapital</w:t>
      </w:r>
      <w:r>
        <w:rPr>
          <w:rFonts w:ascii="Arial" w:cs="Arial" w:eastAsia="Arial" w:hAnsi="Arial"/>
          <w:sz w:val="19"/>
          <w:szCs w:val="19"/>
          <w:color w:val="auto"/>
        </w:rPr>
        <w:t>) (if any), the following balance sheet items shall be adjusted as follows:</w:t>
      </w:r>
    </w:p>
    <w:p>
      <w:pPr>
        <w:sectPr>
          <w:pgSz w:w="11900" w:h="16838" w:orient="portrait"/>
          <w:cols w:equalWidth="0" w:num="1">
            <w:col w:w="11240"/>
          </w:cols>
          <w:pgMar w:left="320" w:top="1419" w:right="339" w:bottom="1440" w:gutter="0" w:footer="0" w:header="0"/>
        </w:sectPr>
      </w:pPr>
    </w:p>
    <w:bookmarkStart w:id="340" w:name="page341"/>
    <w:bookmarkEnd w:id="340"/>
    <w:p>
      <w:pPr>
        <w:ind w:left="1952" w:hanging="8"/>
        <w:spacing w:after="0" w:line="272" w:lineRule="auto"/>
        <w:tabs>
          <w:tab w:leader="none" w:pos="2204" w:val="left"/>
        </w:tabs>
        <w:numPr>
          <w:ilvl w:val="0"/>
          <w:numId w:val="302"/>
        </w:numPr>
        <w:rPr>
          <w:rFonts w:ascii="Arial" w:cs="Arial" w:eastAsia="Arial" w:hAnsi="Arial"/>
          <w:sz w:val="19"/>
          <w:szCs w:val="19"/>
          <w:color w:val="auto"/>
        </w:rPr>
      </w:pPr>
      <w:r>
        <w:rPr>
          <w:rFonts w:ascii="Arial" w:cs="Arial" w:eastAsia="Arial" w:hAnsi="Arial"/>
          <w:sz w:val="19"/>
          <w:szCs w:val="19"/>
          <w:color w:val="auto"/>
        </w:rPr>
        <w:t>the amount of any increase in the nominal share capital which was carried out after the date hereof without the prior written consent of the Administrative Agent shall be deducted from the nominal share capital,</w:t>
      </w:r>
    </w:p>
    <w:p>
      <w:pPr>
        <w:spacing w:after="0" w:line="179" w:lineRule="exact"/>
        <w:rPr>
          <w:rFonts w:ascii="Arial" w:cs="Arial" w:eastAsia="Arial" w:hAnsi="Arial"/>
          <w:sz w:val="19"/>
          <w:szCs w:val="19"/>
          <w:color w:val="auto"/>
        </w:rPr>
      </w:pPr>
    </w:p>
    <w:p>
      <w:pPr>
        <w:jc w:val="both"/>
        <w:ind w:left="1952" w:hanging="8"/>
        <w:spacing w:after="0" w:line="237" w:lineRule="auto"/>
        <w:tabs>
          <w:tab w:leader="none" w:pos="2267" w:val="left"/>
        </w:tabs>
        <w:numPr>
          <w:ilvl w:val="0"/>
          <w:numId w:val="302"/>
        </w:numPr>
        <w:rPr>
          <w:rFonts w:ascii="Arial" w:cs="Arial" w:eastAsia="Arial" w:hAnsi="Arial"/>
          <w:sz w:val="20"/>
          <w:szCs w:val="20"/>
          <w:color w:val="auto"/>
        </w:rPr>
      </w:pPr>
      <w:r>
        <w:rPr>
          <w:rFonts w:ascii="Arial" w:cs="Arial" w:eastAsia="Arial" w:hAnsi="Arial"/>
          <w:sz w:val="20"/>
          <w:szCs w:val="20"/>
          <w:color w:val="auto"/>
        </w:rPr>
        <w:t>loans provided to the relevant Guarantor by any third party, as far as such loans are (or would in insolvency proceedings be) subordinated pursuant to Section 39 para. 1 no. 5 or para. 2 of the German Insolvency Code (</w:t>
      </w:r>
      <w:r>
        <w:rPr>
          <w:rFonts w:ascii="Arial" w:cs="Arial" w:eastAsia="Arial" w:hAnsi="Arial"/>
          <w:sz w:val="20"/>
          <w:szCs w:val="20"/>
          <w:i w:val="1"/>
          <w:iCs w:val="1"/>
          <w:color w:val="auto"/>
        </w:rPr>
        <w:t>Insolvenzverordnung</w:t>
      </w:r>
      <w:r>
        <w:rPr>
          <w:rFonts w:ascii="Arial" w:cs="Arial" w:eastAsia="Arial" w:hAnsi="Arial"/>
          <w:sz w:val="20"/>
          <w:szCs w:val="20"/>
          <w:color w:val="auto"/>
        </w:rPr>
        <w:t>), and</w:t>
      </w:r>
    </w:p>
    <w:p>
      <w:pPr>
        <w:spacing w:after="0" w:line="210" w:lineRule="exact"/>
        <w:rPr>
          <w:sz w:val="20"/>
          <w:szCs w:val="20"/>
          <w:color w:val="auto"/>
        </w:rPr>
      </w:pPr>
    </w:p>
    <w:p>
      <w:pPr>
        <w:ind w:left="1952"/>
        <w:spacing w:after="0" w:line="246" w:lineRule="auto"/>
        <w:rPr>
          <w:sz w:val="20"/>
          <w:szCs w:val="20"/>
          <w:color w:val="auto"/>
        </w:rPr>
      </w:pPr>
      <w:r>
        <w:rPr>
          <w:rFonts w:ascii="Arial" w:cs="Arial" w:eastAsia="Arial" w:hAnsi="Arial"/>
          <w:sz w:val="20"/>
          <w:szCs w:val="20"/>
          <w:color w:val="auto"/>
        </w:rPr>
        <w:t>(iii)funds borrowed by any Borrower under the Credit Agreement which have been on lent to the relevant Guarantor shall be disregarded.</w:t>
      </w:r>
    </w:p>
    <w:p>
      <w:pPr>
        <w:spacing w:after="0" w:line="204" w:lineRule="exact"/>
        <w:rPr>
          <w:sz w:val="20"/>
          <w:szCs w:val="20"/>
          <w:color w:val="auto"/>
        </w:rPr>
      </w:pPr>
    </w:p>
    <w:p>
      <w:pPr>
        <w:ind w:left="272" w:hanging="272"/>
        <w:spacing w:after="0"/>
        <w:tabs>
          <w:tab w:leader="none" w:pos="272" w:val="left"/>
        </w:tabs>
        <w:numPr>
          <w:ilvl w:val="0"/>
          <w:numId w:val="303"/>
        </w:numPr>
        <w:rPr>
          <w:rFonts w:ascii="Arial" w:cs="Arial" w:eastAsia="Arial" w:hAnsi="Arial"/>
          <w:sz w:val="20"/>
          <w:szCs w:val="20"/>
          <w:color w:val="auto"/>
        </w:rPr>
      </w:pPr>
      <w:r>
        <w:rPr>
          <w:rFonts w:ascii="Arial" w:cs="Arial" w:eastAsia="Arial" w:hAnsi="Arial"/>
          <w:sz w:val="20"/>
          <w:szCs w:val="20"/>
          <w:color w:val="auto"/>
        </w:rPr>
        <w:t>In addition, the relevant Guarantor, if and to the extent legally permissible, shall</w:t>
      </w:r>
    </w:p>
    <w:p>
      <w:pPr>
        <w:spacing w:after="0" w:line="229" w:lineRule="exact"/>
        <w:rPr>
          <w:rFonts w:ascii="Arial" w:cs="Arial" w:eastAsia="Arial" w:hAnsi="Arial"/>
          <w:sz w:val="20"/>
          <w:szCs w:val="20"/>
          <w:color w:val="auto"/>
        </w:rPr>
      </w:pPr>
    </w:p>
    <w:p>
      <w:pPr>
        <w:jc w:val="both"/>
        <w:ind w:left="1952" w:hanging="8"/>
        <w:spacing w:after="0" w:line="267" w:lineRule="auto"/>
        <w:tabs>
          <w:tab w:leader="none" w:pos="219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in a situation where enforcement of the guarantee is limited pursuant to the paragraph (a) above, sell any and all of its assets that are reflected on its balance sheet with a book value that is significantly lower than the market value of the asset if such asset is not essential for the conduct of business (</w:t>
      </w:r>
      <w:r>
        <w:rPr>
          <w:rFonts w:ascii="Arial" w:cs="Arial" w:eastAsia="Arial" w:hAnsi="Arial"/>
          <w:sz w:val="18"/>
          <w:szCs w:val="18"/>
          <w:i w:val="1"/>
          <w:iCs w:val="1"/>
          <w:color w:val="auto"/>
        </w:rPr>
        <w:t>nicht betriebsnotwendig</w:t>
      </w:r>
      <w:r>
        <w:rPr>
          <w:rFonts w:ascii="Arial" w:cs="Arial" w:eastAsia="Arial" w:hAnsi="Arial"/>
          <w:sz w:val="18"/>
          <w:szCs w:val="18"/>
          <w:color w:val="auto"/>
        </w:rPr>
        <w:t>) and if through such realization, the amount which may be enforced pursuant to paragraph (a) above, can be increased, and,</w:t>
      </w:r>
    </w:p>
    <w:p>
      <w:pPr>
        <w:spacing w:after="0" w:line="185" w:lineRule="exact"/>
        <w:rPr>
          <w:rFonts w:ascii="Arial" w:cs="Arial" w:eastAsia="Arial" w:hAnsi="Arial"/>
          <w:sz w:val="18"/>
          <w:szCs w:val="18"/>
          <w:color w:val="auto"/>
        </w:rPr>
      </w:pPr>
    </w:p>
    <w:p>
      <w:pPr>
        <w:jc w:val="both"/>
        <w:ind w:left="1952" w:hanging="8"/>
        <w:spacing w:after="0" w:line="237" w:lineRule="auto"/>
        <w:tabs>
          <w:tab w:leader="none" w:pos="2261" w:val="left"/>
        </w:tabs>
        <w:numPr>
          <w:ilvl w:val="1"/>
          <w:numId w:val="303"/>
        </w:numPr>
        <w:rPr>
          <w:rFonts w:ascii="Arial" w:cs="Arial" w:eastAsia="Arial" w:hAnsi="Arial"/>
          <w:sz w:val="20"/>
          <w:szCs w:val="20"/>
          <w:color w:val="auto"/>
        </w:rPr>
      </w:pPr>
      <w:r>
        <w:rPr>
          <w:rFonts w:ascii="Arial" w:cs="Arial" w:eastAsia="Arial" w:hAnsi="Arial"/>
          <w:sz w:val="20"/>
          <w:szCs w:val="20"/>
          <w:color w:val="auto"/>
        </w:rPr>
        <w:t>take any other measures (including, without limitation, set-off of claims) to ensure that the enforcement of the guarantee does not cause its remaining net assets to be reduced below the amount of its stated share capital which is protected by sections 30 and 31 GmbHG.</w:t>
      </w:r>
    </w:p>
    <w:p>
      <w:pPr>
        <w:spacing w:after="0" w:line="210" w:lineRule="exact"/>
        <w:rPr>
          <w:sz w:val="20"/>
          <w:szCs w:val="20"/>
          <w:color w:val="auto"/>
        </w:rPr>
      </w:pPr>
    </w:p>
    <w:p>
      <w:pPr>
        <w:jc w:val="both"/>
        <w:ind w:left="652"/>
        <w:spacing w:after="0" w:line="255" w:lineRule="auto"/>
        <w:rPr>
          <w:sz w:val="20"/>
          <w:szCs w:val="20"/>
          <w:color w:val="auto"/>
        </w:rPr>
      </w:pPr>
      <w:r>
        <w:rPr>
          <w:rFonts w:ascii="Arial" w:cs="Arial" w:eastAsia="Arial" w:hAnsi="Arial"/>
          <w:sz w:val="18"/>
          <w:szCs w:val="18"/>
          <w:u w:val="single" w:color="auto"/>
          <w:color w:val="auto"/>
        </w:rPr>
        <w:t>14.13Keepwell</w:t>
      </w:r>
      <w:r>
        <w:rPr>
          <w:rFonts w:ascii="Arial" w:cs="Arial" w:eastAsia="Arial" w:hAnsi="Arial"/>
          <w:sz w:val="18"/>
          <w:szCs w:val="18"/>
          <w:color w:val="auto"/>
        </w:rPr>
        <w:t xml:space="preserve">. Each Credit Party incorporated in the United States that is a Qualified ECP Guarantor at the time the Guarantee Obligations or the grant of the security interest under the Loan Documents, in each case, by any Specified Credit Party, becomes effective with respect to any Swap Obligation, hereby jointly and severally, absolutely, unconditionally and irrevocably undertakes to provide such funds or other support to each Specified Credit Party with respect to such Swap Obligation as may be needed by such Specified Credit Party from time to time to honor all of its obligations under its Guarantee Obligations and the other Loan Documents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voidable under applicable law relating to fraudulent conveyance or fraudulent transfer, and not for any greater amount). The obligations and undertakings of each Qualified ECP Guarantor under this Section shall remain in full force and effect until the Obligations have been indefeasibly paid and performed in full. Each Qualified ECP Guarantor intends this Section to constitute, and this Section shall be deemed to constitute, a guarantee of the obligations of, and a “keepwell, support, or other agreement” for the benefit of, each Specified Credit Party for all purposes of the Commodity Exchange Act.</w:t>
      </w:r>
    </w:p>
    <w:p>
      <w:pPr>
        <w:spacing w:after="0" w:line="196" w:lineRule="exact"/>
        <w:rPr>
          <w:sz w:val="20"/>
          <w:szCs w:val="20"/>
          <w:color w:val="auto"/>
        </w:rPr>
      </w:pPr>
    </w:p>
    <w:p>
      <w:pPr>
        <w:ind w:left="652"/>
        <w:spacing w:after="0"/>
        <w:rPr>
          <w:sz w:val="20"/>
          <w:szCs w:val="20"/>
          <w:color w:val="auto"/>
        </w:rPr>
      </w:pPr>
      <w:r>
        <w:rPr>
          <w:rFonts w:ascii="Arial" w:cs="Arial" w:eastAsia="Arial" w:hAnsi="Arial"/>
          <w:sz w:val="20"/>
          <w:szCs w:val="20"/>
          <w:u w:val="single" w:color="auto"/>
          <w:color w:val="auto"/>
        </w:rPr>
        <w:t>14.14 Executive Proceedings</w:t>
      </w:r>
    </w:p>
    <w:p>
      <w:pPr>
        <w:ind w:left="652"/>
        <w:spacing w:after="0" w:line="227" w:lineRule="auto"/>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jc w:val="both"/>
        <w:ind w:left="1292" w:firstLine="4"/>
        <w:spacing w:after="0" w:line="218" w:lineRule="auto"/>
        <w:tabs>
          <w:tab w:leader="none" w:pos="1568" w:val="left"/>
        </w:tabs>
        <w:numPr>
          <w:ilvl w:val="0"/>
          <w:numId w:val="304"/>
        </w:numPr>
        <w:rPr>
          <w:rFonts w:ascii="Arial" w:cs="Arial" w:eastAsia="Arial" w:hAnsi="Arial"/>
          <w:sz w:val="20"/>
          <w:szCs w:val="20"/>
          <w:color w:val="auto"/>
        </w:rPr>
      </w:pPr>
      <w:r>
        <w:rPr>
          <w:rFonts w:ascii="Arial" w:cs="Arial" w:eastAsia="Arial" w:hAnsi="Arial"/>
          <w:sz w:val="20"/>
          <w:szCs w:val="20"/>
          <w:color w:val="auto"/>
        </w:rPr>
        <w:t>This Agreement and any other Loan Documents which a Spanish Obligor is a guarantor or provider of security to, at the discretion of the Collateral Agent, as well as any amendments hereto or thereto, shall be formalised in a Spanish Public Document, so that it may have the status of a notarial document of loan for all purposes contemplated in Article 517, number 4 of the Spanish Civil Procedural Law (Law 1/2000 of 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January) (“</w:t>
      </w:r>
      <w:r>
        <w:rPr>
          <w:rFonts w:ascii="Arial" w:cs="Arial" w:eastAsia="Arial" w:hAnsi="Arial"/>
          <w:sz w:val="20"/>
          <w:szCs w:val="20"/>
          <w:i w:val="1"/>
          <w:iCs w:val="1"/>
          <w:color w:val="auto"/>
        </w:rPr>
        <w:t>Ley de Ejuiciamiento Civil</w:t>
      </w:r>
      <w:r>
        <w:rPr>
          <w:rFonts w:ascii="Arial" w:cs="Arial" w:eastAsia="Arial" w:hAnsi="Arial"/>
          <w:sz w:val="20"/>
          <w:szCs w:val="20"/>
          <w:color w:val="auto"/>
        </w:rPr>
        <w:t>”) (the “</w:t>
      </w:r>
      <w:r>
        <w:rPr>
          <w:rFonts w:ascii="Arial" w:cs="Arial" w:eastAsia="Arial" w:hAnsi="Arial"/>
          <w:sz w:val="20"/>
          <w:szCs w:val="20"/>
          <w:u w:val="single" w:color="auto"/>
          <w:color w:val="auto"/>
        </w:rPr>
        <w:t>Civil Procedural</w:t>
      </w:r>
      <w:r>
        <w:rPr>
          <w:rFonts w:ascii="Arial" w:cs="Arial" w:eastAsia="Arial" w:hAnsi="Arial"/>
          <w:sz w:val="20"/>
          <w:szCs w:val="20"/>
          <w:color w:val="auto"/>
        </w:rPr>
        <w:t xml:space="preserve"> </w:t>
      </w:r>
      <w:r>
        <w:rPr>
          <w:rFonts w:ascii="Arial" w:cs="Arial" w:eastAsia="Arial" w:hAnsi="Arial"/>
          <w:sz w:val="20"/>
          <w:szCs w:val="20"/>
          <w:u w:val="single" w:color="auto"/>
          <w:color w:val="auto"/>
        </w:rPr>
        <w:t>Law</w:t>
      </w:r>
      <w:r>
        <w:rPr>
          <w:rFonts w:ascii="Arial" w:cs="Arial" w:eastAsia="Arial" w:hAnsi="Arial"/>
          <w:sz w:val="20"/>
          <w:szCs w:val="20"/>
          <w:color w:val="auto"/>
        </w:rPr>
        <w:t>”).</w:t>
      </w:r>
    </w:p>
    <w:p>
      <w:pPr>
        <w:sectPr>
          <w:pgSz w:w="11900" w:h="16838" w:orient="portrait"/>
          <w:cols w:equalWidth="0" w:num="1">
            <w:col w:w="11232"/>
          </w:cols>
          <w:pgMar w:left="328" w:top="1419" w:right="339" w:bottom="1440" w:gutter="0" w:footer="0" w:header="0"/>
        </w:sectPr>
      </w:pPr>
    </w:p>
    <w:bookmarkStart w:id="341" w:name="page342"/>
    <w:bookmarkEnd w:id="341"/>
    <w:p>
      <w:pPr>
        <w:jc w:val="both"/>
        <w:ind w:left="644" w:firstLine="4"/>
        <w:spacing w:after="0" w:line="248" w:lineRule="auto"/>
        <w:tabs>
          <w:tab w:leader="none" w:pos="944" w:val="left"/>
        </w:tabs>
        <w:numPr>
          <w:ilvl w:val="0"/>
          <w:numId w:val="305"/>
        </w:numPr>
        <w:rPr>
          <w:rFonts w:ascii="Arial" w:cs="Arial" w:eastAsia="Arial" w:hAnsi="Arial"/>
          <w:sz w:val="19"/>
          <w:szCs w:val="19"/>
          <w:color w:val="auto"/>
        </w:rPr>
      </w:pPr>
      <w:r>
        <w:rPr>
          <w:rFonts w:ascii="Arial" w:cs="Arial" w:eastAsia="Arial" w:hAnsi="Arial"/>
          <w:sz w:val="19"/>
          <w:szCs w:val="19"/>
          <w:color w:val="auto"/>
        </w:rPr>
        <w:t xml:space="preserve">Upon enforcement, the sum payable by any Spanish Obligor shall be the total aggregate amount of the balance of the accounts maintained by the Administrative Agent (or the relevant Lender, as the case may be). For the purposes of Articles 517 </w:t>
      </w:r>
      <w:r>
        <w:rPr>
          <w:rFonts w:ascii="Arial" w:cs="Arial" w:eastAsia="Arial" w:hAnsi="Arial"/>
          <w:sz w:val="19"/>
          <w:szCs w:val="19"/>
          <w:u w:val="single" w:color="auto"/>
          <w:color w:val="auto"/>
        </w:rPr>
        <w:t>et seq</w:t>
      </w:r>
      <w:r>
        <w:rPr>
          <w:rFonts w:ascii="Arial" w:cs="Arial" w:eastAsia="Arial" w:hAnsi="Arial"/>
          <w:sz w:val="19"/>
          <w:szCs w:val="19"/>
          <w:color w:val="auto"/>
        </w:rPr>
        <w:t>. of the Civil Procedural Law, the Credit Parties expressly agree that such balances shall be considered as due, liquid and payable and may be claimed pursuant to the same provisions of such law.</w:t>
      </w:r>
    </w:p>
    <w:p>
      <w:pPr>
        <w:spacing w:after="0" w:line="204" w:lineRule="exact"/>
        <w:rPr>
          <w:sz w:val="20"/>
          <w:szCs w:val="20"/>
          <w:color w:val="auto"/>
        </w:rPr>
      </w:pPr>
    </w:p>
    <w:p>
      <w:pPr>
        <w:jc w:val="both"/>
        <w:ind w:left="644"/>
        <w:spacing w:after="0" w:line="246" w:lineRule="auto"/>
        <w:rPr>
          <w:sz w:val="20"/>
          <w:szCs w:val="20"/>
          <w:color w:val="auto"/>
        </w:rPr>
      </w:pPr>
      <w:r>
        <w:rPr>
          <w:rFonts w:ascii="Arial" w:cs="Arial" w:eastAsia="Arial" w:hAnsi="Arial"/>
          <w:sz w:val="19"/>
          <w:szCs w:val="19"/>
          <w:color w:val="auto"/>
        </w:rPr>
        <w:t xml:space="preserve">(c)For the purpose of the provisions of Art, 571, </w:t>
      </w:r>
      <w:r>
        <w:rPr>
          <w:rFonts w:ascii="Arial" w:cs="Arial" w:eastAsia="Arial" w:hAnsi="Arial"/>
          <w:sz w:val="19"/>
          <w:szCs w:val="19"/>
          <w:u w:val="single" w:color="auto"/>
          <w:color w:val="auto"/>
        </w:rPr>
        <w:t>et seq</w:t>
      </w:r>
      <w:r>
        <w:rPr>
          <w:rFonts w:ascii="Arial" w:cs="Arial" w:eastAsia="Arial" w:hAnsi="Arial"/>
          <w:sz w:val="19"/>
          <w:szCs w:val="19"/>
          <w:color w:val="auto"/>
        </w:rPr>
        <w:t>. of the Civil Procedural Law, it is expressly agreed by the Credit Parties that the determination of the debt to be claimed through the executive proceedings shall be effected by the Administrative Agent (or the relevant Lender, as the case may be) by means of the appropriate certificate evidencing the balances shown in the relevant account(s) referred to in paragraph (b) above. By virtue of the foregoing, to exercise executive action by the Collateral Agent or any of the Lenders it will be sufficient to present:</w:t>
      </w:r>
    </w:p>
    <w:p>
      <w:pPr>
        <w:spacing w:after="0" w:line="203" w:lineRule="exact"/>
        <w:rPr>
          <w:sz w:val="20"/>
          <w:szCs w:val="20"/>
          <w:color w:val="auto"/>
        </w:rPr>
      </w:pPr>
    </w:p>
    <w:p>
      <w:pPr>
        <w:ind w:left="1524" w:hanging="228"/>
        <w:spacing w:after="0"/>
        <w:tabs>
          <w:tab w:leader="none" w:pos="1524" w:val="left"/>
        </w:tabs>
        <w:numPr>
          <w:ilvl w:val="1"/>
          <w:numId w:val="306"/>
        </w:numPr>
        <w:rPr>
          <w:rFonts w:ascii="Arial" w:cs="Arial" w:eastAsia="Arial" w:hAnsi="Arial"/>
          <w:sz w:val="20"/>
          <w:szCs w:val="20"/>
          <w:color w:val="auto"/>
        </w:rPr>
      </w:pPr>
      <w:r>
        <w:rPr>
          <w:rFonts w:ascii="Arial" w:cs="Arial" w:eastAsia="Arial" w:hAnsi="Arial"/>
          <w:sz w:val="20"/>
          <w:szCs w:val="20"/>
          <w:color w:val="auto"/>
        </w:rPr>
        <w:t>an original notarial first or authentic copy of this Agreement;</w:t>
      </w:r>
    </w:p>
    <w:p>
      <w:pPr>
        <w:spacing w:after="0" w:line="229" w:lineRule="exact"/>
        <w:rPr>
          <w:rFonts w:ascii="Arial" w:cs="Arial" w:eastAsia="Arial" w:hAnsi="Arial"/>
          <w:sz w:val="20"/>
          <w:szCs w:val="20"/>
          <w:color w:val="auto"/>
        </w:rPr>
      </w:pPr>
    </w:p>
    <w:p>
      <w:pPr>
        <w:ind w:left="1584" w:hanging="288"/>
        <w:spacing w:after="0"/>
        <w:tabs>
          <w:tab w:leader="none" w:pos="1584" w:val="left"/>
        </w:tabs>
        <w:numPr>
          <w:ilvl w:val="1"/>
          <w:numId w:val="306"/>
        </w:numPr>
        <w:rPr>
          <w:rFonts w:ascii="Arial" w:cs="Arial" w:eastAsia="Arial" w:hAnsi="Arial"/>
          <w:sz w:val="20"/>
          <w:szCs w:val="20"/>
          <w:color w:val="auto"/>
        </w:rPr>
      </w:pPr>
      <w:r>
        <w:rPr>
          <w:rFonts w:ascii="Arial" w:cs="Arial" w:eastAsia="Arial" w:hAnsi="Arial"/>
          <w:sz w:val="20"/>
          <w:szCs w:val="20"/>
          <w:color w:val="auto"/>
        </w:rPr>
        <w:t>a notarial certificate, if necessary, for the purposes described in paragraph (d) below;</w:t>
      </w:r>
    </w:p>
    <w:p>
      <w:pPr>
        <w:spacing w:after="0" w:line="229" w:lineRule="exact"/>
        <w:rPr>
          <w:rFonts w:ascii="Arial" w:cs="Arial" w:eastAsia="Arial" w:hAnsi="Arial"/>
          <w:sz w:val="20"/>
          <w:szCs w:val="20"/>
          <w:color w:val="auto"/>
        </w:rPr>
      </w:pPr>
    </w:p>
    <w:p>
      <w:pPr>
        <w:jc w:val="both"/>
        <w:ind w:left="1304" w:hanging="8"/>
        <w:spacing w:after="0" w:line="263" w:lineRule="auto"/>
        <w:tabs>
          <w:tab w:leader="none" w:pos="16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notarial document (</w:t>
      </w:r>
      <w:r>
        <w:rPr>
          <w:rFonts w:ascii="Arial" w:cs="Arial" w:eastAsia="Arial" w:hAnsi="Arial"/>
          <w:sz w:val="18"/>
          <w:szCs w:val="18"/>
          <w:i w:val="1"/>
          <w:iCs w:val="1"/>
          <w:color w:val="auto"/>
        </w:rPr>
        <w:t>acta notarial</w:t>
      </w:r>
      <w:r>
        <w:rPr>
          <w:rFonts w:ascii="Arial" w:cs="Arial" w:eastAsia="Arial" w:hAnsi="Arial"/>
          <w:sz w:val="18"/>
          <w:szCs w:val="18"/>
          <w:color w:val="auto"/>
        </w:rPr>
        <w:t>) which incorporates the certificate issued by the Administrative Agent (or the relevant Lender, as the case may be) of the amount due by the Spanish Obligor including an excerpt of the credits and debits (including the interest applied) which appear in the relevant account(s) referred to in paragraph (b) above, evidencing that the determination of the amounts due and payable by the Spanish Obligor have been calculated as agreed in this Agreement and that such amounts coincide with the balance of such accounts; and</w:t>
      </w:r>
    </w:p>
    <w:p>
      <w:pPr>
        <w:spacing w:after="0" w:line="188" w:lineRule="exact"/>
        <w:rPr>
          <w:rFonts w:ascii="Arial" w:cs="Arial" w:eastAsia="Arial" w:hAnsi="Arial"/>
          <w:sz w:val="18"/>
          <w:szCs w:val="18"/>
          <w:color w:val="auto"/>
        </w:rPr>
      </w:pPr>
    </w:p>
    <w:p>
      <w:pPr>
        <w:ind w:left="1624" w:hanging="328"/>
        <w:spacing w:after="0"/>
        <w:tabs>
          <w:tab w:leader="none" w:pos="1624" w:val="left"/>
        </w:tabs>
        <w:numPr>
          <w:ilvl w:val="1"/>
          <w:numId w:val="306"/>
        </w:numPr>
        <w:rPr>
          <w:rFonts w:ascii="Arial" w:cs="Arial" w:eastAsia="Arial" w:hAnsi="Arial"/>
          <w:sz w:val="20"/>
          <w:szCs w:val="20"/>
          <w:color w:val="auto"/>
        </w:rPr>
      </w:pPr>
      <w:r>
        <w:rPr>
          <w:rFonts w:ascii="Arial" w:cs="Arial" w:eastAsia="Arial" w:hAnsi="Arial"/>
          <w:sz w:val="20"/>
          <w:szCs w:val="20"/>
          <w:color w:val="auto"/>
        </w:rPr>
        <w:t>has been served notice of the amount that is due and payable.</w:t>
      </w:r>
    </w:p>
    <w:p>
      <w:pPr>
        <w:spacing w:after="0" w:line="229" w:lineRule="exact"/>
        <w:rPr>
          <w:rFonts w:ascii="Arial" w:cs="Arial" w:eastAsia="Arial" w:hAnsi="Arial"/>
          <w:sz w:val="20"/>
          <w:szCs w:val="20"/>
          <w:color w:val="auto"/>
        </w:rPr>
      </w:pPr>
    </w:p>
    <w:p>
      <w:pPr>
        <w:jc w:val="both"/>
        <w:ind w:left="-656" w:firstLine="656"/>
        <w:spacing w:after="0" w:line="237" w:lineRule="auto"/>
        <w:tabs>
          <w:tab w:leader="none" w:pos="296" w:val="left"/>
        </w:tabs>
        <w:numPr>
          <w:ilvl w:val="0"/>
          <w:numId w:val="307"/>
        </w:numPr>
        <w:rPr>
          <w:rFonts w:ascii="Arial" w:cs="Arial" w:eastAsia="Arial" w:hAnsi="Arial"/>
          <w:sz w:val="20"/>
          <w:szCs w:val="20"/>
          <w:color w:val="auto"/>
        </w:rPr>
      </w:pPr>
      <w:r>
        <w:rPr>
          <w:rFonts w:ascii="Arial" w:cs="Arial" w:eastAsia="Arial" w:hAnsi="Arial"/>
          <w:sz w:val="20"/>
          <w:szCs w:val="20"/>
          <w:color w:val="auto"/>
        </w:rPr>
        <w:t>Paragraph (c) above is also applicable to any Lender with regard to its Commitment. Such Lender may issue the appropriate certification of the balances of the relevant account(s) referred to in paragraph (b) above and the certification of the balances of such accounts may be legalised by a notary.</w:t>
      </w:r>
    </w:p>
    <w:p>
      <w:pPr>
        <w:spacing w:after="0" w:line="209" w:lineRule="exact"/>
        <w:rPr>
          <w:rFonts w:ascii="Arial" w:cs="Arial" w:eastAsia="Arial" w:hAnsi="Arial"/>
          <w:sz w:val="20"/>
          <w:szCs w:val="20"/>
          <w:color w:val="auto"/>
        </w:rPr>
      </w:pPr>
    </w:p>
    <w:p>
      <w:pPr>
        <w:ind w:left="-656" w:firstLine="656"/>
        <w:spacing w:after="0" w:line="246" w:lineRule="auto"/>
        <w:tabs>
          <w:tab w:leader="none" w:pos="269" w:val="left"/>
        </w:tabs>
        <w:numPr>
          <w:ilvl w:val="0"/>
          <w:numId w:val="307"/>
        </w:numPr>
        <w:rPr>
          <w:rFonts w:ascii="Arial" w:cs="Arial" w:eastAsia="Arial" w:hAnsi="Arial"/>
          <w:sz w:val="20"/>
          <w:szCs w:val="20"/>
          <w:color w:val="auto"/>
        </w:rPr>
      </w:pPr>
      <w:r>
        <w:rPr>
          <w:rFonts w:ascii="Arial" w:cs="Arial" w:eastAsia="Arial" w:hAnsi="Arial"/>
          <w:sz w:val="20"/>
          <w:szCs w:val="20"/>
          <w:color w:val="auto"/>
        </w:rPr>
        <w:t>The amount of the balances so established shall be notified to the Spanish Obligor in an attestable manner at least three (3) days in advance of exercising the executive action set out in paragraph (c) above.</w:t>
      </w:r>
    </w:p>
    <w:p>
      <w:pPr>
        <w:spacing w:after="0" w:line="203" w:lineRule="exact"/>
        <w:rPr>
          <w:rFonts w:ascii="Arial" w:cs="Arial" w:eastAsia="Arial" w:hAnsi="Arial"/>
          <w:sz w:val="20"/>
          <w:szCs w:val="20"/>
          <w:color w:val="auto"/>
        </w:rPr>
      </w:pPr>
    </w:p>
    <w:p>
      <w:pPr>
        <w:jc w:val="both"/>
        <w:ind w:left="-656" w:firstLine="656"/>
        <w:spacing w:after="0" w:line="232" w:lineRule="auto"/>
        <w:tabs>
          <w:tab w:leader="none" w:pos="281" w:val="left"/>
        </w:tabs>
        <w:numPr>
          <w:ilvl w:val="0"/>
          <w:numId w:val="307"/>
        </w:numPr>
        <w:rPr>
          <w:rFonts w:ascii="Arial" w:cs="Arial" w:eastAsia="Arial" w:hAnsi="Arial"/>
          <w:sz w:val="20"/>
          <w:szCs w:val="20"/>
          <w:color w:val="auto"/>
        </w:rPr>
      </w:pPr>
      <w:r>
        <w:rPr>
          <w:rFonts w:ascii="Arial" w:cs="Arial" w:eastAsia="Arial" w:hAnsi="Arial"/>
          <w:sz w:val="20"/>
          <w:szCs w:val="20"/>
          <w:color w:val="auto"/>
        </w:rPr>
        <w:t>The Spanish Obligor hereby expressly authorises the Administrative Agent and the Collateral Agent (and each Lender, as appropriate) to request and obtain certificates and documents issued by the notary who has formalised this Agreement in order to evidence its compliance with the entries of his registry-book and the relevant entry date for the purpose of number 4 of Article 517, of the Civil Procedural Law. The cost of such certificate and documents will be for the account of the Spanish Obligor in the manner provided under this Agreement.</w:t>
      </w:r>
    </w:p>
    <w:p>
      <w:pPr>
        <w:spacing w:after="0" w:line="211" w:lineRule="exact"/>
        <w:rPr>
          <w:sz w:val="20"/>
          <w:szCs w:val="20"/>
          <w:color w:val="auto"/>
        </w:rPr>
      </w:pPr>
    </w:p>
    <w:p>
      <w:pPr>
        <w:ind w:left="4"/>
        <w:spacing w:after="0" w:line="272" w:lineRule="auto"/>
        <w:rPr>
          <w:sz w:val="20"/>
          <w:szCs w:val="20"/>
          <w:color w:val="auto"/>
        </w:rPr>
      </w:pPr>
      <w:r>
        <w:rPr>
          <w:rFonts w:ascii="Arial" w:cs="Arial" w:eastAsia="Arial" w:hAnsi="Arial"/>
          <w:sz w:val="19"/>
          <w:szCs w:val="19"/>
          <w:u w:val="single" w:color="auto"/>
          <w:color w:val="auto"/>
        </w:rPr>
        <w:t>14.15 Spanish Public Document</w:t>
      </w:r>
      <w:r>
        <w:rPr>
          <w:rFonts w:ascii="Arial" w:cs="Arial" w:eastAsia="Arial" w:hAnsi="Arial"/>
          <w:sz w:val="19"/>
          <w:szCs w:val="19"/>
          <w:color w:val="auto"/>
        </w:rPr>
        <w:t>. Upon demand by the Administrative Agent or the Collateral Agents, each Spanish Obligor agrees to participate in the raising of this Agreement to the status of a Spanish Public Document (</w:t>
      </w:r>
      <w:r>
        <w:rPr>
          <w:rFonts w:ascii="Arial" w:cs="Arial" w:eastAsia="Arial" w:hAnsi="Arial"/>
          <w:sz w:val="19"/>
          <w:szCs w:val="19"/>
          <w:i w:val="1"/>
          <w:iCs w:val="1"/>
          <w:color w:val="auto"/>
        </w:rPr>
        <w:t>elevación a público</w:t>
      </w:r>
      <w:r>
        <w:rPr>
          <w:rFonts w:ascii="Arial" w:cs="Arial" w:eastAsia="Arial" w:hAnsi="Arial"/>
          <w:sz w:val="19"/>
          <w:szCs w:val="19"/>
          <w:color w:val="auto"/>
        </w:rPr>
        <w:t>).</w:t>
      </w:r>
    </w:p>
    <w:p>
      <w:pPr>
        <w:spacing w:after="0" w:line="180" w:lineRule="exact"/>
        <w:rPr>
          <w:sz w:val="20"/>
          <w:szCs w:val="20"/>
          <w:color w:val="auto"/>
        </w:rPr>
      </w:pPr>
    </w:p>
    <w:p>
      <w:pPr>
        <w:ind w:left="4"/>
        <w:spacing w:after="0" w:line="246" w:lineRule="auto"/>
        <w:rPr>
          <w:sz w:val="20"/>
          <w:szCs w:val="20"/>
          <w:color w:val="auto"/>
        </w:rPr>
      </w:pPr>
      <w:r>
        <w:rPr>
          <w:rFonts w:ascii="Arial" w:cs="Arial" w:eastAsia="Arial" w:hAnsi="Arial"/>
          <w:sz w:val="20"/>
          <w:szCs w:val="20"/>
          <w:u w:val="single" w:color="auto"/>
          <w:color w:val="auto"/>
        </w:rPr>
        <w:t>14.16 Guarantee of Each U.S. Borrower</w:t>
      </w:r>
      <w:r>
        <w:rPr>
          <w:rFonts w:ascii="Arial" w:cs="Arial" w:eastAsia="Arial" w:hAnsi="Arial"/>
          <w:sz w:val="20"/>
          <w:szCs w:val="20"/>
          <w:color w:val="auto"/>
        </w:rPr>
        <w:t>. In order to induce Administrative Agent, the Facing Agents and the Lenders to execute and deliver this Agreement and to make or maintain the Loans</w:t>
      </w:r>
    </w:p>
    <w:p>
      <w:pPr>
        <w:sectPr>
          <w:pgSz w:w="11900" w:h="16838" w:orient="portrait"/>
          <w:cols w:equalWidth="0" w:num="1">
            <w:col w:w="10584"/>
          </w:cols>
          <w:pgMar w:left="976" w:top="1419" w:right="339" w:bottom="1440" w:gutter="0" w:footer="0" w:header="0"/>
        </w:sectPr>
      </w:pPr>
    </w:p>
    <w:bookmarkStart w:id="342" w:name="page343"/>
    <w:bookmarkEnd w:id="342"/>
    <w:p>
      <w:pPr>
        <w:jc w:val="both"/>
        <w:ind w:left="660"/>
        <w:spacing w:after="0" w:line="229" w:lineRule="auto"/>
        <w:rPr>
          <w:sz w:val="20"/>
          <w:szCs w:val="20"/>
          <w:color w:val="auto"/>
        </w:rPr>
      </w:pPr>
      <w:r>
        <w:rPr>
          <w:rFonts w:ascii="Arial" w:cs="Arial" w:eastAsia="Arial" w:hAnsi="Arial"/>
          <w:sz w:val="20"/>
          <w:szCs w:val="20"/>
          <w:color w:val="auto"/>
        </w:rPr>
        <w:t xml:space="preserve">and to issue Letters of Credit hereunder, and in consideration thereof, each U.S. Borrower hereby, jointly and severally, unconditionally and irrevocably guarantees, as primary obligor and not merely as surety, to the Agents, for the ratable benefit of the Facing Agents and the Lenders, the prompt and complete payment and performance by each Borrower when due (whether at stated maturity, by acceleration or otherwise) of the Obligations and all Bank Related Debt (but not any Excluded Swap Obligations), and each U.S. Borrower further agrees to pay any and all reasonable expenses (including, without limitation, all reasonable fees, charges and disbursements of counsel) which may be paid or incurred by the Agents, the Facing Agents or any Lender in enforcing any of their rights under the guarantee contained in this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The guarantee contained in this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14.6</w:t>
      </w:r>
      <w:r>
        <w:rPr>
          <w:rFonts w:ascii="Arial" w:cs="Arial" w:eastAsia="Arial" w:hAnsi="Arial"/>
          <w:sz w:val="20"/>
          <w:szCs w:val="20"/>
          <w:color w:val="auto"/>
        </w:rPr>
        <w:t>, shall remain in full force and effect until all Letters of Credit have terminated, the Obligations are paid in full and the Commitments are terminated.</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Each U.S. Borrower agrees that whenever, at any time, or from time to time, it shall make any payment to any Agent, any Facing Agent or any Lender on account of its liability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it will notify such Agent, the applicable Facing Agent and such Lender in writing that such payment is made under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for such purpose. No payment or payments made by any Borrower or any other Person or received or collected by any Agent, any Facing Agent or any 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each U.S. Borrower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which, notwithstanding any such payment or payments, shall remain liable for the unpaid and outstanding Obligations until, subject to </w:t>
      </w:r>
      <w:r>
        <w:rPr>
          <w:rFonts w:ascii="Arial" w:cs="Arial" w:eastAsia="Arial" w:hAnsi="Arial"/>
          <w:sz w:val="18"/>
          <w:szCs w:val="18"/>
          <w:u w:val="single" w:color="auto"/>
          <w:color w:val="auto"/>
        </w:rPr>
        <w:t>Section 14.6</w:t>
      </w:r>
      <w:r>
        <w:rPr>
          <w:rFonts w:ascii="Arial" w:cs="Arial" w:eastAsia="Arial" w:hAnsi="Arial"/>
          <w:sz w:val="18"/>
          <w:szCs w:val="18"/>
          <w:color w:val="auto"/>
        </w:rPr>
        <w:t>, the Obligations are paid in full and the Commitments are terminated.</w:t>
      </w:r>
    </w:p>
    <w:p>
      <w:pPr>
        <w:sectPr>
          <w:pgSz w:w="11900" w:h="16838" w:orient="portrait"/>
          <w:cols w:equalWidth="0" w:num="1">
            <w:col w:w="11240"/>
          </w:cols>
          <w:pgMar w:left="320" w:top="1419" w:right="339" w:bottom="1440" w:gutter="0" w:footer="0" w:header="0"/>
        </w:sectPr>
      </w:pPr>
    </w:p>
    <w:bookmarkStart w:id="343" w:name="page344"/>
    <w:bookmarkEnd w:id="343"/>
    <w:p>
      <w:pPr>
        <w:jc w:val="center"/>
        <w:ind w:right="19"/>
        <w:spacing w:after="0"/>
        <w:rPr>
          <w:sz w:val="20"/>
          <w:szCs w:val="20"/>
          <w:color w:val="auto"/>
        </w:rPr>
      </w:pPr>
      <w:r>
        <w:rPr>
          <w:rFonts w:ascii="Arial" w:cs="Arial" w:eastAsia="Arial" w:hAnsi="Arial"/>
          <w:sz w:val="16"/>
          <w:szCs w:val="16"/>
          <w:b w:val="1"/>
          <w:bCs w:val="1"/>
          <w:color w:val="auto"/>
        </w:rPr>
        <w:t>[signature pages follow]</w:t>
      </w:r>
    </w:p>
    <w:p>
      <w:pPr>
        <w:sectPr>
          <w:pgSz w:w="11900" w:h="16838" w:orient="portrait"/>
          <w:cols w:equalWidth="0" w:num="1">
            <w:col w:w="9019"/>
          </w:cols>
          <w:pgMar w:left="1440" w:top="1413" w:right="1440" w:bottom="1440" w:gutter="0" w:footer="0" w:header="0"/>
        </w:sectPr>
      </w:pPr>
    </w:p>
    <w:bookmarkStart w:id="344" w:name="page345"/>
    <w:bookmarkEnd w:id="344"/>
    <w:p>
      <w:pPr>
        <w:ind w:firstLine="648"/>
        <w:spacing w:after="0" w:line="233"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officers thereunto duly authorized, as of the date first above written.</w:t>
      </w:r>
    </w:p>
    <w:p>
      <w:pPr>
        <w:ind w:left="3900"/>
        <w:spacing w:after="0" w:line="226" w:lineRule="auto"/>
        <w:rPr>
          <w:sz w:val="20"/>
          <w:szCs w:val="20"/>
          <w:color w:val="auto"/>
        </w:rPr>
      </w:pPr>
      <w:r>
        <w:rPr>
          <w:rFonts w:ascii="Arial" w:cs="Arial" w:eastAsia="Arial" w:hAnsi="Arial"/>
          <w:sz w:val="20"/>
          <w:szCs w:val="20"/>
          <w:b w:val="1"/>
          <w:bCs w:val="1"/>
          <w:color w:val="auto"/>
        </w:rPr>
        <w:t>CROWN AMERICAS LLC</w:t>
      </w:r>
    </w:p>
    <w:p>
      <w:pPr>
        <w:ind w:left="3900"/>
        <w:spacing w:after="0" w:line="226" w:lineRule="auto"/>
        <w:rPr>
          <w:sz w:val="20"/>
          <w:szCs w:val="20"/>
          <w:color w:val="auto"/>
        </w:rPr>
      </w:pPr>
      <w:r>
        <w:rPr>
          <w:rFonts w:ascii="Arial" w:cs="Arial" w:eastAsia="Arial" w:hAnsi="Arial"/>
          <w:sz w:val="20"/>
          <w:szCs w:val="20"/>
          <w:color w:val="auto"/>
        </w:rPr>
        <w:t>By:</w:t>
      </w:r>
    </w:p>
    <w:p>
      <w:pPr>
        <w:ind w:left="3900"/>
        <w:spacing w:after="0" w:line="225" w:lineRule="auto"/>
        <w:rPr>
          <w:sz w:val="20"/>
          <w:szCs w:val="20"/>
          <w:color w:val="auto"/>
        </w:rPr>
      </w:pPr>
      <w:r>
        <w:rPr>
          <w:rFonts w:ascii="Arial" w:cs="Arial" w:eastAsia="Arial" w:hAnsi="Arial"/>
          <w:sz w:val="20"/>
          <w:szCs w:val="20"/>
          <w:color w:val="auto"/>
        </w:rPr>
        <w:t>Name:</w:t>
      </w:r>
    </w:p>
    <w:p>
      <w:pPr>
        <w:ind w:left="3900"/>
        <w:spacing w:after="0" w:line="226" w:lineRule="auto"/>
        <w:rPr>
          <w:sz w:val="20"/>
          <w:szCs w:val="20"/>
          <w:color w:val="auto"/>
        </w:rPr>
      </w:pPr>
      <w:r>
        <w:rPr>
          <w:rFonts w:ascii="Arial" w:cs="Arial" w:eastAsia="Arial" w:hAnsi="Arial"/>
          <w:sz w:val="20"/>
          <w:szCs w:val="20"/>
          <w:color w:val="auto"/>
        </w:rPr>
        <w:t>Title:</w:t>
      </w:r>
    </w:p>
    <w:p>
      <w:pPr>
        <w:ind w:left="3900"/>
        <w:spacing w:after="0" w:line="225" w:lineRule="auto"/>
        <w:rPr>
          <w:sz w:val="20"/>
          <w:szCs w:val="20"/>
          <w:color w:val="auto"/>
        </w:rPr>
      </w:pPr>
      <w:r>
        <w:rPr>
          <w:rFonts w:ascii="Arial" w:cs="Arial" w:eastAsia="Arial" w:hAnsi="Arial"/>
          <w:sz w:val="20"/>
          <w:szCs w:val="20"/>
          <w:b w:val="1"/>
          <w:bCs w:val="1"/>
          <w:color w:val="auto"/>
        </w:rPr>
        <w:t>CROWN EUROPEAN HOLDINGS S.A.</w:t>
      </w:r>
    </w:p>
    <w:p>
      <w:pPr>
        <w:ind w:left="3900"/>
        <w:spacing w:after="0" w:line="226" w:lineRule="auto"/>
        <w:rPr>
          <w:sz w:val="20"/>
          <w:szCs w:val="20"/>
          <w:color w:val="auto"/>
        </w:rPr>
      </w:pPr>
      <w:r>
        <w:rPr>
          <w:rFonts w:ascii="Arial" w:cs="Arial" w:eastAsia="Arial" w:hAnsi="Arial"/>
          <w:sz w:val="20"/>
          <w:szCs w:val="20"/>
          <w:color w:val="auto"/>
        </w:rPr>
        <w:t>By:</w:t>
      </w:r>
    </w:p>
    <w:p>
      <w:pPr>
        <w:ind w:left="3900"/>
        <w:spacing w:after="0" w:line="225" w:lineRule="auto"/>
        <w:rPr>
          <w:sz w:val="20"/>
          <w:szCs w:val="20"/>
          <w:color w:val="auto"/>
        </w:rPr>
      </w:pPr>
      <w:r>
        <w:rPr>
          <w:rFonts w:ascii="Arial" w:cs="Arial" w:eastAsia="Arial" w:hAnsi="Arial"/>
          <w:sz w:val="20"/>
          <w:szCs w:val="20"/>
          <w:color w:val="auto"/>
        </w:rPr>
        <w:t>Name:</w:t>
      </w:r>
    </w:p>
    <w:p>
      <w:pPr>
        <w:ind w:left="3900"/>
        <w:spacing w:after="0" w:line="225" w:lineRule="auto"/>
        <w:rPr>
          <w:sz w:val="20"/>
          <w:szCs w:val="20"/>
          <w:color w:val="auto"/>
        </w:rPr>
      </w:pPr>
      <w:r>
        <w:rPr>
          <w:rFonts w:ascii="Arial" w:cs="Arial" w:eastAsia="Arial" w:hAnsi="Arial"/>
          <w:sz w:val="20"/>
          <w:szCs w:val="20"/>
          <w:color w:val="auto"/>
        </w:rPr>
        <w:t>Title:</w:t>
      </w:r>
    </w:p>
    <w:p>
      <w:pPr>
        <w:ind w:left="3900"/>
        <w:spacing w:after="0" w:line="226" w:lineRule="auto"/>
        <w:rPr>
          <w:sz w:val="20"/>
          <w:szCs w:val="20"/>
          <w:color w:val="auto"/>
        </w:rPr>
      </w:pPr>
      <w:r>
        <w:rPr>
          <w:rFonts w:ascii="Arial" w:cs="Arial" w:eastAsia="Arial" w:hAnsi="Arial"/>
          <w:sz w:val="20"/>
          <w:szCs w:val="20"/>
          <w:b w:val="1"/>
          <w:bCs w:val="1"/>
          <w:color w:val="auto"/>
        </w:rPr>
        <w:t>CROWN HOLDINGS, INC.</w:t>
      </w:r>
    </w:p>
    <w:p>
      <w:pPr>
        <w:ind w:left="3900"/>
        <w:spacing w:after="0" w:line="225" w:lineRule="auto"/>
        <w:rPr>
          <w:sz w:val="20"/>
          <w:szCs w:val="20"/>
          <w:color w:val="auto"/>
        </w:rPr>
      </w:pPr>
      <w:r>
        <w:rPr>
          <w:rFonts w:ascii="Arial" w:cs="Arial" w:eastAsia="Arial" w:hAnsi="Arial"/>
          <w:sz w:val="20"/>
          <w:szCs w:val="20"/>
          <w:color w:val="auto"/>
        </w:rPr>
        <w:t>By:</w:t>
      </w:r>
    </w:p>
    <w:p>
      <w:pPr>
        <w:ind w:left="3900"/>
        <w:spacing w:after="0" w:line="226" w:lineRule="auto"/>
        <w:rPr>
          <w:sz w:val="20"/>
          <w:szCs w:val="20"/>
          <w:color w:val="auto"/>
        </w:rPr>
      </w:pPr>
      <w:r>
        <w:rPr>
          <w:rFonts w:ascii="Arial" w:cs="Arial" w:eastAsia="Arial" w:hAnsi="Arial"/>
          <w:sz w:val="20"/>
          <w:szCs w:val="20"/>
          <w:color w:val="auto"/>
        </w:rPr>
        <w:t>Name:</w:t>
      </w:r>
    </w:p>
    <w:p>
      <w:pPr>
        <w:ind w:left="3900"/>
        <w:spacing w:after="0" w:line="225" w:lineRule="auto"/>
        <w:rPr>
          <w:sz w:val="20"/>
          <w:szCs w:val="20"/>
          <w:color w:val="auto"/>
        </w:rPr>
      </w:pPr>
      <w:r>
        <w:rPr>
          <w:rFonts w:ascii="Arial" w:cs="Arial" w:eastAsia="Arial" w:hAnsi="Arial"/>
          <w:sz w:val="20"/>
          <w:szCs w:val="20"/>
          <w:color w:val="auto"/>
        </w:rPr>
        <w:t>Title:</w:t>
      </w:r>
    </w:p>
    <w:p>
      <w:pPr>
        <w:ind w:left="3900"/>
        <w:spacing w:after="0" w:line="225" w:lineRule="auto"/>
        <w:rPr>
          <w:sz w:val="20"/>
          <w:szCs w:val="20"/>
          <w:color w:val="auto"/>
        </w:rPr>
      </w:pPr>
      <w:r>
        <w:rPr>
          <w:rFonts w:ascii="Arial" w:cs="Arial" w:eastAsia="Arial" w:hAnsi="Arial"/>
          <w:sz w:val="20"/>
          <w:szCs w:val="20"/>
          <w:b w:val="1"/>
          <w:bCs w:val="1"/>
          <w:color w:val="auto"/>
        </w:rPr>
        <w:t>CROWN INTERNATIONAL HOLDINGS, INC.</w:t>
      </w:r>
    </w:p>
    <w:p>
      <w:pPr>
        <w:ind w:left="3900"/>
        <w:spacing w:after="0" w:line="226" w:lineRule="auto"/>
        <w:rPr>
          <w:sz w:val="20"/>
          <w:szCs w:val="20"/>
          <w:color w:val="auto"/>
        </w:rPr>
      </w:pPr>
      <w:r>
        <w:rPr>
          <w:rFonts w:ascii="Arial" w:cs="Arial" w:eastAsia="Arial" w:hAnsi="Arial"/>
          <w:sz w:val="20"/>
          <w:szCs w:val="20"/>
          <w:color w:val="auto"/>
        </w:rPr>
        <w:t>By:</w:t>
      </w:r>
    </w:p>
    <w:p>
      <w:pPr>
        <w:ind w:left="3900"/>
        <w:spacing w:after="0" w:line="225" w:lineRule="auto"/>
        <w:rPr>
          <w:sz w:val="20"/>
          <w:szCs w:val="20"/>
          <w:color w:val="auto"/>
        </w:rPr>
      </w:pPr>
      <w:r>
        <w:rPr>
          <w:rFonts w:ascii="Arial" w:cs="Arial" w:eastAsia="Arial" w:hAnsi="Arial"/>
          <w:sz w:val="20"/>
          <w:szCs w:val="20"/>
          <w:color w:val="auto"/>
        </w:rPr>
        <w:t>Name:</w:t>
      </w:r>
    </w:p>
    <w:p>
      <w:pPr>
        <w:ind w:left="3900"/>
        <w:spacing w:after="0" w:line="226" w:lineRule="auto"/>
        <w:rPr>
          <w:sz w:val="20"/>
          <w:szCs w:val="20"/>
          <w:color w:val="auto"/>
        </w:rPr>
      </w:pPr>
      <w:r>
        <w:rPr>
          <w:rFonts w:ascii="Arial" w:cs="Arial" w:eastAsia="Arial" w:hAnsi="Arial"/>
          <w:sz w:val="20"/>
          <w:szCs w:val="20"/>
          <w:color w:val="auto"/>
        </w:rPr>
        <w:t>Title:</w:t>
      </w:r>
    </w:p>
    <w:p>
      <w:pPr>
        <w:ind w:left="3900"/>
        <w:spacing w:after="0" w:line="225" w:lineRule="auto"/>
        <w:rPr>
          <w:sz w:val="20"/>
          <w:szCs w:val="20"/>
          <w:color w:val="auto"/>
        </w:rPr>
      </w:pPr>
      <w:r>
        <w:rPr>
          <w:rFonts w:ascii="Arial" w:cs="Arial" w:eastAsia="Arial" w:hAnsi="Arial"/>
          <w:sz w:val="20"/>
          <w:szCs w:val="20"/>
          <w:b w:val="1"/>
          <w:bCs w:val="1"/>
          <w:color w:val="auto"/>
        </w:rPr>
        <w:t>CROWN CORK &amp; SEAL COMPANY, INC.</w:t>
      </w:r>
    </w:p>
    <w:p>
      <w:pPr>
        <w:ind w:left="3900"/>
        <w:spacing w:after="0" w:line="225" w:lineRule="auto"/>
        <w:rPr>
          <w:sz w:val="20"/>
          <w:szCs w:val="20"/>
          <w:color w:val="auto"/>
        </w:rPr>
      </w:pPr>
      <w:r>
        <w:rPr>
          <w:rFonts w:ascii="Arial" w:cs="Arial" w:eastAsia="Arial" w:hAnsi="Arial"/>
          <w:sz w:val="20"/>
          <w:szCs w:val="20"/>
          <w:color w:val="auto"/>
        </w:rPr>
        <w:t>By:</w:t>
      </w:r>
    </w:p>
    <w:p>
      <w:pPr>
        <w:ind w:left="3900"/>
        <w:spacing w:after="0" w:line="226" w:lineRule="auto"/>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240"/>
          </w:cols>
          <w:pgMar w:left="320" w:top="1419" w:right="339" w:bottom="1440" w:gutter="0" w:footer="0" w:header="0"/>
        </w:sectPr>
      </w:pPr>
    </w:p>
    <w:bookmarkStart w:id="345" w:name="page346"/>
    <w:bookmarkEnd w:id="345"/>
    <w:p>
      <w:pPr>
        <w:ind w:left="2780"/>
        <w:spacing w:after="0"/>
        <w:rPr>
          <w:sz w:val="20"/>
          <w:szCs w:val="20"/>
          <w:color w:val="auto"/>
        </w:rPr>
      </w:pPr>
      <w:r>
        <w:rPr>
          <w:rFonts w:ascii="Arial" w:cs="Arial" w:eastAsia="Arial" w:hAnsi="Arial"/>
          <w:sz w:val="19"/>
          <w:szCs w:val="19"/>
          <w:b w:val="1"/>
          <w:bCs w:val="1"/>
          <w:color w:val="auto"/>
        </w:rPr>
        <w:t xml:space="preserve">CROWN METAL PACKAGING CANADA LP </w:t>
      </w:r>
      <w:r>
        <w:rPr>
          <w:rFonts w:ascii="Arial" w:cs="Arial" w:eastAsia="Arial" w:hAnsi="Arial"/>
          <w:sz w:val="19"/>
          <w:szCs w:val="19"/>
          <w:color w:val="auto"/>
        </w:rPr>
        <w:t>by its</w:t>
      </w:r>
    </w:p>
    <w:p>
      <w:pPr>
        <w:spacing w:after="0" w:line="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general partner, </w:t>
      </w:r>
      <w:r>
        <w:rPr>
          <w:rFonts w:ascii="Arial" w:cs="Arial" w:eastAsia="Arial" w:hAnsi="Arial"/>
          <w:sz w:val="20"/>
          <w:szCs w:val="20"/>
          <w:b w:val="1"/>
          <w:bCs w:val="1"/>
          <w:color w:val="auto"/>
        </w:rPr>
        <w:t>CROWN METAL PACKAGING</w:t>
      </w:r>
    </w:p>
    <w:p>
      <w:pPr>
        <w:ind w:left="2780"/>
        <w:spacing w:after="0" w:line="225" w:lineRule="auto"/>
        <w:rPr>
          <w:sz w:val="20"/>
          <w:szCs w:val="20"/>
          <w:color w:val="auto"/>
        </w:rPr>
      </w:pPr>
      <w:r>
        <w:rPr>
          <w:rFonts w:ascii="Arial" w:cs="Arial" w:eastAsia="Arial" w:hAnsi="Arial"/>
          <w:sz w:val="20"/>
          <w:szCs w:val="20"/>
          <w:b w:val="1"/>
          <w:bCs w:val="1"/>
          <w:color w:val="auto"/>
        </w:rPr>
        <w:t>CANADA INC.</w:t>
      </w:r>
    </w:p>
    <w:p>
      <w:pPr>
        <w:ind w:left="2780"/>
        <w:spacing w:after="0" w:line="225" w:lineRule="auto"/>
        <w:rPr>
          <w:sz w:val="20"/>
          <w:szCs w:val="20"/>
          <w:color w:val="auto"/>
        </w:rPr>
      </w:pPr>
      <w:r>
        <w:rPr>
          <w:rFonts w:ascii="Arial" w:cs="Arial" w:eastAsia="Arial" w:hAnsi="Arial"/>
          <w:sz w:val="20"/>
          <w:szCs w:val="20"/>
          <w:color w:val="auto"/>
        </w:rPr>
        <w:t>By:</w:t>
      </w:r>
    </w:p>
    <w:p>
      <w:pPr>
        <w:ind w:left="2780"/>
        <w:spacing w:after="0" w:line="226" w:lineRule="auto"/>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019"/>
          </w:cols>
          <w:pgMar w:left="1440" w:top="1413" w:right="1440" w:bottom="1440" w:gutter="0" w:footer="0" w:header="0"/>
        </w:sectPr>
      </w:pPr>
    </w:p>
    <w:bookmarkStart w:id="346" w:name="page347"/>
    <w:bookmarkEnd w:id="346"/>
    <w:p>
      <w:pPr>
        <w:ind w:left="2780"/>
        <w:spacing w:after="0"/>
        <w:rPr>
          <w:sz w:val="20"/>
          <w:szCs w:val="20"/>
          <w:color w:val="auto"/>
        </w:rPr>
      </w:pPr>
      <w:r>
        <w:rPr>
          <w:rFonts w:ascii="Arial" w:cs="Arial" w:eastAsia="Arial" w:hAnsi="Arial"/>
          <w:sz w:val="20"/>
          <w:szCs w:val="20"/>
          <w:b w:val="1"/>
          <w:bCs w:val="1"/>
          <w:color w:val="auto"/>
        </w:rPr>
        <w:t>CROWN UK HOLDINGS LIMITED</w:t>
      </w:r>
    </w:p>
    <w:p>
      <w:pPr>
        <w:ind w:left="2780"/>
        <w:spacing w:after="0" w:line="233" w:lineRule="auto"/>
        <w:rPr>
          <w:sz w:val="20"/>
          <w:szCs w:val="20"/>
          <w:color w:val="auto"/>
        </w:rPr>
      </w:pPr>
      <w:r>
        <w:rPr>
          <w:rFonts w:ascii="Arial" w:cs="Arial" w:eastAsia="Arial" w:hAnsi="Arial"/>
          <w:sz w:val="20"/>
          <w:szCs w:val="20"/>
          <w:color w:val="auto"/>
        </w:rPr>
        <w:t>By:</w:t>
      </w:r>
    </w:p>
    <w:p>
      <w:pPr>
        <w:ind w:left="2780"/>
        <w:spacing w:after="0" w:line="226" w:lineRule="auto"/>
        <w:rPr>
          <w:sz w:val="20"/>
          <w:szCs w:val="20"/>
          <w:color w:val="auto"/>
        </w:rPr>
      </w:pPr>
      <w:r>
        <w:rPr>
          <w:rFonts w:ascii="Arial" w:cs="Arial" w:eastAsia="Arial" w:hAnsi="Arial"/>
          <w:sz w:val="20"/>
          <w:szCs w:val="20"/>
          <w:color w:val="auto"/>
        </w:rPr>
        <w:t>Name:</w:t>
      </w:r>
    </w:p>
    <w:p>
      <w:pPr>
        <w:ind w:left="2780"/>
        <w:spacing w:after="0" w:line="225" w:lineRule="auto"/>
        <w:rPr>
          <w:sz w:val="20"/>
          <w:szCs w:val="20"/>
          <w:color w:val="auto"/>
        </w:rPr>
      </w:pPr>
      <w:r>
        <w:rPr>
          <w:rFonts w:ascii="Arial" w:cs="Arial" w:eastAsia="Arial" w:hAnsi="Arial"/>
          <w:sz w:val="20"/>
          <w:szCs w:val="20"/>
          <w:color w:val="auto"/>
        </w:rPr>
        <w:t>Title:</w:t>
      </w:r>
    </w:p>
    <w:p>
      <w:pPr>
        <w:ind w:left="2780"/>
        <w:spacing w:after="0" w:line="226" w:lineRule="auto"/>
        <w:rPr>
          <w:sz w:val="20"/>
          <w:szCs w:val="20"/>
          <w:color w:val="auto"/>
        </w:rPr>
      </w:pPr>
      <w:r>
        <w:rPr>
          <w:rFonts w:ascii="Arial" w:cs="Arial" w:eastAsia="Arial" w:hAnsi="Arial"/>
          <w:sz w:val="20"/>
          <w:szCs w:val="20"/>
          <w:b w:val="1"/>
          <w:bCs w:val="1"/>
          <w:color w:val="auto"/>
        </w:rPr>
        <w:t>CROWN CORK &amp; SEAL DEUTSCHLAND</w:t>
      </w:r>
    </w:p>
    <w:p>
      <w:pPr>
        <w:ind w:left="2780"/>
        <w:spacing w:after="0" w:line="225" w:lineRule="auto"/>
        <w:rPr>
          <w:sz w:val="20"/>
          <w:szCs w:val="20"/>
          <w:color w:val="auto"/>
        </w:rPr>
      </w:pPr>
      <w:r>
        <w:rPr>
          <w:rFonts w:ascii="Arial" w:cs="Arial" w:eastAsia="Arial" w:hAnsi="Arial"/>
          <w:sz w:val="20"/>
          <w:szCs w:val="20"/>
          <w:b w:val="1"/>
          <w:bCs w:val="1"/>
          <w:color w:val="auto"/>
        </w:rPr>
        <w:t>HOLDINGS GMBH</w:t>
      </w:r>
    </w:p>
    <w:p>
      <w:pPr>
        <w:ind w:left="2780"/>
        <w:spacing w:after="0" w:line="225" w:lineRule="auto"/>
        <w:rPr>
          <w:sz w:val="20"/>
          <w:szCs w:val="20"/>
          <w:color w:val="auto"/>
        </w:rPr>
      </w:pPr>
      <w:r>
        <w:rPr>
          <w:rFonts w:ascii="Arial" w:cs="Arial" w:eastAsia="Arial" w:hAnsi="Arial"/>
          <w:sz w:val="20"/>
          <w:szCs w:val="20"/>
          <w:color w:val="auto"/>
        </w:rPr>
        <w:t>By:</w:t>
      </w:r>
    </w:p>
    <w:p>
      <w:pPr>
        <w:ind w:left="2780"/>
        <w:spacing w:after="0" w:line="226" w:lineRule="auto"/>
        <w:rPr>
          <w:sz w:val="20"/>
          <w:szCs w:val="20"/>
          <w:color w:val="auto"/>
        </w:rPr>
      </w:pPr>
      <w:r>
        <w:rPr>
          <w:rFonts w:ascii="Arial" w:cs="Arial" w:eastAsia="Arial" w:hAnsi="Arial"/>
          <w:sz w:val="20"/>
          <w:szCs w:val="20"/>
          <w:color w:val="auto"/>
        </w:rPr>
        <w:t>Name:</w:t>
      </w:r>
    </w:p>
    <w:p>
      <w:pPr>
        <w:ind w:left="2780"/>
        <w:spacing w:after="0" w:line="225" w:lineRule="auto"/>
        <w:rPr>
          <w:sz w:val="20"/>
          <w:szCs w:val="20"/>
          <w:color w:val="auto"/>
        </w:rPr>
      </w:pPr>
      <w:r>
        <w:rPr>
          <w:rFonts w:ascii="Arial" w:cs="Arial" w:eastAsia="Arial" w:hAnsi="Arial"/>
          <w:sz w:val="20"/>
          <w:szCs w:val="20"/>
          <w:color w:val="auto"/>
        </w:rPr>
        <w:t>Title:</w:t>
      </w:r>
    </w:p>
    <w:p>
      <w:pPr>
        <w:ind w:left="2780"/>
        <w:spacing w:after="0" w:line="237" w:lineRule="auto"/>
        <w:rPr>
          <w:sz w:val="20"/>
          <w:szCs w:val="20"/>
          <w:color w:val="auto"/>
        </w:rPr>
      </w:pPr>
      <w:r>
        <w:rPr>
          <w:rFonts w:ascii="Arial" w:cs="Arial" w:eastAsia="Arial" w:hAnsi="Arial"/>
          <w:sz w:val="19"/>
          <w:szCs w:val="19"/>
          <w:b w:val="1"/>
          <w:bCs w:val="1"/>
          <w:color w:val="auto"/>
        </w:rPr>
        <w:t>CROWN VERPAKKING NEDERLAND B.V.</w:t>
      </w:r>
    </w:p>
    <w:p>
      <w:pPr>
        <w:ind w:left="2780"/>
        <w:spacing w:after="0" w:line="226" w:lineRule="auto"/>
        <w:rPr>
          <w:sz w:val="20"/>
          <w:szCs w:val="20"/>
          <w:color w:val="auto"/>
        </w:rPr>
      </w:pPr>
      <w:r>
        <w:rPr>
          <w:rFonts w:ascii="Arial" w:cs="Arial" w:eastAsia="Arial" w:hAnsi="Arial"/>
          <w:sz w:val="20"/>
          <w:szCs w:val="20"/>
          <w:color w:val="auto"/>
        </w:rPr>
        <w:t>By:</w:t>
      </w:r>
    </w:p>
    <w:p>
      <w:pPr>
        <w:ind w:left="2780"/>
        <w:spacing w:after="0" w:line="225"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019"/>
          </w:cols>
          <w:pgMar w:left="1440" w:top="1413" w:right="1440" w:bottom="1440" w:gutter="0" w:footer="0" w:header="0"/>
        </w:sectPr>
      </w:pPr>
    </w:p>
    <w:bookmarkStart w:id="347" w:name="page348"/>
    <w:bookmarkEnd w:id="347"/>
    <w:p>
      <w:pPr>
        <w:ind w:left="2780"/>
        <w:spacing w:after="0"/>
        <w:rPr>
          <w:sz w:val="20"/>
          <w:szCs w:val="20"/>
          <w:color w:val="auto"/>
        </w:rPr>
      </w:pPr>
      <w:r>
        <w:rPr>
          <w:rFonts w:ascii="Arial" w:cs="Arial" w:eastAsia="Arial" w:hAnsi="Arial"/>
          <w:sz w:val="19"/>
          <w:szCs w:val="19"/>
          <w:b w:val="1"/>
          <w:bCs w:val="1"/>
          <w:color w:val="auto"/>
        </w:rPr>
        <w:t>DEUTSCHE BANK AG NEW YORK BRANCH</w:t>
      </w:r>
      <w:r>
        <w:rPr>
          <w:rFonts w:ascii="Arial" w:cs="Arial" w:eastAsia="Arial" w:hAnsi="Arial"/>
          <w:sz w:val="19"/>
          <w:szCs w:val="19"/>
          <w:color w:val="auto"/>
        </w:rPr>
        <w:t>, in</w:t>
      </w:r>
    </w:p>
    <w:p>
      <w:pPr>
        <w:spacing w:after="0" w:line="17"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its individual capacity and as Administrative Agent,</w:t>
      </w:r>
    </w:p>
    <w:p>
      <w:pPr>
        <w:ind w:left="2780"/>
        <w:spacing w:after="0" w:line="225" w:lineRule="auto"/>
        <w:rPr>
          <w:sz w:val="20"/>
          <w:szCs w:val="20"/>
          <w:color w:val="auto"/>
        </w:rPr>
      </w:pPr>
      <w:r>
        <w:rPr>
          <w:rFonts w:ascii="Arial" w:cs="Arial" w:eastAsia="Arial" w:hAnsi="Arial"/>
          <w:sz w:val="20"/>
          <w:szCs w:val="20"/>
          <w:color w:val="auto"/>
        </w:rPr>
        <w:t>U.S. Collateral Agent and Euro Collateral Agent</w:t>
      </w:r>
    </w:p>
    <w:p>
      <w:pPr>
        <w:ind w:left="2780"/>
        <w:spacing w:after="0" w:line="225" w:lineRule="auto"/>
        <w:rPr>
          <w:sz w:val="20"/>
          <w:szCs w:val="20"/>
          <w:color w:val="auto"/>
        </w:rPr>
      </w:pPr>
      <w:r>
        <w:rPr>
          <w:rFonts w:ascii="Arial" w:cs="Arial" w:eastAsia="Arial" w:hAnsi="Arial"/>
          <w:sz w:val="20"/>
          <w:szCs w:val="20"/>
          <w:color w:val="auto"/>
        </w:rPr>
        <w:t>By:</w:t>
      </w:r>
    </w:p>
    <w:p>
      <w:pPr>
        <w:ind w:left="2780"/>
        <w:spacing w:after="0" w:line="226" w:lineRule="auto"/>
        <w:rPr>
          <w:sz w:val="20"/>
          <w:szCs w:val="20"/>
          <w:color w:val="auto"/>
        </w:rPr>
      </w:pPr>
      <w:r>
        <w:rPr>
          <w:rFonts w:ascii="Arial" w:cs="Arial" w:eastAsia="Arial" w:hAnsi="Arial"/>
          <w:sz w:val="20"/>
          <w:szCs w:val="20"/>
          <w:color w:val="auto"/>
        </w:rPr>
        <w:t>Name:</w:t>
      </w:r>
    </w:p>
    <w:p>
      <w:pPr>
        <w:ind w:left="2780"/>
        <w:spacing w:after="0" w:line="225" w:lineRule="auto"/>
        <w:rPr>
          <w:sz w:val="20"/>
          <w:szCs w:val="20"/>
          <w:color w:val="auto"/>
        </w:rPr>
      </w:pPr>
      <w:r>
        <w:rPr>
          <w:rFonts w:ascii="Arial" w:cs="Arial" w:eastAsia="Arial" w:hAnsi="Arial"/>
          <w:sz w:val="20"/>
          <w:szCs w:val="20"/>
          <w:color w:val="auto"/>
        </w:rPr>
        <w:t>Title:</w:t>
      </w:r>
    </w:p>
    <w:p>
      <w:pPr>
        <w:ind w:left="2780"/>
        <w:spacing w:after="0" w:line="226" w:lineRule="auto"/>
        <w:rPr>
          <w:sz w:val="20"/>
          <w:szCs w:val="20"/>
          <w:color w:val="auto"/>
        </w:rPr>
      </w:pPr>
      <w:r>
        <w:rPr>
          <w:rFonts w:ascii="Arial" w:cs="Arial" w:eastAsia="Arial" w:hAnsi="Arial"/>
          <w:sz w:val="20"/>
          <w:szCs w:val="20"/>
          <w:color w:val="auto"/>
        </w:rPr>
        <w:t>By:</w:t>
      </w:r>
    </w:p>
    <w:p>
      <w:pPr>
        <w:ind w:left="2780"/>
        <w:spacing w:after="0" w:line="225" w:lineRule="auto"/>
        <w:rPr>
          <w:sz w:val="20"/>
          <w:szCs w:val="20"/>
          <w:color w:val="auto"/>
        </w:rPr>
      </w:pPr>
      <w:r>
        <w:rPr>
          <w:rFonts w:ascii="Arial" w:cs="Arial" w:eastAsia="Arial" w:hAnsi="Arial"/>
          <w:sz w:val="20"/>
          <w:szCs w:val="20"/>
          <w:color w:val="auto"/>
        </w:rPr>
        <w:t>Name:</w:t>
      </w:r>
    </w:p>
    <w:p>
      <w:pPr>
        <w:ind w:left="2780"/>
        <w:spacing w:after="0" w:line="225" w:lineRule="auto"/>
        <w:rPr>
          <w:sz w:val="20"/>
          <w:szCs w:val="20"/>
          <w:color w:val="auto"/>
        </w:rPr>
      </w:pPr>
      <w:r>
        <w:rPr>
          <w:rFonts w:ascii="Arial" w:cs="Arial" w:eastAsia="Arial" w:hAnsi="Arial"/>
          <w:sz w:val="20"/>
          <w:szCs w:val="20"/>
          <w:color w:val="auto"/>
        </w:rPr>
        <w:t>Title:</w:t>
      </w:r>
    </w:p>
    <w:p>
      <w:pPr>
        <w:ind w:left="2780"/>
        <w:spacing w:after="0" w:line="226" w:lineRule="auto"/>
        <w:rPr>
          <w:sz w:val="20"/>
          <w:szCs w:val="20"/>
          <w:color w:val="auto"/>
        </w:rPr>
      </w:pPr>
      <w:r>
        <w:rPr>
          <w:rFonts w:ascii="Arial" w:cs="Arial" w:eastAsia="Arial" w:hAnsi="Arial"/>
          <w:sz w:val="20"/>
          <w:szCs w:val="20"/>
          <w:b w:val="1"/>
          <w:bCs w:val="1"/>
          <w:color w:val="auto"/>
        </w:rPr>
        <w:t>DEUTSCHE BANK AG LONDON BRANCH</w:t>
      </w:r>
      <w:r>
        <w:rPr>
          <w:rFonts w:ascii="Arial" w:cs="Arial" w:eastAsia="Arial" w:hAnsi="Arial"/>
          <w:sz w:val="20"/>
          <w:szCs w:val="20"/>
          <w:color w:val="auto"/>
        </w:rPr>
        <w:t>, as</w:t>
      </w:r>
    </w:p>
    <w:p>
      <w:pPr>
        <w:ind w:left="2780"/>
        <w:spacing w:after="0" w:line="225" w:lineRule="auto"/>
        <w:rPr>
          <w:sz w:val="20"/>
          <w:szCs w:val="20"/>
          <w:color w:val="auto"/>
        </w:rPr>
      </w:pPr>
      <w:r>
        <w:rPr>
          <w:rFonts w:ascii="Arial" w:cs="Arial" w:eastAsia="Arial" w:hAnsi="Arial"/>
          <w:sz w:val="20"/>
          <w:szCs w:val="20"/>
          <w:color w:val="auto"/>
        </w:rPr>
        <w:t>U.K. Administrative Agent</w:t>
      </w:r>
    </w:p>
    <w:p>
      <w:pPr>
        <w:ind w:left="2780"/>
        <w:spacing w:after="0" w:line="226" w:lineRule="auto"/>
        <w:rPr>
          <w:sz w:val="20"/>
          <w:szCs w:val="20"/>
          <w:color w:val="auto"/>
        </w:rPr>
      </w:pPr>
      <w:r>
        <w:rPr>
          <w:rFonts w:ascii="Arial" w:cs="Arial" w:eastAsia="Arial" w:hAnsi="Arial"/>
          <w:sz w:val="20"/>
          <w:szCs w:val="20"/>
          <w:color w:val="auto"/>
        </w:rPr>
        <w:t>By:</w:t>
      </w:r>
    </w:p>
    <w:p>
      <w:pPr>
        <w:ind w:left="2780"/>
        <w:spacing w:after="0" w:line="225" w:lineRule="auto"/>
        <w:rPr>
          <w:sz w:val="20"/>
          <w:szCs w:val="20"/>
          <w:color w:val="auto"/>
        </w:rPr>
      </w:pPr>
      <w:r>
        <w:rPr>
          <w:rFonts w:ascii="Arial" w:cs="Arial" w:eastAsia="Arial" w:hAnsi="Arial"/>
          <w:sz w:val="20"/>
          <w:szCs w:val="20"/>
          <w:color w:val="auto"/>
        </w:rPr>
        <w:t>Name:</w:t>
      </w:r>
    </w:p>
    <w:p>
      <w:pPr>
        <w:ind w:left="2780"/>
        <w:spacing w:after="0" w:line="225" w:lineRule="auto"/>
        <w:rPr>
          <w:sz w:val="20"/>
          <w:szCs w:val="20"/>
          <w:color w:val="auto"/>
        </w:rPr>
      </w:pPr>
      <w:r>
        <w:rPr>
          <w:rFonts w:ascii="Arial" w:cs="Arial" w:eastAsia="Arial" w:hAnsi="Arial"/>
          <w:sz w:val="20"/>
          <w:szCs w:val="20"/>
          <w:color w:val="auto"/>
        </w:rPr>
        <w:t>Title:</w:t>
      </w:r>
    </w:p>
    <w:p>
      <w:pPr>
        <w:ind w:left="2780"/>
        <w:spacing w:after="0" w:line="226" w:lineRule="auto"/>
        <w:rPr>
          <w:sz w:val="20"/>
          <w:szCs w:val="20"/>
          <w:color w:val="auto"/>
        </w:rPr>
      </w:pPr>
      <w:r>
        <w:rPr>
          <w:rFonts w:ascii="Arial" w:cs="Arial" w:eastAsia="Arial" w:hAnsi="Arial"/>
          <w:sz w:val="20"/>
          <w:szCs w:val="20"/>
          <w:color w:val="auto"/>
        </w:rPr>
        <w:t>By:</w:t>
      </w:r>
    </w:p>
    <w:p>
      <w:pPr>
        <w:ind w:left="2780"/>
        <w:spacing w:after="0" w:line="225"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019"/>
          </w:cols>
          <w:pgMar w:left="1440" w:top="1413" w:right="1440" w:bottom="1440" w:gutter="0" w:footer="0" w:header="0"/>
        </w:sectPr>
      </w:pPr>
    </w:p>
    <w:bookmarkStart w:id="348" w:name="page349"/>
    <w:bookmarkEnd w:id="348"/>
    <w:p>
      <w:pPr>
        <w:ind w:left="2780"/>
        <w:spacing w:after="0"/>
        <w:rPr>
          <w:sz w:val="20"/>
          <w:szCs w:val="20"/>
          <w:color w:val="auto"/>
        </w:rPr>
      </w:pPr>
      <w:r>
        <w:rPr>
          <w:rFonts w:ascii="Arial" w:cs="Arial" w:eastAsia="Arial" w:hAnsi="Arial"/>
          <w:sz w:val="19"/>
          <w:szCs w:val="19"/>
          <w:b w:val="1"/>
          <w:bCs w:val="1"/>
          <w:color w:val="auto"/>
        </w:rPr>
        <w:t>DEUTSCHE BANK AG CANADA BRANCH</w:t>
      </w:r>
      <w:r>
        <w:rPr>
          <w:rFonts w:ascii="Arial" w:cs="Arial" w:eastAsia="Arial" w:hAnsi="Arial"/>
          <w:sz w:val="19"/>
          <w:szCs w:val="19"/>
          <w:color w:val="auto"/>
        </w:rPr>
        <w:t>, as</w:t>
      </w:r>
    </w:p>
    <w:p>
      <w:pPr>
        <w:spacing w:after="0" w:line="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Canadian Administrative Agent</w:t>
      </w:r>
    </w:p>
    <w:p>
      <w:pPr>
        <w:ind w:left="2780"/>
        <w:spacing w:after="0" w:line="225" w:lineRule="auto"/>
        <w:rPr>
          <w:sz w:val="20"/>
          <w:szCs w:val="20"/>
          <w:color w:val="auto"/>
        </w:rPr>
      </w:pPr>
      <w:r>
        <w:rPr>
          <w:rFonts w:ascii="Arial" w:cs="Arial" w:eastAsia="Arial" w:hAnsi="Arial"/>
          <w:sz w:val="20"/>
          <w:szCs w:val="20"/>
          <w:color w:val="auto"/>
        </w:rPr>
        <w:t>By:</w:t>
      </w:r>
    </w:p>
    <w:p>
      <w:pPr>
        <w:ind w:left="2780"/>
        <w:spacing w:after="0" w:line="225"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019"/>
          </w:cols>
          <w:pgMar w:left="1440" w:top="1413" w:right="1440" w:bottom="1440" w:gutter="0" w:footer="0" w:header="0"/>
        </w:sectPr>
      </w:pPr>
    </w:p>
    <w:bookmarkStart w:id="349" w:name="page350"/>
    <w:bookmarkEnd w:id="349"/>
    <w:p>
      <w:pPr>
        <w:jc w:val="center"/>
        <w:ind w:right="20"/>
        <w:spacing w:after="0"/>
        <w:rPr>
          <w:sz w:val="20"/>
          <w:szCs w:val="20"/>
          <w:color w:val="auto"/>
        </w:rPr>
      </w:pPr>
      <w:r>
        <w:rPr>
          <w:rFonts w:ascii="Arial" w:cs="Arial" w:eastAsia="Arial" w:hAnsi="Arial"/>
          <w:sz w:val="25"/>
          <w:szCs w:val="25"/>
          <w:b w:val="1"/>
          <w:bCs w:val="1"/>
          <w:color w:val="auto"/>
        </w:rPr>
        <w:t>Crown Holdings, Inc.</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Exhibit 21 - Subsidiaries of Registrant</w:t>
      </w:r>
    </w:p>
    <w:p>
      <w:pPr>
        <w:spacing w:after="0" w:line="13"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1"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1"/>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Consultants,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Financial Corporation</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II</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III</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VI</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Holdings,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Puerto Rico,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(DE),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and Seal Receivables II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USA,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Technology,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Receivables III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Foreign Manufacturers Finance Corporation</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Holdings US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US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Investment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IP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Pickling Holding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US IP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TopFrame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Kiwiplan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Crownway Insurance Company</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Vermont</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Australia Pty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2"/>
              </w:rPr>
              <w:t>Australia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(Barbados)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Barbados</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Belgium BVBA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Belgium</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Verpakking België NV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Belgium</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Shippers Europe Srl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Belgium</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Belgium Srl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Belgium</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BV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Belgium</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Hanoi Investment Company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8"/>
              </w:rPr>
              <w:t>Bermuda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Brasil Holdings Ltda.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5"/>
              </w:rPr>
              <w:t>Brazil</w:t>
            </w:r>
          </w:p>
        </w:tc>
        <w:tc>
          <w:tcPr>
            <w:tcW w:w="0" w:type="dxa"/>
            <w:vAlign w:val="bottom"/>
          </w:tcPr>
          <w:p>
            <w:pPr>
              <w:spacing w:after="0"/>
              <w:rPr>
                <w:sz w:val="1"/>
                <w:szCs w:val="1"/>
                <w:color w:val="auto"/>
              </w:rPr>
            </w:pPr>
          </w:p>
        </w:tc>
      </w:tr>
    </w:tbl>
    <w:p>
      <w:pPr>
        <w:sectPr>
          <w:pgSz w:w="11900" w:h="16838" w:orient="portrait"/>
          <w:cols w:equalWidth="0" w:num="1">
            <w:col w:w="11060"/>
          </w:cols>
          <w:pgMar w:left="420" w:top="765" w:right="419" w:bottom="1440" w:gutter="0" w:footer="0" w:header="0"/>
        </w:sectPr>
      </w:pPr>
    </w:p>
    <w:bookmarkStart w:id="350" w:name="page351"/>
    <w:bookmarkEnd w:id="35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1"/>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Embalagens Métalicas da Amazonia S.A.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5"/>
              </w:rPr>
              <w:t>Brazil</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Brasil Ltda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5"/>
              </w:rPr>
              <w:t>Brazil</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Bulgaria EOOD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2"/>
              </w:rPr>
              <w:t>Bulgaria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(Cambodia)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Cambodia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Sihanoukville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Cambodia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Khmer Beverage Cans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Cambodia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Metal Packaging Canada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5"/>
              </w:rPr>
              <w:t>Canada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Metal Packaging Canada LP</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5"/>
              </w:rPr>
              <w:t>Canada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Canada ULC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5"/>
              </w:rPr>
              <w:t>Canada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CMB Machinery and Technology (Shanghai) Co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Hangzhou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Heshan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Huizhou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Putian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Ziyang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Heshan Trading Company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Foshan Continental Can Co.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Foshan Crown Easy-Opening End Co.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(Qingdao) Co.,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(Shanghai) Co.,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Colombiana, S.A.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Colombia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Colombia S.A.S.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Colombia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Denmark ApS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Denmark</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Finland Oy</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Finland</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Butimove</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France SAS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France SAS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Developpement</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European Holdings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Europe SAS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European Division Services SAS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France SAS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Société Civile Immobilière des Baquets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Societe Civile Immobiliere Rousseau-Ivry</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Société de Participations CarnaudMetalbox</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France Holdings SAS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France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Deutschland Holdings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Kiwiplan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Mezger Heftsysteme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Germany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System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SMP Schwede Maschinenbau Weischlitz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bl>
    <w:p>
      <w:pPr>
        <w:sectPr>
          <w:pgSz w:w="11900" w:h="16838" w:orient="portrait"/>
          <w:cols w:equalWidth="0" w:num="1">
            <w:col w:w="11060"/>
          </w:cols>
          <w:pgMar w:left="420" w:top="794" w:right="419" w:bottom="1440" w:gutter="0" w:footer="0" w:header="0"/>
        </w:sectPr>
      </w:pPr>
    </w:p>
    <w:bookmarkStart w:id="351" w:name="page352"/>
    <w:bookmarkEnd w:id="35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1"/>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Germany Service Management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Systems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Germany</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Hellas Can Packaging SA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5"/>
              </w:rPr>
              <w:t>Greece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Hong Kong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3"/>
              </w:rPr>
              <w:t>Hong Kong</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China Holdings (Hong Kong)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3"/>
              </w:rPr>
              <w:t>Hong Kong</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Investment (H.K.)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3"/>
              </w:rPr>
              <w:t>Hong Kong</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Hong Kong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3"/>
              </w:rPr>
              <w:t>Hong Kong</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Services Hungary Kft</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Hungary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India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2"/>
              </w:rPr>
              <w:t>India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Stopak India Pvt.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2"/>
              </w:rPr>
              <w:t>India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PT CROWN Beverage Cans Indonesia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Indonesia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PT CROWN Indonesia Trading</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Indonesia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Distribution Ireland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Ireland</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Ireland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Ireland</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Italy Srl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8"/>
              </w:rPr>
              <w:t>Italy</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Holdings Italia Srl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8"/>
              </w:rPr>
              <w:t>Italy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Italy Finance srl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8"/>
              </w:rPr>
              <w:t>Italy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Manufacturing Italy Srl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8"/>
              </w:rPr>
              <w:t>Italy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Strapex Srl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8"/>
              </w:rPr>
              <w:t>Italy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Jamaica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5"/>
              </w:rPr>
              <w:t>Jamaica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Japan K.K.</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4"/>
              </w:rPr>
              <w:t>Japan</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Middle East Can Co.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4"/>
              </w:rPr>
              <w:t>Jordan</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Kazakhstan</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7"/>
              </w:rPr>
              <w:t>Kazakhstan</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Kenya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Kenya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Luxembourg Holdings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Luxembourg</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Lux II S.à.r.l.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Luxembourg</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Lux III S.à.r.l.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Luxembourg</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Lux S.A.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Luxembourg</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Luxembourg S.a.r.l.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Luxembourg</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Industrial Packaging S.a.r.l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Luxembourg</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Malaysia Sdn Bhd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Malaysia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Malaysia Sdn. Bhd.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Malaysia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Cierres Hermeticos, S.A.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Envases Mexico, S.A.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Famosa, S.A.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Mexican Holdings, S. de R.L.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Fabricas Monterrey, S.A.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Glass &amp; Silice, S.A.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Prolatamex, S.A.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Mexico, R.L.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Silice Del Istmo, S.A.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Silices De Veracruz, S.A. DE C. 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Vichisa, S.A. de C.V.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Mexico</w:t>
            </w:r>
          </w:p>
        </w:tc>
        <w:tc>
          <w:tcPr>
            <w:tcW w:w="0" w:type="dxa"/>
            <w:vAlign w:val="bottom"/>
          </w:tcPr>
          <w:p>
            <w:pPr>
              <w:spacing w:after="0"/>
              <w:rPr>
                <w:sz w:val="1"/>
                <w:szCs w:val="1"/>
                <w:color w:val="auto"/>
              </w:rPr>
            </w:pPr>
          </w:p>
        </w:tc>
      </w:tr>
    </w:tbl>
    <w:p>
      <w:pPr>
        <w:sectPr>
          <w:pgSz w:w="11900" w:h="16838" w:orient="portrait"/>
          <w:cols w:equalWidth="0" w:num="1">
            <w:col w:w="11060"/>
          </w:cols>
          <w:pgMar w:left="420" w:top="794" w:right="419" w:bottom="1440" w:gutter="0" w:footer="0" w:header="0"/>
        </w:sectPr>
      </w:pPr>
    </w:p>
    <w:bookmarkStart w:id="352" w:name="page353"/>
    <w:bookmarkEnd w:id="35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1"/>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Myanmar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3"/>
              </w:rPr>
              <w:t>Myanmar</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B.V.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8"/>
              </w:rPr>
              <w:t>Netherlands</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Verpakking Nederland B.V.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8"/>
              </w:rPr>
              <w:t>Netherlands</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Netherlands B.V.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8"/>
              </w:rPr>
              <w:t>Netherlands</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Packaging Netherlands B.V.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8"/>
              </w:rPr>
              <w:t>Netherlands</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Kiwiplan Packaging Systems NZ</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New Zealand</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New Zealand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New Zealand</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Norway AS</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Norway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Manufacturing Poland Sp. z.o.o.</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Poland</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Poland sp. Z.o.o.</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Poland</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Portugal LDA</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8"/>
              </w:rPr>
              <w:t>Portugal</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Arabia Can Company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0"/>
              </w:rPr>
              <w:t>Saudi Arabia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Asia Pacific Holdings Pte.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7"/>
              </w:rPr>
              <w:t>Singapore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Singapore Pte.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7"/>
              </w:rPr>
              <w:t>Singapore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Speciality Packaging Investment Pte.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7"/>
              </w:rPr>
              <w:t>Singapore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Investment Pte.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7"/>
              </w:rPr>
              <w:t>Singapore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Superior Investments Holdings Pte.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7"/>
              </w:rPr>
              <w:t>Singapore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Superior Multi-Packaging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7"/>
              </w:rPr>
              <w:t>Singapore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Slovakia s.r.o.</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Slovakia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Slovakia s.r.o.</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Slovakia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Slovakia s.r.o.</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Slovakia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Korea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South Korea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Espana S.L.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Spain</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de Envases S.L.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Spain</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Holdings Spain, S.L.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Spain</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Manufacturing Spain S.L.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Spain</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Spain SL</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Spain</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Josef Kihlberg AB</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5"/>
              </w:rPr>
              <w:t>Sweden</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Sweden AB</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5"/>
              </w:rPr>
              <w:t>Sweden</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Sweden AB</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5"/>
              </w:rPr>
              <w:t>Sweden</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Sweden Holdings AB</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5"/>
              </w:rPr>
              <w:t>Sweden</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European Division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0"/>
              </w:rPr>
              <w:t>Switzerland</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European Holdings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0"/>
              </w:rPr>
              <w:t>Switzerland</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Switzerland GmbH</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0"/>
              </w:rPr>
              <w:t>Switzerland</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Caretex Asia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Thailand</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AP (Thailand) Company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Thailand</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and Closures (Thailand) Company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Thailand</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Foodcan (Hat Yai) Company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Thailand</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Foodcan (Nakhon Pathom) Company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Thailand</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 Packaging (Thailand) Public Company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Thailand</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TCP Beverage Cans Company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Thailand</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Pet Containers (Thailand)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Thailand</w:t>
            </w:r>
          </w:p>
        </w:tc>
        <w:tc>
          <w:tcPr>
            <w:tcW w:w="0" w:type="dxa"/>
            <w:vAlign w:val="bottom"/>
          </w:tcPr>
          <w:p>
            <w:pPr>
              <w:spacing w:after="0"/>
              <w:rPr>
                <w:sz w:val="1"/>
                <w:szCs w:val="1"/>
                <w:color w:val="auto"/>
              </w:rPr>
            </w:pPr>
          </w:p>
        </w:tc>
      </w:tr>
    </w:tbl>
    <w:p>
      <w:pPr>
        <w:sectPr>
          <w:pgSz w:w="11900" w:h="16838" w:orient="portrait"/>
          <w:cols w:equalWidth="0" w:num="1">
            <w:col w:w="11060"/>
          </w:cols>
          <w:pgMar w:left="420" w:top="794" w:right="419" w:bottom="1440" w:gutter="0" w:footer="0" w:header="0"/>
        </w:sectPr>
      </w:pPr>
    </w:p>
    <w:bookmarkStart w:id="353" w:name="page354"/>
    <w:bookmarkEnd w:id="35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2"/>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1"/>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Systems (Thailand)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Thailand</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Trinidad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Trinidad</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Maghreb Can</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Tunisia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Türkiye Ambalaj Sanayi Ve Ticaret Limited Sirketi</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Turkey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Form Koruyucu Ambalaj Sanayi Ve Ticaret Limited Sirketi</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1"/>
              </w:rPr>
              <w:t>Turkey</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Emirates Company Limited</w:t>
            </w:r>
          </w:p>
        </w:tc>
        <w:tc>
          <w:tcPr>
            <w:tcW w:w="316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1"/>
              </w:rPr>
              <w:t>United Arab Emirates</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CarnaudMetalbox Engineering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CarnaudMetalbox Group UK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CarnaudMetalbox Overseas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Commercial UK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Distribution UK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Manufacturing UK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UK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UK Holdings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UK Ltd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United Kingdom</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Danang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Vietnam</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(Dong Nai)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Vietnam</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Hanoi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Vietnam</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Saigon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Vietnam</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Vung Tau Company Limited</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Vietnam</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40" w:hanging="308"/>
        <w:spacing w:after="0"/>
        <w:tabs>
          <w:tab w:leader="none" w:pos="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list includes only consolidated subsidiaries which are directly owned or indirectly owned by the Registrant.</w:t>
      </w:r>
    </w:p>
    <w:p>
      <w:pPr>
        <w:spacing w:after="0" w:line="23" w:lineRule="exact"/>
        <w:rPr>
          <w:rFonts w:ascii="Arial" w:cs="Arial" w:eastAsia="Arial" w:hAnsi="Arial"/>
          <w:sz w:val="18"/>
          <w:szCs w:val="18"/>
          <w:color w:val="auto"/>
        </w:rPr>
      </w:pPr>
    </w:p>
    <w:p>
      <w:pPr>
        <w:ind w:left="560" w:hanging="328"/>
        <w:spacing w:after="0" w:line="255" w:lineRule="auto"/>
        <w:tabs>
          <w:tab w:leader="none" w:pos="55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In accordance with Regulation S-K, Item 601(b)(ii), the names of certain subsidiaries have been omitted from the foregoing list. The unnamed subsidiaries, considered in the aggregate as a single subsidiary, would not constitute a significant subsidiary, as defined in Regulation S-X, Rule 1-02(w).</w:t>
      </w:r>
    </w:p>
    <w:p>
      <w:pPr>
        <w:sectPr>
          <w:pgSz w:w="11900" w:h="16838" w:orient="portrait"/>
          <w:cols w:equalWidth="0" w:num="1">
            <w:col w:w="11100"/>
          </w:cols>
          <w:pgMar w:left="420" w:top="794" w:right="379" w:bottom="1440" w:gutter="0" w:footer="0" w:header="0"/>
        </w:sectPr>
      </w:pPr>
    </w:p>
    <w:bookmarkStart w:id="354" w:name="page355"/>
    <w:bookmarkEnd w:id="354"/>
    <w:p>
      <w:pPr>
        <w:jc w:val="center"/>
        <w:ind w:right="-79"/>
        <w:spacing w:after="0"/>
        <w:rPr>
          <w:sz w:val="20"/>
          <w:szCs w:val="20"/>
          <w:color w:val="auto"/>
        </w:rPr>
      </w:pPr>
      <w:r>
        <w:rPr>
          <w:rFonts w:ascii="Arial" w:cs="Arial" w:eastAsia="Arial" w:hAnsi="Arial"/>
          <w:sz w:val="25"/>
          <w:szCs w:val="25"/>
          <w:b w:val="1"/>
          <w:bCs w:val="1"/>
          <w:color w:val="auto"/>
        </w:rPr>
        <w:t>Exhibit 22 - List of Guarantor Subsidiaries</w:t>
      </w:r>
    </w:p>
    <w:p>
      <w:pPr>
        <w:spacing w:after="0" w:line="259"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The following subsidiaries of Crown Holdings, Inc. (the "Company") were, as of December 31, 2021,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1"/>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following subsidiaries of the Company were, as of December 31, 2021, guarantors of the Company's $400 principal 4.25% senior notes due 2026 and $875 principal 4.75% senior notes due 2026: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1"/>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Consultants,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VI</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Puerto Rico,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(DE),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USA,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Technology,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Foreign Manufacturers Finance Corporation</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Holdings US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US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IP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Pickling Holding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US IP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TopFrame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Kiwiplan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bl>
    <w:p>
      <w:pPr>
        <w:sectPr>
          <w:pgSz w:w="11900" w:h="16838" w:orient="portrait"/>
          <w:cols w:equalWidth="0" w:num="1">
            <w:col w:w="11160"/>
          </w:cols>
          <w:pgMar w:left="320" w:top="886" w:right="419" w:bottom="1440" w:gutter="0" w:footer="0" w:header="0"/>
        </w:sectPr>
      </w:pPr>
    </w:p>
    <w:bookmarkStart w:id="355" w:name="page356"/>
    <w:bookmarkEnd w:id="355"/>
    <w:p>
      <w:pPr>
        <w:jc w:val="right"/>
        <w:spacing w:after="0"/>
        <w:rPr>
          <w:sz w:val="20"/>
          <w:szCs w:val="20"/>
          <w:color w:val="auto"/>
        </w:rPr>
      </w:pPr>
      <w:r>
        <w:rPr>
          <w:rFonts w:ascii="Arial" w:cs="Arial" w:eastAsia="Arial" w:hAnsi="Arial"/>
          <w:sz w:val="22"/>
          <w:szCs w:val="22"/>
          <w:b w:val="1"/>
          <w:bCs w:val="1"/>
          <w:color w:val="auto"/>
        </w:rPr>
        <w:t>EXHIBIT 23</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We hereby consent to the incorporation by reference in the Registration Statements on Form S-8 (Nos. 333-188568, 333-166764, 333-140992, 333-140991, and 333-230008) of Crown Holdings, Inc. of our report dated February 28, 2022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LLP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February 28, 2022</w:t>
      </w:r>
    </w:p>
    <w:p>
      <w:pPr>
        <w:sectPr>
          <w:pgSz w:w="11900" w:h="16838" w:orient="portrait"/>
          <w:cols w:equalWidth="0" w:num="1">
            <w:col w:w="11240"/>
          </w:cols>
          <w:pgMar w:left="320" w:top="1138" w:right="339" w:bottom="1440" w:gutter="0" w:footer="0" w:header="0"/>
        </w:sectPr>
      </w:pPr>
    </w:p>
    <w:bookmarkStart w:id="356" w:name="page357"/>
    <w:bookmarkEnd w:id="356"/>
    <w:p>
      <w:pPr>
        <w:ind w:left="10120"/>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Crown Holdings, Inc. (“the registrant”);</w:t>
      </w:r>
    </w:p>
    <w:p>
      <w:pPr>
        <w:spacing w:after="0" w:line="9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3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3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34" w:lineRule="auto"/>
        <w:tabs>
          <w:tab w:leader="none" w:pos="1291" w:val="left"/>
        </w:tabs>
        <w:numPr>
          <w:ilvl w:val="1"/>
          <w:numId w:val="3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644"/>
        <w:spacing w:after="0" w:line="263" w:lineRule="auto"/>
        <w:tabs>
          <w:tab w:leader="none" w:pos="1288" w:val="left"/>
        </w:tabs>
        <w:numPr>
          <w:ilvl w:val="1"/>
          <w:numId w:val="3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300" w:right="20" w:hanging="644"/>
        <w:spacing w:after="0" w:line="308" w:lineRule="auto"/>
        <w:tabs>
          <w:tab w:leader="none" w:pos="1291" w:val="left"/>
        </w:tabs>
        <w:numPr>
          <w:ilvl w:val="1"/>
          <w:numId w:val="30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288"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6300" w:type="dxa"/>
            <w:vAlign w:val="bottom"/>
            <w:gridSpan w:val="3"/>
          </w:tcPr>
          <w:p>
            <w:pPr>
              <w:ind w:left="200"/>
              <w:spacing w:after="0"/>
              <w:rPr>
                <w:sz w:val="20"/>
                <w:szCs w:val="20"/>
                <w:color w:val="auto"/>
              </w:rPr>
            </w:pPr>
            <w:r>
              <w:rPr>
                <w:rFonts w:ascii="Arial" w:cs="Arial" w:eastAsia="Arial" w:hAnsi="Arial"/>
                <w:sz w:val="18"/>
                <w:szCs w:val="18"/>
                <w:color w:val="auto"/>
              </w:rPr>
              <w:t>February 28, 2022</w:t>
            </w:r>
          </w:p>
        </w:tc>
        <w:tc>
          <w:tcPr>
            <w:tcW w:w="3280" w:type="dxa"/>
            <w:vAlign w:val="bottom"/>
          </w:tcPr>
          <w:p>
            <w:pPr>
              <w:ind w:left="20"/>
              <w:spacing w:after="0"/>
              <w:rPr>
                <w:sz w:val="20"/>
                <w:szCs w:val="20"/>
                <w:color w:val="auto"/>
              </w:rPr>
            </w:pPr>
            <w:r>
              <w:rPr>
                <w:rFonts w:ascii="Arial" w:cs="Arial" w:eastAsia="Arial" w:hAnsi="Arial"/>
                <w:sz w:val="18"/>
                <w:szCs w:val="18"/>
                <w:color w:val="auto"/>
              </w:rPr>
              <w:t>/s/ Timothy J. Donahue</w:t>
            </w:r>
          </w:p>
        </w:tc>
      </w:tr>
      <w:tr>
        <w:trPr>
          <w:trHeight w:val="21"/>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Timothy J. Donahue</w:t>
            </w:r>
          </w:p>
        </w:tc>
      </w:tr>
      <w:tr>
        <w:trPr>
          <w:trHeight w:val="230"/>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357" w:name="page358"/>
    <w:bookmarkEnd w:id="357"/>
    <w:p>
      <w:pPr>
        <w:ind w:left="10120"/>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Kevin C. Clothier, certify that: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Crown Holdings, Inc. (“the registrant”);</w:t>
      </w:r>
    </w:p>
    <w:p>
      <w:pPr>
        <w:spacing w:after="0" w:line="9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3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3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34" w:lineRule="auto"/>
        <w:tabs>
          <w:tab w:leader="none" w:pos="1291" w:val="left"/>
        </w:tabs>
        <w:numPr>
          <w:ilvl w:val="1"/>
          <w:numId w:val="3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644"/>
        <w:spacing w:after="0" w:line="263" w:lineRule="auto"/>
        <w:tabs>
          <w:tab w:leader="none" w:pos="1288" w:val="left"/>
        </w:tabs>
        <w:numPr>
          <w:ilvl w:val="1"/>
          <w:numId w:val="3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300" w:right="20" w:hanging="644"/>
        <w:spacing w:after="0" w:line="308" w:lineRule="auto"/>
        <w:tabs>
          <w:tab w:leader="none" w:pos="1291" w:val="left"/>
        </w:tabs>
        <w:numPr>
          <w:ilvl w:val="1"/>
          <w:numId w:val="3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288" w:val="left"/>
        </w:tabs>
        <w:numPr>
          <w:ilvl w:val="1"/>
          <w:numId w:val="3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6300" w:type="dxa"/>
            <w:vAlign w:val="bottom"/>
            <w:gridSpan w:val="3"/>
          </w:tcPr>
          <w:p>
            <w:pPr>
              <w:ind w:left="200"/>
              <w:spacing w:after="0"/>
              <w:rPr>
                <w:sz w:val="20"/>
                <w:szCs w:val="20"/>
                <w:color w:val="auto"/>
              </w:rPr>
            </w:pPr>
            <w:r>
              <w:rPr>
                <w:rFonts w:ascii="Arial" w:cs="Arial" w:eastAsia="Arial" w:hAnsi="Arial"/>
                <w:sz w:val="18"/>
                <w:szCs w:val="18"/>
                <w:color w:val="auto"/>
              </w:rPr>
              <w:t>February 28, 2022</w:t>
            </w:r>
          </w:p>
        </w:tc>
        <w:tc>
          <w:tcPr>
            <w:tcW w:w="3280" w:type="dxa"/>
            <w:vAlign w:val="bottom"/>
          </w:tcPr>
          <w:p>
            <w:pPr>
              <w:ind w:left="20"/>
              <w:spacing w:after="0"/>
              <w:rPr>
                <w:sz w:val="20"/>
                <w:szCs w:val="20"/>
                <w:color w:val="auto"/>
              </w:rPr>
            </w:pPr>
            <w:r>
              <w:rPr>
                <w:rFonts w:ascii="Arial" w:cs="Arial" w:eastAsia="Arial" w:hAnsi="Arial"/>
                <w:sz w:val="18"/>
                <w:szCs w:val="18"/>
                <w:color w:val="auto"/>
              </w:rPr>
              <w:t>/s/ Kevin C. Clothier</w:t>
            </w:r>
          </w:p>
        </w:tc>
      </w:tr>
      <w:tr>
        <w:trPr>
          <w:trHeight w:val="21"/>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Kevin C. Clothier</w:t>
            </w:r>
          </w:p>
        </w:tc>
      </w:tr>
      <w:tr>
        <w:trPr>
          <w:trHeight w:val="230"/>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b w:val="1"/>
          <w:bCs w:val="1"/>
          <w:color w:val="auto"/>
        </w:rPr>
        <w:t>EXHIBIT 32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400" w:lineRule="exact"/>
        <w:rPr>
          <w:sz w:val="20"/>
          <w:szCs w:val="20"/>
          <w:color w:val="auto"/>
        </w:rPr>
      </w:pPr>
    </w:p>
    <w:p>
      <w:pPr>
        <w:ind w:firstLine="445"/>
        <w:spacing w:after="0" w:line="334" w:lineRule="auto"/>
        <w:rPr>
          <w:sz w:val="20"/>
          <w:szCs w:val="20"/>
          <w:color w:val="auto"/>
        </w:rPr>
      </w:pPr>
      <w:r>
        <w:rPr>
          <w:rFonts w:ascii="Arial" w:cs="Arial" w:eastAsia="Arial" w:hAnsi="Arial"/>
          <w:sz w:val="16"/>
          <w:szCs w:val="16"/>
          <w:color w:val="auto"/>
        </w:rPr>
        <w:t>In connection with the Annual Report of Crown Holdings, Inc. (the “Company”) on Form 10-K for the period ending December 31, 2021 (the “Report”), each of the undersigned officers certify, pursuant to 18 U.S.C. § 1350, as adopted pursuant to § 906 of the Sarbanes-Oxley Act of 2002, that:</w:t>
      </w:r>
    </w:p>
    <w:p>
      <w:pPr>
        <w:spacing w:after="0" w:line="1" w:lineRule="exact"/>
        <w:rPr>
          <w:sz w:val="20"/>
          <w:szCs w:val="20"/>
          <w:color w:val="auto"/>
        </w:rPr>
      </w:pPr>
    </w:p>
    <w:p>
      <w:pPr>
        <w:ind w:left="260" w:hanging="252"/>
        <w:spacing w:after="0"/>
        <w:tabs>
          <w:tab w:leader="none" w:pos="2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position and results of operations of the Company.</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6300" w:type="dxa"/>
            <w:vAlign w:val="bottom"/>
            <w:gridSpan w:val="3"/>
          </w:tcPr>
          <w:p>
            <w:pPr>
              <w:ind w:left="200"/>
              <w:spacing w:after="0"/>
              <w:rPr>
                <w:sz w:val="20"/>
                <w:szCs w:val="20"/>
                <w:color w:val="auto"/>
              </w:rPr>
            </w:pPr>
            <w:r>
              <w:rPr>
                <w:rFonts w:ascii="Arial" w:cs="Arial" w:eastAsia="Arial" w:hAnsi="Arial"/>
                <w:sz w:val="18"/>
                <w:szCs w:val="18"/>
                <w:color w:val="auto"/>
              </w:rPr>
              <w:t>February 28, 2022</w:t>
            </w:r>
          </w:p>
        </w:tc>
        <w:tc>
          <w:tcPr>
            <w:tcW w:w="3280" w:type="dxa"/>
            <w:vAlign w:val="bottom"/>
          </w:tcPr>
          <w:p>
            <w:pPr>
              <w:ind w:left="20"/>
              <w:spacing w:after="0"/>
              <w:rPr>
                <w:sz w:val="20"/>
                <w:szCs w:val="20"/>
                <w:color w:val="auto"/>
              </w:rPr>
            </w:pPr>
            <w:r>
              <w:rPr>
                <w:rFonts w:ascii="Arial" w:cs="Arial" w:eastAsia="Arial" w:hAnsi="Arial"/>
                <w:sz w:val="18"/>
                <w:szCs w:val="18"/>
                <w:color w:val="auto"/>
              </w:rPr>
              <w:t>/s/ Timothy J. Donahue</w:t>
            </w:r>
          </w:p>
        </w:tc>
      </w:tr>
      <w:tr>
        <w:trPr>
          <w:trHeight w:val="20"/>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Timothy J. Donahue</w:t>
            </w:r>
          </w:p>
        </w:tc>
      </w:tr>
      <w:tr>
        <w:trPr>
          <w:trHeight w:val="230"/>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6300" w:type="dxa"/>
            <w:vAlign w:val="bottom"/>
            <w:gridSpan w:val="3"/>
          </w:tcPr>
          <w:p>
            <w:pPr>
              <w:ind w:left="200"/>
              <w:spacing w:after="0"/>
              <w:rPr>
                <w:sz w:val="20"/>
                <w:szCs w:val="20"/>
                <w:color w:val="auto"/>
              </w:rPr>
            </w:pPr>
            <w:r>
              <w:rPr>
                <w:rFonts w:ascii="Arial" w:cs="Arial" w:eastAsia="Arial" w:hAnsi="Arial"/>
                <w:sz w:val="18"/>
                <w:szCs w:val="18"/>
                <w:color w:val="auto"/>
              </w:rPr>
              <w:t>February 28, 2022</w:t>
            </w:r>
          </w:p>
        </w:tc>
        <w:tc>
          <w:tcPr>
            <w:tcW w:w="3280" w:type="dxa"/>
            <w:vAlign w:val="bottom"/>
          </w:tcPr>
          <w:p>
            <w:pPr>
              <w:ind w:left="20"/>
              <w:spacing w:after="0"/>
              <w:rPr>
                <w:sz w:val="20"/>
                <w:szCs w:val="20"/>
                <w:color w:val="auto"/>
              </w:rPr>
            </w:pPr>
            <w:r>
              <w:rPr>
                <w:rFonts w:ascii="Arial" w:cs="Arial" w:eastAsia="Arial" w:hAnsi="Arial"/>
                <w:sz w:val="18"/>
                <w:szCs w:val="18"/>
                <w:color w:val="auto"/>
              </w:rPr>
              <w:t>/s/ Kevin C. Clothier</w:t>
            </w:r>
          </w:p>
        </w:tc>
      </w:tr>
      <w:tr>
        <w:trPr>
          <w:trHeight w:val="21"/>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Kevin C. Clothier</w:t>
            </w:r>
          </w:p>
        </w:tc>
      </w:tr>
      <w:tr>
        <w:trPr>
          <w:trHeight w:val="230"/>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foregoing certification is being furnished to the Securities and Exchange Commission as an exhibit to this Annual Report on Form 10-K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p>
      <w:pPr>
        <w:sectPr>
          <w:pgSz w:w="11900" w:h="16838" w:orient="portrait"/>
          <w:cols w:equalWidth="0" w:num="1">
            <w:col w:w="11240"/>
          </w:cols>
          <w:pgMar w:left="320" w:top="891" w:right="339" w:bottom="1440" w:gutter="0" w:footer="0" w:header="0"/>
        </w:sectPr>
      </w:pPr>
    </w:p>
    <w:bookmarkStart w:id="359" w:name="page360"/>
    <w:bookmarkEnd w:id="3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AA2304"/>
    <w:multiLevelType w:val="hybridMultilevel"/>
    <w:lvl w:ilvl="0">
      <w:lvlJc w:val="left"/>
      <w:lvlText w:val="☒"/>
      <w:numFmt w:val="bullet"/>
      <w:start w:val="1"/>
    </w:lvl>
  </w:abstractNum>
  <w:abstractNum w:abstractNumId="1">
    <w:nsid w:val="3F7C2FF4"/>
    <w:multiLevelType w:val="hybridMultilevel"/>
    <w:lvl w:ilvl="0">
      <w:lvlJc w:val="left"/>
      <w:lvlText w:val="☐"/>
      <w:numFmt w:val="bullet"/>
      <w:start w:val="1"/>
    </w:lvl>
  </w:abstractNum>
  <w:abstractNum w:abstractNumId="2">
    <w:nsid w:val="25413BEC"/>
    <w:multiLevelType w:val="hybridMultilevel"/>
    <w:lvl w:ilvl="0">
      <w:lvlJc w:val="left"/>
      <w:lvlText w:val="•"/>
      <w:numFmt w:val="bullet"/>
      <w:start w:val="1"/>
    </w:lvl>
  </w:abstractNum>
  <w:abstractNum w:abstractNumId="3">
    <w:nsid w:val="17180B0B"/>
    <w:multiLevelType w:val="hybridMultilevel"/>
    <w:lvl w:ilvl="0">
      <w:lvlJc w:val="left"/>
      <w:lvlText w:val="•"/>
      <w:numFmt w:val="bullet"/>
      <w:start w:val="1"/>
    </w:lvl>
  </w:abstractNum>
  <w:abstractNum w:abstractNumId="4">
    <w:nsid w:val="579328B9"/>
    <w:multiLevelType w:val="hybridMultilevel"/>
    <w:lvl w:ilvl="0">
      <w:lvlJc w:val="left"/>
      <w:lvlText w:val="•"/>
      <w:numFmt w:val="bullet"/>
      <w:start w:val="1"/>
    </w:lvl>
  </w:abstractNum>
  <w:abstractNum w:abstractNumId="5">
    <w:nsid w:val="5D205E20"/>
    <w:multiLevelType w:val="hybridMultilevel"/>
    <w:lvl w:ilvl="0">
      <w:lvlJc w:val="left"/>
      <w:lvlText w:val="•"/>
      <w:numFmt w:val="bullet"/>
      <w:start w:val="1"/>
    </w:lvl>
  </w:abstractNum>
  <w:abstractNum w:abstractNumId="6">
    <w:nsid w:val="11CCA8BA"/>
    <w:multiLevelType w:val="hybridMultilevel"/>
    <w:lvl w:ilvl="0">
      <w:lvlJc w:val="left"/>
      <w:lvlText w:val="•"/>
      <w:numFmt w:val="bullet"/>
      <w:start w:val="1"/>
    </w:lvl>
  </w:abstractNum>
  <w:abstractNum w:abstractNumId="7">
    <w:nsid w:val="4D32AB86"/>
    <w:multiLevelType w:val="hybridMultilevel"/>
    <w:lvl w:ilvl="0">
      <w:lvlJc w:val="left"/>
      <w:lvlText w:val="•"/>
      <w:numFmt w:val="bullet"/>
      <w:start w:val="1"/>
    </w:lvl>
  </w:abstractNum>
  <w:abstractNum w:abstractNumId="8">
    <w:nsid w:val="3F07ACC3"/>
    <w:multiLevelType w:val="hybridMultilevel"/>
    <w:lvl w:ilvl="0">
      <w:lvlJc w:val="left"/>
      <w:lvlText w:val="•"/>
      <w:numFmt w:val="bullet"/>
      <w:start w:val="1"/>
    </w:lvl>
  </w:abstractNum>
  <w:abstractNum w:abstractNumId="9">
    <w:nsid w:val="6B47F63E"/>
    <w:multiLevelType w:val="hybridMultilevel"/>
    <w:lvl w:ilvl="0">
      <w:lvlJc w:val="left"/>
      <w:lvlText w:val="%1:"/>
      <w:numFmt w:val="upperLetter"/>
      <w:start w:val="16"/>
    </w:lvl>
  </w:abstractNum>
  <w:abstractNum w:abstractNumId="10">
    <w:nsid w:val="5CB44A05"/>
    <w:multiLevelType w:val="hybridMultilevel"/>
    <w:lvl w:ilvl="0">
      <w:lvlJc w:val="left"/>
      <w:lvlText w:val="%1:"/>
      <w:numFmt w:val="upperLetter"/>
      <w:start w:val="19"/>
    </w:lvl>
  </w:abstractNum>
  <w:abstractNum w:abstractNumId="11">
    <w:nsid w:val="16CF80F1"/>
    <w:multiLevelType w:val="hybridMultilevel"/>
    <w:lvl w:ilvl="0">
      <w:lvlJc w:val="left"/>
      <w:lvlText w:val="(%1)"/>
      <w:numFmt w:val="decimal"/>
      <w:start w:val="1"/>
    </w:lvl>
  </w:abstractNum>
  <w:abstractNum w:abstractNumId="12">
    <w:nsid w:val="1C695DEC"/>
    <w:multiLevelType w:val="hybridMultilevel"/>
    <w:lvl w:ilvl="0">
      <w:lvlJc w:val="left"/>
      <w:lvlText w:val="(%1)"/>
      <w:numFmt w:val="lowerLetter"/>
      <w:start w:val="1"/>
    </w:lvl>
  </w:abstractNum>
  <w:abstractNum w:abstractNumId="13">
    <w:nsid w:val="3FCFAED9"/>
    <w:multiLevelType w:val="hybridMultilevel"/>
    <w:lvl w:ilvl="0">
      <w:lvlJc w:val="left"/>
      <w:lvlText w:val="(%1)"/>
      <w:numFmt w:val="decimal"/>
      <w:start w:val="1"/>
    </w:lvl>
  </w:abstractNum>
  <w:abstractNum w:abstractNumId="14">
    <w:nsid w:val="F856867"/>
    <w:multiLevelType w:val="hybridMultilevel"/>
    <w:lvl w:ilvl="0">
      <w:lvlJc w:val="left"/>
      <w:lvlText w:val="•"/>
      <w:numFmt w:val="bullet"/>
      <w:start w:val="1"/>
    </w:lvl>
  </w:abstractNum>
  <w:abstractNum w:abstractNumId="15">
    <w:nsid w:val="11B1CC33"/>
    <w:multiLevelType w:val="hybridMultilevel"/>
    <w:lvl w:ilvl="0">
      <w:lvlJc w:val="left"/>
      <w:lvlText w:val="•"/>
      <w:numFmt w:val="bullet"/>
      <w:start w:val="1"/>
    </w:lvl>
  </w:abstractNum>
  <w:abstractNum w:abstractNumId="16">
    <w:nsid w:val="2E22FBB7"/>
    <w:multiLevelType w:val="hybridMultilevel"/>
    <w:lvl w:ilvl="0">
      <w:lvlJc w:val="left"/>
      <w:lvlText w:val="(%1)"/>
      <w:numFmt w:val="decimal"/>
      <w:start w:val="1"/>
    </w:lvl>
  </w:abstractNum>
  <w:abstractNum w:abstractNumId="17">
    <w:nsid w:val="29934699"/>
    <w:multiLevelType w:val="hybridMultilevel"/>
    <w:lvl w:ilvl="0">
      <w:lvlJc w:val="left"/>
      <w:lvlText w:val="(%1)"/>
      <w:numFmt w:val="decimal"/>
      <w:start w:val="1"/>
    </w:lvl>
  </w:abstractNum>
  <w:abstractNum w:abstractNumId="18">
    <w:nsid w:val="77485850"/>
    <w:multiLevelType w:val="hybridMultilevel"/>
    <w:lvl w:ilvl="0">
      <w:lvlJc w:val="left"/>
      <w:lvlText w:val="(%1)"/>
      <w:numFmt w:val="decimal"/>
      <w:start w:val="1"/>
    </w:lvl>
  </w:abstractNum>
  <w:abstractNum w:abstractNumId="19">
    <w:nsid w:val="744939A3"/>
    <w:multiLevelType w:val="hybridMultilevel"/>
    <w:lvl w:ilvl="0">
      <w:lvlJc w:val="left"/>
      <w:lvlText w:val="•"/>
      <w:numFmt w:val="bullet"/>
      <w:start w:val="1"/>
    </w:lvl>
  </w:abstractNum>
  <w:abstractNum w:abstractNumId="20">
    <w:nsid w:val="4FA0D2E3"/>
    <w:multiLevelType w:val="hybridMultilevel"/>
    <w:lvl w:ilvl="0">
      <w:lvlJc w:val="left"/>
      <w:lvlText w:val="(%1)"/>
      <w:numFmt w:val="decimal"/>
      <w:start w:val="1"/>
    </w:lvl>
  </w:abstractNum>
  <w:abstractNum w:abstractNumId="21">
    <w:nsid w:val="6B1D2C14"/>
    <w:multiLevelType w:val="hybridMultilevel"/>
    <w:lvl w:ilvl="0">
      <w:lvlJc w:val="left"/>
      <w:lvlText w:val="%1."/>
      <w:numFmt w:val="upperLetter"/>
      <w:start w:val="2"/>
    </w:lvl>
  </w:abstractNum>
  <w:abstractNum w:abstractNumId="22">
    <w:nsid w:val="68B867D3"/>
    <w:multiLevelType w:val="hybridMultilevel"/>
    <w:lvl w:ilvl="0">
      <w:lvlJc w:val="left"/>
      <w:lvlText w:val="%1."/>
      <w:numFmt w:val="upperLetter"/>
      <w:start w:val="16"/>
    </w:lvl>
  </w:abstractNum>
  <w:abstractNum w:abstractNumId="23">
    <w:nsid w:val="3F7F5DD9"/>
    <w:multiLevelType w:val="hybridMultilevel"/>
    <w:lvl w:ilvl="0">
      <w:lvlJc w:val="left"/>
      <w:lvlText w:val="%1."/>
      <w:numFmt w:val="upperLetter"/>
      <w:start w:val="25"/>
    </w:lvl>
  </w:abstractNum>
  <w:abstractNum w:abstractNumId="24">
    <w:nsid w:val="2AE05A34"/>
    <w:multiLevelType w:val="hybridMultilevel"/>
    <w:lvl w:ilvl="0">
      <w:lvlJc w:val="left"/>
      <w:lvlText w:val="(%1)"/>
      <w:numFmt w:val="decimal"/>
      <w:start w:val="1"/>
    </w:lvl>
  </w:abstractNum>
  <w:abstractNum w:abstractNumId="25">
    <w:nsid w:val="32794FF7"/>
    <w:multiLevelType w:val="hybridMultilevel"/>
    <w:lvl w:ilvl="0">
      <w:lvlJc w:val="left"/>
      <w:lvlText w:val="(%1)"/>
      <w:numFmt w:val="decimal"/>
      <w:start w:val="1"/>
    </w:lvl>
  </w:abstractNum>
  <w:abstractNum w:abstractNumId="26">
    <w:nsid w:val="5454945E"/>
    <w:multiLevelType w:val="hybridMultilevel"/>
    <w:lvl w:ilvl="0">
      <w:lvlJc w:val="left"/>
      <w:lvlText w:val="%1)"/>
      <w:numFmt w:val="lowerLetter"/>
      <w:start w:val="1"/>
    </w:lvl>
    <w:lvl w:ilvl="1">
      <w:lvlJc w:val="left"/>
      <w:lvlText w:val="(%2)"/>
      <w:numFmt w:val="decimal"/>
      <w:start w:val="1"/>
    </w:lvl>
  </w:abstractNum>
  <w:abstractNum w:abstractNumId="27">
    <w:nsid w:val="4DEFDFA0"/>
    <w:multiLevelType w:val="hybridMultilevel"/>
    <w:lvl w:ilvl="0">
      <w:lvlJc w:val="left"/>
      <w:lvlText w:val="(%1)"/>
      <w:numFmt w:val="decimal"/>
      <w:start w:val="3"/>
    </w:lvl>
  </w:abstractNum>
  <w:abstractNum w:abstractNumId="28">
    <w:nsid w:val="2123D5F2"/>
    <w:multiLevelType w:val="hybridMultilevel"/>
    <w:lvl w:ilvl="0">
      <w:lvlJc w:val="left"/>
      <w:lvlText w:val="%1."/>
      <w:numFmt w:val="decimal"/>
      <w:start w:val="4"/>
    </w:lvl>
  </w:abstractNum>
  <w:abstractNum w:abstractNumId="29">
    <w:nsid w:val="135B8110"/>
    <w:multiLevelType w:val="hybridMultilevel"/>
    <w:lvl w:ilvl="0">
      <w:lvlJc w:val="left"/>
      <w:lvlText w:val="%1."/>
      <w:numFmt w:val="decimal"/>
      <w:start w:val="4"/>
    </w:lvl>
  </w:abstractNum>
  <w:abstractNum w:abstractNumId="30">
    <w:nsid w:val="94927A8"/>
    <w:multiLevelType w:val="hybridMultilevel"/>
    <w:lvl w:ilvl="0">
      <w:lvlJc w:val="left"/>
      <w:lvlText w:val="%1."/>
      <w:numFmt w:val="decimal"/>
      <w:start w:val="4"/>
    </w:lvl>
  </w:abstractNum>
  <w:abstractNum w:abstractNumId="31">
    <w:nsid w:val="DCDF8F6"/>
    <w:multiLevelType w:val="hybridMultilevel"/>
    <w:lvl w:ilvl="0">
      <w:lvlJc w:val="left"/>
      <w:lvlText w:val="(%1)"/>
      <w:numFmt w:val="decimal"/>
      <w:start w:val="1"/>
    </w:lvl>
  </w:abstractNum>
  <w:abstractNum w:abstractNumId="32">
    <w:nsid w:val="52D7B105"/>
    <w:multiLevelType w:val="hybridMultilevel"/>
    <w:lvl w:ilvl="0">
      <w:lvlJc w:val="left"/>
      <w:lvlText w:val="(%1)"/>
      <w:numFmt w:val="decimal"/>
      <w:start w:val="4"/>
    </w:lvl>
  </w:abstractNum>
  <w:abstractNum w:abstractNumId="33">
    <w:nsid w:val="2E8A6394"/>
    <w:multiLevelType w:val="hybridMultilevel"/>
    <w:lvl w:ilvl="0">
      <w:lvlJc w:val="left"/>
      <w:lvlText w:val="(%1)"/>
      <w:numFmt w:val="decimal"/>
      <w:start w:val="1"/>
    </w:lvl>
  </w:abstractNum>
  <w:abstractNum w:abstractNumId="34">
    <w:nsid w:val="24E60401"/>
    <w:multiLevelType w:val="hybridMultilevel"/>
    <w:lvl w:ilvl="0">
      <w:lvlJc w:val="left"/>
      <w:lvlText w:val="(%1)"/>
      <w:numFmt w:val="decimal"/>
      <w:start w:val="8"/>
    </w:lvl>
  </w:abstractNum>
  <w:abstractNum w:abstractNumId="35">
    <w:nsid w:val="2A6AD9BE"/>
    <w:multiLevelType w:val="hybridMultilevel"/>
    <w:lvl w:ilvl="0">
      <w:lvlJc w:val="left"/>
      <w:lvlText w:val="%1"/>
      <w:numFmt w:val="decimal"/>
      <w:start w:val="21"/>
    </w:lvl>
  </w:abstractNum>
  <w:abstractNum w:abstractNumId="36">
    <w:nsid w:val="BAAC1B4"/>
    <w:multiLevelType w:val="hybridMultilevel"/>
    <w:lvl w:ilvl="0">
      <w:lvlJc w:val="left"/>
      <w:lvlText w:val="%1"/>
      <w:numFmt w:val="decimal"/>
      <w:start w:val="32"/>
    </w:lvl>
    <w:lvl w:ilvl="1">
      <w:lvlJc w:val="left"/>
      <w:lvlText w:val="%2"/>
      <w:numFmt w:val="upperLetter"/>
      <w:start w:val="1"/>
    </w:lvl>
  </w:abstractNum>
  <w:abstractNum w:abstractNumId="37">
    <w:nsid w:val="36B2ACBC"/>
    <w:multiLevelType w:val="hybridMultilevel"/>
    <w:lvl w:ilvl="0">
      <w:lvlJc w:val="left"/>
      <w:lvlText w:val="%1"/>
      <w:numFmt w:val="decimal"/>
      <w:start w:val="101"/>
    </w:lvl>
  </w:abstractNum>
  <w:abstractNum w:abstractNumId="38">
    <w:nsid w:val="779D8544"/>
    <w:multiLevelType w:val="hybridMultilevel"/>
    <w:lvl w:ilvl="0">
      <w:lvlJc w:val="left"/>
      <w:lvlText w:val="%1"/>
      <w:numFmt w:val="decimal"/>
      <w:start w:val="104"/>
    </w:lvl>
  </w:abstractNum>
  <w:abstractNum w:abstractNumId="39">
    <w:nsid w:val="4AB26E78"/>
    <w:multiLevelType w:val="hybridMultilevel"/>
    <w:lvl w:ilvl="0">
      <w:lvlJc w:val="left"/>
      <w:lvlText w:val="%1."/>
      <w:numFmt w:val="lowerLetter"/>
      <w:start w:val="1"/>
    </w:lvl>
  </w:abstractNum>
  <w:abstractNum w:abstractNumId="40">
    <w:nsid w:val="21FAA2FA"/>
    <w:multiLevelType w:val="hybridMultilevel"/>
    <w:lvl w:ilvl="0">
      <w:lvlJc w:val="left"/>
      <w:lvlText w:val="%1."/>
      <w:numFmt w:val="lowerLetter"/>
      <w:start w:val="1"/>
    </w:lvl>
  </w:abstractNum>
  <w:abstractNum w:abstractNumId="41">
    <w:nsid w:val="5451CF49"/>
    <w:multiLevelType w:val="hybridMultilevel"/>
    <w:lvl w:ilvl="0">
      <w:lvlJc w:val="left"/>
      <w:lvlText w:val="(%1)"/>
      <w:numFmt w:val="lowerRoman"/>
      <w:start w:val="2"/>
    </w:lvl>
  </w:abstractNum>
  <w:abstractNum w:abstractNumId="42">
    <w:nsid w:val="6181EF69"/>
    <w:multiLevelType w:val="hybridMultilevel"/>
    <w:lvl w:ilvl="0">
      <w:lvlJc w:val="left"/>
      <w:lvlText w:val="(%1)"/>
      <w:numFmt w:val="lowerLetter"/>
      <w:start w:val="1"/>
    </w:lvl>
  </w:abstractNum>
  <w:abstractNum w:abstractNumId="43">
    <w:nsid w:val="3E6400E6"/>
    <w:multiLevelType w:val="hybridMultilevel"/>
    <w:lvl w:ilvl="0">
      <w:lvlJc w:val="left"/>
      <w:lvlText w:val="&amp;"/>
      <w:numFmt w:val="bullet"/>
      <w:start w:val="1"/>
    </w:lvl>
  </w:abstractNum>
  <w:abstractNum w:abstractNumId="44">
    <w:nsid w:val="14217E23"/>
    <w:multiLevelType w:val="hybridMultilevel"/>
    <w:lvl w:ilvl="0">
      <w:lvlJc w:val="left"/>
      <w:lvlText w:val="(%1)"/>
      <w:numFmt w:val="lowerLetter"/>
      <w:start w:val="3"/>
    </w:lvl>
  </w:abstractNum>
  <w:abstractNum w:abstractNumId="45">
    <w:nsid w:val="710757D0"/>
    <w:multiLevelType w:val="hybridMultilevel"/>
    <w:lvl w:ilvl="0">
      <w:lvlJc w:val="left"/>
      <w:lvlText w:val="%1."/>
      <w:numFmt w:val="lowerRoman"/>
      <w:start w:val="1"/>
    </w:lvl>
  </w:abstractNum>
  <w:abstractNum w:abstractNumId="46">
    <w:nsid w:val="5015CD1A"/>
    <w:multiLevelType w:val="hybridMultilevel"/>
    <w:lvl w:ilvl="0">
      <w:lvlJc w:val="left"/>
      <w:lvlText w:val="(%1)"/>
      <w:numFmt w:val="lowerRoman"/>
      <w:start w:val="1"/>
    </w:lvl>
  </w:abstractNum>
  <w:abstractNum w:abstractNumId="47">
    <w:nsid w:val="424479DA"/>
    <w:multiLevelType w:val="hybridMultilevel"/>
    <w:lvl w:ilvl="0">
      <w:lvlJc w:val="left"/>
      <w:lvlText w:val="(%1)"/>
      <w:numFmt w:val="lowerLetter"/>
      <w:start w:val="2"/>
    </w:lvl>
  </w:abstractNum>
  <w:abstractNum w:abstractNumId="48">
    <w:nsid w:val="1A9A9E69"/>
    <w:multiLevelType w:val="hybridMultilevel"/>
    <w:lvl w:ilvl="0">
      <w:lvlJc w:val="left"/>
      <w:lvlText w:val="(%1)"/>
      <w:numFmt w:val="lowerLetter"/>
      <w:start w:val="1"/>
    </w:lvl>
  </w:abstractNum>
  <w:abstractNum w:abstractNumId="49">
    <w:nsid w:val="475E256A"/>
    <w:multiLevelType w:val="hybridMultilevel"/>
    <w:lvl w:ilvl="0">
      <w:lvlJc w:val="left"/>
      <w:lvlText w:val="(%1)"/>
      <w:numFmt w:val="decimal"/>
      <w:start w:val="1"/>
    </w:lvl>
  </w:abstractNum>
  <w:abstractNum w:abstractNumId="50">
    <w:nsid w:val="368DB37E"/>
    <w:multiLevelType w:val="hybridMultilevel"/>
    <w:lvl w:ilvl="0">
      <w:lvlJc w:val="left"/>
      <w:lvlText w:val="(%1)"/>
      <w:numFmt w:val="lowerLetter"/>
      <w:start w:val="2"/>
    </w:lvl>
  </w:abstractNum>
  <w:abstractNum w:abstractNumId="51">
    <w:nsid w:val="6A3B714C"/>
    <w:multiLevelType w:val="hybridMultilevel"/>
    <w:lvl w:ilvl="0">
      <w:lvlJc w:val="left"/>
      <w:lvlText w:val="(%1)"/>
      <w:numFmt w:val="lowerLetter"/>
      <w:start w:val="3"/>
    </w:lvl>
  </w:abstractNum>
  <w:abstractNum w:abstractNumId="52">
    <w:nsid w:val="327B517E"/>
    <w:multiLevelType w:val="hybridMultilevel"/>
    <w:lvl w:ilvl="0">
      <w:lvlJc w:val="left"/>
      <w:lvlText w:val="%1"/>
      <w:numFmt w:val="upperLetter"/>
      <w:start w:val="1"/>
    </w:lvl>
    <w:lvl w:ilvl="1">
      <w:lvlJc w:val="left"/>
      <w:lvlText w:val="(%2)"/>
      <w:numFmt w:val="lowerRoman"/>
      <w:start w:val="1"/>
    </w:lvl>
  </w:abstractNum>
  <w:abstractNum w:abstractNumId="53">
    <w:nsid w:val="1F461B51"/>
    <w:multiLevelType w:val="hybridMultilevel"/>
    <w:lvl w:ilvl="0">
      <w:lvlJc w:val="left"/>
      <w:lvlText w:val="(%1)"/>
      <w:numFmt w:val="upperLetter"/>
      <w:start w:val="2"/>
    </w:lvl>
    <w:lvl w:ilvl="1">
      <w:lvlJc w:val="left"/>
      <w:lvlText w:val="(%2)"/>
      <w:numFmt w:val="lowerRoman"/>
      <w:start w:val="2"/>
    </w:lvl>
  </w:abstractNum>
  <w:abstractNum w:abstractNumId="54">
    <w:nsid w:val="29BACF25"/>
    <w:multiLevelType w:val="hybridMultilevel"/>
    <w:lvl w:ilvl="0">
      <w:lvlJc w:val="left"/>
      <w:lvlText w:val="(%1)"/>
      <w:numFmt w:val="lowerRoman"/>
      <w:start w:val="3"/>
    </w:lvl>
  </w:abstractNum>
  <w:abstractNum w:abstractNumId="55">
    <w:nsid w:val="5D5BABB3"/>
    <w:multiLevelType w:val="hybridMultilevel"/>
    <w:lvl w:ilvl="0">
      <w:lvlJc w:val="left"/>
      <w:lvlText w:val="(%1)"/>
      <w:numFmt w:val="lowerRoman"/>
      <w:start w:val="5"/>
    </w:lvl>
  </w:abstractNum>
  <w:abstractNum w:abstractNumId="56">
    <w:nsid w:val="51BF6B48"/>
    <w:multiLevelType w:val="hybridMultilevel"/>
    <w:lvl w:ilvl="0">
      <w:lvlJc w:val="left"/>
      <w:lvlText w:val="(%1)"/>
      <w:numFmt w:val="lowerRoman"/>
      <w:start w:val="1"/>
    </w:lvl>
  </w:abstractNum>
  <w:abstractNum w:abstractNumId="57">
    <w:nsid w:val="7E0F6384"/>
    <w:multiLevelType w:val="hybridMultilevel"/>
    <w:lvl w:ilvl="0">
      <w:lvlJc w:val="left"/>
      <w:lvlText w:val="%1"/>
      <w:numFmt w:val="lowerLetter"/>
      <w:start w:val="1"/>
    </w:lvl>
    <w:lvl w:ilvl="1">
      <w:lvlJc w:val="left"/>
      <w:lvlText w:val="(%2)"/>
      <w:numFmt w:val="lowerLetter"/>
      <w:start w:val="1"/>
    </w:lvl>
  </w:abstractNum>
  <w:abstractNum w:abstractNumId="58">
    <w:nsid w:val="2B4B8B53"/>
    <w:multiLevelType w:val="hybridMultilevel"/>
    <w:lvl w:ilvl="0">
      <w:lvlJc w:val="left"/>
      <w:lvlText w:val="(%1)"/>
      <w:numFmt w:val="lowerLetter"/>
      <w:start w:val="24"/>
    </w:lvl>
    <w:lvl w:ilvl="1">
      <w:lvlJc w:val="left"/>
      <w:lvlText w:val="(%2)"/>
      <w:numFmt w:val="lowerLetter"/>
      <w:start w:val="2"/>
    </w:lvl>
  </w:abstractNum>
  <w:abstractNum w:abstractNumId="59">
    <w:nsid w:val="72E3413A"/>
    <w:multiLevelType w:val="hybridMultilevel"/>
    <w:lvl w:ilvl="0">
      <w:lvlJc w:val="left"/>
      <w:lvlText w:val="(%1)"/>
      <w:numFmt w:val="lowerRoman"/>
      <w:start w:val="1"/>
    </w:lvl>
  </w:abstractNum>
  <w:abstractNum w:abstractNumId="60">
    <w:nsid w:val="116AE494"/>
    <w:multiLevelType w:val="hybridMultilevel"/>
    <w:lvl w:ilvl="0">
      <w:lvlJc w:val="left"/>
      <w:lvlText w:val="(%1)"/>
      <w:numFmt w:val="lowerRoman"/>
      <w:start w:val="9"/>
    </w:lvl>
  </w:abstractNum>
  <w:abstractNum w:abstractNumId="61">
    <w:nsid w:val="3494B2FB"/>
    <w:multiLevelType w:val="hybridMultilevel"/>
    <w:lvl w:ilvl="0">
      <w:lvlJc w:val="left"/>
      <w:lvlText w:val="(%1)"/>
      <w:numFmt w:val="lowerLetter"/>
      <w:start w:val="2"/>
    </w:lvl>
  </w:abstractNum>
  <w:abstractNum w:abstractNumId="62">
    <w:nsid w:val="B13A31"/>
    <w:multiLevelType w:val="hybridMultilevel"/>
    <w:lvl w:ilvl="0">
      <w:lvlJc w:val="left"/>
      <w:lvlText w:val="(%1)"/>
      <w:numFmt w:val="lowerRoman"/>
      <w:start w:val="1"/>
    </w:lvl>
  </w:abstractNum>
  <w:abstractNum w:abstractNumId="63">
    <w:nsid w:val="64429599"/>
    <w:multiLevelType w:val="hybridMultilevel"/>
    <w:lvl w:ilvl="0">
      <w:lvlJc w:val="left"/>
      <w:lvlText w:val="(%1)"/>
      <w:numFmt w:val="lowerLetter"/>
      <w:start w:val="1"/>
    </w:lvl>
  </w:abstractNum>
  <w:abstractNum w:abstractNumId="64">
    <w:nsid w:val="631F1690"/>
    <w:multiLevelType w:val="hybridMultilevel"/>
    <w:lvl w:ilvl="0">
      <w:lvlJc w:val="left"/>
      <w:lvlText w:val="%1."/>
      <w:numFmt w:val="lowerLetter"/>
      <w:start w:val="1"/>
    </w:lvl>
  </w:abstractNum>
  <w:abstractNum w:abstractNumId="65">
    <w:nsid w:val="25973E32"/>
    <w:multiLevelType w:val="hybridMultilevel"/>
    <w:lvl w:ilvl="0">
      <w:lvlJc w:val="left"/>
      <w:lvlText w:val="(%1)"/>
      <w:numFmt w:val="lowerRoman"/>
      <w:start w:val="1"/>
    </w:lvl>
  </w:abstractNum>
  <w:abstractNum w:abstractNumId="66">
    <w:nsid w:val="EAD6F57"/>
    <w:multiLevelType w:val="hybridMultilevel"/>
    <w:lvl w:ilvl="0">
      <w:lvlJc w:val="left"/>
      <w:lvlText w:val="(%1)"/>
      <w:numFmt w:val="lowerRoman"/>
      <w:start w:val="1"/>
    </w:lvl>
  </w:abstractNum>
  <w:abstractNum w:abstractNumId="67">
    <w:nsid w:val="6EC9D844"/>
    <w:multiLevelType w:val="hybridMultilevel"/>
    <w:lvl w:ilvl="0">
      <w:lvlJc w:val="left"/>
      <w:lvlText w:val="(%1)"/>
      <w:numFmt w:val="lowerRoman"/>
      <w:start w:val="1"/>
    </w:lvl>
  </w:abstractNum>
  <w:abstractNum w:abstractNumId="68">
    <w:nsid w:val="5C49EAEE"/>
    <w:multiLevelType w:val="hybridMultilevel"/>
    <w:lvl w:ilvl="0">
      <w:lvlJc w:val="left"/>
      <w:lvlText w:val="(%1)"/>
      <w:numFmt w:val="upperLetter"/>
      <w:start w:val="1"/>
    </w:lvl>
  </w:abstractNum>
  <w:abstractNum w:abstractNumId="69">
    <w:nsid w:val="64AF49B"/>
    <w:multiLevelType w:val="hybridMultilevel"/>
    <w:lvl w:ilvl="0">
      <w:lvlJc w:val="left"/>
      <w:lvlText w:val="(%1)"/>
      <w:numFmt w:val="lowerRoman"/>
      <w:start w:val="2"/>
    </w:lvl>
  </w:abstractNum>
  <w:abstractNum w:abstractNumId="70">
    <w:nsid w:val="397C46BC"/>
    <w:multiLevelType w:val="hybridMultilevel"/>
    <w:lvl w:ilvl="0">
      <w:lvlJc w:val="left"/>
      <w:lvlText w:val="(%1)"/>
      <w:numFmt w:val="lowerRoman"/>
      <w:start w:val="1"/>
    </w:lvl>
  </w:abstractNum>
  <w:abstractNum w:abstractNumId="71">
    <w:nsid w:val="7E448DE9"/>
    <w:multiLevelType w:val="hybridMultilevel"/>
    <w:lvl w:ilvl="0">
      <w:lvlJc w:val="left"/>
      <w:lvlText w:val="(%1)"/>
      <w:numFmt w:val="lowerRoman"/>
      <w:start w:val="2"/>
    </w:lvl>
  </w:abstractNum>
  <w:abstractNum w:abstractNumId="72">
    <w:nsid w:val="5A9CC3E5"/>
    <w:multiLevelType w:val="hybridMultilevel"/>
    <w:lvl w:ilvl="0">
      <w:lvlJc w:val="left"/>
      <w:lvlText w:val="(%1)"/>
      <w:numFmt w:val="lowerRoman"/>
      <w:start w:val="3"/>
    </w:lvl>
  </w:abstractNum>
  <w:abstractNum w:abstractNumId="73">
    <w:nsid w:val="1AFE3625"/>
    <w:multiLevelType w:val="hybridMultilevel"/>
    <w:lvl w:ilvl="0">
      <w:lvlJc w:val="left"/>
      <w:lvlText w:val="(%1)"/>
      <w:numFmt w:val="lowerRoman"/>
      <w:start w:val="10"/>
    </w:lvl>
  </w:abstractNum>
  <w:abstractNum w:abstractNumId="74">
    <w:nsid w:val="3CA88ECF"/>
    <w:multiLevelType w:val="hybridMultilevel"/>
    <w:lvl w:ilvl="0">
      <w:lvlJc w:val="left"/>
      <w:lvlText w:val="(%1)"/>
      <w:numFmt w:val="lowerLetter"/>
      <w:start w:val="1"/>
    </w:lvl>
  </w:abstractNum>
  <w:abstractNum w:abstractNumId="75">
    <w:nsid w:val="6EBE4208"/>
    <w:multiLevelType w:val="hybridMultilevel"/>
    <w:lvl w:ilvl="0">
      <w:lvlJc w:val="left"/>
      <w:lvlText w:val="(%1)"/>
      <w:numFmt w:val="lowerLetter"/>
      <w:start w:val="1"/>
    </w:lvl>
  </w:abstractNum>
  <w:abstractNum w:abstractNumId="76">
    <w:nsid w:val="C058DF5"/>
    <w:multiLevelType w:val="hybridMultilevel"/>
    <w:lvl w:ilvl="0">
      <w:lvlJc w:val="left"/>
      <w:lvlText w:val="(%1)"/>
      <w:numFmt w:val="lowerLetter"/>
      <w:start w:val="4"/>
    </w:lvl>
  </w:abstractNum>
  <w:abstractNum w:abstractNumId="77">
    <w:nsid w:val="CBE5BE9"/>
    <w:multiLevelType w:val="hybridMultilevel"/>
    <w:lvl w:ilvl="0">
      <w:lvlJc w:val="left"/>
      <w:lvlText w:val="(%1)"/>
      <w:numFmt w:val="lowerLetter"/>
      <w:start w:val="1"/>
    </w:lvl>
  </w:abstractNum>
  <w:abstractNum w:abstractNumId="78">
    <w:nsid w:val="3102BBE2"/>
    <w:multiLevelType w:val="hybridMultilevel"/>
    <w:lvl w:ilvl="0">
      <w:lvlJc w:val="left"/>
      <w:lvlText w:val="(%1)"/>
      <w:numFmt w:val="lowerLetter"/>
      <w:start w:val="2"/>
    </w:lvl>
  </w:abstractNum>
  <w:abstractNum w:abstractNumId="79">
    <w:nsid w:val="26A02C5E"/>
    <w:multiLevelType w:val="hybridMultilevel"/>
    <w:lvl w:ilvl="0">
      <w:lvlJc w:val="left"/>
      <w:lvlText w:val="(%1)"/>
      <w:numFmt w:val="lowerRoman"/>
      <w:start w:val="3"/>
    </w:lvl>
  </w:abstractNum>
  <w:abstractNum w:abstractNumId="80">
    <w:nsid w:val="541C8153"/>
    <w:multiLevelType w:val="hybridMultilevel"/>
    <w:lvl w:ilvl="0">
      <w:lvlJc w:val="left"/>
      <w:lvlText w:val="(%1)"/>
      <w:numFmt w:val="lowerLetter"/>
      <w:start w:val="1"/>
    </w:lvl>
  </w:abstractNum>
  <w:abstractNum w:abstractNumId="81">
    <w:nsid w:val="67906F60"/>
    <w:multiLevelType w:val="hybridMultilevel"/>
    <w:lvl w:ilvl="0">
      <w:lvlJc w:val="left"/>
      <w:lvlText w:val="(%1)"/>
      <w:numFmt w:val="decimal"/>
      <w:start w:val="3"/>
    </w:lvl>
  </w:abstractNum>
  <w:abstractNum w:abstractNumId="82">
    <w:nsid w:val="10DB9DAA"/>
    <w:multiLevelType w:val="hybridMultilevel"/>
    <w:lvl w:ilvl="0">
      <w:lvlJc w:val="left"/>
      <w:lvlText w:val="(%1)"/>
      <w:numFmt w:val="lowerLetter"/>
      <w:start w:val="1"/>
    </w:lvl>
  </w:abstractNum>
  <w:abstractNum w:abstractNumId="83">
    <w:nsid w:val="697D2D2"/>
    <w:multiLevelType w:val="hybridMultilevel"/>
    <w:lvl w:ilvl="0">
      <w:lvlJc w:val="left"/>
      <w:lvlText w:val="(%1)"/>
      <w:numFmt w:val="lowerLetter"/>
      <w:start w:val="2"/>
    </w:lvl>
  </w:abstractNum>
  <w:abstractNum w:abstractNumId="84">
    <w:nsid w:val="6D68AB2"/>
    <w:multiLevelType w:val="hybridMultilevel"/>
    <w:lvl w:ilvl="0">
      <w:lvlJc w:val="left"/>
      <w:lvlText w:val="(%1)"/>
      <w:numFmt w:val="lowerLetter"/>
      <w:start w:val="4"/>
    </w:lvl>
  </w:abstractNum>
  <w:abstractNum w:abstractNumId="85">
    <w:nsid w:val="3A966CD0"/>
    <w:multiLevelType w:val="hybridMultilevel"/>
    <w:lvl w:ilvl="0">
      <w:lvlJc w:val="left"/>
      <w:lvlText w:val="(%1)"/>
      <w:numFmt w:val="lowerLetter"/>
      <w:start w:val="1"/>
    </w:lvl>
  </w:abstractNum>
  <w:abstractNum w:abstractNumId="86">
    <w:nsid w:val="63F37E85"/>
    <w:multiLevelType w:val="hybridMultilevel"/>
    <w:lvl w:ilvl="0">
      <w:lvlJc w:val="left"/>
      <w:lvlText w:val="(%1)"/>
      <w:numFmt w:val="lowerLetter"/>
      <w:start w:val="2"/>
    </w:lvl>
  </w:abstractNum>
  <w:abstractNum w:abstractNumId="87">
    <w:nsid w:val="5895F5FA"/>
    <w:multiLevelType w:val="hybridMultilevel"/>
    <w:lvl w:ilvl="0">
      <w:lvlJc w:val="left"/>
      <w:lvlText w:val="(%1)"/>
      <w:numFmt w:val="lowerLetter"/>
      <w:start w:val="4"/>
    </w:lvl>
  </w:abstractNum>
  <w:abstractNum w:abstractNumId="88">
    <w:nsid w:val="38A5D054"/>
    <w:multiLevelType w:val="hybridMultilevel"/>
    <w:lvl w:ilvl="0">
      <w:lvlJc w:val="left"/>
      <w:lvlText w:val="(%1)"/>
      <w:numFmt w:val="lowerLetter"/>
      <w:start w:val="5"/>
    </w:lvl>
  </w:abstractNum>
  <w:abstractNum w:abstractNumId="89">
    <w:nsid w:val="F3F09D8"/>
    <w:multiLevelType w:val="hybridMultilevel"/>
    <w:lvl w:ilvl="0">
      <w:lvlJc w:val="left"/>
      <w:lvlText w:val="(%1)"/>
      <w:numFmt w:val="lowerLetter"/>
      <w:start w:val="2"/>
    </w:lvl>
  </w:abstractNum>
  <w:abstractNum w:abstractNumId="90">
    <w:nsid w:val="4B793735"/>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4"/>
    </w:lvl>
  </w:abstractNum>
  <w:abstractNum w:abstractNumId="91">
    <w:nsid w:val="4A10B4E8"/>
    <w:multiLevelType w:val="hybridMultilevel"/>
    <w:lvl w:ilvl="0">
      <w:lvlJc w:val="left"/>
      <w:lvlText w:val="%1."/>
      <w:numFmt w:val="upperLetter"/>
      <w:start w:val="2"/>
    </w:lvl>
  </w:abstractNum>
  <w:abstractNum w:abstractNumId="92">
    <w:nsid w:val="43D3BCD4"/>
    <w:multiLevelType w:val="hybridMultilevel"/>
    <w:lvl w:ilvl="0">
      <w:lvlJc w:val="left"/>
      <w:lvlText w:val="(%1)"/>
      <w:numFmt w:val="lowerLetter"/>
      <w:start w:val="5"/>
    </w:lvl>
  </w:abstractNum>
  <w:abstractNum w:abstractNumId="93">
    <w:nsid w:val="4C2A7166"/>
    <w:multiLevelType w:val="hybridMultilevel"/>
    <w:lvl w:ilvl="0">
      <w:lvlJc w:val="left"/>
      <w:lvlText w:val="(%1)"/>
      <w:numFmt w:val="lowerLetter"/>
      <w:start w:val="6"/>
    </w:lvl>
  </w:abstractNum>
  <w:abstractNum w:abstractNumId="94">
    <w:nsid w:val="2E534A82"/>
    <w:multiLevelType w:val="hybridMultilevel"/>
    <w:lvl w:ilvl="0">
      <w:lvlJc w:val="left"/>
      <w:lvlText w:val="(%1)"/>
      <w:numFmt w:val="lowerRoman"/>
      <w:start w:val="1"/>
    </w:lvl>
    <w:lvl w:ilvl="1">
      <w:lvlJc w:val="left"/>
      <w:lvlText w:val="%2."/>
      <w:numFmt w:val="upperLetter"/>
      <w:start w:val="1"/>
    </w:lvl>
  </w:abstractNum>
  <w:abstractNum w:abstractNumId="95">
    <w:nsid w:val="26F2D364"/>
    <w:multiLevelType w:val="hybridMultilevel"/>
    <w:lvl w:ilvl="0">
      <w:lvlJc w:val="left"/>
      <w:lvlText w:val="(%1)"/>
      <w:numFmt w:val="lowerLetter"/>
      <w:start w:val="8"/>
    </w:lvl>
  </w:abstractNum>
  <w:abstractNum w:abstractNumId="96">
    <w:nsid w:val="71C1AF98"/>
    <w:multiLevelType w:val="hybridMultilevel"/>
    <w:lvl w:ilvl="0">
      <w:lvlJc w:val="left"/>
      <w:lvlText w:val="(%1)"/>
      <w:numFmt w:val="lowerRoman"/>
      <w:start w:val="1"/>
    </w:lvl>
  </w:abstractNum>
  <w:abstractNum w:abstractNumId="97">
    <w:nsid w:val="3D00B9D9"/>
    <w:multiLevelType w:val="hybridMultilevel"/>
    <w:lvl w:ilvl="0">
      <w:lvlJc w:val="left"/>
      <w:lvlText w:val="(%1)"/>
      <w:numFmt w:val="lowerLetter"/>
      <w:start w:val="10"/>
    </w:lvl>
  </w:abstractNum>
  <w:abstractNum w:abstractNumId="98">
    <w:nsid w:val="15BCABA8"/>
    <w:multiLevelType w:val="hybridMultilevel"/>
    <w:lvl w:ilvl="0">
      <w:lvlJc w:val="left"/>
      <w:lvlText w:val="(%1)"/>
      <w:numFmt w:val="lowerLetter"/>
      <w:start w:val="1"/>
    </w:lvl>
    <w:lvl w:ilvl="1">
      <w:lvlJc w:val="left"/>
      <w:lvlText w:val="(%2)"/>
      <w:numFmt w:val="lowerLetter"/>
      <w:start w:val="9"/>
    </w:lvl>
  </w:abstractNum>
  <w:abstractNum w:abstractNumId="99">
    <w:nsid w:val="4E0B9A87"/>
    <w:multiLevelType w:val="hybridMultilevel"/>
    <w:lvl w:ilvl="0">
      <w:lvlJc w:val="left"/>
      <w:lvlText w:val="%1"/>
      <w:numFmt w:val="lowerLetter"/>
      <w:start w:val="1"/>
    </w:lvl>
    <w:lvl w:ilvl="1">
      <w:lvlJc w:val="left"/>
      <w:lvlText w:val="(%2)"/>
      <w:numFmt w:val="lowerLetter"/>
      <w:start w:val="35"/>
    </w:lvl>
  </w:abstractNum>
  <w:abstractNum w:abstractNumId="100">
    <w:nsid w:val="434BAE75"/>
    <w:multiLevelType w:val="hybridMultilevel"/>
    <w:lvl w:ilvl="0">
      <w:lvlJc w:val="left"/>
      <w:lvlText w:val="(%1)"/>
      <w:numFmt w:val="lowerLetter"/>
      <w:start w:val="2"/>
    </w:lvl>
    <w:lvl w:ilvl="1">
      <w:lvlJc w:val="left"/>
      <w:lvlText w:val="%2"/>
      <w:numFmt w:val="lowerLetter"/>
      <w:start w:val="1"/>
    </w:lvl>
  </w:abstractNum>
  <w:abstractNum w:abstractNumId="101">
    <w:nsid w:val="4F38F265"/>
    <w:multiLevelType w:val="hybridMultilevel"/>
    <w:lvl w:ilvl="0">
      <w:lvlJc w:val="left"/>
      <w:lvlText w:val="(%1)"/>
      <w:numFmt w:val="lowerRoman"/>
      <w:start w:val="1"/>
    </w:lvl>
  </w:abstractNum>
  <w:abstractNum w:abstractNumId="102">
    <w:nsid w:val="4C502870"/>
    <w:multiLevelType w:val="hybridMultilevel"/>
    <w:lvl w:ilvl="0">
      <w:lvlJc w:val="left"/>
      <w:lvlText w:val="(%1)"/>
      <w:numFmt w:val="lowerLetter"/>
      <w:start w:val="4"/>
    </w:lvl>
  </w:abstractNum>
  <w:abstractNum w:abstractNumId="103">
    <w:nsid w:val="1DE8725A"/>
    <w:multiLevelType w:val="hybridMultilevel"/>
    <w:lvl w:ilvl="0">
      <w:lvlJc w:val="left"/>
      <w:lvlText w:val="(%1)"/>
      <w:numFmt w:val="lowerLetter"/>
      <w:start w:val="1"/>
    </w:lvl>
  </w:abstractNum>
  <w:abstractNum w:abstractNumId="104">
    <w:nsid w:val="6A37288A"/>
    <w:multiLevelType w:val="hybridMultilevel"/>
    <w:lvl w:ilvl="0">
      <w:lvlJc w:val="left"/>
      <w:lvlText w:val="(%1)"/>
      <w:numFmt w:val="lowerLetter"/>
      <w:start w:val="6"/>
    </w:lvl>
  </w:abstractNum>
  <w:abstractNum w:abstractNumId="105">
    <w:nsid w:val="8F8B73F"/>
    <w:multiLevelType w:val="hybridMultilevel"/>
    <w:lvl w:ilvl="0">
      <w:lvlJc w:val="left"/>
      <w:lvlText w:val="(%1)"/>
      <w:numFmt w:val="lowerLetter"/>
      <w:start w:val="2"/>
    </w:lvl>
  </w:abstractNum>
  <w:abstractNum w:abstractNumId="106">
    <w:nsid w:val="CA6B462"/>
    <w:multiLevelType w:val="hybridMultilevel"/>
    <w:lvl w:ilvl="0">
      <w:lvlJc w:val="left"/>
      <w:lvlText w:val="(%1)"/>
      <w:numFmt w:val="lowerLetter"/>
      <w:start w:val="4"/>
    </w:lvl>
  </w:abstractNum>
  <w:abstractNum w:abstractNumId="107">
    <w:nsid w:val="763CB680"/>
    <w:multiLevelType w:val="hybridMultilevel"/>
    <w:lvl w:ilvl="0">
      <w:lvlJc w:val="left"/>
      <w:lvlText w:val="(%1)"/>
      <w:numFmt w:val="lowerLetter"/>
      <w:start w:val="1"/>
    </w:lvl>
  </w:abstractNum>
  <w:abstractNum w:abstractNumId="108">
    <w:nsid w:val="15B71329"/>
    <w:multiLevelType w:val="hybridMultilevel"/>
    <w:lvl w:ilvl="0">
      <w:lvlJc w:val="left"/>
      <w:lvlText w:val="(%1)"/>
      <w:numFmt w:val="lowerLetter"/>
      <w:start w:val="2"/>
    </w:lvl>
  </w:abstractNum>
  <w:abstractNum w:abstractNumId="109">
    <w:nsid w:val="3DA97044"/>
    <w:multiLevelType w:val="hybridMultilevel"/>
    <w:lvl w:ilvl="0">
      <w:lvlJc w:val="left"/>
      <w:lvlText w:val="(%1)"/>
      <w:numFmt w:val="lowerLetter"/>
      <w:start w:val="2"/>
    </w:lvl>
  </w:abstractNum>
  <w:abstractNum w:abstractNumId="110">
    <w:nsid w:val="1CDCE2DE"/>
    <w:multiLevelType w:val="hybridMultilevel"/>
    <w:lvl w:ilvl="0">
      <w:lvlJc w:val="left"/>
      <w:lvlText w:val="(%1)"/>
      <w:numFmt w:val="lowerLetter"/>
      <w:start w:val="1"/>
    </w:lvl>
  </w:abstractNum>
  <w:abstractNum w:abstractNumId="111">
    <w:nsid w:val="69D3947C"/>
    <w:multiLevelType w:val="hybridMultilevel"/>
    <w:lvl w:ilvl="0">
      <w:lvlJc w:val="left"/>
      <w:lvlText w:val="(%1)"/>
      <w:numFmt w:val="lowerLetter"/>
      <w:start w:val="2"/>
    </w:lvl>
  </w:abstractNum>
  <w:abstractNum w:abstractNumId="112">
    <w:nsid w:val="2539DFA5"/>
    <w:multiLevelType w:val="hybridMultilevel"/>
    <w:lvl w:ilvl="0">
      <w:lvlJc w:val="left"/>
      <w:lvlText w:val="(%1)"/>
      <w:numFmt w:val="lowerLetter"/>
      <w:start w:val="4"/>
    </w:lvl>
  </w:abstractNum>
  <w:abstractNum w:abstractNumId="113">
    <w:nsid w:val="2DB88089"/>
    <w:multiLevelType w:val="hybridMultilevel"/>
    <w:lvl w:ilvl="0">
      <w:lvlJc w:val="left"/>
      <w:lvlText w:val="(%1)"/>
      <w:numFmt w:val="lowerLetter"/>
      <w:start w:val="1"/>
    </w:lvl>
  </w:abstractNum>
  <w:abstractNum w:abstractNumId="114">
    <w:nsid w:val="706B674E"/>
    <w:multiLevelType w:val="hybridMultilevel"/>
    <w:lvl w:ilvl="0">
      <w:lvlJc w:val="left"/>
      <w:lvlText w:val="(%1)"/>
      <w:numFmt w:val="lowerLetter"/>
      <w:start w:val="1"/>
    </w:lvl>
  </w:abstractNum>
  <w:abstractNum w:abstractNumId="115">
    <w:nsid w:val="2C106A57"/>
    <w:multiLevelType w:val="hybridMultilevel"/>
    <w:lvl w:ilvl="0">
      <w:lvlJc w:val="left"/>
      <w:lvlText w:val="(%1)"/>
      <w:numFmt w:val="lowerRoman"/>
      <w:start w:val="1"/>
    </w:lvl>
  </w:abstractNum>
  <w:abstractNum w:abstractNumId="116">
    <w:nsid w:val="684EED59"/>
    <w:multiLevelType w:val="hybridMultilevel"/>
    <w:lvl w:ilvl="0">
      <w:lvlJc w:val="left"/>
      <w:lvlText w:val="(%1)"/>
      <w:numFmt w:val="lowerLetter"/>
      <w:start w:val="3"/>
    </w:lvl>
  </w:abstractNum>
  <w:abstractNum w:abstractNumId="117">
    <w:nsid w:val="545EE5D3"/>
    <w:multiLevelType w:val="hybridMultilevel"/>
    <w:lvl w:ilvl="0">
      <w:lvlJc w:val="left"/>
      <w:lvlText w:val="(%1)"/>
      <w:numFmt w:val="lowerLetter"/>
      <w:start w:val="4"/>
    </w:lvl>
  </w:abstractNum>
  <w:abstractNum w:abstractNumId="118">
    <w:nsid w:val="4A66051"/>
    <w:multiLevelType w:val="hybridMultilevel"/>
    <w:lvl w:ilvl="0">
      <w:lvlJc w:val="left"/>
      <w:lvlText w:val="(%1)"/>
      <w:numFmt w:val="lowerLetter"/>
      <w:start w:val="9"/>
    </w:lvl>
  </w:abstractNum>
  <w:abstractNum w:abstractNumId="119">
    <w:nsid w:val="20F4BDAD"/>
    <w:multiLevelType w:val="hybridMultilevel"/>
    <w:lvl w:ilvl="0">
      <w:lvlJc w:val="left"/>
      <w:lvlText w:val="%1."/>
      <w:numFmt w:val="decimal"/>
      <w:start w:val="1"/>
    </w:lvl>
  </w:abstractNum>
  <w:abstractNum w:abstractNumId="120">
    <w:nsid w:val="639DEFAC"/>
    <w:multiLevelType w:val="hybridMultilevel"/>
    <w:lvl w:ilvl="0">
      <w:lvlJc w:val="left"/>
      <w:lvlText w:val="(%1)"/>
      <w:numFmt w:val="lowerLetter"/>
      <w:start w:val="2"/>
    </w:lvl>
  </w:abstractNum>
  <w:abstractNum w:abstractNumId="121">
    <w:nsid w:val="501F9786"/>
    <w:multiLevelType w:val="hybridMultilevel"/>
    <w:lvl w:ilvl="0">
      <w:lvlJc w:val="left"/>
      <w:lvlText w:val="(%1)"/>
      <w:numFmt w:val="lowerLetter"/>
      <w:start w:val="4"/>
    </w:lvl>
  </w:abstractNum>
  <w:abstractNum w:abstractNumId="122">
    <w:nsid w:val="6B057295"/>
    <w:multiLevelType w:val="hybridMultilevel"/>
    <w:lvl w:ilvl="0">
      <w:lvlJc w:val="left"/>
      <w:lvlText w:val="(%1)"/>
      <w:numFmt w:val="lowerLetter"/>
      <w:start w:val="9"/>
    </w:lvl>
  </w:abstractNum>
  <w:abstractNum w:abstractNumId="123">
    <w:nsid w:val="2771AC80"/>
    <w:multiLevelType w:val="hybridMultilevel"/>
    <w:lvl w:ilvl="0">
      <w:lvlJc w:val="left"/>
      <w:lvlText w:val="(%1)"/>
      <w:numFmt w:val="lowerLetter"/>
      <w:start w:val="2"/>
    </w:lvl>
  </w:abstractNum>
  <w:abstractNum w:abstractNumId="124">
    <w:nsid w:val="1C4A08EC"/>
    <w:multiLevelType w:val="hybridMultilevel"/>
    <w:lvl w:ilvl="0">
      <w:lvlJc w:val="left"/>
      <w:lvlText w:val="(%1)"/>
      <w:numFmt w:val="lowerRoman"/>
      <w:start w:val="1"/>
    </w:lvl>
  </w:abstractNum>
  <w:abstractNum w:abstractNumId="125">
    <w:nsid w:val="1958BD17"/>
    <w:multiLevelType w:val="hybridMultilevel"/>
    <w:lvl w:ilvl="0">
      <w:lvlJc w:val="left"/>
      <w:lvlText w:val="(%1)"/>
      <w:numFmt w:val="lowerLetter"/>
      <w:start w:val="1"/>
    </w:lvl>
    <w:lvl w:ilvl="1">
      <w:lvlJc w:val="left"/>
      <w:lvlText w:val="(%2)"/>
      <w:numFmt w:val="lowerRoman"/>
      <w:start w:val="1"/>
    </w:lvl>
  </w:abstractNum>
  <w:abstractNum w:abstractNumId="126">
    <w:nsid w:val="4E647FE4"/>
    <w:multiLevelType w:val="hybridMultilevel"/>
    <w:lvl w:ilvl="0">
      <w:lvlJc w:val="left"/>
      <w:lvlText w:val="(%1)"/>
      <w:numFmt w:val="lowerRoman"/>
      <w:start w:val="1"/>
    </w:lvl>
  </w:abstractNum>
  <w:abstractNum w:abstractNumId="127">
    <w:nsid w:val="E0BB885"/>
    <w:multiLevelType w:val="hybridMultilevel"/>
    <w:lvl w:ilvl="0">
      <w:lvlJc w:val="left"/>
      <w:lvlText w:val="(%1)"/>
      <w:numFmt w:val="lowerLetter"/>
      <w:start w:val="4"/>
    </w:lvl>
  </w:abstractNum>
  <w:abstractNum w:abstractNumId="128">
    <w:nsid w:val="565976F1"/>
    <w:multiLevelType w:val="hybridMultilevel"/>
    <w:lvl w:ilvl="0">
      <w:lvlJc w:val="left"/>
      <w:lvlText w:val="(%1)"/>
      <w:numFmt w:val="lowerLetter"/>
      <w:start w:val="4"/>
    </w:lvl>
  </w:abstractNum>
  <w:abstractNum w:abstractNumId="129">
    <w:nsid w:val="64212B8C"/>
    <w:multiLevelType w:val="hybridMultilevel"/>
    <w:lvl w:ilvl="0">
      <w:lvlJc w:val="left"/>
      <w:lvlText w:val="(%1)"/>
      <w:numFmt w:val="lowerLetter"/>
      <w:start w:val="1"/>
    </w:lvl>
  </w:abstractNum>
  <w:abstractNum w:abstractNumId="130">
    <w:nsid w:val="5C17530C"/>
    <w:multiLevelType w:val="hybridMultilevel"/>
    <w:lvl w:ilvl="0">
      <w:lvlJc w:val="left"/>
      <w:lvlText w:val="(%1)"/>
      <w:numFmt w:val="lowerLetter"/>
      <w:start w:val="2"/>
    </w:lvl>
  </w:abstractNum>
  <w:abstractNum w:abstractNumId="131">
    <w:nsid w:val="19A52566"/>
    <w:multiLevelType w:val="hybridMultilevel"/>
    <w:lvl w:ilvl="0">
      <w:lvlJc w:val="left"/>
      <w:lvlText w:val="."/>
      <w:numFmt w:val="bullet"/>
      <w:start w:val="1"/>
    </w:lvl>
  </w:abstractNum>
  <w:abstractNum w:abstractNumId="132">
    <w:nsid w:val="335A1DF1"/>
    <w:multiLevelType w:val="hybridMultilevel"/>
    <w:lvl w:ilvl="0">
      <w:lvlJc w:val="left"/>
      <w:lvlText w:val="."/>
      <w:numFmt w:val="bullet"/>
      <w:start w:val="1"/>
    </w:lvl>
  </w:abstractNum>
  <w:abstractNum w:abstractNumId="133">
    <w:nsid w:val="28677B7C"/>
    <w:multiLevelType w:val="hybridMultilevel"/>
    <w:lvl w:ilvl="0">
      <w:lvlJc w:val="left"/>
      <w:lvlText w:val="(%1)"/>
      <w:numFmt w:val="lowerLetter"/>
      <w:start w:val="2"/>
    </w:lvl>
  </w:abstractNum>
  <w:abstractNum w:abstractNumId="134">
    <w:nsid w:val="378D97C0"/>
    <w:multiLevelType w:val="hybridMultilevel"/>
    <w:lvl w:ilvl="0">
      <w:lvlJc w:val="left"/>
      <w:lvlText w:val="(%1)"/>
      <w:numFmt w:val="lowerLetter"/>
      <w:start w:val="4"/>
    </w:lvl>
  </w:abstractNum>
  <w:abstractNum w:abstractNumId="135">
    <w:nsid w:val="1D91467C"/>
    <w:multiLevelType w:val="hybridMultilevel"/>
    <w:lvl w:ilvl="0">
      <w:lvlJc w:val="left"/>
      <w:lvlText w:val="(%1)"/>
      <w:numFmt w:val="lowerRoman"/>
      <w:start w:val="2"/>
    </w:lvl>
  </w:abstractNum>
  <w:abstractNum w:abstractNumId="136">
    <w:nsid w:val="316032BB"/>
    <w:multiLevelType w:val="hybridMultilevel"/>
    <w:lvl w:ilvl="0">
      <w:lvlJc w:val="left"/>
      <w:lvlText w:val="%1"/>
      <w:numFmt w:val="lowerLetter"/>
      <w:start w:val="1"/>
    </w:lvl>
    <w:lvl w:ilvl="1">
      <w:lvlJc w:val="left"/>
      <w:lvlText w:val="(%2)"/>
      <w:numFmt w:val="lowerLetter"/>
      <w:start w:val="7"/>
    </w:lvl>
  </w:abstractNum>
  <w:abstractNum w:abstractNumId="137">
    <w:nsid w:val="44344C22"/>
    <w:multiLevelType w:val="hybridMultilevel"/>
    <w:lvl w:ilvl="0">
      <w:lvlJc w:val="left"/>
      <w:lvlText w:val="(%1)"/>
      <w:numFmt w:val="lowerLetter"/>
      <w:start w:val="25"/>
    </w:lvl>
    <w:lvl w:ilvl="1">
      <w:lvlJc w:val="left"/>
      <w:lvlText w:val="%2"/>
      <w:numFmt w:val="lowerLetter"/>
      <w:start w:val="1"/>
    </w:lvl>
  </w:abstractNum>
  <w:abstractNum w:abstractNumId="138">
    <w:nsid w:val="13CDFCFC"/>
    <w:multiLevelType w:val="hybridMultilevel"/>
    <w:lvl w:ilvl="0">
      <w:lvlJc w:val="left"/>
      <w:lvlText w:val="%1"/>
      <w:numFmt w:val="lowerLetter"/>
      <w:start w:val="1"/>
    </w:lvl>
    <w:lvl w:ilvl="1">
      <w:lvlJc w:val="left"/>
      <w:lvlText w:val="(%2)"/>
      <w:numFmt w:val="lowerLetter"/>
      <w:start w:val="1"/>
    </w:lvl>
  </w:abstractNum>
  <w:abstractNum w:abstractNumId="139">
    <w:nsid w:val="471745E4"/>
    <w:multiLevelType w:val="hybridMultilevel"/>
    <w:lvl w:ilvl="0">
      <w:lvlJc w:val="left"/>
      <w:lvlText w:val="(%1)"/>
      <w:numFmt w:val="lowerLetter"/>
      <w:start w:val="61"/>
    </w:lvl>
    <w:lvl w:ilvl="1">
      <w:lvlJc w:val="left"/>
      <w:lvlText w:val="(%2)"/>
      <w:numFmt w:val="lowerLetter"/>
      <w:start w:val="2"/>
    </w:lvl>
  </w:abstractNum>
  <w:abstractNum w:abstractNumId="140">
    <w:nsid w:val="1DDBC66"/>
    <w:multiLevelType w:val="hybridMultilevel"/>
    <w:lvl w:ilvl="0">
      <w:lvlJc w:val="left"/>
      <w:lvlText w:val="(%1)"/>
      <w:numFmt w:val="lowerLetter"/>
      <w:start w:val="1"/>
    </w:lvl>
  </w:abstractNum>
  <w:abstractNum w:abstractNumId="141">
    <w:nsid w:val="30AADFDA"/>
    <w:multiLevelType w:val="hybridMultilevel"/>
    <w:lvl w:ilvl="0">
      <w:lvlJc w:val="left"/>
      <w:lvlText w:val="(%1)"/>
      <w:numFmt w:val="lowerLetter"/>
      <w:start w:val="2"/>
    </w:lvl>
  </w:abstractNum>
  <w:abstractNum w:abstractNumId="142">
    <w:nsid w:val="30EADA61"/>
    <w:multiLevelType w:val="hybridMultilevel"/>
    <w:lvl w:ilvl="0">
      <w:lvlJc w:val="left"/>
      <w:lvlText w:val="(%1)"/>
      <w:numFmt w:val="lowerLetter"/>
      <w:start w:val="1"/>
    </w:lvl>
  </w:abstractNum>
  <w:abstractNum w:abstractNumId="143">
    <w:nsid w:val="27179C0B"/>
    <w:multiLevelType w:val="hybridMultilevel"/>
    <w:lvl w:ilvl="0">
      <w:lvlJc w:val="left"/>
      <w:lvlText w:val="(%1)"/>
      <w:numFmt w:val="lowerLetter"/>
      <w:start w:val="4"/>
    </w:lvl>
  </w:abstractNum>
  <w:abstractNum w:abstractNumId="144">
    <w:nsid w:val="5E636063"/>
    <w:multiLevelType w:val="hybridMultilevel"/>
    <w:lvl w:ilvl="0">
      <w:lvlJc w:val="left"/>
      <w:lvlText w:val="(%1)"/>
      <w:numFmt w:val="upperLetter"/>
      <w:start w:val="9"/>
    </w:lvl>
  </w:abstractNum>
  <w:abstractNum w:abstractNumId="145">
    <w:nsid w:val="215641AF"/>
    <w:multiLevelType w:val="hybridMultilevel"/>
    <w:lvl w:ilvl="0">
      <w:lvlJc w:val="left"/>
      <w:lvlText w:val="%1"/>
      <w:numFmt w:val="upperLetter"/>
      <w:start w:val="1"/>
    </w:lvl>
    <w:lvl w:ilvl="1">
      <w:lvlJc w:val="left"/>
      <w:lvlText w:val="(%2)"/>
      <w:numFmt w:val="upperLetter"/>
      <w:start w:val="61"/>
    </w:lvl>
  </w:abstractNum>
  <w:abstractNum w:abstractNumId="146">
    <w:nsid w:val="53280662"/>
    <w:multiLevelType w:val="hybridMultilevel"/>
    <w:lvl w:ilvl="0">
      <w:lvlJc w:val="left"/>
      <w:lvlText w:val="(%1)"/>
      <w:numFmt w:val="upperLetter"/>
      <w:start w:val="2"/>
    </w:lvl>
    <w:lvl w:ilvl="1">
      <w:lvlJc w:val="left"/>
      <w:lvlText w:val="%2"/>
      <w:numFmt w:val="upperLetter"/>
      <w:start w:val="1"/>
    </w:lvl>
  </w:abstractNum>
  <w:abstractNum w:abstractNumId="147">
    <w:nsid w:val="46B24DBC"/>
    <w:multiLevelType w:val="hybridMultilevel"/>
    <w:lvl w:ilvl="0">
      <w:lvlJc w:val="left"/>
      <w:lvlText w:val="(%1)"/>
      <w:numFmt w:val="upperLetter"/>
      <w:start w:val="22"/>
    </w:lvl>
  </w:abstractNum>
  <w:abstractNum w:abstractNumId="148">
    <w:nsid w:val="75B52783"/>
    <w:multiLevelType w:val="hybridMultilevel"/>
    <w:lvl w:ilvl="0">
      <w:lvlJc w:val="left"/>
      <w:lvlText w:val="(%1)"/>
      <w:numFmt w:val="lowerRoman"/>
      <w:start w:val="3"/>
    </w:lvl>
  </w:abstractNum>
  <w:abstractNum w:abstractNumId="149">
    <w:nsid w:val="57CE66B4"/>
    <w:multiLevelType w:val="hybridMultilevel"/>
    <w:lvl w:ilvl="0">
      <w:lvlJc w:val="left"/>
      <w:lvlText w:val="%1"/>
      <w:numFmt w:val="lowerLetter"/>
      <w:start w:val="1"/>
    </w:lvl>
    <w:lvl w:ilvl="1">
      <w:lvlJc w:val="left"/>
      <w:lvlText w:val="(%2)"/>
      <w:numFmt w:val="lowerLetter"/>
      <w:start w:val="5"/>
    </w:lvl>
  </w:abstractNum>
  <w:abstractNum w:abstractNumId="150">
    <w:nsid w:val="67A70B69"/>
    <w:multiLevelType w:val="hybridMultilevel"/>
    <w:lvl w:ilvl="0">
      <w:lvlJc w:val="left"/>
      <w:lvlText w:val="(%1)"/>
      <w:numFmt w:val="lowerLetter"/>
      <w:start w:val="9"/>
    </w:lvl>
    <w:lvl w:ilvl="1">
      <w:lvlJc w:val="left"/>
      <w:lvlText w:val="%2"/>
      <w:numFmt w:val="lowerLetter"/>
      <w:start w:val="1"/>
    </w:lvl>
  </w:abstractNum>
  <w:abstractNum w:abstractNumId="151">
    <w:nsid w:val="5953172F"/>
    <w:multiLevelType w:val="hybridMultilevel"/>
    <w:lvl w:ilvl="0">
      <w:lvlJc w:val="left"/>
      <w:lvlText w:val="(%1)"/>
      <w:numFmt w:val="lowerLetter"/>
      <w:start w:val="35"/>
    </w:lvl>
    <w:lvl w:ilvl="1">
      <w:lvlJc w:val="left"/>
      <w:lvlText w:val="(%2)"/>
      <w:numFmt w:val="upperLetter"/>
      <w:start w:val="4"/>
    </w:lvl>
    <w:lvl w:ilvl="2">
      <w:lvlJc w:val="left"/>
      <w:lvlText w:val="(%3)"/>
      <w:numFmt w:val="upperLetter"/>
      <w:start w:val="1"/>
    </w:lvl>
  </w:abstractNum>
  <w:abstractNum w:abstractNumId="152">
    <w:nsid w:val="27EDFE3A"/>
    <w:multiLevelType w:val="hybridMultilevel"/>
    <w:lvl w:ilvl="0">
      <w:lvlJc w:val="left"/>
      <w:lvlText w:val="(%1)"/>
      <w:numFmt w:val="upperLetter"/>
      <w:start w:val="1"/>
    </w:lvl>
  </w:abstractNum>
  <w:abstractNum w:abstractNumId="153">
    <w:nsid w:val="52AC7DFF"/>
    <w:multiLevelType w:val="hybridMultilevel"/>
    <w:lvl w:ilvl="0">
      <w:lvlJc w:val="left"/>
      <w:lvlText w:val="(%1)"/>
      <w:numFmt w:val="upperLetter"/>
      <w:start w:val="9"/>
    </w:lvl>
  </w:abstractNum>
  <w:abstractNum w:abstractNumId="154">
    <w:nsid w:val="C4C3AF"/>
    <w:multiLevelType w:val="hybridMultilevel"/>
    <w:lvl w:ilvl="0">
      <w:lvlJc w:val="left"/>
      <w:lvlText w:val="(%1)"/>
      <w:numFmt w:val="upperLetter"/>
      <w:start w:val="35"/>
    </w:lvl>
  </w:abstractNum>
  <w:abstractNum w:abstractNumId="155">
    <w:nsid w:val="44380727"/>
    <w:multiLevelType w:val="hybridMultilevel"/>
    <w:lvl w:ilvl="0">
      <w:lvlJc w:val="left"/>
      <w:lvlText w:val="(%1)"/>
      <w:numFmt w:val="upperLetter"/>
      <w:start w:val="2"/>
    </w:lvl>
  </w:abstractNum>
  <w:abstractNum w:abstractNumId="156">
    <w:nsid w:val="6C053B16"/>
    <w:multiLevelType w:val="hybridMultilevel"/>
    <w:lvl w:ilvl="0">
      <w:lvlJc w:val="left"/>
      <w:lvlText w:val="(%1)"/>
      <w:numFmt w:val="upperLetter"/>
      <w:start w:val="9"/>
    </w:lvl>
  </w:abstractNum>
  <w:abstractNum w:abstractNumId="157">
    <w:nsid w:val="4F294393"/>
    <w:multiLevelType w:val="hybridMultilevel"/>
    <w:lvl w:ilvl="0">
      <w:lvlJc w:val="left"/>
      <w:lvlText w:val="(%1)"/>
      <w:numFmt w:val="upperLetter"/>
      <w:start w:val="35"/>
    </w:lvl>
  </w:abstractNum>
  <w:abstractNum w:abstractNumId="158">
    <w:nsid w:val="5243BFAC"/>
    <w:multiLevelType w:val="hybridMultilevel"/>
    <w:lvl w:ilvl="0">
      <w:lvlJc w:val="left"/>
      <w:lvlText w:val="(%1)"/>
      <w:numFmt w:val="upperLetter"/>
      <w:start w:val="1"/>
    </w:lvl>
  </w:abstractNum>
  <w:abstractNum w:abstractNumId="159">
    <w:nsid w:val="425EB20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60">
    <w:nsid w:val="334A6F1F"/>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161">
    <w:nsid w:val="2E5B12B8"/>
    <w:multiLevelType w:val="hybridMultilevel"/>
    <w:lvl w:ilvl="0">
      <w:lvlJc w:val="left"/>
      <w:lvlText w:val="(%1)"/>
      <w:numFmt w:val="upperLetter"/>
      <w:start w:val="2"/>
    </w:lvl>
  </w:abstractNum>
  <w:abstractNum w:abstractNumId="162">
    <w:nsid w:val="5C03D76D"/>
    <w:multiLevelType w:val="hybridMultilevel"/>
    <w:lvl w:ilvl="0">
      <w:lvlJc w:val="left"/>
      <w:lvlText w:val="(%1)"/>
      <w:numFmt w:val="upperLetter"/>
      <w:start w:val="1"/>
    </w:lvl>
  </w:abstractNum>
  <w:abstractNum w:abstractNumId="163">
    <w:nsid w:val="66A48D11"/>
    <w:multiLevelType w:val="hybridMultilevel"/>
    <w:lvl w:ilvl="0">
      <w:lvlJc w:val="left"/>
      <w:lvlText w:val="(%1)"/>
      <w:numFmt w:val="upperLetter"/>
      <w:start w:val="35"/>
    </w:lvl>
  </w:abstractNum>
  <w:abstractNum w:abstractNumId="164">
    <w:nsid w:val="56C28E34"/>
    <w:multiLevelType w:val="hybridMultilevel"/>
    <w:lvl w:ilvl="0">
      <w:lvlJc w:val="left"/>
      <w:lvlText w:val="(%1)"/>
      <w:numFmt w:val="upperLetter"/>
      <w:start w:val="3"/>
    </w:lvl>
  </w:abstractNum>
  <w:abstractNum w:abstractNumId="165">
    <w:nsid w:val="13916F2D"/>
    <w:multiLevelType w:val="hybridMultilevel"/>
    <w:lvl w:ilvl="0">
      <w:lvlJc w:val="left"/>
      <w:lvlText w:val="(%1)"/>
      <w:numFmt w:val="upperLetter"/>
      <w:start w:val="1"/>
    </w:lvl>
  </w:abstractNum>
  <w:abstractNum w:abstractNumId="166">
    <w:nsid w:val="435D38D"/>
    <w:multiLevelType w:val="hybridMultilevel"/>
    <w:lvl w:ilvl="0">
      <w:lvlJc w:val="left"/>
      <w:lvlText w:val="(%1)"/>
      <w:numFmt w:val="upperLetter"/>
      <w:start w:val="1"/>
    </w:lvl>
  </w:abstractNum>
  <w:abstractNum w:abstractNumId="167">
    <w:nsid w:val="822C0EF"/>
    <w:multiLevelType w:val="hybridMultilevel"/>
    <w:lvl w:ilvl="0">
      <w:lvlJc w:val="left"/>
      <w:lvlText w:val="(%1)"/>
      <w:numFmt w:val="upperLetter"/>
      <w:start w:val="9"/>
    </w:lvl>
  </w:abstractNum>
  <w:abstractNum w:abstractNumId="168">
    <w:nsid w:val="57C5BB4F"/>
    <w:multiLevelType w:val="hybridMultilevel"/>
    <w:lvl w:ilvl="0">
      <w:lvlJc w:val="left"/>
      <w:lvlText w:val="(%1)"/>
      <w:numFmt w:val="upperLetter"/>
      <w:start w:val="35"/>
    </w:lvl>
    <w:lvl w:ilvl="1">
      <w:lvlJc w:val="left"/>
      <w:lvlText w:val="(%2)"/>
      <w:numFmt w:val="decimal"/>
      <w:start w:val="1"/>
    </w:lvl>
  </w:abstractNum>
  <w:abstractNum w:abstractNumId="169">
    <w:nsid w:val="1803D089"/>
    <w:multiLevelType w:val="hybridMultilevel"/>
    <w:lvl w:ilvl="0">
      <w:lvlJc w:val="left"/>
      <w:lvlText w:val="(%1)"/>
      <w:numFmt w:val="upperLetter"/>
      <w:start w:val="61"/>
    </w:lvl>
    <w:lvl w:ilvl="1">
      <w:lvlJc w:val="left"/>
      <w:lvlText w:val="(%2)"/>
      <w:numFmt w:val="decimal"/>
      <w:start w:val="1"/>
    </w:lvl>
  </w:abstractNum>
  <w:abstractNum w:abstractNumId="170">
    <w:nsid w:val="4F3A06D4"/>
    <w:multiLevelType w:val="hybridMultilevel"/>
    <w:lvl w:ilvl="0">
      <w:lvlJc w:val="left"/>
      <w:lvlText w:val="(%1)"/>
      <w:numFmt w:val="decimal"/>
      <w:start w:val="2"/>
    </w:lvl>
  </w:abstractNum>
  <w:abstractNum w:abstractNumId="171">
    <w:nsid w:val="59A377B6"/>
    <w:multiLevelType w:val="hybridMultilevel"/>
    <w:lvl w:ilvl="0">
      <w:lvlJc w:val="left"/>
      <w:lvlText w:val="(%1)"/>
      <w:numFmt w:val="upperLetter"/>
      <w:start w:val="9"/>
    </w:lvl>
  </w:abstractNum>
  <w:abstractNum w:abstractNumId="172">
    <w:nsid w:val="48AEB063"/>
    <w:multiLevelType w:val="hybridMultilevel"/>
    <w:lvl w:ilvl="0">
      <w:lvlJc w:val="left"/>
      <w:lvlText w:val="(%1)"/>
      <w:numFmt w:val="upperLetter"/>
      <w:start w:val="35"/>
    </w:lvl>
  </w:abstractNum>
  <w:abstractNum w:abstractNumId="173">
    <w:nsid w:val="24E135"/>
    <w:multiLevelType w:val="hybridMultilevel"/>
    <w:lvl w:ilvl="0">
      <w:lvlJc w:val="left"/>
      <w:lvlText w:val="(%1)"/>
      <w:numFmt w:val="decimal"/>
      <w:start w:val="2"/>
    </w:lvl>
  </w:abstractNum>
  <w:abstractNum w:abstractNumId="174">
    <w:nsid w:val="BB13C1"/>
    <w:multiLevelType w:val="hybridMultilevel"/>
    <w:lvl w:ilvl="0">
      <w:lvlJc w:val="left"/>
      <w:lvlText w:val="(%1)"/>
      <w:numFmt w:val="decimal"/>
      <w:start w:val="1"/>
    </w:lvl>
  </w:abstractNum>
  <w:abstractNum w:abstractNumId="175">
    <w:nsid w:val="271210C7"/>
    <w:multiLevelType w:val="hybridMultilevel"/>
    <w:lvl w:ilvl="0">
      <w:lvlJc w:val="left"/>
      <w:lvlText w:val="(%1)"/>
      <w:numFmt w:val="upperLetter"/>
      <w:start w:val="9"/>
    </w:lvl>
    <w:lvl w:ilvl="1">
      <w:lvlJc w:val="left"/>
      <w:lvlText w:val="(%2)"/>
      <w:numFmt w:val="decimal"/>
      <w:start w:val="1"/>
    </w:lvl>
  </w:abstractNum>
  <w:abstractNum w:abstractNumId="176">
    <w:nsid w:val="217B22E4"/>
    <w:multiLevelType w:val="hybridMultilevel"/>
    <w:lvl w:ilvl="0">
      <w:lvlJc w:val="left"/>
      <w:lvlText w:val="(%1)"/>
      <w:numFmt w:val="upperLetter"/>
      <w:start w:val="35"/>
    </w:lvl>
    <w:lvl w:ilvl="1">
      <w:lvlJc w:val="left"/>
      <w:lvlText w:val="(%2)"/>
      <w:numFmt w:val="decimal"/>
      <w:start w:val="1"/>
    </w:lvl>
  </w:abstractNum>
  <w:abstractNum w:abstractNumId="177">
    <w:nsid w:val="53E31A24"/>
    <w:multiLevelType w:val="hybridMultilevel"/>
    <w:lvl w:ilvl="0">
      <w:lvlJc w:val="left"/>
      <w:lvlText w:val="(%1)"/>
      <w:numFmt w:val="decimal"/>
      <w:start w:val="2"/>
    </w:lvl>
  </w:abstractNum>
  <w:abstractNum w:abstractNumId="178">
    <w:nsid w:val="6DC45E83"/>
    <w:multiLevelType w:val="hybridMultilevel"/>
    <w:lvl w:ilvl="0">
      <w:lvlJc w:val="left"/>
      <w:lvlText w:val="(%1)"/>
      <w:numFmt w:val="lowerLetter"/>
      <w:start w:val="7"/>
    </w:lvl>
  </w:abstractNum>
  <w:abstractNum w:abstractNumId="179">
    <w:nsid w:val="17304A67"/>
    <w:multiLevelType w:val="hybridMultilevel"/>
    <w:lvl w:ilvl="0">
      <w:lvlJc w:val="left"/>
      <w:lvlText w:val="(%1)"/>
      <w:numFmt w:val="lowerRoman"/>
      <w:start w:val="2"/>
    </w:lvl>
  </w:abstractNum>
  <w:abstractNum w:abstractNumId="180">
    <w:nsid w:val="2BB180D8"/>
    <w:multiLevelType w:val="hybridMultilevel"/>
    <w:lvl w:ilvl="0">
      <w:lvlJc w:val="left"/>
      <w:lvlText w:val="(%1)"/>
      <w:numFmt w:val="lowerRoman"/>
      <w:start w:val="4"/>
    </w:lvl>
  </w:abstractNum>
  <w:abstractNum w:abstractNumId="181">
    <w:nsid w:val="556B69ED"/>
    <w:multiLevelType w:val="hybridMultilevel"/>
    <w:lvl w:ilvl="0">
      <w:lvlJc w:val="left"/>
      <w:lvlText w:val="(%1)"/>
      <w:numFmt w:val="lowerLetter"/>
      <w:start w:val="2"/>
    </w:lvl>
    <w:lvl w:ilvl="1">
      <w:lvlJc w:val="left"/>
      <w:lvlText w:val="(%2)"/>
      <w:numFmt w:val="lowerLetter"/>
      <w:start w:val="9"/>
    </w:lvl>
  </w:abstractNum>
  <w:abstractNum w:abstractNumId="182">
    <w:nsid w:val="70836196"/>
    <w:multiLevelType w:val="hybridMultilevel"/>
    <w:lvl w:ilvl="0">
      <w:lvlJc w:val="left"/>
      <w:lvlText w:val="(%1)"/>
      <w:numFmt w:val="lowerRoman"/>
      <w:start w:val="2"/>
    </w:lvl>
  </w:abstractNum>
  <w:abstractNum w:abstractNumId="183">
    <w:nsid w:val="539F7F12"/>
    <w:multiLevelType w:val="hybridMultilevel"/>
    <w:lvl w:ilvl="0">
      <w:lvlJc w:val="left"/>
      <w:lvlText w:val="(%1)"/>
      <w:numFmt w:val="lowerLetter"/>
      <w:start w:val="4"/>
    </w:lvl>
  </w:abstractNum>
  <w:abstractNum w:abstractNumId="184">
    <w:nsid w:val="2817E7EC"/>
    <w:multiLevelType w:val="hybridMultilevel"/>
    <w:lvl w:ilvl="0">
      <w:lvlJc w:val="left"/>
      <w:lvlText w:val="%1"/>
      <w:numFmt w:val="lowerLetter"/>
      <w:start w:val="1"/>
    </w:lvl>
    <w:lvl w:ilvl="1">
      <w:lvlJc w:val="left"/>
      <w:lvlText w:val="(%2)"/>
      <w:numFmt w:val="lowerLetter"/>
      <w:start w:val="6"/>
    </w:lvl>
  </w:abstractNum>
  <w:abstractNum w:abstractNumId="185">
    <w:nsid w:val="71482545"/>
    <w:multiLevelType w:val="hybridMultilevel"/>
    <w:lvl w:ilvl="0">
      <w:lvlJc w:val="left"/>
      <w:lvlText w:val="(%1)"/>
      <w:numFmt w:val="lowerLetter"/>
      <w:start w:val="9"/>
    </w:lvl>
    <w:lvl w:ilvl="1">
      <w:lvlJc w:val="left"/>
      <w:lvlText w:val="%2"/>
      <w:numFmt w:val="lowerLetter"/>
      <w:start w:val="1"/>
    </w:lvl>
  </w:abstractNum>
  <w:abstractNum w:abstractNumId="186">
    <w:nsid w:val="17D78639"/>
    <w:multiLevelType w:val="hybridMultilevel"/>
    <w:lvl w:ilvl="0">
      <w:lvlJc w:val="left"/>
      <w:lvlText w:val="(%1)"/>
      <w:numFmt w:val="lowerRoman"/>
      <w:start w:val="2"/>
    </w:lvl>
  </w:abstractNum>
  <w:abstractNum w:abstractNumId="187">
    <w:nsid w:val="141D2302"/>
    <w:multiLevelType w:val="hybridMultilevel"/>
    <w:lvl w:ilvl="0">
      <w:lvlJc w:val="left"/>
      <w:lvlText w:val="(%1)"/>
      <w:numFmt w:val="lowerRoman"/>
      <w:start w:val="1"/>
    </w:lvl>
  </w:abstractNum>
  <w:abstractNum w:abstractNumId="188">
    <w:nsid w:val="407168D8"/>
    <w:multiLevelType w:val="hybridMultilevel"/>
    <w:lvl w:ilvl="0">
      <w:lvlJc w:val="left"/>
      <w:lvlText w:val="(%1)"/>
      <w:numFmt w:val="lowerLetter"/>
      <w:start w:val="1"/>
    </w:lvl>
  </w:abstractNum>
  <w:abstractNum w:abstractNumId="189">
    <w:nsid w:val="6A1B45E5"/>
    <w:multiLevelType w:val="hybridMultilevel"/>
    <w:lvl w:ilvl="0">
      <w:lvlJc w:val="left"/>
      <w:lvlText w:val="(%1)"/>
      <w:numFmt w:val="lowerLetter"/>
      <w:start w:val="2"/>
    </w:lvl>
  </w:abstractNum>
  <w:abstractNum w:abstractNumId="190">
    <w:nsid w:val="567BD50A"/>
    <w:multiLevelType w:val="hybridMultilevel"/>
    <w:lvl w:ilvl="0">
      <w:lvlJc w:val="left"/>
      <w:lvlText w:val="%1"/>
      <w:numFmt w:val="lowerLetter"/>
      <w:start w:val="1"/>
    </w:lvl>
    <w:lvl w:ilvl="1">
      <w:lvlJc w:val="left"/>
      <w:lvlText w:val="(%2)"/>
      <w:numFmt w:val="lowerLetter"/>
      <w:start w:val="2"/>
    </w:lvl>
  </w:abstractNum>
  <w:abstractNum w:abstractNumId="191">
    <w:nsid w:val="73BBD7F8"/>
    <w:multiLevelType w:val="hybridMultilevel"/>
    <w:lvl w:ilvl="0">
      <w:lvlJc w:val="left"/>
      <w:lvlText w:val="(%1)"/>
      <w:numFmt w:val="lowerLetter"/>
      <w:start w:val="61"/>
    </w:lvl>
    <w:lvl w:ilvl="1">
      <w:lvlJc w:val="left"/>
      <w:lvlText w:val="%2"/>
      <w:numFmt w:val="lowerLetter"/>
      <w:start w:val="1"/>
    </w:lvl>
  </w:abstractNum>
  <w:abstractNum w:abstractNumId="192">
    <w:nsid w:val="1876589D"/>
    <w:multiLevelType w:val="hybridMultilevel"/>
    <w:lvl w:ilvl="0">
      <w:lvlJc w:val="left"/>
      <w:lvlText w:val="(%1)"/>
      <w:numFmt w:val="lowerLetter"/>
      <w:start w:val="4"/>
    </w:lvl>
  </w:abstractNum>
  <w:abstractNum w:abstractNumId="193">
    <w:nsid w:val="327FAC77"/>
    <w:multiLevelType w:val="hybridMultilevel"/>
    <w:lvl w:ilvl="0">
      <w:lvlJc w:val="left"/>
      <w:lvlText w:val="(%1)"/>
      <w:numFmt w:val="lowerLetter"/>
      <w:start w:val="1"/>
    </w:lvl>
  </w:abstractNum>
  <w:abstractNum w:abstractNumId="194">
    <w:nsid w:val="5A606509"/>
    <w:multiLevelType w:val="hybridMultilevel"/>
    <w:lvl w:ilvl="0">
      <w:lvlJc w:val="left"/>
      <w:lvlText w:val="(%1)"/>
      <w:numFmt w:val="lowerLetter"/>
      <w:start w:val="5"/>
    </w:lvl>
  </w:abstractNum>
  <w:abstractNum w:abstractNumId="195">
    <w:nsid w:val="6F38E6D1"/>
    <w:multiLevelType w:val="hybridMultilevel"/>
    <w:lvl w:ilvl="0">
      <w:lvlJc w:val="left"/>
      <w:lvlText w:val="(%1)"/>
      <w:numFmt w:val="lowerLetter"/>
      <w:start w:val="1"/>
    </w:lvl>
  </w:abstractNum>
  <w:abstractNum w:abstractNumId="196">
    <w:nsid w:val="46111BA5"/>
    <w:multiLevelType w:val="hybridMultilevel"/>
    <w:lvl w:ilvl="0">
      <w:lvlJc w:val="left"/>
      <w:lvlText w:val="(%1)"/>
      <w:numFmt w:val="lowerLetter"/>
      <w:start w:val="2"/>
    </w:lvl>
  </w:abstractNum>
  <w:abstractNum w:abstractNumId="197">
    <w:nsid w:val="5E963896"/>
    <w:multiLevelType w:val="hybridMultilevel"/>
    <w:lvl w:ilvl="0">
      <w:lvlJc w:val="left"/>
      <w:lvlText w:val="(%1)"/>
      <w:numFmt w:val="lowerLetter"/>
      <w:start w:val="1"/>
    </w:lvl>
  </w:abstractNum>
  <w:abstractNum w:abstractNumId="198">
    <w:nsid w:val="775BA7C1"/>
    <w:multiLevelType w:val="hybridMultilevel"/>
    <w:lvl w:ilvl="0">
      <w:lvlJc w:val="left"/>
      <w:lvlText w:val="(%1)"/>
      <w:numFmt w:val="lowerLetter"/>
      <w:start w:val="4"/>
    </w:lvl>
  </w:abstractNum>
  <w:abstractNum w:abstractNumId="199">
    <w:nsid w:val="1DD6D6F4"/>
    <w:multiLevelType w:val="hybridMultilevel"/>
    <w:lvl w:ilvl="0">
      <w:lvlJc w:val="left"/>
      <w:lvlText w:val="(%1)"/>
      <w:numFmt w:val="lowerRoman"/>
      <w:start w:val="2"/>
    </w:lvl>
  </w:abstractNum>
  <w:abstractNum w:abstractNumId="200">
    <w:nsid w:val="769A091F"/>
    <w:multiLevelType w:val="hybridMultilevel"/>
    <w:lvl w:ilvl="0">
      <w:lvlJc w:val="left"/>
      <w:lvlText w:val="(%1)"/>
      <w:numFmt w:val="lowerLetter"/>
      <w:start w:val="2"/>
    </w:lvl>
  </w:abstractNum>
  <w:abstractNum w:abstractNumId="201">
    <w:nsid w:val="4695AE95"/>
    <w:multiLevelType w:val="hybridMultilevel"/>
    <w:lvl w:ilvl="0">
      <w:lvlJc w:val="left"/>
      <w:lvlText w:val="(%1)"/>
      <w:numFmt w:val="lowerLetter"/>
      <w:start w:val="4"/>
    </w:lvl>
  </w:abstractNum>
  <w:abstractNum w:abstractNumId="202">
    <w:nsid w:val="777A4EAA"/>
    <w:multiLevelType w:val="hybridMultilevel"/>
    <w:lvl w:ilvl="0">
      <w:lvlJc w:val="left"/>
      <w:lvlText w:val="(%1)"/>
      <w:numFmt w:val="lowerLetter"/>
      <w:start w:val="1"/>
    </w:lvl>
  </w:abstractNum>
  <w:abstractNum w:abstractNumId="203">
    <w:nsid w:val="3F48B982"/>
    <w:multiLevelType w:val="hybridMultilevel"/>
    <w:lvl w:ilvl="0">
      <w:lvlJc w:val="left"/>
      <w:lvlText w:val="©"/>
      <w:numFmt w:val="bullet"/>
      <w:start w:val="1"/>
    </w:lvl>
  </w:abstractNum>
  <w:abstractNum w:abstractNumId="204">
    <w:nsid w:val="46BA8FCA"/>
    <w:multiLevelType w:val="hybridMultilevel"/>
    <w:lvl w:ilvl="0">
      <w:lvlJc w:val="left"/>
      <w:lvlText w:val="(%1)"/>
      <w:numFmt w:val="lowerLetter"/>
      <w:start w:val="1"/>
    </w:lvl>
  </w:abstractNum>
  <w:abstractNum w:abstractNumId="205">
    <w:nsid w:val="7835626C"/>
    <w:multiLevelType w:val="hybridMultilevel"/>
    <w:lvl w:ilvl="0">
      <w:lvlJc w:val="left"/>
      <w:lvlText w:val="(%1)"/>
      <w:numFmt w:val="lowerLetter"/>
      <w:start w:val="2"/>
    </w:lvl>
  </w:abstractNum>
  <w:abstractNum w:abstractNumId="206">
    <w:nsid w:val="665ACA49"/>
    <w:multiLevelType w:val="hybridMultilevel"/>
    <w:lvl w:ilvl="0">
      <w:lvlJc w:val="left"/>
      <w:lvlText w:val="(%1)"/>
      <w:numFmt w:val="lowerLetter"/>
      <w:start w:val="4"/>
    </w:lvl>
  </w:abstractNum>
  <w:abstractNum w:abstractNumId="207">
    <w:nsid w:val="6835B2AE"/>
    <w:multiLevelType w:val="hybridMultilevel"/>
    <w:lvl w:ilvl="0">
      <w:lvlJc w:val="left"/>
      <w:lvlText w:val="%1"/>
      <w:numFmt w:val="lowerRoman"/>
      <w:start w:val="2"/>
    </w:lvl>
  </w:abstractNum>
  <w:abstractNum w:abstractNumId="208">
    <w:nsid w:val="4C187C90"/>
    <w:multiLevelType w:val="hybridMultilevel"/>
    <w:lvl w:ilvl="0">
      <w:lvlJc w:val="left"/>
      <w:lvlText w:val="(%1)"/>
      <w:numFmt w:val="lowerLetter"/>
      <w:start w:val="1"/>
    </w:lvl>
  </w:abstractNum>
  <w:abstractNum w:abstractNumId="209">
    <w:nsid w:val="541F28CD"/>
    <w:multiLevelType w:val="hybridMultilevel"/>
    <w:lvl w:ilvl="0">
      <w:lvlJc w:val="left"/>
      <w:lvlText w:val="(%1)"/>
      <w:numFmt w:val="lowerLetter"/>
      <w:start w:val="2"/>
    </w:lvl>
  </w:abstractNum>
  <w:abstractNum w:abstractNumId="210">
    <w:nsid w:val="7F65FD16"/>
    <w:multiLevelType w:val="hybridMultilevel"/>
    <w:lvl w:ilvl="0">
      <w:lvlJc w:val="left"/>
      <w:lvlText w:val="(%1)"/>
      <w:numFmt w:val="lowerLetter"/>
      <w:start w:val="4"/>
    </w:lvl>
  </w:abstractNum>
  <w:abstractNum w:abstractNumId="211">
    <w:nsid w:val="77C9FD68"/>
    <w:multiLevelType w:val="hybridMultilevel"/>
    <w:lvl w:ilvl="0">
      <w:lvlJc w:val="left"/>
      <w:lvlText w:val="%1."/>
      <w:numFmt w:val="lowerLetter"/>
      <w:start w:val="5"/>
    </w:lvl>
  </w:abstractNum>
  <w:abstractNum w:abstractNumId="212">
    <w:nsid w:val="298A92BA"/>
    <w:multiLevelType w:val="hybridMultilevel"/>
    <w:lvl w:ilvl="0">
      <w:lvlJc w:val="left"/>
      <w:lvlText w:val="%1"/>
      <w:numFmt w:val="lowerLetter"/>
      <w:start w:val="1"/>
    </w:lvl>
    <w:lvl w:ilvl="1">
      <w:lvlJc w:val="left"/>
      <w:lvlText w:val="(%2)"/>
      <w:numFmt w:val="lowerLetter"/>
      <w:start w:val="1"/>
    </w:lvl>
  </w:abstractNum>
  <w:abstractNum w:abstractNumId="213">
    <w:nsid w:val="6FE95EAC"/>
    <w:multiLevelType w:val="hybridMultilevel"/>
    <w:lvl w:ilvl="0">
      <w:lvlJc w:val="left"/>
      <w:lvlText w:val="(%1)"/>
      <w:numFmt w:val="lowerLetter"/>
      <w:start w:val="35"/>
    </w:lvl>
    <w:lvl w:ilvl="1">
      <w:lvlJc w:val="left"/>
      <w:lvlText w:val="(%2)"/>
      <w:numFmt w:val="lowerLetter"/>
      <w:start w:val="2"/>
    </w:lvl>
  </w:abstractNum>
  <w:abstractNum w:abstractNumId="214">
    <w:nsid w:val="4B697C7A"/>
    <w:multiLevelType w:val="hybridMultilevel"/>
    <w:lvl w:ilvl="0">
      <w:lvlJc w:val="left"/>
      <w:lvlText w:val="%1"/>
      <w:numFmt w:val="lowerLetter"/>
      <w:start w:val="1"/>
    </w:lvl>
    <w:lvl w:ilvl="1">
      <w:lvlJc w:val="left"/>
      <w:lvlText w:val="(%2)"/>
      <w:numFmt w:val="lowerLetter"/>
      <w:start w:val="1"/>
    </w:lvl>
  </w:abstractNum>
  <w:abstractNum w:abstractNumId="215">
    <w:nsid w:val="51A27AA6"/>
    <w:multiLevelType w:val="hybridMultilevel"/>
    <w:lvl w:ilvl="0">
      <w:lvlJc w:val="left"/>
      <w:lvlText w:val="(%1)"/>
      <w:numFmt w:val="lowerLetter"/>
      <w:start w:val="9"/>
    </w:lvl>
    <w:lvl w:ilvl="1">
      <w:lvlJc w:val="left"/>
      <w:lvlText w:val="%2"/>
      <w:numFmt w:val="lowerLetter"/>
      <w:start w:val="1"/>
    </w:lvl>
  </w:abstractNum>
  <w:abstractNum w:abstractNumId="216">
    <w:nsid w:val="613183F2"/>
    <w:multiLevelType w:val="hybridMultilevel"/>
    <w:lvl w:ilvl="0">
      <w:lvlJc w:val="left"/>
      <w:lvlText w:val="(%1)"/>
      <w:numFmt w:val="lowerLetter"/>
      <w:start w:val="1"/>
    </w:lvl>
  </w:abstractNum>
  <w:abstractNum w:abstractNumId="217">
    <w:nsid w:val="634102B4"/>
    <w:multiLevelType w:val="hybridMultilevel"/>
    <w:lvl w:ilvl="0">
      <w:lvlJc w:val="left"/>
      <w:lvlText w:val="(%1)"/>
      <w:numFmt w:val="lowerRoman"/>
      <w:start w:val="4"/>
    </w:lvl>
  </w:abstractNum>
  <w:abstractNum w:abstractNumId="218">
    <w:nsid w:val="65BF9DA8"/>
    <w:multiLevelType w:val="hybridMultilevel"/>
    <w:lvl w:ilvl="0">
      <w:lvlJc w:val="left"/>
      <w:lvlText w:val="(%1)"/>
      <w:numFmt w:val="lowerRoman"/>
      <w:start w:val="9"/>
    </w:lvl>
  </w:abstractNum>
  <w:abstractNum w:abstractNumId="219">
    <w:nsid w:val="21A2ECCA"/>
    <w:multiLevelType w:val="hybridMultilevel"/>
    <w:lvl w:ilvl="0">
      <w:lvlJc w:val="left"/>
      <w:lvlText w:val="(%1)"/>
      <w:numFmt w:val="lowerRoman"/>
      <w:start w:val="12"/>
    </w:lvl>
  </w:abstractNum>
  <w:abstractNum w:abstractNumId="220">
    <w:nsid w:val="4D5C4899"/>
    <w:multiLevelType w:val="hybridMultilevel"/>
    <w:lvl w:ilvl="0">
      <w:lvlJc w:val="left"/>
      <w:lvlText w:val="(%1)"/>
      <w:numFmt w:val="lowerRoman"/>
      <w:start w:val="16"/>
    </w:lvl>
  </w:abstractNum>
  <w:abstractNum w:abstractNumId="221">
    <w:nsid w:val="3C3B72B2"/>
    <w:multiLevelType w:val="hybridMultilevel"/>
    <w:lvl w:ilvl="0">
      <w:lvlJc w:val="left"/>
      <w:lvlText w:val="(%1)"/>
      <w:numFmt w:val="lowerRoman"/>
      <w:start w:val="14"/>
    </w:lvl>
  </w:abstractNum>
  <w:abstractNum w:abstractNumId="222">
    <w:nsid w:val="155EC4C2"/>
    <w:multiLevelType w:val="hybridMultilevel"/>
    <w:lvl w:ilvl="0">
      <w:lvlJc w:val="left"/>
      <w:lvlText w:val="(%1)"/>
      <w:numFmt w:val="lowerRoman"/>
      <w:start w:val="21"/>
    </w:lvl>
  </w:abstractNum>
  <w:abstractNum w:abstractNumId="223">
    <w:nsid w:val="65D2A137"/>
    <w:multiLevelType w:val="hybridMultilevel"/>
    <w:lvl w:ilvl="0">
      <w:lvlJc w:val="left"/>
      <w:lvlText w:val="(%1)"/>
      <w:numFmt w:val="lowerRoman"/>
      <w:start w:val="25"/>
    </w:lvl>
  </w:abstractNum>
  <w:abstractNum w:abstractNumId="224">
    <w:nsid w:val="6EBB1F2A"/>
    <w:multiLevelType w:val="hybridMultilevel"/>
    <w:lvl w:ilvl="0">
      <w:lvlJc w:val="left"/>
      <w:lvlText w:val="(%1)"/>
      <w:numFmt w:val="lowerRoman"/>
      <w:start w:val="26"/>
    </w:lvl>
  </w:abstractNum>
  <w:abstractNum w:abstractNumId="225">
    <w:nsid w:val="6FBF29CB"/>
    <w:multiLevelType w:val="hybridMultilevel"/>
    <w:lvl w:ilvl="0">
      <w:lvlJc w:val="left"/>
      <w:lvlText w:val="(%1)"/>
      <w:numFmt w:val="lowerRoman"/>
      <w:start w:val="29"/>
    </w:lvl>
  </w:abstractNum>
  <w:abstractNum w:abstractNumId="226">
    <w:nsid w:val="550B8808"/>
    <w:multiLevelType w:val="hybridMultilevel"/>
    <w:lvl w:ilvl="0">
      <w:lvlJc w:val="left"/>
      <w:lvlText w:val="(%1)"/>
      <w:numFmt w:val="lowerRoman"/>
      <w:start w:val="33"/>
    </w:lvl>
  </w:abstractNum>
  <w:abstractNum w:abstractNumId="227">
    <w:nsid w:val="34CC3ACF"/>
    <w:multiLevelType w:val="hybridMultilevel"/>
    <w:lvl w:ilvl="0">
      <w:lvlJc w:val="left"/>
      <w:lvlText w:val="(%1)"/>
      <w:numFmt w:val="lowerRoman"/>
      <w:start w:val="35"/>
    </w:lvl>
  </w:abstractNum>
  <w:abstractNum w:abstractNumId="228">
    <w:nsid w:val="4E556261"/>
    <w:multiLevelType w:val="hybridMultilevel"/>
    <w:lvl w:ilvl="0">
      <w:lvlJc w:val="left"/>
      <w:lvlText w:val="(%1)"/>
      <w:numFmt w:val="lowerLetter"/>
      <w:start w:val="2"/>
    </w:lvl>
  </w:abstractNum>
  <w:abstractNum w:abstractNumId="229">
    <w:nsid w:val="4C672FC9"/>
    <w:multiLevelType w:val="hybridMultilevel"/>
    <w:lvl w:ilvl="0">
      <w:lvlJc w:val="left"/>
      <w:lvlText w:val="(%1)"/>
      <w:numFmt w:val="lowerRoman"/>
      <w:start w:val="1"/>
    </w:lvl>
  </w:abstractNum>
  <w:abstractNum w:abstractNumId="230">
    <w:nsid w:val="52A311C3"/>
    <w:multiLevelType w:val="hybridMultilevel"/>
    <w:lvl w:ilvl="0">
      <w:lvlJc w:val="left"/>
      <w:lvlText w:val="(%1)"/>
      <w:numFmt w:val="decimal"/>
      <w:start w:val="1"/>
    </w:lvl>
  </w:abstractNum>
  <w:abstractNum w:abstractNumId="231">
    <w:nsid w:val="44EF6B80"/>
    <w:multiLevelType w:val="hybridMultilevel"/>
    <w:lvl w:ilvl="0">
      <w:lvlJc w:val="left"/>
      <w:lvlText w:val="(%1)"/>
      <w:numFmt w:val="decimal"/>
      <w:start w:val="1"/>
    </w:lvl>
  </w:abstractNum>
  <w:abstractNum w:abstractNumId="232">
    <w:nsid w:val="12FCDE5E"/>
    <w:multiLevelType w:val="hybridMultilevel"/>
    <w:lvl w:ilvl="0">
      <w:lvlJc w:val="left"/>
      <w:lvlText w:val="(%1)"/>
      <w:numFmt w:val="decimal"/>
      <w:start w:val="1"/>
    </w:lvl>
  </w:abstractNum>
  <w:abstractNum w:abstractNumId="233">
    <w:nsid w:val="4A1D606E"/>
    <w:multiLevelType w:val="hybridMultilevel"/>
    <w:lvl w:ilvl="0">
      <w:lvlJc w:val="left"/>
      <w:lvlText w:val="(%1)"/>
      <w:numFmt w:val="upperLetter"/>
      <w:start w:val="1"/>
    </w:lvl>
  </w:abstractNum>
  <w:abstractNum w:abstractNumId="234">
    <w:nsid w:val="4382503"/>
    <w:multiLevelType w:val="hybridMultilevel"/>
    <w:lvl w:ilvl="0">
      <w:lvlJc w:val="left"/>
      <w:lvlText w:val="(%1)"/>
      <w:numFmt w:val="lowerLetter"/>
      <w:start w:val="1"/>
    </w:lvl>
  </w:abstractNum>
  <w:abstractNum w:abstractNumId="235">
    <w:nsid w:val="59B76E28"/>
    <w:multiLevelType w:val="hybridMultilevel"/>
    <w:lvl w:ilvl="0">
      <w:lvlJc w:val="left"/>
      <w:lvlText w:val="(%1)"/>
      <w:numFmt w:val="upperLetter"/>
      <w:start w:val="2"/>
    </w:lvl>
    <w:lvl w:ilvl="1">
      <w:lvlJc w:val="left"/>
      <w:lvlText w:val="(%2)"/>
      <w:numFmt w:val="lowerLetter"/>
      <w:start w:val="2"/>
    </w:lvl>
  </w:abstractNum>
  <w:abstractNum w:abstractNumId="236">
    <w:nsid w:val="4252C2DA"/>
    <w:multiLevelType w:val="hybridMultilevel"/>
    <w:lvl w:ilvl="0">
      <w:lvlJc w:val="left"/>
      <w:lvlText w:val="(%1)"/>
      <w:numFmt w:val="lowerRoman"/>
      <w:start w:val="1"/>
    </w:lvl>
  </w:abstractNum>
  <w:abstractNum w:abstractNumId="237">
    <w:nsid w:val="6A92EF4C"/>
    <w:multiLevelType w:val="hybridMultilevel"/>
    <w:lvl w:ilvl="0">
      <w:lvlJc w:val="left"/>
      <w:lvlText w:val="(%1)"/>
      <w:numFmt w:val="lowerRoman"/>
      <w:start w:val="1"/>
    </w:lvl>
  </w:abstractNum>
  <w:abstractNum w:abstractNumId="238">
    <w:nsid w:val="41ED20D7"/>
    <w:multiLevelType w:val="hybridMultilevel"/>
    <w:lvl w:ilvl="0">
      <w:lvlJc w:val="left"/>
      <w:lvlText w:val="(%1)"/>
      <w:numFmt w:val="decimal"/>
      <w:start w:val="1"/>
    </w:lvl>
  </w:abstractNum>
  <w:abstractNum w:abstractNumId="239">
    <w:nsid w:val="E6B3F6A"/>
    <w:multiLevelType w:val="hybridMultilevel"/>
    <w:lvl w:ilvl="0">
      <w:lvlJc w:val="left"/>
      <w:lvlText w:val="(%1)"/>
      <w:numFmt w:val="upperLetter"/>
      <w:start w:val="3"/>
    </w:lvl>
  </w:abstractNum>
  <w:abstractNum w:abstractNumId="240">
    <w:nsid w:val="3EB21819"/>
    <w:multiLevelType w:val="hybridMultilevel"/>
    <w:lvl w:ilvl="0">
      <w:lvlJc w:val="left"/>
      <w:lvlText w:val="."/>
      <w:numFmt w:val="bullet"/>
      <w:start w:val="1"/>
    </w:lvl>
  </w:abstractNum>
  <w:abstractNum w:abstractNumId="241">
    <w:nsid w:val="41531DED"/>
    <w:multiLevelType w:val="hybridMultilevel"/>
    <w:lvl w:ilvl="0">
      <w:lvlJc w:val="left"/>
      <w:lvlText w:val="."/>
      <w:numFmt w:val="bullet"/>
      <w:start w:val="1"/>
    </w:lvl>
  </w:abstractNum>
  <w:abstractNum w:abstractNumId="242">
    <w:nsid w:val="6353CD2"/>
    <w:multiLevelType w:val="hybridMultilevel"/>
    <w:lvl w:ilvl="0">
      <w:lvlJc w:val="left"/>
      <w:lvlText w:val="."/>
      <w:numFmt w:val="bullet"/>
      <w:start w:val="1"/>
    </w:lvl>
  </w:abstractNum>
  <w:abstractNum w:abstractNumId="243">
    <w:nsid w:val="683CAAD3"/>
    <w:multiLevelType w:val="hybridMultilevel"/>
    <w:lvl w:ilvl="0">
      <w:lvlJc w:val="left"/>
      <w:lvlText w:val="(%1)"/>
      <w:numFmt w:val="lowerRoman"/>
      <w:start w:val="2"/>
    </w:lvl>
  </w:abstractNum>
  <w:abstractNum w:abstractNumId="244">
    <w:nsid w:val="313C7C99"/>
    <w:multiLevelType w:val="hybridMultilevel"/>
    <w:lvl w:ilvl="0">
      <w:lvlJc w:val="left"/>
      <w:lvlText w:val="(%1)"/>
      <w:numFmt w:val="lowerRoman"/>
      <w:start w:val="1"/>
    </w:lvl>
  </w:abstractNum>
  <w:abstractNum w:abstractNumId="245">
    <w:nsid w:val="519EB94C"/>
    <w:multiLevelType w:val="hybridMultilevel"/>
    <w:lvl w:ilvl="0">
      <w:lvlJc w:val="left"/>
      <w:lvlText w:val="(%1)"/>
      <w:numFmt w:val="lowerLetter"/>
      <w:start w:val="1"/>
    </w:lvl>
  </w:abstractNum>
  <w:abstractNum w:abstractNumId="246">
    <w:nsid w:val="39DF2579"/>
    <w:multiLevelType w:val="hybridMultilevel"/>
    <w:lvl w:ilvl="0">
      <w:lvlJc w:val="left"/>
      <w:lvlText w:val="(%1)"/>
      <w:numFmt w:val="lowerLetter"/>
      <w:start w:val="2"/>
    </w:lvl>
  </w:abstractNum>
  <w:abstractNum w:abstractNumId="247">
    <w:nsid w:val="126E008B"/>
    <w:multiLevelType w:val="hybridMultilevel"/>
    <w:lvl w:ilvl="0">
      <w:lvlJc w:val="left"/>
      <w:lvlText w:val="(%1)"/>
      <w:numFmt w:val="upperLetter"/>
      <w:start w:val="1"/>
    </w:lvl>
  </w:abstractNum>
  <w:abstractNum w:abstractNumId="248">
    <w:nsid w:val="34DFBC00"/>
    <w:multiLevelType w:val="hybridMultilevel"/>
    <w:lvl w:ilvl="0">
      <w:lvlJc w:val="left"/>
      <w:lvlText w:val="(%1)"/>
      <w:numFmt w:val="decimal"/>
      <w:start w:val="60"/>
    </w:lvl>
  </w:abstractNum>
  <w:abstractNum w:abstractNumId="249">
    <w:nsid w:val="1F9EC322"/>
    <w:multiLevelType w:val="hybridMultilevel"/>
    <w:lvl w:ilvl="0">
      <w:lvlJc w:val="left"/>
      <w:lvlText w:val="(%1)"/>
      <w:numFmt w:val="lowerLetter"/>
      <w:start w:val="1"/>
    </w:lvl>
  </w:abstractNum>
  <w:abstractNum w:abstractNumId="250">
    <w:nsid w:val="3410ED56"/>
    <w:multiLevelType w:val="hybridMultilevel"/>
    <w:lvl w:ilvl="0">
      <w:lvlJc w:val="left"/>
      <w:lvlText w:val="(%1)"/>
      <w:numFmt w:val="lowerLetter"/>
      <w:start w:val="2"/>
    </w:lvl>
  </w:abstractNum>
  <w:abstractNum w:abstractNumId="251">
    <w:nsid w:val="23C049A"/>
    <w:multiLevelType w:val="hybridMultilevel"/>
    <w:lvl w:ilvl="0">
      <w:lvlJc w:val="left"/>
      <w:lvlText w:val="(%1)"/>
      <w:numFmt w:val="lowerLetter"/>
      <w:start w:val="1"/>
    </w:lvl>
  </w:abstractNum>
  <w:abstractNum w:abstractNumId="252">
    <w:nsid w:val="5BDA35D4"/>
    <w:multiLevelType w:val="hybridMultilevel"/>
    <w:lvl w:ilvl="0">
      <w:lvlJc w:val="left"/>
      <w:lvlText w:val="(%1)"/>
      <w:numFmt w:val="lowerLetter"/>
      <w:start w:val="4"/>
    </w:lvl>
  </w:abstractNum>
  <w:abstractNum w:abstractNumId="253">
    <w:nsid w:val="496FB218"/>
    <w:multiLevelType w:val="hybridMultilevel"/>
    <w:lvl w:ilvl="0">
      <w:lvlJc w:val="left"/>
      <w:lvlText w:val="(%1)"/>
      <w:numFmt w:val="lowerLetter"/>
      <w:start w:val="1"/>
    </w:lvl>
  </w:abstractNum>
  <w:abstractNum w:abstractNumId="254">
    <w:nsid w:val="680EA5D1"/>
    <w:multiLevelType w:val="hybridMultilevel"/>
    <w:lvl w:ilvl="0">
      <w:lvlJc w:val="left"/>
      <w:lvlText w:val="(%1)"/>
      <w:numFmt w:val="lowerLetter"/>
      <w:start w:val="4"/>
    </w:lvl>
  </w:abstractNum>
  <w:abstractNum w:abstractNumId="255">
    <w:nsid w:val="4A9554FE"/>
    <w:multiLevelType w:val="hybridMultilevel"/>
    <w:lvl w:ilvl="0">
      <w:lvlJc w:val="left"/>
      <w:lvlText w:val="(%1)"/>
      <w:numFmt w:val="lowerRoman"/>
      <w:start w:val="2"/>
    </w:lvl>
  </w:abstractNum>
  <w:abstractNum w:abstractNumId="256">
    <w:nsid w:val="392EDBE4"/>
    <w:multiLevelType w:val="hybridMultilevel"/>
    <w:lvl w:ilvl="0">
      <w:lvlJc w:val="left"/>
      <w:lvlText w:val="(%1)"/>
      <w:numFmt w:val="lowerLetter"/>
      <w:start w:val="1"/>
    </w:lvl>
  </w:abstractNum>
  <w:abstractNum w:abstractNumId="257">
    <w:nsid w:val="3D1A2DD9"/>
    <w:multiLevelType w:val="hybridMultilevel"/>
    <w:lvl w:ilvl="0">
      <w:lvlJc w:val="left"/>
      <w:lvlText w:val="(%1)"/>
      <w:numFmt w:val="lowerLetter"/>
      <w:start w:val="1"/>
    </w:lvl>
  </w:abstractNum>
  <w:abstractNum w:abstractNumId="258">
    <w:nsid w:val="7F618FCD"/>
    <w:multiLevelType w:val="hybridMultilevel"/>
    <w:lvl w:ilvl="0">
      <w:lvlJc w:val="left"/>
      <w:lvlText w:val="(%1)"/>
      <w:numFmt w:val="lowerLetter"/>
      <w:start w:val="2"/>
    </w:lvl>
  </w:abstractNum>
  <w:abstractNum w:abstractNumId="259">
    <w:nsid w:val="7843E45"/>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60">
    <w:nsid w:val="9815DA3"/>
    <w:multiLevelType w:val="hybridMultilevel"/>
    <w:lvl w:ilvl="0">
      <w:lvlJc w:val="left"/>
      <w:lvlText w:val="(%1)"/>
      <w:numFmt w:val="lowerRoman"/>
      <w:start w:val="4"/>
    </w:lvl>
  </w:abstractNum>
  <w:abstractNum w:abstractNumId="261">
    <w:nsid w:val="5204A191"/>
    <w:multiLevelType w:val="hybridMultilevel"/>
    <w:lvl w:ilvl="0">
      <w:lvlJc w:val="left"/>
      <w:lvlText w:val="(%1)"/>
      <w:numFmt w:val="lowerLetter"/>
      <w:start w:val="2"/>
    </w:lvl>
  </w:abstractNum>
  <w:abstractNum w:abstractNumId="262">
    <w:nsid w:val="4C73A9C6"/>
    <w:multiLevelType w:val="hybridMultilevel"/>
    <w:lvl w:ilvl="0">
      <w:lvlJc w:val="left"/>
      <w:lvlText w:val="%1"/>
      <w:numFmt w:val="lowerLetter"/>
      <w:start w:val="1"/>
    </w:lvl>
    <w:lvl w:ilvl="1">
      <w:lvlJc w:val="left"/>
      <w:lvlText w:val="(%2)"/>
      <w:numFmt w:val="lowerRoman"/>
      <w:start w:val="1"/>
    </w:lvl>
  </w:abstractNum>
  <w:abstractNum w:abstractNumId="263">
    <w:nsid w:val="1C7E3C01"/>
    <w:multiLevelType w:val="hybridMultilevel"/>
    <w:lvl w:ilvl="0">
      <w:lvlJc w:val="left"/>
      <w:lvlText w:val="(%1)"/>
      <w:numFmt w:val="lowerLetter"/>
      <w:start w:val="4"/>
    </w:lvl>
    <w:lvl w:ilvl="1">
      <w:lvlJc w:val="left"/>
      <w:lvlText w:val="%2"/>
      <w:numFmt w:val="lowerRoman"/>
      <w:start w:val="1"/>
    </w:lvl>
  </w:abstractNum>
  <w:abstractNum w:abstractNumId="264">
    <w:nsid w:val="1C2201FF"/>
    <w:multiLevelType w:val="hybridMultilevel"/>
    <w:lvl w:ilvl="0">
      <w:lvlJc w:val="left"/>
      <w:lvlText w:val="(%1)"/>
      <w:numFmt w:val="lowerLetter"/>
      <w:start w:val="7"/>
    </w:lvl>
  </w:abstractNum>
  <w:abstractNum w:abstractNumId="265">
    <w:nsid w:val="50ABCEC9"/>
    <w:multiLevelType w:val="hybridMultilevel"/>
    <w:lvl w:ilvl="0">
      <w:lvlJc w:val="left"/>
      <w:lvlText w:val="(%1)"/>
      <w:numFmt w:val="lowerLetter"/>
      <w:start w:val="1"/>
    </w:lvl>
    <w:lvl w:ilvl="1">
      <w:lvlJc w:val="left"/>
      <w:lvlText w:val="(%2)"/>
      <w:numFmt w:val="lowerRoman"/>
      <w:start w:val="1"/>
    </w:lvl>
  </w:abstractNum>
  <w:abstractNum w:abstractNumId="266">
    <w:nsid w:val="7635AA2A"/>
    <w:multiLevelType w:val="hybridMultilevel"/>
    <w:lvl w:ilvl="0">
      <w:lvlJc w:val="left"/>
      <w:lvlText w:val="%1"/>
      <w:numFmt w:val="lowerLetter"/>
      <w:start w:val="1"/>
    </w:lvl>
    <w:lvl w:ilvl="1">
      <w:lvlJc w:val="left"/>
      <w:lvlText w:val="(%2)"/>
      <w:numFmt w:val="lowerRoman"/>
      <w:start w:val="4"/>
    </w:lvl>
  </w:abstractNum>
  <w:abstractNum w:abstractNumId="267">
    <w:nsid w:val="5E74C4D9"/>
    <w:multiLevelType w:val="hybridMultilevel"/>
    <w:lvl w:ilvl="0">
      <w:lvlJc w:val="left"/>
      <w:lvlText w:val="(%1)"/>
      <w:numFmt w:val="lowerLetter"/>
      <w:start w:val="2"/>
    </w:lvl>
    <w:lvl w:ilvl="1">
      <w:lvlJc w:val="left"/>
      <w:lvlText w:val="%2"/>
      <w:numFmt w:val="lowerRoman"/>
      <w:start w:val="1"/>
    </w:lvl>
  </w:abstractNum>
  <w:abstractNum w:abstractNumId="268">
    <w:nsid w:val="3B3EBE15"/>
    <w:multiLevelType w:val="hybridMultilevel"/>
    <w:lvl w:ilvl="0">
      <w:lvlJc w:val="left"/>
      <w:lvlText w:val="(%1)"/>
      <w:numFmt w:val="lowerLetter"/>
      <w:start w:val="1"/>
    </w:lvl>
  </w:abstractNum>
  <w:abstractNum w:abstractNumId="269">
    <w:nsid w:val="3822CB01"/>
    <w:multiLevelType w:val="hybridMultilevel"/>
    <w:lvl w:ilvl="0">
      <w:lvlJc w:val="left"/>
      <w:lvlText w:val="(%1)"/>
      <w:numFmt w:val="lowerLetter"/>
      <w:start w:val="2"/>
    </w:lvl>
    <w:lvl w:ilvl="1">
      <w:lvlJc w:val="left"/>
      <w:lvlText w:val="(%2)"/>
      <w:numFmt w:val="lowerLetter"/>
      <w:start w:val="9"/>
    </w:lvl>
  </w:abstractNum>
  <w:abstractNum w:abstractNumId="270">
    <w:nsid w:val="6CE00443"/>
    <w:multiLevelType w:val="hybridMultilevel"/>
    <w:lvl w:ilvl="0">
      <w:lvlJc w:val="left"/>
      <w:lvlText w:val="(%1)"/>
      <w:numFmt w:val="lowerRoman"/>
      <w:start w:val="1"/>
    </w:lvl>
  </w:abstractNum>
  <w:abstractNum w:abstractNumId="271">
    <w:nsid w:val="79F0D62F"/>
    <w:multiLevelType w:val="hybridMultilevel"/>
    <w:lvl w:ilvl="0">
      <w:lvlJc w:val="left"/>
      <w:lvlText w:val="(%1)"/>
      <w:numFmt w:val="lowerLetter"/>
      <w:start w:val="4"/>
    </w:lvl>
  </w:abstractNum>
  <w:abstractNum w:abstractNumId="272">
    <w:nsid w:val="7975E8EE"/>
    <w:multiLevelType w:val="hybridMultilevel"/>
    <w:lvl w:ilvl="0">
      <w:lvlJc w:val="left"/>
      <w:lvlText w:val="(%1)"/>
      <w:numFmt w:val="lowerLetter"/>
      <w:start w:val="1"/>
    </w:lvl>
  </w:abstractNum>
  <w:abstractNum w:abstractNumId="273">
    <w:nsid w:val="73154115"/>
    <w:multiLevelType w:val="hybridMultilevel"/>
    <w:lvl w:ilvl="0">
      <w:lvlJc w:val="left"/>
      <w:lvlText w:val="(%1)"/>
      <w:numFmt w:val="lowerLetter"/>
      <w:start w:val="1"/>
    </w:lvl>
  </w:abstractNum>
  <w:abstractNum w:abstractNumId="274">
    <w:nsid w:val="622D8102"/>
    <w:multiLevelType w:val="hybridMultilevel"/>
    <w:lvl w:ilvl="0">
      <w:lvlJc w:val="left"/>
      <w:lvlText w:val="(%1)"/>
      <w:numFmt w:val="decimal"/>
      <w:start w:val="3"/>
    </w:lvl>
    <w:lvl w:ilvl="1">
      <w:lvlJc w:val="left"/>
      <w:lvlText w:val="(%2)"/>
      <w:numFmt w:val="lowerLetter"/>
      <w:start w:val="4"/>
    </w:lvl>
  </w:abstractNum>
  <w:abstractNum w:abstractNumId="275">
    <w:nsid w:val="2AB26587"/>
    <w:multiLevelType w:val="hybridMultilevel"/>
    <w:lvl w:ilvl="0">
      <w:lvlJc w:val="left"/>
      <w:lvlText w:val="(%1)"/>
      <w:numFmt w:val="lowerLetter"/>
      <w:start w:val="5"/>
    </w:lvl>
  </w:abstractNum>
  <w:abstractNum w:abstractNumId="276">
    <w:nsid w:val="44B3FA61"/>
    <w:multiLevelType w:val="hybridMultilevel"/>
    <w:lvl w:ilvl="0">
      <w:lvlJc w:val="left"/>
      <w:lvlText w:val="(%1)"/>
      <w:numFmt w:val="lowerLetter"/>
      <w:start w:val="6"/>
    </w:lvl>
  </w:abstractNum>
  <w:abstractNum w:abstractNumId="277">
    <w:nsid w:val="1C0CA67C"/>
    <w:multiLevelType w:val="hybridMultilevel"/>
    <w:lvl w:ilvl="0">
      <w:lvlJc w:val="left"/>
      <w:lvlText w:val="(%1)"/>
      <w:numFmt w:val="lowerLetter"/>
      <w:start w:val="1"/>
    </w:lvl>
  </w:abstractNum>
  <w:abstractNum w:abstractNumId="278">
    <w:nsid w:val="3D206613"/>
    <w:multiLevelType w:val="hybridMultilevel"/>
    <w:lvl w:ilvl="0">
      <w:lvlJc w:val="left"/>
      <w:lvlText w:val="(%1)"/>
      <w:numFmt w:val="upperLetter"/>
      <w:start w:val="1"/>
    </w:lvl>
    <w:lvl w:ilvl="1">
      <w:lvlJc w:val="left"/>
      <w:lvlText w:val="(%2)"/>
      <w:numFmt w:val="lowerLetter"/>
      <w:start w:val="4"/>
    </w:lvl>
  </w:abstractNum>
  <w:abstractNum w:abstractNumId="279">
    <w:nsid w:val="7993B662"/>
    <w:multiLevelType w:val="hybridMultilevel"/>
    <w:lvl w:ilvl="0">
      <w:lvlJc w:val="left"/>
      <w:lvlText w:val="(%1)"/>
      <w:numFmt w:val="lowerLetter"/>
      <w:start w:val="6"/>
    </w:lvl>
  </w:abstractNum>
  <w:abstractNum w:abstractNumId="280">
    <w:nsid w:val="3BAB699E"/>
    <w:multiLevelType w:val="hybridMultilevel"/>
    <w:lvl w:ilvl="0">
      <w:lvlJc w:val="left"/>
      <w:lvlText w:val="(%1)"/>
      <w:numFmt w:val="lowerLetter"/>
      <w:start w:val="4"/>
    </w:lvl>
  </w:abstractNum>
  <w:abstractNum w:abstractNumId="281">
    <w:nsid w:val="71315369"/>
    <w:multiLevelType w:val="hybridMultilevel"/>
    <w:lvl w:ilvl="0">
      <w:lvlJc w:val="left"/>
      <w:lvlText w:val="(%1)"/>
      <w:numFmt w:val="lowerLetter"/>
      <w:start w:val="1"/>
    </w:lvl>
  </w:abstractNum>
  <w:abstractNum w:abstractNumId="282">
    <w:nsid w:val="7BCFBAFC"/>
    <w:multiLevelType w:val="hybridMultilevel"/>
    <w:lvl w:ilvl="0">
      <w:lvlJc w:val="left"/>
      <w:lvlText w:val="(%1)"/>
      <w:numFmt w:val="lowerLetter"/>
      <w:start w:val="2"/>
    </w:lvl>
  </w:abstractNum>
  <w:abstractNum w:abstractNumId="283">
    <w:nsid w:val="17859F72"/>
    <w:multiLevelType w:val="hybridMultilevel"/>
    <w:lvl w:ilvl="0">
      <w:lvlJc w:val="left"/>
      <w:lvlText w:val="(%1)"/>
      <w:numFmt w:val="lowerLetter"/>
      <w:start w:val="4"/>
    </w:lvl>
  </w:abstractNum>
  <w:abstractNum w:abstractNumId="284">
    <w:nsid w:val="3AA10581"/>
    <w:multiLevelType w:val="hybridMultilevel"/>
    <w:lvl w:ilvl="0">
      <w:lvlJc w:val="left"/>
      <w:lvlText w:val="(%1)"/>
      <w:numFmt w:val="lowerLetter"/>
      <w:start w:val="1"/>
    </w:lvl>
  </w:abstractNum>
  <w:abstractNum w:abstractNumId="285">
    <w:nsid w:val="63DE60CD"/>
    <w:multiLevelType w:val="hybridMultilevel"/>
    <w:lvl w:ilvl="0">
      <w:lvlJc w:val="left"/>
      <w:lvlText w:val="(%1)"/>
      <w:numFmt w:val="lowerRoman"/>
      <w:start w:val="1"/>
    </w:lvl>
  </w:abstractNum>
  <w:abstractNum w:abstractNumId="286">
    <w:nsid w:val="621AF471"/>
    <w:multiLevelType w:val="hybridMultilevel"/>
    <w:lvl w:ilvl="0">
      <w:lvlJc w:val="left"/>
      <w:lvlText w:val="(%1)"/>
      <w:numFmt w:val="lowerRoman"/>
      <w:start w:val="3"/>
    </w:lvl>
  </w:abstractNum>
  <w:abstractNum w:abstractNumId="287">
    <w:nsid w:val="73CFE165"/>
    <w:multiLevelType w:val="hybridMultilevel"/>
    <w:lvl w:ilvl="0">
      <w:lvlJc w:val="left"/>
      <w:lvlText w:val="(%1)"/>
      <w:numFmt w:val="lowerRoman"/>
      <w:start w:val="6"/>
    </w:lvl>
  </w:abstractNum>
  <w:abstractNum w:abstractNumId="288">
    <w:nsid w:val="20F88EA6"/>
    <w:multiLevelType w:val="hybridMultilevel"/>
    <w:lvl w:ilvl="0">
      <w:lvlJc w:val="left"/>
      <w:lvlText w:val="(%1)"/>
      <w:numFmt w:val="lowerLetter"/>
      <w:start w:val="2"/>
    </w:lvl>
  </w:abstractNum>
  <w:abstractNum w:abstractNumId="289">
    <w:nsid w:val="617C843E"/>
    <w:multiLevelType w:val="hybridMultilevel"/>
    <w:lvl w:ilvl="0">
      <w:lvlJc w:val="left"/>
      <w:lvlText w:val="(%1)"/>
      <w:numFmt w:val="lowerLetter"/>
      <w:start w:val="2"/>
    </w:lvl>
    <w:lvl w:ilvl="1">
      <w:lvlJc w:val="left"/>
      <w:lvlText w:val="(%2)"/>
      <w:numFmt w:val="lowerRoman"/>
      <w:start w:val="1"/>
    </w:lvl>
  </w:abstractNum>
  <w:abstractNum w:abstractNumId="290">
    <w:nsid w:val="7B541FAB"/>
    <w:multiLevelType w:val="hybridMultilevel"/>
    <w:lvl w:ilvl="0">
      <w:lvlJc w:val="left"/>
      <w:lvlText w:val="(%1)"/>
      <w:numFmt w:val="lowerLetter"/>
      <w:start w:val="1"/>
    </w:lvl>
    <w:lvl w:ilvl="1">
      <w:lvlJc w:val="left"/>
      <w:lvlText w:val="(%2)"/>
      <w:numFmt w:val="lowerRoman"/>
      <w:start w:val="1"/>
    </w:lvl>
  </w:abstractNum>
  <w:abstractNum w:abstractNumId="291">
    <w:nsid w:val="2A79EC49"/>
    <w:multiLevelType w:val="hybridMultilevel"/>
    <w:lvl w:ilvl="0">
      <w:lvlJc w:val="left"/>
      <w:lvlText w:val="%1"/>
      <w:numFmt w:val="lowerLetter"/>
      <w:start w:val="1"/>
    </w:lvl>
    <w:lvl w:ilvl="1">
      <w:lvlJc w:val="left"/>
      <w:lvlText w:val="(%2)"/>
      <w:numFmt w:val="lowerRoman"/>
      <w:start w:val="4"/>
    </w:lvl>
  </w:abstractNum>
  <w:abstractNum w:abstractNumId="292">
    <w:nsid w:val="338125CF"/>
    <w:multiLevelType w:val="hybridMultilevel"/>
    <w:lvl w:ilvl="0">
      <w:lvlJc w:val="left"/>
      <w:lvlText w:val="(%1)"/>
      <w:numFmt w:val="lowerLetter"/>
      <w:start w:val="2"/>
    </w:lvl>
    <w:lvl w:ilvl="1">
      <w:lvlJc w:val="left"/>
      <w:lvlText w:val="%2"/>
      <w:numFmt w:val="lowerRoman"/>
      <w:start w:val="1"/>
    </w:lvl>
  </w:abstractNum>
  <w:abstractNum w:abstractNumId="293">
    <w:nsid w:val="47C7C971"/>
    <w:multiLevelType w:val="hybridMultilevel"/>
    <w:lvl w:ilvl="0">
      <w:lvlJc w:val="left"/>
      <w:lvlText w:val="%1."/>
      <w:numFmt w:val="lowerLetter"/>
      <w:start w:val="1"/>
    </w:lvl>
  </w:abstractNum>
  <w:abstractNum w:abstractNumId="294">
    <w:nsid w:val="46F8284B"/>
    <w:multiLevelType w:val="hybridMultilevel"/>
    <w:lvl w:ilvl="0">
      <w:lvlJc w:val="left"/>
      <w:lvlText w:val="%1."/>
      <w:numFmt w:val="lowerLetter"/>
      <w:start w:val="2"/>
    </w:lvl>
  </w:abstractNum>
  <w:abstractNum w:abstractNumId="295">
    <w:nsid w:val="4FA327CE"/>
    <w:multiLevelType w:val="hybridMultilevel"/>
    <w:lvl w:ilvl="0">
      <w:lvlJc w:val="left"/>
      <w:lvlText w:val="(%1)"/>
      <w:numFmt w:val="lowerLetter"/>
      <w:start w:val="1"/>
    </w:lvl>
  </w:abstractNum>
  <w:abstractNum w:abstractNumId="296">
    <w:nsid w:val="1873983A"/>
    <w:multiLevelType w:val="hybridMultilevel"/>
    <w:lvl w:ilvl="0">
      <w:lvlJc w:val="left"/>
      <w:lvlText w:val="(%1)"/>
      <w:numFmt w:val="lowerLetter"/>
      <w:start w:val="4"/>
    </w:lvl>
  </w:abstractNum>
  <w:abstractNum w:abstractNumId="297">
    <w:nsid w:val="3D2DD27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98">
    <w:nsid w:val="2E17ECA7"/>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99">
    <w:nsid w:val="53B2564F"/>
    <w:multiLevelType w:val="hybridMultilevel"/>
    <w:lvl w:ilvl="0">
      <w:lvlJc w:val="left"/>
      <w:lvlText w:val="(%1)"/>
      <w:numFmt w:val="lowerLetter"/>
      <w:start w:val="4"/>
    </w:lvl>
  </w:abstractNum>
  <w:abstractNum w:abstractNumId="300">
    <w:nsid w:val="75509D76"/>
    <w:multiLevelType w:val="hybridMultilevel"/>
    <w:lvl w:ilvl="0">
      <w:lvlJc w:val="left"/>
      <w:lvlText w:val="(%1)"/>
      <w:numFmt w:val="lowerLetter"/>
      <w:start w:val="1"/>
    </w:lvl>
  </w:abstractNum>
  <w:abstractNum w:abstractNumId="301">
    <w:nsid w:val="1AF7F0EA"/>
    <w:multiLevelType w:val="hybridMultilevel"/>
    <w:lvl w:ilvl="0">
      <w:lvlJc w:val="left"/>
      <w:lvlText w:val="(%1)"/>
      <w:numFmt w:val="lowerRoman"/>
      <w:start w:val="1"/>
    </w:lvl>
  </w:abstractNum>
  <w:abstractNum w:abstractNumId="302">
    <w:nsid w:val="4DA32C7E"/>
    <w:multiLevelType w:val="hybridMultilevel"/>
    <w:lvl w:ilvl="0">
      <w:lvlJc w:val="left"/>
      <w:lvlText w:val="(%1)"/>
      <w:numFmt w:val="lowerLetter"/>
      <w:start w:val="2"/>
    </w:lvl>
    <w:lvl w:ilvl="1">
      <w:lvlJc w:val="left"/>
      <w:lvlText w:val="(%2)"/>
      <w:numFmt w:val="lowerRoman"/>
      <w:start w:val="1"/>
    </w:lvl>
  </w:abstractNum>
  <w:abstractNum w:abstractNumId="303">
    <w:nsid w:val="6EC68664"/>
    <w:multiLevelType w:val="hybridMultilevel"/>
    <w:lvl w:ilvl="0">
      <w:lvlJc w:val="left"/>
      <w:lvlText w:val="(%1)"/>
      <w:numFmt w:val="lowerLetter"/>
      <w:start w:val="1"/>
    </w:lvl>
  </w:abstractNum>
  <w:abstractNum w:abstractNumId="304">
    <w:nsid w:val="E0D31FF"/>
    <w:multiLevelType w:val="hybridMultilevel"/>
    <w:lvl w:ilvl="0">
      <w:lvlJc w:val="left"/>
      <w:lvlText w:val="(%1)"/>
      <w:numFmt w:val="lowerLetter"/>
      <w:start w:val="2"/>
    </w:lvl>
  </w:abstractNum>
  <w:abstractNum w:abstractNumId="305">
    <w:nsid w:val="2FD0AD81"/>
    <w:multiLevelType w:val="hybridMultilevel"/>
    <w:lvl w:ilvl="0">
      <w:lvlJc w:val="left"/>
      <w:lvlText w:val="%1"/>
      <w:numFmt w:val="lowerLetter"/>
      <w:start w:val="1"/>
    </w:lvl>
    <w:lvl w:ilvl="1">
      <w:lvlJc w:val="left"/>
      <w:lvlText w:val="(%2)"/>
      <w:numFmt w:val="lowerRoman"/>
      <w:start w:val="1"/>
    </w:lvl>
  </w:abstractNum>
  <w:abstractNum w:abstractNumId="306">
    <w:nsid w:val="1978EBEB"/>
    <w:multiLevelType w:val="hybridMultilevel"/>
    <w:lvl w:ilvl="0">
      <w:lvlJc w:val="left"/>
      <w:lvlText w:val="(%1)"/>
      <w:numFmt w:val="lowerLetter"/>
      <w:start w:val="4"/>
    </w:lvl>
    <w:lvl w:ilvl="1">
      <w:lvlJc w:val="left"/>
      <w:lvlText w:val="%2"/>
      <w:numFmt w:val="lowerRoman"/>
      <w:start w:val="1"/>
    </w:lvl>
  </w:abstractNum>
  <w:abstractNum w:abstractNumId="307">
    <w:nsid w:val="52C12C61"/>
    <w:multiLevelType w:val="hybridMultilevel"/>
    <w:lvl w:ilvl="0">
      <w:lvlJc w:val="left"/>
      <w:lvlText w:val="(%1)"/>
      <w:numFmt w:val="decimal"/>
      <w:start w:val="1"/>
    </w:lvl>
  </w:abstractNum>
  <w:abstractNum w:abstractNumId="308">
    <w:nsid w:val="4BDD53FD"/>
    <w:multiLevelType w:val="hybridMultilevel"/>
    <w:lvl w:ilvl="0">
      <w:lvlJc w:val="left"/>
      <w:lvlText w:val="%1."/>
      <w:numFmt w:val="decimal"/>
      <w:start w:val="1"/>
    </w:lvl>
    <w:lvl w:ilvl="1">
      <w:lvlJc w:val="left"/>
      <w:lvlText w:val="%2)"/>
      <w:numFmt w:val="lowerLetter"/>
      <w:start w:val="1"/>
    </w:lvl>
  </w:abstractNum>
  <w:abstractNum w:abstractNumId="309">
    <w:nsid w:val="569951FE"/>
    <w:multiLevelType w:val="hybridMultilevel"/>
    <w:lvl w:ilvl="0">
      <w:lvlJc w:val="left"/>
      <w:lvlText w:val="%1."/>
      <w:numFmt w:val="decimal"/>
      <w:start w:val="1"/>
    </w:lvl>
    <w:lvl w:ilvl="1">
      <w:lvlJc w:val="left"/>
      <w:lvlText w:val="%2)"/>
      <w:numFmt w:val="lowerLetter"/>
      <w:start w:val="1"/>
    </w:lvl>
  </w:abstractNum>
  <w:abstractNum w:abstractNumId="310">
    <w:nsid w:val="4C54E2C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1" Type="http://schemas.openxmlformats.org/officeDocument/2006/relationships/image" Target="media/image132.png"/><Relationship Id="rId151" Type="http://schemas.openxmlformats.org/officeDocument/2006/relationships/image" Target="media/image133.png"/><Relationship Id="rId159" Type="http://schemas.openxmlformats.org/officeDocument/2006/relationships/image" Target="media/image134.png"/><Relationship Id="rId174"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96" Type="http://schemas.openxmlformats.org/officeDocument/2006/relationships/image" Target="media/image143.png"/><Relationship Id="rId197" Type="http://schemas.openxmlformats.org/officeDocument/2006/relationships/image" Target="media/image144.pn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139" Type="http://schemas.openxmlformats.org/officeDocument/2006/relationships/hyperlink" Target="http://www.sec.gov/Archives/edgar/data/1219601/000121960105000069/ex3a2004.htm" TargetMode="External"/><Relationship Id="rId140" Type="http://schemas.openxmlformats.org/officeDocument/2006/relationships/hyperlink" Target="https://www.sec.gov/Archives/edgar/data/1219601/000121960120000011/ex3mar2020.htm" TargetMode="External"/><Relationship Id="rId142" Type="http://schemas.openxmlformats.org/officeDocument/2006/relationships/hyperlink" Target="http://www.sec.gov/Archives/edgar/data/1219601/000095016803000549/dex45.htm" TargetMode="External"/><Relationship Id="rId143" Type="http://schemas.openxmlformats.org/officeDocument/2006/relationships/hyperlink" Target="https://www.sec.gov/Archives/edgar/data/1219601/000119312516712850/d213162dex41.htm" TargetMode="External"/><Relationship Id="rId144" Type="http://schemas.openxmlformats.org/officeDocument/2006/relationships/hyperlink" Target="https://www.sec.gov/Archives/edgar/data/1219601/000119312516712850/d213162dex42.htm" TargetMode="External"/><Relationship Id="rId145" Type="http://schemas.openxmlformats.org/officeDocument/2006/relationships/hyperlink" Target="http://www.sec.gov/Archives/edgar/data/1219601/000121960115000034/ex10.htm" TargetMode="External"/><Relationship Id="rId146" Type="http://schemas.openxmlformats.org/officeDocument/2006/relationships/hyperlink" Target="http://www.sec.gov/Archives/edgar/data/1219601/000121960117000016/ex4march2017.htm" TargetMode="External"/><Relationship Id="rId147" Type="http://schemas.openxmlformats.org/officeDocument/2006/relationships/hyperlink" Target="http://www.sec.gov/Archives/edgar/data/1219601/000121960118000009/ex4dec2017.htm" TargetMode="External"/><Relationship Id="rId148" Type="http://schemas.openxmlformats.org/officeDocument/2006/relationships/hyperlink" Target="http://www.sec.gov/Archives/edgar/data/1219601/000121960119000005/ex4dec2018.htm" TargetMode="External"/><Relationship Id="rId149" Type="http://schemas.openxmlformats.org/officeDocument/2006/relationships/hyperlink" Target="http://www.sec.gov/Archives/edgar/data/1219601/000119312518029266/d470596dex41.htm" TargetMode="External"/><Relationship Id="rId150" Type="http://schemas.openxmlformats.org/officeDocument/2006/relationships/hyperlink" Target="http://www.sec.gov/Archives/edgar/data/1219601/000119312518029266/d470596dex42.htm" TargetMode="External"/><Relationship Id="rId152" Type="http://schemas.openxmlformats.org/officeDocument/2006/relationships/hyperlink" Target="http://www.sec.gov/Archives/edgar/data/1219601/000119312518029266/d470596dex43.htm" TargetMode="External"/><Relationship Id="rId153" Type="http://schemas.openxmlformats.org/officeDocument/2006/relationships/hyperlink" Target="http://www.sec.gov/Archives/edgar/data/1219601/000119312520053971/d896926dex41.htm" TargetMode="External"/><Relationship Id="rId154" Type="http://schemas.openxmlformats.org/officeDocument/2006/relationships/hyperlink" Target="http://www.sec.gov/Archives/edgar/data/1219601/000119312519283489/d794572dex41.htm" TargetMode="External"/><Relationship Id="rId155" Type="http://schemas.openxmlformats.org/officeDocument/2006/relationships/hyperlink" Target="https://www.sec.gov/Archives/edgar/data/1219601/000121960120000006/ex4ffdec2019.htm" TargetMode="External"/><Relationship Id="rId156" Type="http://schemas.openxmlformats.org/officeDocument/2006/relationships/hyperlink" Target="http://www.sec.gov/Archives/edgar/data/1219601/000121960116000041/ex101.htm" TargetMode="External"/><Relationship Id="rId157" Type="http://schemas.openxmlformats.org/officeDocument/2006/relationships/hyperlink" Target="http://www.sec.gov/Archives/edgar/data/1219601/000121960113000032/ex103june2013.htm" TargetMode="External"/><Relationship Id="rId158" Type="http://schemas.openxmlformats.org/officeDocument/2006/relationships/hyperlink" Target="http://www.sec.gov/Archives/edgar/data/1219601/000121960112000033/ex101a.htm" TargetMode="External"/><Relationship Id="rId160" Type="http://schemas.openxmlformats.org/officeDocument/2006/relationships/hyperlink" Target="http://www.sec.gov/Archives/edgar/data/1219601/000121960113000032/ex10june2013.htm" TargetMode="External"/><Relationship Id="rId161" Type="http://schemas.openxmlformats.org/officeDocument/2006/relationships/hyperlink" Target="http://www.sec.gov/Archives/edgar/data/1219601/000121960115000009/ex10c11dec2014.htm" TargetMode="External"/><Relationship Id="rId162" Type="http://schemas.openxmlformats.org/officeDocument/2006/relationships/hyperlink" Target="http://www.sec.gov/Archives/edgar/data/1219601/000121960116000056/ex102-1q2016.htm" TargetMode="External"/><Relationship Id="rId163" Type="http://schemas.openxmlformats.org/officeDocument/2006/relationships/hyperlink" Target="http://www.sec.gov/Archives/edgar/data/1219601/000121960117000016/ex10amarch2017.htm" TargetMode="External"/><Relationship Id="rId164" Type="http://schemas.openxmlformats.org/officeDocument/2006/relationships/hyperlink" Target="http://www.sec.gov/ix?doc=/Archives/edgar/data/1219601/000121960122000003/cck-20220107.htm" TargetMode="External"/><Relationship Id="rId165" Type="http://schemas.openxmlformats.org/officeDocument/2006/relationships/hyperlink" Target="http://www.sec.gov/Archives/edgar/data/1219601/000121960119000005/ex10bdec2018.htm" TargetMode="External"/><Relationship Id="rId166" Type="http://schemas.openxmlformats.org/officeDocument/2006/relationships/hyperlink" Target="http://www.sec.gov/Archives/edgar/data/1219601/000121960108000009/ex10l.htm" TargetMode="External"/><Relationship Id="rId167" Type="http://schemas.openxmlformats.org/officeDocument/2006/relationships/hyperlink" Target="http://www.sec.gov/Archives/edgar/data/1219601/000121960107000020/ex104emarch07.htm" TargetMode="External"/><Relationship Id="rId168" Type="http://schemas.openxmlformats.org/officeDocument/2006/relationships/hyperlink" Target="http://www.sec.gov/Archives/edgar/data/1219601/000121960112000033/ex102.htm" TargetMode="External"/><Relationship Id="rId169" Type="http://schemas.openxmlformats.org/officeDocument/2006/relationships/hyperlink" Target="http://www.sec.gov/Archives/edgar/data/1219601/000121960113000007/ex10m7dec2012.htm" TargetMode="External"/><Relationship Id="rId170" Type="http://schemas.openxmlformats.org/officeDocument/2006/relationships/hyperlink" Target="http://www.sec.gov/Archives/edgar/data/1219601/000121960113000032/ex102june2013.htm" TargetMode="External"/><Relationship Id="rId171" Type="http://schemas.openxmlformats.org/officeDocument/2006/relationships/hyperlink" Target="http://www.sec.gov/Archives/edgar/data/1219601/000121960115000009/ex10f9dec2014.htm" TargetMode="External"/><Relationship Id="rId172" Type="http://schemas.openxmlformats.org/officeDocument/2006/relationships/hyperlink" Target="http://www.sec.gov/Archives/edgar/data/1219601/000121960116000056/ex103-1q2016.htm" TargetMode="External"/><Relationship Id="rId173" Type="http://schemas.openxmlformats.org/officeDocument/2006/relationships/hyperlink" Target="http://www.sec.gov/Archives/edgar/data/1219601/000121960116000058/ex101may2016.htm" TargetMode="External"/><Relationship Id="rId175" Type="http://schemas.openxmlformats.org/officeDocument/2006/relationships/hyperlink" Target="http://www.sec.gov/Archives/edgar/data/1219601/000121960117000016/ex10bmarch2017.htm" TargetMode="External"/><Relationship Id="rId176" Type="http://schemas.openxmlformats.org/officeDocument/2006/relationships/hyperlink" Target="http://www.sec.gov/Archives/edgar/data/1219601/000121960117000016/ex10cmarch2017.htm" TargetMode="External"/><Relationship Id="rId177" Type="http://schemas.openxmlformats.org/officeDocument/2006/relationships/hyperlink" Target="https://www.sec.gov/Archives/edgar/data/1219601/000121960120000035/ex10damendment1sept2020.htm" TargetMode="External"/><Relationship Id="rId178" Type="http://schemas.openxmlformats.org/officeDocument/2006/relationships/hyperlink" Target="http://www.sec.gov/Archives/edgar/data/1219601/000121960104000206/ex106sep04.htm" TargetMode="External"/><Relationship Id="rId179" Type="http://schemas.openxmlformats.org/officeDocument/2006/relationships/hyperlink" Target="http://www.sec.gov/Archives/edgar/data/1219601/000121960109000010/exhibit10w-2008.htm" TargetMode="External"/><Relationship Id="rId180" Type="http://schemas.openxmlformats.org/officeDocument/2006/relationships/hyperlink" Target="http://www.sec.gov/Archives/edgar/data/1219601/000095015904000314/crownproxy.txt" TargetMode="External"/><Relationship Id="rId181" Type="http://schemas.openxmlformats.org/officeDocument/2006/relationships/hyperlink" Target="http://www.sec.gov/Archives/edgar/data/1219601/000121960105000075/ex10q1-2005.htm" TargetMode="External"/><Relationship Id="rId182" Type="http://schemas.openxmlformats.org/officeDocument/2006/relationships/hyperlink" Target="http://www.sec.gov/Archives/edgar/data/1219601/000095015913000173/crownproxy.htm" TargetMode="External"/><Relationship Id="rId183" Type="http://schemas.openxmlformats.org/officeDocument/2006/relationships/hyperlink" Target="http://www.sec.gov/Archives/edgar/data/1219601/000121960113000045/ex10sept2013.htm" TargetMode="External"/><Relationship Id="rId184" Type="http://schemas.openxmlformats.org/officeDocument/2006/relationships/hyperlink" Target="http://www.sec.gov/Archives/edgar/data/1219601/000121960113000045/ex102sept2013.htm" TargetMode="External"/><Relationship Id="rId185" Type="http://schemas.openxmlformats.org/officeDocument/2006/relationships/hyperlink" Target="http://www.sec.gov/Archives/edgar/data/1219601/000121960112000033/ex103.htm" TargetMode="External"/><Relationship Id="rId186" Type="http://schemas.openxmlformats.org/officeDocument/2006/relationships/hyperlink" Target="http://www.sec.gov/Archives/edgar/data/1219601/000121960112000033/ex104.htm" TargetMode="External"/><Relationship Id="rId187" Type="http://schemas.openxmlformats.org/officeDocument/2006/relationships/hyperlink" Target="https://www.sec.gov/Archives/edgar/data/1219601/000121960120000018/ex10uamendment1.htm" TargetMode="External"/><Relationship Id="rId188" Type="http://schemas.openxmlformats.org/officeDocument/2006/relationships/hyperlink" Target="https://www.sec.gov/Archives/edgar/data/1219601/000121960121000005/ex10vamendment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2022-02-28T09:41:40Z</dcterms:created>
  <dcterms:modified xsi:type="dcterms:W3CDTF">2022-02-28T09:41:40Z</dcterms:modified>
</cp:coreProperties>
</file>