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904"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ind w:left="120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9"/>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984"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On August 8, 2022,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that certain Incremental Amendment No. 3 and Fifth Amendment (the “</w:t>
      </w:r>
      <w:r>
        <w:rPr>
          <w:rFonts w:ascii="Arial" w:cs="Arial" w:eastAsia="Arial" w:hAnsi="Arial"/>
          <w:sz w:val="17"/>
          <w:szCs w:val="17"/>
          <w:u w:val="single" w:color="auto"/>
          <w:color w:val="auto"/>
        </w:rPr>
        <w:t>Amendment</w:t>
      </w:r>
      <w:r>
        <w:rPr>
          <w:rFonts w:ascii="Arial" w:cs="Arial" w:eastAsia="Arial" w:hAnsi="Arial"/>
          <w:sz w:val="17"/>
          <w:szCs w:val="17"/>
          <w:color w:val="auto"/>
        </w:rPr>
        <w:t>”) to that certain Amended and Restated Credit Agreement, dated April 7, 2017, among the Company, Crown Americas LLC, a Pennsylvania limited liability company, Crown European Holdings S.A., a corporation organized under the laws of France (the “</w:t>
      </w:r>
      <w:r>
        <w:rPr>
          <w:rFonts w:ascii="Arial" w:cs="Arial" w:eastAsia="Arial" w:hAnsi="Arial"/>
          <w:sz w:val="17"/>
          <w:szCs w:val="17"/>
          <w:u w:val="single" w:color="auto"/>
          <w:color w:val="auto"/>
        </w:rPr>
        <w:t>European Issuer</w:t>
      </w:r>
      <w:r>
        <w:rPr>
          <w:rFonts w:ascii="Arial" w:cs="Arial" w:eastAsia="Arial" w:hAnsi="Arial"/>
          <w:sz w:val="17"/>
          <w:szCs w:val="17"/>
          <w:color w:val="auto"/>
        </w:rPr>
        <w:t>”), the Subsidiary Borrowers party thereto, Crown Metal Packaging Canada LP, a limited partnership organized under the laws of the Province of Ontario, Canada, Crown Cork &amp; Seal Company, Inc., a Pennsylvania corporation, the Parent Guarantors party thereto, the other Credit Parties party thereto, the Lenders party thereto, Deutsche Bank AG Canada Branch, as Canadian administrative agent, Deutsche Bank AG London Branch, as U.K. administrative agent, and Deutsche Bank AG New York Branch, as U.S. administrative agent, as previously amended by that certain First Amendment, dated December 28, 2017, that certain Incremental Amendment No. 1, dated January 29, 2018, that certain Second Amendment, dated March 23, 2018, that certain Incremental Amendment No. 2 and Third Amendment, dated December 13, 2019, and that certain Fourth Amendment, dated October 4, 2021 (such agreement, as so amended, and as may be further amended, restated, amended and restated or otherwise modified, including by the Amendment,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82"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The Amendment, among other changes, provided for (a) a new maturity date of August 8, 2027, the fifth anniversary of the Amendment, for the Facilities (as defined in the Credit Agreement), and (b) the replacement in full of certain existing Commitments (as defined in the Existing Credit Agreement (as defined in the Credit Agreement)) under the Existing Credit Agreement as follows: (1) the replacement of the existing Dollar Revolving Commitments (as defined in the Existing Credit Agreement) with $800 million in Dollar Revolving Commitments (as defined in the Credit Agreement),</w:t>
      </w:r>
    </w:p>
    <w:p>
      <w:pPr>
        <w:spacing w:after="0" w:line="1" w:lineRule="exact"/>
        <w:rPr>
          <w:sz w:val="20"/>
          <w:szCs w:val="20"/>
          <w:color w:val="auto"/>
        </w:rPr>
      </w:pPr>
    </w:p>
    <w:p>
      <w:pPr>
        <w:ind w:left="4" w:hanging="4"/>
        <w:spacing w:after="0" w:line="290"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replacement of the existing Multicurrency Revolving Commitments (as defined in the Existing Credit Agreement) with $800 million in Multicurrency Revolving Commitments (as defined in the Credit Agreement), (3) the replacement of the existing Canadian Revolving Commitments (as defined in the Existing Credit Agreement) with $50 million in Canadian Revolving Commitments (as defined in the Credit Agreement), (4) the replacement of the existing Term Loan A Commitments (as defined in the Existing Credit Agreement) with $1.8 billion in Term Loan A Commitments (as defined in the Credit Agreement), and (5) the replacement of the existing Term Euro Commitments (as defined in the Existing Credit Agreement) with €540 million in Term Euro Commitments (as defined in the Credit Agreement), in each case, under the Credit Agreement.</w:t>
      </w:r>
    </w:p>
    <w:p>
      <w:pPr>
        <w:spacing w:after="0" w:line="164"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The Credit Agreement contains affirmative and negative covenants, financial covenants requiring the Company to maintain a maximum leverage ratio and a minimum interest coverage ratio, representations and warranties and events of default customary for facilities of this type.</w:t>
      </w:r>
    </w:p>
    <w:p>
      <w:pPr>
        <w:spacing w:after="0" w:line="14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a copy of which is filed herewith as Exhibit 4.z</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expects to use proceeds from the Facilities to pay for the redemption of the Notes (as defined below) described in Item 8.01 below.</w:t>
      </w:r>
    </w:p>
    <w:p>
      <w:pPr>
        <w:spacing w:after="0" w:line="38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provided in Item 1.01 above is hereby incorporated herein by reference.</w:t>
      </w:r>
    </w:p>
    <w:p>
      <w:pPr>
        <w:sectPr>
          <w:pgSz w:w="11900" w:h="16838" w:orient="portrait"/>
          <w:cols w:equalWidth="0" w:num="1">
            <w:col w:w="10984"/>
          </w:cols>
          <w:pgMar w:left="436" w:top="297" w:right="47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On August 9, 2022, the European Issuer, a wholly-owned subsidiary of the Company, issued an unconditional notice of redemption to redeem (a) all of the European Issuer’s outstanding 2</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4</w:t>
      </w:r>
      <w:r>
        <w:rPr>
          <w:rFonts w:ascii="Arial" w:cs="Arial" w:eastAsia="Arial" w:hAnsi="Arial"/>
          <w:sz w:val="16"/>
          <w:szCs w:val="16"/>
          <w:color w:val="auto"/>
        </w:rPr>
        <w:t>% Senior Notes due 2023 (the “</w:t>
      </w:r>
      <w:r>
        <w:rPr>
          <w:rFonts w:ascii="Arial" w:cs="Arial" w:eastAsia="Arial" w:hAnsi="Arial"/>
          <w:sz w:val="16"/>
          <w:szCs w:val="16"/>
          <w:u w:val="single" w:color="auto"/>
          <w:color w:val="auto"/>
        </w:rPr>
        <w:t>2</w:t>
      </w:r>
      <w:r>
        <w:rPr>
          <w:rFonts w:ascii="Arial" w:cs="Arial" w:eastAsia="Arial" w:hAnsi="Arial"/>
          <w:sz w:val="23"/>
          <w:szCs w:val="23"/>
          <w:u w:val="single" w:color="auto"/>
          <w:color w:val="auto"/>
          <w:vertAlign w:val="superscript"/>
        </w:rPr>
        <w:t>1</w:t>
      </w:r>
      <w:r>
        <w:rPr>
          <w:rFonts w:ascii="Arial" w:cs="Arial" w:eastAsia="Arial" w:hAnsi="Arial"/>
          <w:sz w:val="16"/>
          <w:szCs w:val="16"/>
          <w:u w:val="single" w:color="auto"/>
          <w:color w:val="auto"/>
        </w:rPr>
        <w:t>/</w:t>
      </w:r>
      <w:r>
        <w:rPr>
          <w:rFonts w:ascii="Arial" w:cs="Arial" w:eastAsia="Arial" w:hAnsi="Arial"/>
          <w:sz w:val="23"/>
          <w:szCs w:val="23"/>
          <w:u w:val="single" w:color="auto"/>
          <w:color w:val="auto"/>
          <w:vertAlign w:val="subscript"/>
        </w:rPr>
        <w:t>4</w:t>
      </w:r>
      <w:r>
        <w:rPr>
          <w:rFonts w:ascii="Arial" w:cs="Arial" w:eastAsia="Arial" w:hAnsi="Arial"/>
          <w:sz w:val="16"/>
          <w:szCs w:val="16"/>
          <w:u w:val="single" w:color="auto"/>
          <w:color w:val="auto"/>
        </w:rPr>
        <w:t>% Notes</w:t>
      </w:r>
      <w:r>
        <w:rPr>
          <w:rFonts w:ascii="Arial" w:cs="Arial" w:eastAsia="Arial" w:hAnsi="Arial"/>
          <w:sz w:val="16"/>
          <w:szCs w:val="16"/>
          <w:color w:val="auto"/>
        </w:rPr>
        <w:t>”), with an initial aggregate principal amount outstanding of</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€335 million, and (b) all of the European Issuer’s outstanding </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Senior Notes due 2023 (the “</w:t>
      </w:r>
      <w:r>
        <w:rPr>
          <w:rFonts w:ascii="Arial" w:cs="Arial" w:eastAsia="Arial" w:hAnsi="Arial"/>
          <w:sz w:val="28"/>
          <w:szCs w:val="28"/>
          <w:u w:val="single" w:color="auto"/>
          <w:color w:val="auto"/>
          <w:vertAlign w:val="superscript"/>
        </w:rPr>
        <w:t>3</w:t>
      </w:r>
      <w:r>
        <w:rPr>
          <w:rFonts w:ascii="Arial" w:cs="Arial" w:eastAsia="Arial" w:hAnsi="Arial"/>
          <w:sz w:val="17"/>
          <w:szCs w:val="17"/>
          <w:u w:val="single" w:color="auto"/>
          <w:color w:val="auto"/>
        </w:rPr>
        <w:t>⁄</w:t>
      </w:r>
      <w:r>
        <w:rPr>
          <w:rFonts w:ascii="Arial" w:cs="Arial" w:eastAsia="Arial" w:hAnsi="Arial"/>
          <w:sz w:val="28"/>
          <w:szCs w:val="28"/>
          <w:u w:val="single" w:color="auto"/>
          <w:color w:val="auto"/>
          <w:vertAlign w:val="subscript"/>
        </w:rPr>
        <w:t>4</w:t>
      </w:r>
      <w:r>
        <w:rPr>
          <w:rFonts w:ascii="Arial" w:cs="Arial" w:eastAsia="Arial" w:hAnsi="Arial"/>
          <w:sz w:val="17"/>
          <w:szCs w:val="17"/>
          <w:u w:val="single" w:color="auto"/>
          <w:color w:val="auto"/>
        </w:rPr>
        <w:t>% Notes</w:t>
      </w:r>
      <w:r>
        <w:rPr>
          <w:rFonts w:ascii="Arial" w:cs="Arial" w:eastAsia="Arial" w:hAnsi="Arial"/>
          <w:sz w:val="17"/>
          <w:szCs w:val="17"/>
          <w:color w:val="auto"/>
        </w:rPr>
        <w:t>” and, together with the 2</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25"/>
          <w:szCs w:val="25"/>
          <w:color w:val="auto"/>
          <w:vertAlign w:val="subscript"/>
        </w:rPr>
        <w:t>4</w:t>
      </w:r>
      <w:r>
        <w:rPr>
          <w:rFonts w:ascii="Arial" w:cs="Arial" w:eastAsia="Arial" w:hAnsi="Arial"/>
          <w:sz w:val="17"/>
          <w:szCs w:val="17"/>
          <w:color w:val="auto"/>
        </w:rPr>
        <w:t>% Notes, the “</w:t>
      </w:r>
      <w:r>
        <w:rPr>
          <w:rFonts w:ascii="Arial" w:cs="Arial" w:eastAsia="Arial" w:hAnsi="Arial"/>
          <w:sz w:val="17"/>
          <w:szCs w:val="17"/>
          <w:u w:val="single" w:color="auto"/>
          <w:color w:val="auto"/>
        </w:rPr>
        <w:t>Notes</w:t>
      </w:r>
      <w:r>
        <w:rPr>
          <w:rFonts w:ascii="Arial" w:cs="Arial" w:eastAsia="Arial" w:hAnsi="Arial"/>
          <w:sz w:val="17"/>
          <w:szCs w:val="17"/>
          <w:color w:val="auto"/>
        </w:rPr>
        <w:t>”) with an initial aggregate principal amount outstanding of €550 million. The Notes will be redeemed on September 9, 2022 (the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for a redemption price equal to 100% of the principal amount thereof, plus accrued and unpaid interest, if any, to the Redemption Date and a Make-Whole Premium (in each case, as defined in the indenture governing the applicable Notes) to be calculated in accordance with paragraph 5 of the reverse side of the Notes at least two business days prior to the Redemption Date.</w:t>
      </w:r>
    </w:p>
    <w:p>
      <w:pPr>
        <w:spacing w:after="0" w:line="34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4.z</w:t>
            </w:r>
          </w:p>
        </w:tc>
        <w:tc>
          <w:tcPr>
            <w:tcW w:w="9940" w:type="dxa"/>
            <w:vAlign w:val="bottom"/>
            <w:gridSpan w:val="4"/>
          </w:tcPr>
          <w:p>
            <w:pPr>
              <w:spacing w:after="0"/>
              <w:rPr>
                <w:sz w:val="20"/>
                <w:szCs w:val="20"/>
                <w:color w:val="auto"/>
              </w:rPr>
            </w:pPr>
            <w:r>
              <w:rPr>
                <w:rFonts w:ascii="Arial" w:cs="Arial" w:eastAsia="Arial" w:hAnsi="Arial"/>
                <w:sz w:val="18"/>
                <w:szCs w:val="18"/>
                <w:color w:val="0000EE"/>
                <w:w w:val="91"/>
              </w:rPr>
              <w:t>Incremental Amendment No. 3 and Fifth Amendment, dated August 8, 2022, to Amended and Restated Credit Agreement, dated April 7,</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2017, among the Company, Crown Americas LLC, Crown European Holdings S.A., the Subsidiary Borrowers party thereto, Crown Metal</w:t>
            </w:r>
          </w:p>
        </w:tc>
      </w:tr>
      <w:tr>
        <w:trPr>
          <w:trHeight w:val="196"/>
        </w:trPr>
        <w:tc>
          <w:tcPr>
            <w:tcW w:w="1000" w:type="dxa"/>
            <w:vAlign w:val="bottom"/>
          </w:tcPr>
          <w:p>
            <w:pPr>
              <w:spacing w:after="0"/>
              <w:rPr>
                <w:sz w:val="17"/>
                <w:szCs w:val="17"/>
                <w:color w:val="auto"/>
              </w:rPr>
            </w:pPr>
          </w:p>
        </w:tc>
        <w:tc>
          <w:tcPr>
            <w:tcW w:w="9940" w:type="dxa"/>
            <w:vAlign w:val="bottom"/>
            <w:gridSpan w:val="4"/>
          </w:tcPr>
          <w:p>
            <w:pPr>
              <w:spacing w:after="0" w:line="196" w:lineRule="exact"/>
              <w:rPr>
                <w:sz w:val="20"/>
                <w:szCs w:val="20"/>
                <w:color w:val="auto"/>
              </w:rPr>
            </w:pPr>
            <w:r>
              <w:rPr>
                <w:rFonts w:ascii="Arial" w:cs="Arial" w:eastAsia="Arial" w:hAnsi="Arial"/>
                <w:sz w:val="18"/>
                <w:szCs w:val="18"/>
                <w:color w:val="0000EE"/>
                <w:w w:val="90"/>
              </w:rPr>
              <w:t>Packaging Canada LP, Crown Cork &amp; Seal Company, Inc., the Parent Guarantors party thereto, the other Credit Parties party thereto, the</w:t>
            </w:r>
          </w:p>
        </w:tc>
      </w:tr>
      <w:tr>
        <w:trPr>
          <w:trHeight w:val="196"/>
        </w:trPr>
        <w:tc>
          <w:tcPr>
            <w:tcW w:w="1000" w:type="dxa"/>
            <w:vAlign w:val="bottom"/>
          </w:tcPr>
          <w:p>
            <w:pPr>
              <w:spacing w:after="0"/>
              <w:rPr>
                <w:sz w:val="17"/>
                <w:szCs w:val="17"/>
                <w:color w:val="auto"/>
              </w:rPr>
            </w:pPr>
          </w:p>
        </w:tc>
        <w:tc>
          <w:tcPr>
            <w:tcW w:w="98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Lenders party thereto, Deutsche Bank AG Canada Branch, Deutsche Bank AG London Branch, and Deutsche Bank AG New York</w:t>
            </w:r>
          </w:p>
        </w:tc>
        <w:tc>
          <w:tcPr>
            <w:tcW w:w="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Branch.</w:t>
            </w:r>
          </w:p>
        </w:tc>
        <w:tc>
          <w:tcPr>
            <w:tcW w:w="8840" w:type="dxa"/>
            <w:vAlign w:val="bottom"/>
            <w:tcBorders>
              <w:top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r>
      <w:tr>
        <w:trPr>
          <w:trHeight w:val="344"/>
        </w:trPr>
        <w:tc>
          <w:tcPr>
            <w:tcW w:w="1000" w:type="dxa"/>
            <w:vAlign w:val="bottom"/>
          </w:tcPr>
          <w:p>
            <w:pPr>
              <w:spacing w:after="0"/>
              <w:rPr>
                <w:sz w:val="20"/>
                <w:szCs w:val="20"/>
                <w:color w:val="auto"/>
              </w:rPr>
            </w:pPr>
            <w:r>
              <w:rPr>
                <w:rFonts w:ascii="Arial" w:cs="Arial" w:eastAsia="Arial" w:hAnsi="Arial"/>
                <w:sz w:val="18"/>
                <w:szCs w:val="18"/>
                <w:color w:val="auto"/>
              </w:rPr>
              <w:t>EX-104</w:t>
            </w:r>
          </w:p>
        </w:tc>
        <w:tc>
          <w:tcPr>
            <w:tcW w:w="99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40"/>
          </w:cols>
          <w:pgMar w:left="440" w:top="297" w:right="51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Christy L. Kalaus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0720"/>
          </w:cols>
          <w:pgMar w:left="440" w:top="297"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4.z</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4"/>
          <w:szCs w:val="14"/>
          <w:b w:val="1"/>
          <w:bCs w:val="1"/>
          <w:i w:val="1"/>
          <w:iCs w:val="1"/>
          <w:color w:val="auto"/>
        </w:rPr>
        <w:t>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INCREMENTAL AMENDMENT NO. 3 AND FIFTH AMENDMENT</w:t>
      </w:r>
    </w:p>
    <w:p>
      <w:pPr>
        <w:spacing w:after="0" w:line="229"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INCREMENTAL AMENDMENT NO. 3 AND FIFTH AMENDMENT TO AMENDED AND RESTATED CREDIT AGREEMENT, dated as of August 8, 2022 (this “</w:t>
      </w:r>
      <w:r>
        <w:rPr>
          <w:rFonts w:ascii="Arial" w:cs="Arial" w:eastAsia="Arial" w:hAnsi="Arial"/>
          <w:sz w:val="17"/>
          <w:szCs w:val="17"/>
          <w:u w:val="single" w:color="auto"/>
          <w:color w:val="auto"/>
        </w:rPr>
        <w:t>Fifth Amendment</w:t>
      </w:r>
      <w:r>
        <w:rPr>
          <w:rFonts w:ascii="Arial" w:cs="Arial" w:eastAsia="Arial" w:hAnsi="Arial"/>
          <w:sz w:val="17"/>
          <w:szCs w:val="17"/>
          <w:color w:val="auto"/>
        </w:rPr>
        <w:t>”), among CROWN AMERICAS LLC, a Pennsylvania limited liability company (“</w:t>
      </w:r>
      <w:r>
        <w:rPr>
          <w:rFonts w:ascii="Arial" w:cs="Arial" w:eastAsia="Arial" w:hAnsi="Arial"/>
          <w:sz w:val="17"/>
          <w:szCs w:val="17"/>
          <w:u w:val="single" w:color="auto"/>
          <w:color w:val="auto"/>
        </w:rPr>
        <w:t>U.S. Borrower</w:t>
      </w:r>
      <w:r>
        <w:rPr>
          <w:rFonts w:ascii="Arial" w:cs="Arial" w:eastAsia="Arial" w:hAnsi="Arial"/>
          <w:sz w:val="17"/>
          <w:szCs w:val="17"/>
          <w:color w:val="auto"/>
        </w:rPr>
        <w:t>”), CROWN EUROPEAN HOLDINGS S.A., a corporation organized under the laws of France (“</w:t>
      </w:r>
      <w:r>
        <w:rPr>
          <w:rFonts w:ascii="Arial" w:cs="Arial" w:eastAsia="Arial" w:hAnsi="Arial"/>
          <w:sz w:val="17"/>
          <w:szCs w:val="17"/>
          <w:u w:val="single" w:color="auto"/>
          <w:color w:val="auto"/>
        </w:rPr>
        <w:t>European Borrower</w:t>
      </w:r>
      <w:r>
        <w:rPr>
          <w:rFonts w:ascii="Arial" w:cs="Arial" w:eastAsia="Arial" w:hAnsi="Arial"/>
          <w:sz w:val="17"/>
          <w:szCs w:val="17"/>
          <w:color w:val="auto"/>
        </w:rPr>
        <w:t>”), each of the Subsidiary Borrowers party hereto, CROWN METAL PACKAGING CANADA LP, a limited partnership organized under the laws of the Province of Ontario, Canada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and together with U.S. Borrower, European Borrower and the Subsidiary Borrowers party hereto, “</w:t>
      </w:r>
      <w:r>
        <w:rPr>
          <w:rFonts w:ascii="Arial" w:cs="Arial" w:eastAsia="Arial" w:hAnsi="Arial"/>
          <w:sz w:val="17"/>
          <w:szCs w:val="17"/>
          <w:u w:val="single" w:color="auto"/>
          <w:color w:val="auto"/>
        </w:rPr>
        <w:t>Borrowers</w:t>
      </w:r>
      <w:r>
        <w:rPr>
          <w:rFonts w:ascii="Arial" w:cs="Arial" w:eastAsia="Arial" w:hAnsi="Arial"/>
          <w:sz w:val="17"/>
          <w:szCs w:val="17"/>
          <w:color w:val="auto"/>
        </w:rPr>
        <w:t>”), CROWN CORK &amp; SEAL COMPANY, INC., a Pennsylvania corporation (“</w:t>
      </w:r>
      <w:r>
        <w:rPr>
          <w:rFonts w:ascii="Arial" w:cs="Arial" w:eastAsia="Arial" w:hAnsi="Arial"/>
          <w:sz w:val="17"/>
          <w:szCs w:val="17"/>
          <w:u w:val="single" w:color="auto"/>
          <w:color w:val="auto"/>
        </w:rPr>
        <w:t>CCSC</w:t>
      </w:r>
      <w:r>
        <w:rPr>
          <w:rFonts w:ascii="Arial" w:cs="Arial" w:eastAsia="Arial" w:hAnsi="Arial"/>
          <w:sz w:val="17"/>
          <w:szCs w:val="17"/>
          <w:color w:val="auto"/>
        </w:rPr>
        <w:t>”), CROWN HOLDINGS, INC. a Pennsylvania corporation (“</w:t>
      </w:r>
      <w:r>
        <w:rPr>
          <w:rFonts w:ascii="Arial" w:cs="Arial" w:eastAsia="Arial" w:hAnsi="Arial"/>
          <w:sz w:val="17"/>
          <w:szCs w:val="17"/>
          <w:u w:val="single" w:color="auto"/>
          <w:color w:val="auto"/>
        </w:rPr>
        <w:t>Crown Holdings</w:t>
      </w:r>
      <w:r>
        <w:rPr>
          <w:rFonts w:ascii="Arial" w:cs="Arial" w:eastAsia="Arial" w:hAnsi="Arial"/>
          <w:sz w:val="17"/>
          <w:szCs w:val="17"/>
          <w:color w:val="auto"/>
        </w:rPr>
        <w:t>”), and CROWN INTERNATIONAL HOLDINGS, INC., a Delaware corporation (“</w:t>
      </w:r>
      <w:r>
        <w:rPr>
          <w:rFonts w:ascii="Arial" w:cs="Arial" w:eastAsia="Arial" w:hAnsi="Arial"/>
          <w:sz w:val="17"/>
          <w:szCs w:val="17"/>
          <w:u w:val="single" w:color="auto"/>
          <w:color w:val="auto"/>
        </w:rPr>
        <w:t>Crown International</w:t>
      </w:r>
      <w:r>
        <w:rPr>
          <w:rFonts w:ascii="Arial" w:cs="Arial" w:eastAsia="Arial" w:hAnsi="Arial"/>
          <w:sz w:val="17"/>
          <w:szCs w:val="17"/>
          <w:color w:val="auto"/>
        </w:rPr>
        <w:t>”, and together with CCSC and Crown Holdings,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Guarantors</w:t>
      </w:r>
      <w:r>
        <w:rPr>
          <w:rFonts w:ascii="Arial" w:cs="Arial" w:eastAsia="Arial" w:hAnsi="Arial"/>
          <w:sz w:val="17"/>
          <w:szCs w:val="17"/>
          <w:color w:val="auto"/>
        </w:rPr>
        <w:t>”), each other Credit Party party hereto, DEUTSCHE BANK AG NEW YORK BRANCH, as administrative agent for certain Lenders (as defined in the Amended Credit Agreement (as defined below))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DEUTSCHE BANK AG, LONDON BRANCH, as U.K. administrative agent for certain Lenders (in such capacity, “</w:t>
      </w:r>
      <w:r>
        <w:rPr>
          <w:rFonts w:ascii="Arial" w:cs="Arial" w:eastAsia="Arial" w:hAnsi="Arial"/>
          <w:sz w:val="17"/>
          <w:szCs w:val="17"/>
          <w:u w:val="single" w:color="auto"/>
          <w:color w:val="auto"/>
        </w:rPr>
        <w:t>U.K. Administrative Agent</w:t>
      </w:r>
      <w:r>
        <w:rPr>
          <w:rFonts w:ascii="Arial" w:cs="Arial" w:eastAsia="Arial" w:hAnsi="Arial"/>
          <w:sz w:val="17"/>
          <w:szCs w:val="17"/>
          <w:color w:val="auto"/>
        </w:rPr>
        <w:t>”), DEUTSCHE BANK AG, CANADA BRANCH, as Canadian administrative agent for certain Lenders (in such capacity,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the undersigned 2022 Additional Term Lenders (as defined below) and the undersigned Revolving Lenders (as defined the Amended Credit Agreement (as defined below)), to that certain Amended and Restated Credit Agreement, dated as of April 7, 2017, as amended by that certain First Amendment to Amended and Restated Credit Agreement, dated as of December 28, 2017, that certain Incremental Amendment No. 1, dated as of January 29, 2018, and that certain Second Amendment to Amended and Restated Credit Agreement, First Amendment to the U.S. Guarantee Agreement and First Amendment to U.S. Indemnity, Subrogation and Contribution Agreement, dated as of March 23, 2018, that certain Incremental Amendment No. 2 and Third Amendment to Amended and Restated Credit Agreement, dated as of December 13, 2019 and that certain Fourth Amendment to Amended and Restated Credit Agreement, dated as of October 4, 2021, (as further amended, supplemented, amended and restated or otherwise modified from time to time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All capitalized terms used and not otherwise defined herein shall have the same meanings as set forth in the Amended Credit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8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(x) the U.S. Borrower has hereby notified the Administrative Agent that it is requesting Additional Term A Loans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2.9(a) of the Existing Credit Agreement and (y) the European Borrower has hereby notified the U.K. Administrative Agent that it is requesting Additional Term A Loans pursuant to Section 2.9(a) of the Existing Credit Agreement;</w:t>
      </w:r>
    </w:p>
    <w:p>
      <w:pPr>
        <w:spacing w:after="0" w:line="176"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2.9 of the Existing Credit Agreement, (i) the U.S. Borrower may establish an Additional Facility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Additional Term A Facility</w:t>
      </w:r>
      <w:r>
        <w:rPr>
          <w:rFonts w:ascii="Arial" w:cs="Arial" w:eastAsia="Arial" w:hAnsi="Arial"/>
          <w:sz w:val="16"/>
          <w:szCs w:val="16"/>
          <w:color w:val="auto"/>
        </w:rPr>
        <w:t>”, and the lenders thereunder, the “</w:t>
      </w:r>
      <w:r>
        <w:rPr>
          <w:rFonts w:ascii="Arial" w:cs="Arial" w:eastAsia="Arial" w:hAnsi="Arial"/>
          <w:sz w:val="16"/>
          <w:szCs w:val="16"/>
          <w:u w:val="single" w:color="auto"/>
          <w:color w:val="auto"/>
        </w:rPr>
        <w:t>Additional Term A Lenders</w:t>
      </w:r>
      <w:r>
        <w:rPr>
          <w:rFonts w:ascii="Arial" w:cs="Arial" w:eastAsia="Arial" w:hAnsi="Arial"/>
          <w:sz w:val="16"/>
          <w:szCs w:val="16"/>
          <w:color w:val="auto"/>
        </w:rPr>
        <w:t>”) to provide Additional Term A Loans denominated in Dollars (the “</w:t>
      </w:r>
      <w:r>
        <w:rPr>
          <w:rFonts w:ascii="Arial" w:cs="Arial" w:eastAsia="Arial" w:hAnsi="Arial"/>
          <w:sz w:val="16"/>
          <w:szCs w:val="16"/>
          <w:u w:val="single" w:color="auto"/>
          <w:color w:val="auto"/>
        </w:rPr>
        <w:t>Additional Term A Dollar Loans</w:t>
      </w:r>
      <w:r>
        <w:rPr>
          <w:rFonts w:ascii="Arial" w:cs="Arial" w:eastAsia="Arial" w:hAnsi="Arial"/>
          <w:sz w:val="16"/>
          <w:szCs w:val="16"/>
          <w:color w:val="auto"/>
        </w:rPr>
        <w:t>”) by, among other things, entering into one or more amendments pursuant to the terms and conditions of the Existing Credit Agreement with each Additional Term A Lender agreeing to provide such Additional Term A Dollar Loans and (ii) the European Borrower may establish an Additional Facility (the “</w:t>
      </w:r>
      <w:r>
        <w:rPr>
          <w:rFonts w:ascii="Arial" w:cs="Arial" w:eastAsia="Arial" w:hAnsi="Arial"/>
          <w:sz w:val="16"/>
          <w:szCs w:val="16"/>
          <w:u w:val="single" w:color="auto"/>
          <w:color w:val="auto"/>
        </w:rPr>
        <w:t>Additional Term Euro Facility</w:t>
      </w:r>
      <w:r>
        <w:rPr>
          <w:rFonts w:ascii="Arial" w:cs="Arial" w:eastAsia="Arial" w:hAnsi="Arial"/>
          <w:sz w:val="16"/>
          <w:szCs w:val="16"/>
          <w:color w:val="auto"/>
        </w:rPr>
        <w:t>” and, together with the Additional Term A Facility, the “</w:t>
      </w:r>
      <w:r>
        <w:rPr>
          <w:rFonts w:ascii="Arial" w:cs="Arial" w:eastAsia="Arial" w:hAnsi="Arial"/>
          <w:sz w:val="16"/>
          <w:szCs w:val="16"/>
          <w:u w:val="single" w:color="auto"/>
          <w:color w:val="auto"/>
        </w:rPr>
        <w:t>2022</w:t>
      </w:r>
      <w:r>
        <w:rPr>
          <w:rFonts w:ascii="Arial" w:cs="Arial" w:eastAsia="Arial" w:hAnsi="Arial"/>
          <w:sz w:val="16"/>
          <w:szCs w:val="16"/>
          <w:color w:val="auto"/>
        </w:rPr>
        <w:t xml:space="preserve"> </w:t>
      </w:r>
      <w:r>
        <w:rPr>
          <w:rFonts w:ascii="Arial" w:cs="Arial" w:eastAsia="Arial" w:hAnsi="Arial"/>
          <w:sz w:val="16"/>
          <w:szCs w:val="16"/>
          <w:u w:val="single" w:color="auto"/>
          <w:color w:val="auto"/>
        </w:rPr>
        <w:t>Additional Term Facilities</w:t>
      </w:r>
      <w:r>
        <w:rPr>
          <w:rFonts w:ascii="Arial" w:cs="Arial" w:eastAsia="Arial" w:hAnsi="Arial"/>
          <w:sz w:val="16"/>
          <w:szCs w:val="16"/>
          <w:color w:val="auto"/>
        </w:rPr>
        <w:t>”, and the lenders under the Additional Term Euro Facility, the “</w:t>
      </w:r>
      <w:r>
        <w:rPr>
          <w:rFonts w:ascii="Arial" w:cs="Arial" w:eastAsia="Arial" w:hAnsi="Arial"/>
          <w:sz w:val="16"/>
          <w:szCs w:val="16"/>
          <w:u w:val="single" w:color="auto"/>
          <w:color w:val="auto"/>
        </w:rPr>
        <w:t>Additional Term Euro Lenders</w:t>
      </w:r>
      <w:r>
        <w:rPr>
          <w:rFonts w:ascii="Arial" w:cs="Arial" w:eastAsia="Arial" w:hAnsi="Arial"/>
          <w:sz w:val="16"/>
          <w:szCs w:val="16"/>
          <w:color w:val="auto"/>
        </w:rPr>
        <w:t>” and, together with the Additional Term A Lenders, the “</w:t>
      </w:r>
      <w:r>
        <w:rPr>
          <w:rFonts w:ascii="Arial" w:cs="Arial" w:eastAsia="Arial" w:hAnsi="Arial"/>
          <w:sz w:val="16"/>
          <w:szCs w:val="16"/>
          <w:u w:val="single" w:color="auto"/>
          <w:color w:val="auto"/>
        </w:rPr>
        <w:t>2022 Additional Term Lenders</w:t>
      </w:r>
      <w:r>
        <w:rPr>
          <w:rFonts w:ascii="Arial" w:cs="Arial" w:eastAsia="Arial" w:hAnsi="Arial"/>
          <w:sz w:val="16"/>
          <w:szCs w:val="16"/>
          <w:color w:val="auto"/>
        </w:rPr>
        <w:t>”) to provide Additional Term A Loans denominated in Euros (the “</w:t>
      </w:r>
      <w:r>
        <w:rPr>
          <w:rFonts w:ascii="Arial" w:cs="Arial" w:eastAsia="Arial" w:hAnsi="Arial"/>
          <w:sz w:val="16"/>
          <w:szCs w:val="16"/>
          <w:u w:val="single" w:color="auto"/>
          <w:color w:val="auto"/>
        </w:rPr>
        <w:t>Additional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Euro Loans</w:t>
      </w:r>
      <w:r>
        <w:rPr>
          <w:rFonts w:ascii="Arial" w:cs="Arial" w:eastAsia="Arial" w:hAnsi="Arial"/>
          <w:sz w:val="16"/>
          <w:szCs w:val="16"/>
          <w:color w:val="auto"/>
        </w:rPr>
        <w:t>” and, together with the Additional Term A Dollar Loans, the “</w:t>
      </w:r>
      <w:r>
        <w:rPr>
          <w:rFonts w:ascii="Arial" w:cs="Arial" w:eastAsia="Arial" w:hAnsi="Arial"/>
          <w:sz w:val="16"/>
          <w:szCs w:val="16"/>
          <w:u w:val="single" w:color="auto"/>
          <w:color w:val="auto"/>
        </w:rPr>
        <w:t>2022 Additional Term Loans</w:t>
      </w:r>
      <w:r>
        <w:rPr>
          <w:rFonts w:ascii="Arial" w:cs="Arial" w:eastAsia="Arial" w:hAnsi="Arial"/>
          <w:sz w:val="16"/>
          <w:szCs w:val="16"/>
          <w:color w:val="auto"/>
        </w:rPr>
        <w:t>”), in each case, by, among other things, entering into one or more amendments pursuant to the terms and conditions of the Existing Credit Agreement with each 2022 Additional Term Lender;</w:t>
      </w:r>
    </w:p>
    <w:p>
      <w:pPr>
        <w:sectPr>
          <w:pgSz w:w="11900" w:h="16838" w:orient="portrait"/>
          <w:cols w:equalWidth="0" w:num="1">
            <w:col w:w="11020"/>
          </w:cols>
          <w:pgMar w:left="440" w:top="121" w:right="439" w:bottom="1440" w:gutter="0" w:footer="0" w:header="0"/>
        </w:sectPr>
      </w:pPr>
    </w:p>
    <w:bookmarkStart w:id="5" w:name="page6"/>
    <w:bookmarkEnd w:id="5"/>
    <w:p>
      <w:pPr>
        <w:ind w:lef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Arial" w:cs="Arial" w:eastAsia="Arial" w:hAnsi="Arial"/>
          <w:sz w:val="17"/>
          <w:szCs w:val="17"/>
          <w:color w:val="auto"/>
        </w:rPr>
        <w:t>, the Borrowers under the existing Revolving Facilities (as defined in the Existing Credit Agreement) have requested,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2.13(a) of the Existing Credit Agreement, (i) replacement Canadian Revolving Commitments (as defined in the Amended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in an amount equal to $50,000,000 in the aggregate as of the Incremental No. 3 and Fifth Amendment Effective Date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shall replace in full the existing Canadian Revolving Commitments under the Existing Credit Agreement, (ii) replacement Dollar Revolving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Commitments (as defined in Amended Credit Agreement) in an amount equal to $800,000,000 in the aggregate as of the Incremental Amendment No. 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Fifth Amendment Amendment Effective Date, which shall replace in full the existing Dollar Revolving Commitments under the Existing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(iii) replacement Multicurrency Revolving Commitments (as defined in the Amended Credit Agreement) in an amount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$800,000,000 in the aggregate as of the Incremental Amendment No. 3 and Fifth Amendment Effective Date, which shall replace in full (in an increased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the existing Multicurrency Revolving Commitments under the Existing Credit Agreement (collectively and together with the payment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unpaid interest, fees and other amounts outstanding under the Existing Credit Agreement related thereto, the “</w:t>
      </w:r>
      <w:r>
        <w:rPr>
          <w:rFonts w:ascii="Arial" w:cs="Arial" w:eastAsia="Arial" w:hAnsi="Arial"/>
          <w:sz w:val="17"/>
          <w:szCs w:val="17"/>
          <w:u w:val="single" w:color="auto"/>
          <w:color w:val="auto"/>
        </w:rPr>
        <w:t>2022 Revolving Commitments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Refinancing</w:t>
      </w:r>
      <w:r>
        <w:rPr>
          <w:rFonts w:ascii="Arial" w:cs="Arial" w:eastAsia="Arial" w:hAnsi="Arial"/>
          <w:sz w:val="18"/>
          <w:szCs w:val="18"/>
          <w:color w:val="auto"/>
        </w:rPr>
        <w:t>”);</w:t>
      </w:r>
    </w:p>
    <w:p>
      <w:pPr>
        <w:spacing w:after="0" w:line="207" w:lineRule="exact"/>
        <w:rPr>
          <w:sz w:val="20"/>
          <w:szCs w:val="20"/>
          <w:color w:val="auto"/>
        </w:rPr>
      </w:pPr>
    </w:p>
    <w:p>
      <w:pPr>
        <w:jc w:val="both"/>
        <w:ind w:right="260" w:firstLine="99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Revolving Facilities (as defined in Amended Credit Agreement) will be used on or after the Incremental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No. 3 and Fifth Amendment Effective Date by Crown Holdings and each of its subsidiaries for working capital and other general corporate purposes;</w:t>
      </w:r>
    </w:p>
    <w:p>
      <w:pPr>
        <w:spacing w:after="0" w:line="116" w:lineRule="exact"/>
        <w:rPr>
          <w:sz w:val="20"/>
          <w:szCs w:val="20"/>
          <w:color w:val="auto"/>
        </w:rPr>
      </w:pPr>
    </w:p>
    <w:p>
      <w:pPr>
        <w:ind w:right="120" w:firstLine="991"/>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 the U.S. Borrower has requested the borrowing of $1,800,000,000 of Additional Term A Dollar Loans and (ii) the</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Borrower has requested the borrowing of €540,000,000 of Additional Term Euro Loans, the proceeds of which, together with cash on hand and borrowings under the Revolving Facilities under the Amended Credit Agreement, will be used to (1) refinance in full the Term Euro Loans and the Term A Loans and pay all unpaid interest, fees and other amounts outstanding under the Existing Credit Agreement related thereto (the “</w:t>
      </w:r>
      <w:r>
        <w:rPr>
          <w:rFonts w:ascii="Arial" w:cs="Arial" w:eastAsia="Arial" w:hAnsi="Arial"/>
          <w:sz w:val="16"/>
          <w:szCs w:val="16"/>
          <w:u w:val="single" w:color="auto"/>
          <w:color w:val="auto"/>
        </w:rPr>
        <w:t>2022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 Refinancing</w:t>
      </w:r>
      <w:r>
        <w:rPr>
          <w:rFonts w:ascii="Arial" w:cs="Arial" w:eastAsia="Arial" w:hAnsi="Arial"/>
          <w:sz w:val="16"/>
          <w:szCs w:val="16"/>
          <w:color w:val="auto"/>
        </w:rPr>
        <w:t>”) and (2) pay costs and expenses related to the 2022 Term Loan Refinancing and the 2022 Revolving Commitments Refinancing (together with the 2022 Revolving Commitments Refinancing and the 2022 Term Loan Refinancing, the “</w:t>
      </w:r>
      <w:r>
        <w:rPr>
          <w:rFonts w:ascii="Arial" w:cs="Arial" w:eastAsia="Arial" w:hAnsi="Arial"/>
          <w:sz w:val="16"/>
          <w:szCs w:val="16"/>
          <w:u w:val="single" w:color="auto"/>
          <w:color w:val="auto"/>
        </w:rPr>
        <w:t>2022 Transactions</w:t>
      </w:r>
      <w:r>
        <w:rPr>
          <w:rFonts w:ascii="Arial" w:cs="Arial" w:eastAsia="Arial" w:hAnsi="Arial"/>
          <w:sz w:val="16"/>
          <w:szCs w:val="16"/>
          <w:color w:val="auto"/>
        </w:rPr>
        <w:t>”);</w:t>
      </w:r>
    </w:p>
    <w:p>
      <w:pPr>
        <w:spacing w:after="0" w:line="160"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2022 Additional Term Lender has agreed to make the full amount of 2022 Additional Term Loans set forth opposite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2022 Additional Term Lender’s name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on the terms set forth herein;</w:t>
      </w:r>
    </w:p>
    <w:p>
      <w:pPr>
        <w:spacing w:after="0" w:line="162" w:lineRule="exact"/>
        <w:rPr>
          <w:sz w:val="20"/>
          <w:szCs w:val="20"/>
          <w:color w:val="auto"/>
        </w:rPr>
      </w:pPr>
    </w:p>
    <w:p>
      <w:pPr>
        <w:jc w:val="both"/>
        <w:ind w:right="72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Person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hereto has agreed (on a several and not a joint basis),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set forth herein and in the Amended Credit Agreement, to provide a Revolving Commitments in the amount set forth opposite such Revolving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and</w:t>
      </w:r>
    </w:p>
    <w:p>
      <w:pPr>
        <w:spacing w:after="0" w:line="176"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Sections 2.9 and 2.13 of the Existing Credit Agreement, as applicable, the Borrowers, the 2022 Additional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the Revolving Lenders, the Swing Line Lenders, the Facing Agents and the Administrative Agent may amend the Existing Credit Agreement and the other Loan Documents to reflect, among other things, changes necessary or appropriate to give effect to the 2022 Additional Term Facilities and the replacement Revolving Facilities contemplated by this Incremental Amendment No. 3 and Fifth Amendment and the Borrowers, the Swing Line Lenders, the Facing Agents and the Administrative Agent, together with the 2022 Additional Term Lenders and the Revolving Lenders (as defined in the Amended Credit Agreement), desire to amend the Existing Credit Agreement pursuant to Sections 2.9 and 2.13 of the Existing Credit Agreement, as applicable, as set forth below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(such amendments, the “</w:t>
      </w:r>
      <w:r>
        <w:rPr>
          <w:rFonts w:ascii="Arial" w:cs="Arial" w:eastAsia="Arial" w:hAnsi="Arial"/>
          <w:sz w:val="17"/>
          <w:szCs w:val="17"/>
          <w:u w:val="single" w:color="auto"/>
          <w:color w:val="auto"/>
        </w:rPr>
        <w:t>Incremental Amendments</w:t>
      </w:r>
      <w:r>
        <w:rPr>
          <w:rFonts w:ascii="Arial" w:cs="Arial" w:eastAsia="Arial" w:hAnsi="Arial"/>
          <w:sz w:val="17"/>
          <w:szCs w:val="17"/>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4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Arial" w:cs="Arial" w:eastAsia="Arial" w:hAnsi="Arial"/>
          <w:sz w:val="18"/>
          <w:szCs w:val="18"/>
          <w:color w:val="auto"/>
        </w:rPr>
        <w:t>, pursuant to Section 12.1 of the Existing Credit Agreement, the Borrowers have requested that the Canadian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U.K. Administrative Agent, the Administrative Agent, the Facing Agents and the Lenders amend certain other provisions of the Existing Credit Agreement (the “</w:t>
      </w:r>
      <w:r>
        <w:rPr>
          <w:rFonts w:ascii="Arial" w:cs="Arial" w:eastAsia="Arial" w:hAnsi="Arial"/>
          <w:sz w:val="18"/>
          <w:szCs w:val="18"/>
          <w:u w:val="single" w:color="auto"/>
          <w:color w:val="auto"/>
        </w:rPr>
        <w:t>Additional Amendments</w:t>
      </w:r>
      <w:r>
        <w:rPr>
          <w:rFonts w:ascii="Arial" w:cs="Arial" w:eastAsia="Arial" w:hAnsi="Arial"/>
          <w:sz w:val="18"/>
          <w:szCs w:val="18"/>
          <w:color w:val="auto"/>
        </w:rPr>
        <w:t>”).</w:t>
      </w:r>
    </w:p>
    <w:p>
      <w:pPr>
        <w:spacing w:after="0" w:line="176"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covenants contained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hereto, intending to be legally bound hereby, agree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Additional Term A Dollar Loans.</w:t>
      </w:r>
    </w:p>
    <w:p>
      <w:pPr>
        <w:spacing w:after="0" w:line="121"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Subject to the terms and conditions set forth herein, each Additional Term A Lender (i) acknowledges and agrees that it shall be a “Term Loan A Lender” and a “Lender” under and for all purposes of the Amended Credit Agreement and the other Loan Documents and shall be subject to and bound by the terms thereof and shall perform all the obligations of and shall have all rights of a Lender thereunder and (ii) agrees to make Additional Term A Dollar Loans to the U.S. Borrower in an aggregate amount not to exceed the amount set forth opposite such Additional Term A Lender’s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Additional Term A Dollar Loans shall have the terms set forth in the Amended Credit Agreement and will constitute “Term A Loans” for all purposes under the Amended Credit Agreement and the other Loan Documents and the Additional Term A Facility shall constitute a “Facility” for all purposes under the Amended Credit Agreement. The aggregate amount of the Additional Term A Dollar Loans made under this Incremental Amendment No. 3 and Fifth Amendment shall be $1,800,000,000.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Additional Term Euro Loans.</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Subject to the terms and conditions set forth herein, each Additional Term Euro Lender (i) acknowledges and agrees that it shall be a “Term Euro Lender” and a “Lender” under and for all purposes of the Amended Credit Agreement and the other Loan Documents and shall be subject to and bound by the terms thereof and shall perform all the obligations of and shall have all rights of a Lender thereunder and (ii) agrees to make Additional Term Euro Loans to the European Borrower in an aggregate amount not to exceed the amount set forth opposite such Additional Term Euro Lender’s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Additional Term Euro Loans shall have the terms set forth in the Amended Credit Agreement and will constitute “Term Euro Loans” for all purposes under the Amended Credit Agreement and the other Loan Documents and the Additional Term Euro Facility shall constitute a “Facility” for all purposes under the Amended Credit Agreement. The aggregate amount of the Additional Term Euro Loans made under this Incremental Amendment No. 3 and Fifth Amendment shall be the Euro equivalent of $540,000,000.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Revolving Commitments.</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Subject to the terms and conditions set forth herein, each Revolving Lender (i) acknowledges and agrees that it shall be a “Revolving Lender” and a “Lender” under, and for all purposes of, the Amended Credit Agreement and the other Loan Documents, and shall be subject to and bound by the terms thereof, and shall perform all the obligations of and shall have all rights of a Lender thereunder and (ii) agrees to provide Canadian Revolving Commitments, Dollar Revolving Commitments and/or Multicurrency Revolving Commitments, as applicable, to the applicable Borrower in an aggregate amount not to exceed the amount set forth opposite such Revolving Lender’s name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under the captions Amount of Canadian Revolving Commitment, Amount of Dollar Revolving Commitment and/or Amount of Multicurrency Revolving Commitment, as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Amendments.</w:t>
      </w:r>
    </w:p>
    <w:p>
      <w:pPr>
        <w:spacing w:after="0" w:line="121" w:lineRule="exact"/>
        <w:rPr>
          <w:sz w:val="20"/>
          <w:szCs w:val="20"/>
          <w:color w:val="auto"/>
        </w:rPr>
      </w:pPr>
    </w:p>
    <w:p>
      <w:pPr>
        <w:ind w:right="200" w:firstLine="436"/>
        <w:spacing w:after="0" w:line="279" w:lineRule="auto"/>
        <w:tabs>
          <w:tab w:leader="none" w:pos="68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Effective as of the Incremental Amendment No. 3 and Fifth Amendment Effective Date, and subject to the terms and conditions set forth herein, the Existing Credit Agreement is hereby amended to delete the stricken text (indicated textually in the same manner as the following example: </w:t>
      </w:r>
      <w:r>
        <w:rPr>
          <w:rFonts w:ascii="Arial" w:cs="Arial" w:eastAsia="Arial" w:hAnsi="Arial"/>
          <w:sz w:val="17"/>
          <w:szCs w:val="17"/>
          <w:color w:val="FF4338"/>
          <w:strike w:val="1"/>
        </w:rPr>
        <w:t>stricken text</w:t>
      </w:r>
      <w:r>
        <w:rPr>
          <w:rFonts w:ascii="Arial" w:cs="Arial" w:eastAsia="Arial" w:hAnsi="Arial"/>
          <w:sz w:val="17"/>
          <w:szCs w:val="17"/>
          <w:color w:val="000000"/>
        </w:rPr>
        <w:t>) and to add the double-underlined text (indicated textually in the same manner as the following example:</w:t>
      </w:r>
      <w:r>
        <w:rPr>
          <w:rFonts w:ascii="Arial" w:cs="Arial" w:eastAsia="Arial" w:hAnsi="Arial"/>
          <w:sz w:val="17"/>
          <w:szCs w:val="17"/>
          <w:color w:val="FF4338"/>
        </w:rPr>
        <w:t xml:space="preserve"> </w:t>
      </w:r>
      <w:r>
        <w:rPr>
          <w:rFonts w:ascii="Arial" w:cs="Arial" w:eastAsia="Arial" w:hAnsi="Arial"/>
          <w:sz w:val="17"/>
          <w:szCs w:val="17"/>
          <w:u w:val="single" w:color="auto"/>
          <w:color w:val="0000FF"/>
        </w:rPr>
        <w:t>double-underlined text</w:t>
      </w:r>
      <w:r>
        <w:rPr>
          <w:rFonts w:ascii="Arial" w:cs="Arial" w:eastAsia="Arial" w:hAnsi="Arial"/>
          <w:sz w:val="17"/>
          <w:szCs w:val="17"/>
          <w:color w:val="000000"/>
        </w:rPr>
        <w:t>) as set</w:t>
      </w:r>
      <w:r>
        <w:rPr>
          <w:rFonts w:ascii="Arial" w:cs="Arial" w:eastAsia="Arial" w:hAnsi="Arial"/>
          <w:sz w:val="17"/>
          <w:szCs w:val="17"/>
          <w:color w:val="FF4338"/>
        </w:rPr>
        <w:t xml:space="preserve"> </w:t>
      </w:r>
      <w:r>
        <w:rPr>
          <w:rFonts w:ascii="Arial" w:cs="Arial" w:eastAsia="Arial" w:hAnsi="Arial"/>
          <w:sz w:val="17"/>
          <w:szCs w:val="17"/>
          <w:color w:val="000000"/>
        </w:rPr>
        <w:t xml:space="preserve">forth in the pages of the Credit Agreement attached as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(the “</w:t>
      </w:r>
      <w:r>
        <w:rPr>
          <w:rFonts w:ascii="Arial" w:cs="Arial" w:eastAsia="Arial" w:hAnsi="Arial"/>
          <w:sz w:val="17"/>
          <w:szCs w:val="17"/>
          <w:u w:val="single" w:color="auto"/>
          <w:color w:val="000000"/>
        </w:rPr>
        <w:t>Amended Credit Agreement</w:t>
      </w:r>
      <w:r>
        <w:rPr>
          <w:rFonts w:ascii="Arial" w:cs="Arial" w:eastAsia="Arial" w:hAnsi="Arial"/>
          <w:sz w:val="17"/>
          <w:szCs w:val="17"/>
          <w:color w:val="000000"/>
        </w:rPr>
        <w:t>”).</w:t>
      </w:r>
    </w:p>
    <w:p>
      <w:pPr>
        <w:spacing w:after="0" w:line="171" w:lineRule="exact"/>
        <w:rPr>
          <w:rFonts w:ascii="Arial" w:cs="Arial" w:eastAsia="Arial" w:hAnsi="Arial"/>
          <w:sz w:val="17"/>
          <w:szCs w:val="17"/>
          <w:color w:val="auto"/>
        </w:rPr>
      </w:pPr>
    </w:p>
    <w:p>
      <w:pPr>
        <w:ind w:right="440" w:firstLine="436"/>
        <w:spacing w:after="0" w:line="308"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Effective as of the Incremental Amendment No. 3 and Fifth Amendment Effective Date, and subject to the terms and conditions set forth herein, the Schedules to the Existing Credit Agreement are replaced by the Schedules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-574675</wp:posOffset>
            </wp:positionV>
            <wp:extent cx="1037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2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SECTION 5. Representations and Warranties</w:t>
      </w:r>
      <w:r>
        <w:rPr>
          <w:rFonts w:ascii="Arial" w:cs="Arial" w:eastAsia="Arial" w:hAnsi="Arial"/>
          <w:sz w:val="18"/>
          <w:szCs w:val="18"/>
          <w:color w:val="auto"/>
        </w:rPr>
        <w:t>. Each Credit Party represents and warrants to the 2022 Additional Term Lenders and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as of the date hereof that:</w:t>
      </w:r>
    </w:p>
    <w:p>
      <w:pPr>
        <w:spacing w:after="0" w:line="166" w:lineRule="exact"/>
        <w:rPr>
          <w:sz w:val="20"/>
          <w:szCs w:val="20"/>
          <w:color w:val="auto"/>
        </w:rPr>
      </w:pPr>
    </w:p>
    <w:p>
      <w:pPr>
        <w:ind w:firstLine="436"/>
        <w:spacing w:after="0" w:line="269"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(i) Each Credit Party has the right and power and is duly authorized to execute this Incremental Amendment No. 3 and Fifth Amendment and to perform and observe the provisions of this Incremental Amendment No. 3 and Fifth Amendment, (ii) this Incremental Amendment No. 3 and Fifth Amendment has been duly executed and delivered by each Credit Party and is the legal, valid and binding obligation of such Credit Party, enforceable against such Credit Party in accordance with its terms, subject to applicable bankruptcy, insolvency and similar laws affecting the enforceability of creditors’ rights generally and to general principles of equity, and (iii) the execution, delivery and performance by each Credit Party of this Incremental Amendment No. 3 and Fifth Amendment, does not and will not (A) contravene the terms of any of such Credit Party’s Organic Documents; (B) conflict with or result in any breach or contravention of, or constitute a default under, or result in the creation or imposition of (or the obligation to create or impose) any Lien (other than Liens permitted under Section 8.2 of the Credit Agreement) pursuant to, (1) any Contractual Obligation to which such Credit Party is a party or affecting such Credit Party or the properties of such Credit Party or any of its Subsidiaries or (2) any order, injunction, writ or decree of any Governmental Authority or any arbitral award to which the such Credit Party or its property is subject; or (C) violate any Requirement of Law, except in each case referred to in clause (B)(1), (B)(2) or (C), to the extent that such contravention or violation could not reasonably be expected to have a Material Adverse Effect.</w:t>
      </w:r>
    </w:p>
    <w:p>
      <w:pPr>
        <w:spacing w:after="0" w:line="178" w:lineRule="exact"/>
        <w:rPr>
          <w:rFonts w:ascii="Arial" w:cs="Arial" w:eastAsia="Arial" w:hAnsi="Arial"/>
          <w:sz w:val="17"/>
          <w:szCs w:val="17"/>
          <w:color w:val="auto"/>
        </w:rPr>
      </w:pPr>
    </w:p>
    <w:p>
      <w:pPr>
        <w:ind w:right="60" w:firstLine="436"/>
        <w:spacing w:after="0" w:line="272" w:lineRule="auto"/>
        <w:tabs>
          <w:tab w:leader="none" w:pos="69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Incremental Amendment No. 3 and Fifth Amendment Effective Date and which remain in full force and effect on the Incremental Amendment No. 3 and Fifth Amendment Effective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this Incremental Amendment No. 3 and Fifth Amendment.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Conditions to Effectiveness to the Incremental Amendment No. 3 and Fifth Amendment and the Revolving Commitments and funding of the 2022 Additional Term Loans</w:t>
      </w:r>
      <w:r>
        <w:rPr>
          <w:rFonts w:ascii="Arial" w:cs="Arial" w:eastAsia="Arial" w:hAnsi="Arial"/>
          <w:sz w:val="18"/>
          <w:szCs w:val="18"/>
          <w:color w:val="auto"/>
        </w:rPr>
        <w:t>.</w:t>
      </w:r>
    </w:p>
    <w:p>
      <w:pPr>
        <w:spacing w:after="0" w:line="16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effectiveness of this Incremental Amendment No. 3 and Fifth Amendment and the Incremental Amendments contemplated hereby are subject to the satisfaction of the following conditions precedent (the date upon which this Incremental Amendment No. 3 and Fifth Amendment becomes effective, the “</w:t>
      </w:r>
      <w:r>
        <w:rPr>
          <w:rFonts w:ascii="Arial" w:cs="Arial" w:eastAsia="Arial" w:hAnsi="Arial"/>
          <w:sz w:val="18"/>
          <w:szCs w:val="18"/>
          <w:u w:val="single" w:color="auto"/>
          <w:color w:val="auto"/>
        </w:rPr>
        <w:t>Incremental Amendment No. 3 and Fifth Amendment Effective Date</w:t>
      </w:r>
      <w:r>
        <w:rPr>
          <w:rFonts w:ascii="Arial" w:cs="Arial" w:eastAsia="Arial" w:hAnsi="Arial"/>
          <w:sz w:val="18"/>
          <w:szCs w:val="18"/>
          <w:color w:val="auto"/>
        </w:rPr>
        <w:t>”), and the Additional Amendments will become effective immediately after the effectiveness of the Incremental Amendments.</w:t>
      </w:r>
    </w:p>
    <w:p>
      <w:pPr>
        <w:spacing w:after="0" w:line="187" w:lineRule="exact"/>
        <w:rPr>
          <w:sz w:val="20"/>
          <w:szCs w:val="20"/>
          <w:color w:val="auto"/>
        </w:rPr>
      </w:pPr>
    </w:p>
    <w:p>
      <w:pPr>
        <w:ind w:right="180" w:firstLine="436"/>
        <w:spacing w:after="0" w:line="30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Execution</w:t>
      </w:r>
      <w:r>
        <w:rPr>
          <w:rFonts w:ascii="Arial" w:cs="Arial" w:eastAsia="Arial" w:hAnsi="Arial"/>
          <w:sz w:val="17"/>
          <w:szCs w:val="17"/>
          <w:color w:val="auto"/>
        </w:rPr>
        <w:t>. The Agents shall have received executed signature pages hereto from the 2022 Additional Term Lenders, the Revolving Lenders, the Facing Agents, the Swing Line Lender, the U.S. Borrower, European Borrower and each other Credit Party party hereto.</w:t>
      </w:r>
    </w:p>
    <w:p>
      <w:pPr>
        <w:spacing w:after="0" w:line="146" w:lineRule="exact"/>
        <w:rPr>
          <w:rFonts w:ascii="Arial" w:cs="Arial" w:eastAsia="Arial" w:hAnsi="Arial"/>
          <w:sz w:val="17"/>
          <w:szCs w:val="17"/>
          <w:color w:val="auto"/>
        </w:rPr>
      </w:pPr>
    </w:p>
    <w:p>
      <w:pPr>
        <w:ind w:right="200" w:firstLine="436"/>
        <w:spacing w:after="0" w:line="263"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Documents</w:t>
      </w:r>
      <w:r>
        <w:rPr>
          <w:rFonts w:ascii="Arial" w:cs="Arial" w:eastAsia="Arial" w:hAnsi="Arial"/>
          <w:sz w:val="18"/>
          <w:szCs w:val="18"/>
          <w:color w:val="auto"/>
        </w:rPr>
        <w:t>. The Administrative Agent shall have received each of the following, each dated the Incremental Amendment No. 3 and Fifth Amendment Effective Date unless otherwise indicated or agreed to by the Administrative Agent and each in form and substance reasonably satisfactory to the Administrative Agent:</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 certificate of the secretary or any assistant secretary (or, if no secretary or assistant secretary exists, a Responsible Officer or if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6"/>
          <w:szCs w:val="16"/>
          <w:color w:val="auto"/>
        </w:rPr>
        <w:t xml:space="preserve">customary in the applicable jurisdiction any director or other authorized signatory), of each Credit Party substantially in the form of </w:t>
      </w:r>
      <w:r>
        <w:rPr>
          <w:rFonts w:ascii="Arial" w:cs="Arial" w:eastAsia="Arial" w:hAnsi="Arial"/>
          <w:sz w:val="16"/>
          <w:szCs w:val="16"/>
          <w:u w:val="single" w:color="auto"/>
          <w:color w:val="auto"/>
        </w:rPr>
        <w:t>Exhibit 5.1(e)</w:t>
      </w:r>
    </w:p>
    <w:p>
      <w:pPr>
        <w:spacing w:after="0" w:line="32" w:lineRule="exact"/>
        <w:rPr>
          <w:rFonts w:ascii="Arial" w:cs="Arial" w:eastAsia="Arial" w:hAnsi="Arial"/>
          <w:sz w:val="17"/>
          <w:szCs w:val="17"/>
          <w:color w:val="auto"/>
        </w:rPr>
      </w:pPr>
    </w:p>
    <w:p>
      <w:pPr>
        <w:ind w:left="440" w:hanging="4"/>
        <w:spacing w:after="0" w:line="268" w:lineRule="auto"/>
        <w:tabs>
          <w:tab w:leader="none" w:pos="705" w:val="left"/>
        </w:tabs>
        <w:numPr>
          <w:ilvl w:val="0"/>
          <w:numId w:val="6"/>
        </w:numPr>
        <w:rPr>
          <w:rFonts w:ascii="Arial" w:cs="Arial" w:eastAsia="Arial" w:hAnsi="Arial"/>
          <w:sz w:val="17"/>
          <w:szCs w:val="17"/>
          <w:u w:val="single" w:color="auto"/>
          <w:color w:val="auto"/>
        </w:rPr>
      </w:pPr>
      <w:r>
        <w:rPr>
          <w:rFonts w:ascii="Arial" w:cs="Arial" w:eastAsia="Arial" w:hAnsi="Arial"/>
          <w:sz w:val="17"/>
          <w:szCs w:val="17"/>
          <w:color w:val="auto"/>
        </w:rPr>
        <w:t>to the Existing Credit Agreement with appropriate insertions, as to the incumbency and signature of the officers/managers of each such Credit Party executing any Loan Document as of the Incremental Amendment No. 3 and Fifth Amendment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director or other authorized signatory, as applicable),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Arial" w:cs="Arial" w:eastAsia="Arial" w:hAnsi="Arial"/>
          <w:sz w:val="17"/>
          <w:szCs w:val="17"/>
          <w:i w:val="1"/>
          <w:iCs w:val="1"/>
          <w:color w:val="auto"/>
        </w:rPr>
        <w:t>extrait</w:t>
      </w:r>
      <w:r>
        <w:rPr>
          <w:rFonts w:ascii="Arial" w:cs="Arial" w:eastAsia="Arial" w:hAnsi="Arial"/>
          <w:sz w:val="17"/>
          <w:szCs w:val="17"/>
          <w:color w:val="auto"/>
        </w:rPr>
        <w:t>) and a certificate of non-inscription of a judicial decision (</w:t>
      </w:r>
      <w:r>
        <w:rPr>
          <w:rFonts w:ascii="Arial" w:cs="Arial" w:eastAsia="Arial" w:hAnsi="Arial"/>
          <w:sz w:val="17"/>
          <w:szCs w:val="17"/>
          <w:i w:val="1"/>
          <w:iCs w:val="1"/>
          <w:color w:val="auto"/>
        </w:rPr>
        <w:t>certificat de non-inscription d’une decision judiciaire</w:t>
      </w:r>
      <w:r>
        <w:rPr>
          <w:rFonts w:ascii="Arial" w:cs="Arial" w:eastAsia="Arial" w:hAnsi="Arial"/>
          <w:sz w:val="17"/>
          <w:szCs w:val="17"/>
          <w:color w:val="auto"/>
        </w:rPr>
        <w:t xml:space="preserve">) issued by the </w:t>
      </w:r>
      <w:r>
        <w:rPr>
          <w:rFonts w:ascii="Arial" w:cs="Arial" w:eastAsia="Arial" w:hAnsi="Arial"/>
          <w:sz w:val="17"/>
          <w:szCs w:val="17"/>
          <w:i w:val="1"/>
          <w:iCs w:val="1"/>
          <w:color w:val="auto"/>
        </w:rPr>
        <w:t>Registre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Commerce et Sociétes, Luxembourg </w:t>
      </w:r>
      <w:r>
        <w:rPr>
          <w:rFonts w:ascii="Arial" w:cs="Arial" w:eastAsia="Arial" w:hAnsi="Arial"/>
          <w:sz w:val="17"/>
          <w:szCs w:val="17"/>
          <w:color w:val="auto"/>
        </w:rPr>
        <w:t>for any Credit Party incorporated under the laws of Luxembourg and the resolutions of such Credit Party and,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required, of the equity holders of such Credit Party, referred to in such certificate;</w:t>
      </w:r>
    </w:p>
    <w:p>
      <w:pPr>
        <w:spacing w:after="0" w:line="70" w:lineRule="exact"/>
        <w:rPr>
          <w:rFonts w:ascii="Arial" w:cs="Arial" w:eastAsia="Arial" w:hAnsi="Arial"/>
          <w:sz w:val="17"/>
          <w:szCs w:val="17"/>
          <w:u w:val="single" w:color="auto"/>
          <w:color w:val="auto"/>
        </w:rPr>
      </w:pPr>
    </w:p>
    <w:p>
      <w:pPr>
        <w:ind w:left="440" w:right="180" w:firstLine="419"/>
        <w:spacing w:after="0" w:line="259" w:lineRule="auto"/>
        <w:tabs>
          <w:tab w:leader="none" w:pos="1128"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78" w:lineRule="exact"/>
        <w:rPr>
          <w:rFonts w:ascii="Arial" w:cs="Arial" w:eastAsia="Arial" w:hAnsi="Arial"/>
          <w:sz w:val="18"/>
          <w:szCs w:val="18"/>
          <w:color w:val="auto"/>
        </w:rPr>
      </w:pPr>
    </w:p>
    <w:p>
      <w:pPr>
        <w:ind w:left="440" w:right="60" w:firstLine="419"/>
        <w:spacing w:after="0" w:line="263" w:lineRule="auto"/>
        <w:tabs>
          <w:tab w:leader="none" w:pos="1178"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 solvency certificate substantially in the form of </w:t>
      </w:r>
      <w:r>
        <w:rPr>
          <w:rFonts w:ascii="Arial" w:cs="Arial" w:eastAsia="Arial" w:hAnsi="Arial"/>
          <w:sz w:val="18"/>
          <w:szCs w:val="18"/>
          <w:u w:val="single" w:color="auto"/>
          <w:color w:val="auto"/>
        </w:rPr>
        <w:t>Exhibit 5.1(e)(iv)</w:t>
      </w:r>
      <w:r>
        <w:rPr>
          <w:rFonts w:ascii="Arial" w:cs="Arial" w:eastAsia="Arial" w:hAnsi="Arial"/>
          <w:sz w:val="18"/>
          <w:szCs w:val="18"/>
          <w:color w:val="auto"/>
        </w:rPr>
        <w:t xml:space="preserve"> to the Existing Credit Agreement, and signed by the chief financial officer, chief accounting officer or other officer with equivalent duties of Crown Holdings confirming the solvency of Crown Holdings and its Subsidiaries, on a consolidated basis immediately after giving effect to the 2022 Transactions;</w:t>
      </w:r>
    </w:p>
    <w:p>
      <w:pPr>
        <w:spacing w:after="0" w:line="75" w:lineRule="exact"/>
        <w:rPr>
          <w:rFonts w:ascii="Arial" w:cs="Arial" w:eastAsia="Arial" w:hAnsi="Arial"/>
          <w:sz w:val="18"/>
          <w:szCs w:val="18"/>
          <w:color w:val="auto"/>
        </w:rPr>
      </w:pPr>
    </w:p>
    <w:p>
      <w:pPr>
        <w:ind w:left="440" w:right="280" w:firstLine="419"/>
        <w:spacing w:after="0" w:line="277" w:lineRule="auto"/>
        <w:tabs>
          <w:tab w:leader="none" w:pos="1168" w:val="left"/>
        </w:tabs>
        <w:numPr>
          <w:ilvl w:val="1"/>
          <w:numId w:val="6"/>
        </w:numPr>
        <w:rPr>
          <w:rFonts w:ascii="Arial" w:cs="Arial" w:eastAsia="Arial" w:hAnsi="Arial"/>
          <w:sz w:val="18"/>
          <w:szCs w:val="18"/>
          <w:color w:val="auto"/>
        </w:rPr>
      </w:pPr>
      <w:r>
        <w:rPr>
          <w:rFonts w:ascii="Arial" w:cs="Arial" w:eastAsia="Arial" w:hAnsi="Arial"/>
          <w:sz w:val="18"/>
          <w:szCs w:val="18"/>
          <w:color w:val="auto"/>
        </w:rPr>
        <w:t>(1) a favorable opinion of Dechert LLP in form and substance satisfactory to the Administrative Agent and (2) favorable opinions of local counsel to the Credit Parties party hereto in form and substance satisfactory to the Administrative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9" w:name="page10"/>
    <w:bookmarkEnd w:id="9"/>
    <w:p>
      <w:pPr>
        <w:ind w:left="420" w:firstLine="419"/>
        <w:spacing w:after="0" w:line="342" w:lineRule="auto"/>
        <w:tabs>
          <w:tab w:leader="none" w:pos="1098"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prior to the making of the 2022 Additional Term Loans on the Incremental Amendment No. 3 and Fifth Amendment Effective Date, each applicable Agent shall have received a Notice of Borrowing meeting the requirements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 Amended Credit Agreement; and</w:t>
      </w:r>
    </w:p>
    <w:p>
      <w:pPr>
        <w:spacing w:after="0" w:line="15" w:lineRule="exact"/>
        <w:rPr>
          <w:rFonts w:ascii="Arial" w:cs="Arial" w:eastAsia="Arial" w:hAnsi="Arial"/>
          <w:sz w:val="16"/>
          <w:szCs w:val="16"/>
          <w:color w:val="auto"/>
        </w:rPr>
      </w:pPr>
    </w:p>
    <w:p>
      <w:pPr>
        <w:ind w:left="420" w:right="420" w:firstLine="419"/>
        <w:spacing w:after="0" w:line="277" w:lineRule="auto"/>
        <w:tabs>
          <w:tab w:leader="none" w:pos="114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 certificate executed by a Responsible Officer of the U.S. Borrower, certifying satisfaction of the conditions precedent set forth in </w:t>
      </w:r>
      <w:r>
        <w:rPr>
          <w:rFonts w:ascii="Arial" w:cs="Arial" w:eastAsia="Arial" w:hAnsi="Arial"/>
          <w:sz w:val="18"/>
          <w:szCs w:val="18"/>
          <w:u w:val="single" w:color="auto"/>
          <w:color w:val="auto"/>
        </w:rPr>
        <w:t>Sections 6(c)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80" w:firstLine="436"/>
        <w:spacing w:after="0" w:line="290" w:lineRule="auto"/>
        <w:tabs>
          <w:tab w:leader="none" w:pos="66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Both immediately before and immediately after giving effect to this Incremental Amendment No. 3 and Fifth Amendment, the representations and warranties of the Borrowers and Guarantors set forth in the Amended Credit Agreement and the other Loan Documents are true and correct in all material respects (except that any representation and warranty that is qualified as to “materiality” or “Material Adverse Effect” is true and correct in all respects) as of the date hereof,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 respects) as of such earlier date, and except that the representations and warranties contained in Section 6.5(a) of the Amended Credit Agreement shall be deemed to refer to the most recent financial statements furnished pursuant to Section 7.1 of the Amended Credit Agreement immediately prior to Incremental Amendment No. 3 and Fifth Amendment Effective Date.</w:t>
      </w:r>
    </w:p>
    <w:p>
      <w:pPr>
        <w:spacing w:after="0" w:line="57" w:lineRule="exact"/>
        <w:rPr>
          <w:rFonts w:ascii="Arial" w:cs="Arial" w:eastAsia="Arial" w:hAnsi="Arial"/>
          <w:sz w:val="16"/>
          <w:szCs w:val="16"/>
          <w:color w:val="auto"/>
        </w:rPr>
      </w:pPr>
    </w:p>
    <w:p>
      <w:pPr>
        <w:ind w:left="-20" w:right="180" w:firstLine="436"/>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Incremental Amendment No. 3 and Ffith Amendment, no Unmatured Event of Default or Event of Default has occurred and is continuing.</w:t>
      </w:r>
    </w:p>
    <w:p>
      <w:pPr>
        <w:spacing w:after="0" w:line="62" w:lineRule="exact"/>
        <w:rPr>
          <w:rFonts w:ascii="Arial" w:cs="Arial" w:eastAsia="Arial" w:hAnsi="Arial"/>
          <w:sz w:val="18"/>
          <w:szCs w:val="18"/>
          <w:color w:val="auto"/>
        </w:rPr>
      </w:pPr>
    </w:p>
    <w:p>
      <w:pPr>
        <w:ind w:left="-20" w:right="40" w:firstLine="436"/>
        <w:spacing w:after="0" w:line="273" w:lineRule="auto"/>
        <w:tabs>
          <w:tab w:leader="none" w:pos="66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Fees and Expenses Paid</w:t>
      </w:r>
      <w:r>
        <w:rPr>
          <w:rFonts w:ascii="Arial" w:cs="Arial" w:eastAsia="Arial" w:hAnsi="Arial"/>
          <w:sz w:val="17"/>
          <w:szCs w:val="17"/>
          <w:color w:val="auto"/>
        </w:rPr>
        <w:t>. The Administrative Agent shall have received all fees and other amounts due and payable on or prior to the Incremental Amendment No. 3 and Fifth Amendment Effective Date, including, all out-of-pocket expenses (including the legal fees and expenses of Cahill Gordon &amp; Reindel LLP, New York counsel to the Administrative Agent and the Lead Arrangers) required to be reimbursed or paid by the Borrowers on or prior to the Incremental Amendment No. 3 and Fifth Amendment Effective Date under the fee letters with the Lead Arrangers or under any other Loan Document, in each case to the extent invoiced at least three (3) Business Days prior to the Incremental Amendment No. 3 and Fifth Amendment Effective Date (except as otherwise reasonably agreed by the U.S. Borrower).</w:t>
      </w:r>
    </w:p>
    <w:p>
      <w:pPr>
        <w:spacing w:after="0" w:line="69" w:lineRule="exact"/>
        <w:rPr>
          <w:rFonts w:ascii="Arial" w:cs="Arial" w:eastAsia="Arial" w:hAnsi="Arial"/>
          <w:sz w:val="17"/>
          <w:szCs w:val="17"/>
          <w:color w:val="auto"/>
        </w:rPr>
      </w:pPr>
    </w:p>
    <w:p>
      <w:pPr>
        <w:ind w:left="-20" w:right="40" w:firstLine="436"/>
        <w:spacing w:after="0" w:line="263"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2022 Revolving Commitments Refinancing and 2022 Term Loan Refinancing</w:t>
      </w:r>
      <w:r>
        <w:rPr>
          <w:rFonts w:ascii="Arial" w:cs="Arial" w:eastAsia="Arial" w:hAnsi="Arial"/>
          <w:sz w:val="18"/>
          <w:szCs w:val="18"/>
          <w:color w:val="auto"/>
        </w:rPr>
        <w:t>. Each of the 2022 Revolving Commitments Refinancing and the 2022 Term Loan Refinancing shall have been consummated, or substantially simultaneously with the borrowing under the 2022 Additional Term Facilities shall be consummated.</w:t>
      </w:r>
    </w:p>
    <w:p>
      <w:pPr>
        <w:spacing w:after="0" w:line="75" w:lineRule="exact"/>
        <w:rPr>
          <w:rFonts w:ascii="Arial" w:cs="Arial" w:eastAsia="Arial" w:hAnsi="Arial"/>
          <w:sz w:val="18"/>
          <w:szCs w:val="18"/>
          <w:color w:val="auto"/>
        </w:rPr>
      </w:pPr>
    </w:p>
    <w:p>
      <w:pPr>
        <w:ind w:left="-20" w:right="640" w:firstLine="436"/>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2021, there has been no material adverse change in the financial condition of Crown Holdings and its Subsidiaries, taken as a whole.</w:t>
      </w:r>
    </w:p>
    <w:p>
      <w:pPr>
        <w:spacing w:after="0" w:line="62" w:lineRule="exact"/>
        <w:rPr>
          <w:rFonts w:ascii="Arial" w:cs="Arial" w:eastAsia="Arial" w:hAnsi="Arial"/>
          <w:sz w:val="18"/>
          <w:szCs w:val="18"/>
          <w:color w:val="auto"/>
        </w:rPr>
      </w:pPr>
    </w:p>
    <w:p>
      <w:pPr>
        <w:ind w:left="-20" w:right="40" w:firstLine="436"/>
        <w:spacing w:after="0" w:line="254"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USA Patriot Act and Beneficial Ownership Certificate</w:t>
      </w:r>
      <w:r>
        <w:rPr>
          <w:rFonts w:ascii="Arial" w:cs="Arial" w:eastAsia="Arial" w:hAnsi="Arial"/>
          <w:sz w:val="18"/>
          <w:szCs w:val="18"/>
          <w:color w:val="auto"/>
        </w:rPr>
        <w:t>. Each of the 2022 Additional Term Lenders and the Revolving Lenders shall have received, at least five (5) Business Days prior to the Incremental Amendment No. 3 and Fifth Amendment Effective Date (to the extent reasonably requested in writing by such Lenders on a timely basis at least ten (10) Business Days prior to the Incremental Amendment No. 3 and Fifth Amendment Effective Date), all documentation and other information about the Borrowers and the Guarantors as such Lenders reasonably determine is required by bank regulatory authorities under applicable “</w:t>
      </w:r>
      <w:r>
        <w:rPr>
          <w:rFonts w:ascii="Arial" w:cs="Arial" w:eastAsia="Arial" w:hAnsi="Arial"/>
          <w:sz w:val="18"/>
          <w:szCs w:val="18"/>
          <w:i w:val="1"/>
          <w:iCs w:val="1"/>
          <w:color w:val="auto"/>
        </w:rPr>
        <w:t>know your customer</w:t>
      </w:r>
      <w:r>
        <w:rPr>
          <w:rFonts w:ascii="Arial" w:cs="Arial" w:eastAsia="Arial" w:hAnsi="Arial"/>
          <w:sz w:val="18"/>
          <w:szCs w:val="18"/>
          <w:color w:val="auto"/>
        </w:rPr>
        <w:t>” and anti-money laundering rules and regulations, including, without limitation, the Patriot Act. Further, to the extent any Borrower qualifies as a “legal entity customer” under 31 C.F.R. § 1010.230 (the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Regulation</w:t>
      </w:r>
      <w:r>
        <w:rPr>
          <w:rFonts w:ascii="Arial" w:cs="Arial" w:eastAsia="Arial" w:hAnsi="Arial"/>
          <w:sz w:val="18"/>
          <w:szCs w:val="18"/>
          <w:color w:val="auto"/>
        </w:rPr>
        <w:t>”), such Borrower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provided, at least five days prior to the Incremental Amendment No. 3 and Fifth Amendment Effective Date, to any Lender that has requested from Crown Holdings, at least ten (10) Business Days prior to the Incremental Amendment No. 3 and Fifth Amendment Effective Date, a certification regarding beneficial ownership as required by the Beneficial Ownership Regulation (the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(provided that, upon the execution and delivery by such Lender of its signature page to this Incremental Amendment No. 3 and Fifth Amendment, the condition to deliver such Beneficial Ownership Certification shall be deemed to be satisfied).</w:t>
      </w:r>
    </w:p>
    <w:p>
      <w:pPr>
        <w:spacing w:after="0" w:line="188" w:lineRule="exact"/>
        <w:rPr>
          <w:sz w:val="20"/>
          <w:szCs w:val="20"/>
          <w:color w:val="auto"/>
        </w:rPr>
      </w:pPr>
    </w:p>
    <w:p>
      <w:pPr>
        <w:ind w:right="420" w:firstLine="43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If requested, each Borrower shall have duly executed and delivered to Administrative Agent the Notes payable to the order of each applicable Lender in the amount of their respective Commitments all of which shall be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Post-Closing</w:t>
      </w:r>
      <w:r>
        <w:rPr>
          <w:rFonts w:ascii="Arial" w:cs="Arial" w:eastAsia="Arial" w:hAnsi="Arial"/>
          <w:sz w:val="18"/>
          <w:szCs w:val="18"/>
          <w:color w:val="auto"/>
        </w:rPr>
        <w:t>.</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To the extent not satisfied on the Incremental Amendment No. 3 and Fifth Amendment Effective Date and unless such requirement is waived or extended, in the reasonable discretion of the Administrative Agent, Crown Holdings shall, and shall cause:</w:t>
      </w:r>
    </w:p>
    <w:p>
      <w:pPr>
        <w:spacing w:after="0" w:line="62" w:lineRule="exact"/>
        <w:rPr>
          <w:sz w:val="20"/>
          <w:szCs w:val="20"/>
          <w:color w:val="auto"/>
        </w:rPr>
      </w:pPr>
    </w:p>
    <w:p>
      <w:pPr>
        <w:ind w:firstLine="436"/>
        <w:spacing w:after="0" w:line="255"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ninety (90) days (or within such longer period of time that the Euro Collateral Agent may agree in its sole discretion) after the Incremental Amendment No. 3 and Fifth Amendment Effective Date, each Credit Party that is organized under the laws of a jurisdiction other than the United States of America or any state thereof or the District of Columbia, or, as applicable, such Credit Party’s shareholders, execute and deliver all documents (including customary local counsel opinions) and instruments (in proper form for filing, if applicable) and agreements as may be necessary or, in the reasonable opinion of the Euro Collateral Agent, desirable to reaffirm a valid and perfected first priority Lien on the Collateral to the full extent required by the Amended Credit Agreement.</w:t>
      </w:r>
    </w:p>
    <w:p>
      <w:pPr>
        <w:spacing w:after="0" w:line="84" w:lineRule="exact"/>
        <w:rPr>
          <w:rFonts w:ascii="Arial" w:cs="Arial" w:eastAsia="Arial" w:hAnsi="Arial"/>
          <w:sz w:val="18"/>
          <w:szCs w:val="18"/>
          <w:color w:val="auto"/>
        </w:rPr>
      </w:pPr>
    </w:p>
    <w:p>
      <w:pPr>
        <w:ind w:right="860" w:firstLine="436"/>
        <w:spacing w:after="0" w:line="27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Deliver to the Administrative Agent the items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on the dates set forth therein (or such later dates as the Administrative Agent may agree in its reasonable discretion).</w:t>
      </w:r>
    </w:p>
    <w:p>
      <w:pPr>
        <w:spacing w:after="0" w:line="62"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14.9</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14.12</w:t>
      </w:r>
      <w:r>
        <w:rPr>
          <w:rFonts w:ascii="Arial" w:cs="Arial" w:eastAsia="Arial" w:hAnsi="Arial"/>
          <w:sz w:val="18"/>
          <w:szCs w:val="18"/>
          <w:color w:val="auto"/>
        </w:rPr>
        <w:t xml:space="preserve"> of the Amended Credit Agreement are hereby incorporated herein by reference and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fully set forth herein.</w:t>
      </w:r>
    </w:p>
    <w:p>
      <w:pPr>
        <w:spacing w:after="0" w:line="62" w:lineRule="exact"/>
        <w:rPr>
          <w:rFonts w:ascii="Arial" w:cs="Arial" w:eastAsia="Arial" w:hAnsi="Arial"/>
          <w:sz w:val="18"/>
          <w:szCs w:val="18"/>
          <w:color w:val="auto"/>
        </w:rPr>
      </w:pPr>
    </w:p>
    <w:p>
      <w:pPr>
        <w:ind w:right="40" w:firstLine="436"/>
        <w:spacing w:after="0" w:line="25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representations and warranties contained in this Incremental Amendment No. 3 and Fifth Amendment and the other Loan Documents shall be deemed modified (or waived on a limited basis) to the extent necessary to give effect to the foregoing (and to permit the taking of the actions described in this Section 7 within the time periods specified therein, rather than as elsewhere provided in this Incremental Amendment No. 3 and Fifth Amendment or the other Loan Documents), and, to the extent any provision of this Incremental Amendment No. 3 and Fifth Amendment or any other Loan Document would be violated (or any non-compliance with such provision would result in a Default or Event of Default hereunder) as a result of any extended deadline for taking any such action, such provision shall be deemed modified (or waived on a limited basis) to the extent necessary to give effect to this Section 7.</w:t>
      </w:r>
    </w:p>
    <w:p>
      <w:pPr>
        <w:spacing w:after="0" w:line="191"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SECTION 8. Extension of Loan</w:t>
      </w:r>
      <w:r>
        <w:rPr>
          <w:rFonts w:ascii="Arial" w:cs="Arial" w:eastAsia="Arial" w:hAnsi="Arial"/>
          <w:sz w:val="17"/>
          <w:szCs w:val="17"/>
          <w:color w:val="auto"/>
        </w:rPr>
        <w:t>. Subject to compliance with Section 6 above and Section 5.2 of the Amended Credit Agreement, (x) the 2022</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Term Lenders shall make the 2022 Additional Term Loans available to the applicable Borrower and (y) the Revolving Lenders shall make the Revolving Commitments available to the applicable Borrower, in each case, on the date specified therefor in the related Notice of Borrowing in accordance with instructions provided by the applicable Borrower to (and reasonably acceptable to) the applicable Agent.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both"/>
        <w:ind w:right="1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Expenses</w:t>
      </w:r>
      <w:r>
        <w:rPr>
          <w:rFonts w:ascii="Arial" w:cs="Arial" w:eastAsia="Arial" w:hAnsi="Arial"/>
          <w:sz w:val="18"/>
          <w:szCs w:val="18"/>
          <w:color w:val="auto"/>
        </w:rPr>
        <w:t>. The Borrowers agree to reimburse each Agent for its and the Lead Arrangers’ reasonable out-of-pocket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them in connection with this Incremental Amendment No. 3 and Fifth Amendment, including the reasonable fees, charges and disbursements of Cahill Gordon &amp; Reindel </w:t>
      </w:r>
      <w:r>
        <w:rPr>
          <w:rFonts w:ascii="Arial" w:cs="Arial" w:eastAsia="Arial" w:hAnsi="Arial"/>
          <w:sz w:val="14"/>
          <w:szCs w:val="14"/>
          <w:color w:val="auto"/>
        </w:rPr>
        <w:t>LLP</w:t>
      </w:r>
      <w:r>
        <w:rPr>
          <w:rFonts w:ascii="Arial" w:cs="Arial" w:eastAsia="Arial" w:hAnsi="Arial"/>
          <w:sz w:val="18"/>
          <w:szCs w:val="18"/>
          <w:color w:val="auto"/>
        </w:rPr>
        <w:t>, New York counsel for the Agents.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SECTION 10. Counterparts</w:t>
      </w:r>
      <w:r>
        <w:rPr>
          <w:rFonts w:ascii="Arial" w:cs="Arial" w:eastAsia="Arial" w:hAnsi="Arial"/>
          <w:sz w:val="17"/>
          <w:szCs w:val="17"/>
          <w:color w:val="auto"/>
        </w:rPr>
        <w:t>. This Incremental Amendment No. 3 and Fifth Amendment may be executed in any number of counterparts (and by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 parties hereto in different counterparts), each of which shall constitute an original but all of which when taken together shall constitute a single contract. Delivery of an executed counterpart of a signature page of this Incremental Amendment No. 3 and Fifth Amendment by facsimile or other electronic imaging means (e.g. “pdf” or “tif”) shall be effective as delivery of a manually executed counterpart of this Incremental Amendment No. 3 and Fifth Amendment. The words “execution,” “execute,” “signed,” “signature,” and words of like import in or related to any document to be signed in connection with this Incremental Amendment No. 3 and Fifth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SECTION 11. Applicable Law</w:t>
      </w:r>
      <w:r>
        <w:rPr>
          <w:rFonts w:ascii="Arial" w:cs="Arial" w:eastAsia="Arial" w:hAnsi="Arial"/>
          <w:sz w:val="18"/>
          <w:szCs w:val="18"/>
          <w:color w:val="auto"/>
        </w:rPr>
        <w:t>. The validity, interpretation and enforcement of this Incremental Amendment No. 3 and Fifth Amendment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arising out 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SECTION 12. Headings</w:t>
      </w:r>
      <w:r>
        <w:rPr>
          <w:rFonts w:ascii="Arial" w:cs="Arial" w:eastAsia="Arial" w:hAnsi="Arial"/>
          <w:sz w:val="18"/>
          <w:szCs w:val="18"/>
          <w:color w:val="auto"/>
        </w:rPr>
        <w:t>. The headings of this Incremental Amendment No. 3 and Fifth Amendment are for purposes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 or otherwise affect the meaning hereof.</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SECTION 13. Effect of Incremental Amendment No. 3 and Fifth Amendment</w:t>
      </w:r>
      <w:r>
        <w:rPr>
          <w:rFonts w:ascii="Arial" w:cs="Arial" w:eastAsia="Arial" w:hAnsi="Arial"/>
          <w:sz w:val="17"/>
          <w:szCs w:val="17"/>
          <w:color w:val="auto"/>
        </w:rPr>
        <w:t>. Except as expressly set forth herein, this Incremental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No. 3 and Fifth Amendment shall not alter, modify, amend or in 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 As of the Incremental Amendment No. 3 and Fifth Amendment Effective Date, each reference in the Amended Credit Agreement to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or words of like import, and each reference in the other Loan Documents to the “</w:t>
      </w:r>
      <w:r>
        <w:rPr>
          <w:rFonts w:ascii="Arial" w:cs="Arial" w:eastAsia="Arial" w:hAnsi="Arial"/>
          <w:sz w:val="17"/>
          <w:szCs w:val="17"/>
          <w:i w:val="1"/>
          <w:iCs w:val="1"/>
          <w:color w:val="auto"/>
        </w:rPr>
        <w:t>Credit Agreement</w:t>
      </w:r>
      <w:r>
        <w:rPr>
          <w:rFonts w:ascii="Arial" w:cs="Arial" w:eastAsia="Arial" w:hAnsi="Arial"/>
          <w:sz w:val="17"/>
          <w:szCs w:val="17"/>
          <w:color w:val="auto"/>
        </w:rPr>
        <w:t>” (including, without limitation, by means of words like “</w:t>
      </w:r>
      <w:r>
        <w:rPr>
          <w:rFonts w:ascii="Arial" w:cs="Arial" w:eastAsia="Arial" w:hAnsi="Arial"/>
          <w:sz w:val="17"/>
          <w:szCs w:val="17"/>
          <w:i w:val="1"/>
          <w:iCs w:val="1"/>
          <w:color w:val="auto"/>
        </w:rPr>
        <w:t>thereunder</w:t>
      </w:r>
      <w:r>
        <w:rPr>
          <w:rFonts w:ascii="Arial" w:cs="Arial" w:eastAsia="Arial" w:hAnsi="Arial"/>
          <w:sz w:val="17"/>
          <w:szCs w:val="17"/>
          <w:color w:val="auto"/>
        </w:rPr>
        <w:t>,” “</w:t>
      </w:r>
      <w:r>
        <w:rPr>
          <w:rFonts w:ascii="Arial" w:cs="Arial" w:eastAsia="Arial" w:hAnsi="Arial"/>
          <w:sz w:val="17"/>
          <w:szCs w:val="17"/>
          <w:i w:val="1"/>
          <w:iCs w:val="1"/>
          <w:color w:val="auto"/>
        </w:rPr>
        <w:t>thereof</w:t>
      </w:r>
      <w:r>
        <w:rPr>
          <w:rFonts w:ascii="Arial" w:cs="Arial" w:eastAsia="Arial" w:hAnsi="Arial"/>
          <w:sz w:val="17"/>
          <w:szCs w:val="17"/>
          <w:color w:val="auto"/>
        </w:rPr>
        <w:t>” and words of like import), shall mean and be a reference to the Amended Credit Agreement, and this Incremental Amendment No. 3 and Fifth Amendment and the Amended Credit Agreement shall be read together and construed as a single instrument. This Incremental Amendment No. 3 and Fifth Amendment shall constitute a Loan Document. This Incremental Amendment No. 3 and Fifth Amendment shall not constitute a novation of the Existing Credit Agreement or any other Loan Document.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Acknowledgement and Affirmation</w:t>
      </w:r>
      <w:r>
        <w:rPr>
          <w:rFonts w:ascii="Arial" w:cs="Arial" w:eastAsia="Arial" w:hAnsi="Arial"/>
          <w:sz w:val="16"/>
          <w:szCs w:val="16"/>
          <w:color w:val="auto"/>
        </w:rPr>
        <w:t>. Each of the Borrowers and each Guarantor hereby (i) expressly acknowledges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Credit Agreement, (ii) ratifies and affirms after giving effect to this Incremental Amendment No. 3 and Fifth Amendment its obligations under the Loan Documents (including guarantees and security agreements) executed by such Borrower and/or such Guarantor, (iii) after giving effect to this Incremental Amendment No. 3 and Fifth Amendment, acknowledges, renews and extends its continued liability under all such Loan Documents and agrees such Loan Documents remain in full force and effect, (iv) ratifies and affirms that after giving effect to this Incremental Amendment No. 3 and Fifth Amendment the obligations secured by the Security Documents will include the 2022 Additional Term Loans and the Revolving Commitments (and related Revolving Loans) under this Incremental Amendment No. 3 and Fifth Amendment, (v) agrees that all Collateral shall rank as continuing security for the payment and discharge of the Obligations under or in connection with the Amended Credit Agreement or the Security Documents with effect from the date of its creation and (vi) agrees that all Security Documents and the Collateral constituted thereby shall continue in full force and effect in all respects and the Security Documents and this Incremental Amendment No. 3 and Fifth Amendment shall be read and construed together.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Roles</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59"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agreed that each of Deutsche Bank Securities Inc., Citibank, N.A., Banco Santander, S.A., BNP Paribas Securities Corp., BofA Securities, Inc., Mizuho Bank, Ltd., TD Securities (USA) LLC, The Bank of Nova Scotia, Wells Fargo Securities, LLC, PNC Capital Markets LLC and UniCredit Bank AG, will act as joint lead arrangers and joint bookrunners for the 2022 Additional Term Loans and the Revolving Facilities (collectively, the “</w:t>
      </w:r>
      <w:r>
        <w:rPr>
          <w:rFonts w:ascii="Arial" w:cs="Arial" w:eastAsia="Arial" w:hAnsi="Arial"/>
          <w:sz w:val="18"/>
          <w:szCs w:val="18"/>
          <w:u w:val="single" w:color="auto"/>
          <w:color w:val="auto"/>
        </w:rPr>
        <w:t>Lead</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Arrangers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60" w:firstLine="436"/>
        <w:spacing w:after="0" w:line="286"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is agreed that each of Coöperatieve Rabobank U.A., New York Branch, Credit Agricole Corporate and Investment Bank, ING Bank N.V., Dublin Branch, MUFG Bank, Ltd., Sumitomo Mitsui Banking Corporation, CoBank, ACB and The Huntington National Bank will act as a co-documentation agent under this Incremental Amendment No. 3 and Fifth Amendment (collectively, the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right="260" w:firstLine="436"/>
        <w:spacing w:after="0" w:line="263"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agreed that each of Capital One, National Association, City National Bank, DBS Bank LTD, Goldman Sachs Bank USA, Industrial and Commercial Bank of China Limited, New York Branch, M&amp;T Bank Corporation and U.S. Bank National Association, will act as a Senior Managing Agent under this Incremental Amendment No. 3 and Fifth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4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Incremental Amendment No. 3 and Fifth Amendment to be duly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SIGNODE INDUSTRIAL GROUP US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EUROPEAN HOLDINGS S.A.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Président Directeur Général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METAL PACKAGING CANADA LP by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partner, CROWN METAL PACKAGING CANADA</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CORK &amp; SEAL DEUTSCHLAND HOLDINGS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Jochen Linzenich and Sergiy Boyko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Jochen Linzenich and Sergiy Boyko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Directors</w:t>
      </w:r>
    </w:p>
    <w:p>
      <w:pPr>
        <w:spacing w:after="0" w:line="1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11000"/>
          </w:cols>
          <w:pgMar w:left="440" w:top="270" w:right="459"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VERPAKKING NEDERLAND B.V.</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 Vavassori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Managing Director and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UK HOLDINGS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 USA,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PUERTO RICO,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FOREIGN MANUFACTURERS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FINANCE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 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 IV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 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CAPITAL CORP. VI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HOLDINGS US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SIMPLIMATIC ENGINEERING HOLDINGS, LLC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 INTERNATIONAL HOLDINGS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 INTERNATIONAL HOLDINGS II</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40"/>
          </w:cols>
          <w:pgMar w:left="1440" w:top="274" w:right="1019" w:bottom="1440" w:gutter="0" w:footer="0" w:header="0"/>
        </w:sectPr>
      </w:pPr>
    </w:p>
    <w:bookmarkStart w:id="17" w:name="page18"/>
    <w:bookmarkEnd w:id="1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BEVERAGE HOLDINGS,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8" w:name="page19"/>
    <w:bookmarkEnd w:id="1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BEVERAGE PACKAGING, LLC</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Ronald S. Cenderelli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9" w:name="page20"/>
    <w:bookmarkEnd w:id="1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3079939 NOVA SCOTIA COMPANY/3079939</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COMPAGNIE DE LA NOUVELLE ECOSSE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METAL PACKAGING CANADA INC.</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CANADA ULC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 Fowkes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 Fowkes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CARNAUDMETALBOX OVERSEAS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40"/>
          </w:cols>
          <w:pgMar w:left="1440" w:top="274" w:right="1219" w:bottom="1440" w:gutter="0" w:footer="0" w:header="0"/>
        </w:sectPr>
      </w:pPr>
    </w:p>
    <w:bookmarkStart w:id="20" w:name="page21"/>
    <w:bookmarkEnd w:id="2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FRANCE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Prėsident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DÉVELOPPEMENT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Sandrine Duquerroy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Sandrine Duquerroy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Président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EUROPE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Jean-Francois LeLouch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Jean-Francois LeLouch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Président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SOCIETE CIVILE IMMOBILIERE DES BACQUETS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SOCIETE CIVILE IMMOBILIERE ROUSSEAU-IVRY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SPG FRANCE HOLDINGS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Président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20"/>
          </w:cols>
          <w:pgMar w:left="1440" w:top="274" w:right="739" w:bottom="1440" w:gutter="0" w:footer="0" w:header="0"/>
        </w:sectPr>
      </w:pPr>
    </w:p>
    <w:bookmarkStart w:id="21" w:name="page22"/>
    <w:bookmarkEnd w:id="2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BEVCAN FRANCE SAS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Directeur Général</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22" w:name="page23"/>
    <w:bookmarkEnd w:id="2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PACKAGING SYSTEMS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Ellen Fleischman</w:t>
      </w:r>
    </w:p>
    <w:p>
      <w:pPr>
        <w:spacing w:after="0" w:line="23" w:lineRule="exact"/>
        <w:rPr>
          <w:sz w:val="20"/>
          <w:szCs w:val="20"/>
          <w:color w:val="auto"/>
        </w:rPr>
      </w:pPr>
    </w:p>
    <w:p>
      <w:pPr>
        <w:jc w:val="center"/>
        <w:ind w:left="6540"/>
        <w:spacing w:after="0"/>
        <w:tabs>
          <w:tab w:leader="none" w:pos="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MEZGER HEFTSYSTEME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Ellen Fleischmann and Hermann Gumbinger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22225</wp:posOffset>
            </wp:positionV>
            <wp:extent cx="2606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Ellen Fleischmann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Hermann Gumbinger</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SYSTEM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Burkhard Bödefeld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Burkhard Bödefeld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SPG GERMANY SERVICE MANAGEMENT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Jochen Linzenich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GERMANY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Dietmar Holzmann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600"/>
          </w:cols>
          <w:pgMar w:left="1440" w:top="274" w:right="859" w:bottom="1440" w:gutter="0" w:footer="0" w:header="0"/>
        </w:sectPr>
      </w:pPr>
    </w:p>
    <w:bookmarkStart w:id="23" w:name="page24"/>
    <w:bookmarkEnd w:id="2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SMP SCHWEDE MASCHINENBAU</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WEISCHLITZ 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Ellen Fleischman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LUX III S.A.R.L.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INDUSTRIAL GROUP LUX S.A.</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Jochen Linzenich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SPG INDUSTRIAL PACKAGING S.A R.L.</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LUXEMBOURG S.A 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25" w:name="page26"/>
    <w:bookmarkEnd w:id="2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FAMOSA B.V.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SISA MEXICO B.V.</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William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William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Managing Director and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26" w:name="page27"/>
    <w:bookmarkEnd w:id="2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NETHERLANDS B.V.</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Jochen Linzenich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27" w:name="page28"/>
    <w:bookmarkEnd w:id="2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EUROPEAN HOLDINGS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Sidonie Lécluse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Sidonie Lécluse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Member of the management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PACKAGING EUROPEAN DIVISION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Sidonie Lécluse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Sidonie Lécluse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Member of the management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SWITZERLAND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Member of the management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20"/>
          </w:cols>
          <w:pgMar w:left="1440" w:top="274" w:right="539" w:bottom="1440" w:gutter="0" w:footer="0" w:header="0"/>
        </w:sectPr>
      </w:pPr>
    </w:p>
    <w:bookmarkStart w:id="28" w:name="page29"/>
    <w:bookmarkEnd w:id="2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CARNAUDMETALBOX ENGINEERING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CARNAUDMETALBOX GROUP UK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PACKAGING DISTRIBUTION UK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T.M. Conybeare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T.M. Conybeare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MANUFACTURING UK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60"/>
          </w:cols>
          <w:pgMar w:left="1440" w:top="274" w:right="69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UK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30" w:name="page31"/>
    <w:bookmarkEnd w:id="3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MEC-A-TEC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31" w:name="page32"/>
    <w:bookmarkEnd w:id="3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Jessica Lutrario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60"/>
          </w:cols>
          <w:pgMar w:left="1440" w:top="274" w:right="999" w:bottom="1440" w:gutter="0" w:footer="0" w:header="0"/>
        </w:sectPr>
      </w:pPr>
    </w:p>
    <w:bookmarkStart w:id="32" w:name="page33"/>
    <w:bookmarkEnd w:id="3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LONDON BRANCH, as U.K.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Gaines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Vikki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Vikki Adams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680"/>
          </w:cols>
          <w:pgMar w:left="1440" w:top="274" w:right="779" w:bottom="1440" w:gutter="0" w:footer="0" w:header="0"/>
        </w:sectPr>
      </w:pPr>
    </w:p>
    <w:bookmarkStart w:id="33" w:name="page34"/>
    <w:bookmarkEnd w:id="3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CANADA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Canadian Administrative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Country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Salibian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Assistant 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100"/>
          </w:cols>
          <w:pgMar w:left="1440" w:top="274" w:right="1359" w:bottom="1440" w:gutter="0" w:footer="0" w:header="0"/>
        </w:sectPr>
      </w:pPr>
    </w:p>
    <w:bookmarkStart w:id="34" w:name="page35"/>
    <w:bookmarkEnd w:id="3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Swing Line Lender and a Facing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Jessica Lutrario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60"/>
          </w:cols>
          <w:pgMar w:left="1440" w:top="274" w:right="1199" w:bottom="1440" w:gutter="0" w:footer="0" w:header="0"/>
        </w:sectPr>
      </w:pPr>
    </w:p>
    <w:bookmarkStart w:id="35" w:name="page36"/>
    <w:bookmarkEnd w:id="3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CANADA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Facing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Country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Salibian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Assistant 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100"/>
          </w:cols>
          <w:pgMar w:left="1440" w:top="274" w:right="1359" w:bottom="1440" w:gutter="0" w:footer="0" w:header="0"/>
        </w:sectPr>
      </w:pPr>
    </w:p>
    <w:bookmarkStart w:id="36" w:name="page37"/>
    <w:bookmarkEnd w:id="3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Jessica Lutrario</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Philip Tancorra</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60"/>
          </w:cols>
          <w:pgMar w:left="1440" w:top="274" w:right="1199" w:bottom="1440" w:gutter="0" w:footer="0" w:header="0"/>
        </w:sectPr>
      </w:pPr>
    </w:p>
    <w:bookmarkStart w:id="37" w:name="page38"/>
    <w:bookmarkEnd w:id="3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 and a Facing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Jessica Lutrario</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Philip Tancorra</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60"/>
          </w:cols>
          <w:pgMar w:left="1440" w:top="274" w:right="1199" w:bottom="1440" w:gutter="0" w:footer="0" w:header="0"/>
        </w:sectPr>
      </w:pPr>
    </w:p>
    <w:bookmarkStart w:id="38" w:name="page39"/>
    <w:bookmarkEnd w:id="3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AKTIENGESELLSCHAFT,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Multicurrency Revolvong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Jepp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Jonas Jepp</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Philipp Stroehle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Philipp Stroehle</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20"/>
          </w:cols>
          <w:pgMar w:left="1440" w:top="274" w:right="1239" w:bottom="1440" w:gutter="0" w:footer="0" w:header="0"/>
        </w:sectPr>
      </w:pPr>
    </w:p>
    <w:bookmarkStart w:id="39" w:name="page40"/>
    <w:bookmarkEnd w:id="3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CANADA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 and a Facing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Country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Salibian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Assistant Vice-President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100"/>
          </w:cols>
          <w:pgMar w:left="1440" w:top="274" w:right="135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Sumeet Singal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Sumeet Singal</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Revolvong Lender and a Facing Agent</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Sumeet Singal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Sumeet Singal</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Fátima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Fátima Moreno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Lucas Videla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Lucas Videla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Fátima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Fátima Moreno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Lucas Videla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Lucas Videla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Executive Director</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4" w:name="page45"/>
    <w:bookmarkEnd w:id="4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NOVA SCOTIA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Catherine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Jones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5" w:name="page46"/>
    <w:bookmarkEnd w:id="4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NOVA SCOTIA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Catherine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Jones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6" w:name="page47"/>
    <w:bookmarkEnd w:id="4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SCOTIABANK (IRELAND) DESIGNATED ACTIVITY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 Vavasour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Nicola Vavasour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Weinberg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80"/>
          </w:cols>
          <w:pgMar w:left="1440" w:top="274" w:right="679" w:bottom="1440" w:gutter="0" w:footer="0" w:header="0"/>
        </w:sectPr>
      </w:pPr>
    </w:p>
    <w:bookmarkStart w:id="47" w:name="page48"/>
    <w:bookmarkEnd w:id="4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SCOTIABANK (IRELAND) DESIGNATED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ACTIVITY 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 Vavasour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Nicola Vavsour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Weinberg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8" w:name="page49"/>
    <w:bookmarkEnd w:id="4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Brendan Heneghan</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Valentin Detry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49" w:name="page50"/>
    <w:bookmarkEnd w:id="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139"/>
        <w:spacing w:after="0"/>
        <w:rPr>
          <w:sz w:val="20"/>
          <w:szCs w:val="20"/>
          <w:color w:val="auto"/>
        </w:rPr>
      </w:pPr>
      <w:r>
        <w:rPr>
          <w:rFonts w:ascii="Arial" w:cs="Arial" w:eastAsia="Arial" w:hAnsi="Arial"/>
          <w:sz w:val="18"/>
          <w:szCs w:val="18"/>
          <w:color w:val="auto"/>
        </w:rPr>
        <w:t>Name: Brendan Heneghan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Valentin Detry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0" w:name="page51"/>
    <w:bookmarkEnd w:id="5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Erron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Erron Powers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1" w:name="page52"/>
    <w:bookmarkEnd w:id="5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EUROPE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DESIGNATED ACTIVITY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Coney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Christopher Coney</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2" w:name="page53"/>
    <w:bookmarkEnd w:id="5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Donna DeMagistris</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3" w:name="page54"/>
    <w:bookmarkEnd w:id="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Name: Donna DeMagistris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4" w:name="page55"/>
    <w:bookmarkEnd w:id="5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Denise DiSimone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5" w:name="page56"/>
    <w:bookmarkEnd w:id="5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Denise DiSimone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6" w:name="page57"/>
    <w:bookmarkEnd w:id="5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Name: Richard A. Zimmerman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7" w:name="page58"/>
    <w:bookmarkEnd w:id="5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Name: Richard A. Zimmerman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58" w:name="page59"/>
    <w:bookmarkEnd w:id="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UNICREDIT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Douglas Riahi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Laura Shelmerdine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Laura Shelmerdine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340"/>
          </w:cols>
          <w:pgMar w:left="1440" w:top="274" w:right="1119" w:bottom="1440" w:gutter="0" w:footer="0" w:header="0"/>
        </w:sectPr>
      </w:pPr>
    </w:p>
    <w:bookmarkStart w:id="59" w:name="page60"/>
    <w:bookmarkEnd w:id="5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UNICREDIT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Douglas Riahi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Laura Shelmerdine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Laura Shelmerdine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340"/>
          </w:cols>
          <w:pgMar w:left="1440" w:top="274" w:right="1119" w:bottom="1440" w:gutter="0" w:footer="0" w:header="0"/>
        </w:sectPr>
      </w:pPr>
    </w:p>
    <w:bookmarkStart w:id="60" w:name="page61"/>
    <w:bookmarkEnd w:id="6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Payne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680"/>
          </w:cols>
          <w:pgMar w:left="1440" w:top="274" w:right="779" w:bottom="1440" w:gutter="0" w:footer="0" w:header="0"/>
        </w:sectPr>
      </w:pPr>
    </w:p>
    <w:bookmarkStart w:id="61" w:name="page62"/>
    <w:bookmarkEnd w:id="6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Payne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680"/>
          </w:cols>
          <w:pgMar w:left="1440" w:top="274" w:right="779" w:bottom="1440" w:gutter="0" w:footer="0" w:header="0"/>
        </w:sectPr>
      </w:pPr>
    </w:p>
    <w:bookmarkStart w:id="62" w:name="page63"/>
    <w:bookmarkEnd w:id="6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INTERNATIONAL UC,</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Catherine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Curry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80"/>
          </w:cols>
          <w:pgMar w:left="1440" w:top="274" w:right="1179" w:bottom="1440" w:gutter="0" w:footer="0" w:header="0"/>
        </w:sectPr>
      </w:pPr>
    </w:p>
    <w:bookmarkStart w:id="63" w:name="page64"/>
    <w:bookmarkEnd w:id="6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as a 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Arens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40"/>
          </w:cols>
          <w:pgMar w:left="1440" w:top="274" w:right="519" w:bottom="1440" w:gutter="0" w:footer="0" w:header="0"/>
        </w:sectPr>
      </w:pPr>
    </w:p>
    <w:bookmarkStart w:id="64" w:name="page65"/>
    <w:bookmarkEnd w:id="6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as a Revolving Lender and a Facing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Arens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40"/>
          </w:cols>
          <w:pgMar w:left="1440" w:top="274" w:right="519" w:bottom="1440" w:gutter="0" w:footer="0" w:header="0"/>
        </w:sectPr>
      </w:pPr>
    </w:p>
    <w:bookmarkStart w:id="65" w:name="page66"/>
    <w:bookmarkEnd w:id="6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HUNTINGTON NATIONAL BANK, as a 2022</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Marcel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Marcel Fournier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80"/>
          </w:cols>
          <w:pgMar w:left="1440" w:top="274" w:right="979" w:bottom="1440" w:gutter="0" w:footer="0" w:header="0"/>
        </w:sectPr>
      </w:pPr>
    </w:p>
    <w:bookmarkStart w:id="66" w:name="page67"/>
    <w:bookmarkEnd w:id="6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HUNTINGTON NATIONAL BANK, as a Revolving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Marcel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Marcel Fournier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860"/>
          </w:cols>
          <w:pgMar w:left="1440" w:top="274" w:right="599" w:bottom="1440" w:gutter="0" w:footer="0" w:header="0"/>
        </w:sectPr>
      </w:pPr>
    </w:p>
    <w:bookmarkStart w:id="67" w:name="page68"/>
    <w:bookmarkEnd w:id="6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 DUBLIN BRANCH, as a 2022 Additional</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Cornac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Cornac Langford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10000"/>
          </w:cols>
          <w:pgMar w:left="1440" w:top="274" w:right="459" w:bottom="1440" w:gutter="0" w:footer="0" w:header="0"/>
        </w:sectPr>
      </w:pPr>
    </w:p>
    <w:bookmarkStart w:id="68" w:name="page69"/>
    <w:bookmarkEnd w:id="6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 DUBLIN BRANCH, as a Revolving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Cornac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Cornac Langford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580"/>
          </w:cols>
          <w:pgMar w:left="1440" w:top="274" w:right="879" w:bottom="1440" w:gutter="0" w:footer="0" w:header="0"/>
        </w:sectPr>
      </w:pPr>
    </w:p>
    <w:bookmarkStart w:id="69" w:name="page70"/>
    <w:bookmarkEnd w:id="6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 2022 Additional Term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George Stoecklein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20"/>
          </w:cols>
          <w:pgMar w:left="1440" w:top="274" w:right="739" w:bottom="1440" w:gutter="0" w:footer="0" w:header="0"/>
        </w:sectPr>
      </w:pPr>
    </w:p>
    <w:bookmarkStart w:id="70" w:name="page71"/>
    <w:bookmarkEnd w:id="7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 Revolving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George Stoecklein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71" w:name="page72"/>
    <w:bookmarkEnd w:id="7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COÖPERATIVE RABOBANK, U.A.,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NEW YORK BRANCH, as a 2022 Additional Term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LaHaie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Elizabeth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Elizabeth Hart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20"/>
          </w:cols>
          <w:pgMar w:left="1440" w:top="274" w:right="539" w:bottom="1440" w:gutter="0" w:footer="0" w:header="0"/>
        </w:sectPr>
      </w:pPr>
    </w:p>
    <w:bookmarkStart w:id="72" w:name="page73"/>
    <w:bookmarkEnd w:id="7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COÖPERATIVE RABOBANK, U.A.,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NEW YORK BRANCH, as a Revolving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LaHaie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Elizabeth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Elizabeth Hart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80"/>
          </w:cols>
          <w:pgMar w:left="1440" w:top="274" w:right="1379" w:bottom="1440" w:gutter="0" w:footer="0" w:header="0"/>
        </w:sectPr>
      </w:pPr>
    </w:p>
    <w:bookmarkStart w:id="73" w:name="page74"/>
    <w:bookmarkEnd w:id="7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 BANKING CORPORATION,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Rosa Pritsch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40"/>
          </w:cols>
          <w:pgMar w:left="1440" w:top="274" w:right="719" w:bottom="1440" w:gutter="0" w:footer="0" w:header="0"/>
        </w:sectPr>
      </w:pPr>
    </w:p>
    <w:bookmarkStart w:id="74" w:name="page75"/>
    <w:bookmarkEnd w:id="7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 BANKING CORPORATION,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Rosa Pritsch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40"/>
          </w:cols>
          <w:pgMar w:left="1440" w:top="274" w:right="719" w:bottom="1440" w:gutter="0" w:footer="0" w:header="0"/>
        </w:sectPr>
      </w:pPr>
    </w:p>
    <w:bookmarkStart w:id="75" w:name="page76"/>
    <w:bookmarkEnd w:id="7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COBANK, ACB,</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Jared Greene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Assistant Secretary Corporation</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76" w:name="page77"/>
    <w:bookmarkEnd w:id="7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COBANK, ACB,</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Jared Greene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Assistant Secretary Corporation</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77" w:name="page78"/>
    <w:bookmarkEnd w:id="7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Jonathan Dworkin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7"/>
          <w:szCs w:val="17"/>
          <w:color w:val="auto"/>
        </w:rPr>
        <w:t>Title:</w:t>
        <w:tab/>
        <w:t>Authorized Signatory</w:t>
      </w:r>
    </w:p>
    <w:p>
      <w:pPr>
        <w:spacing w:after="0" w:line="15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78" w:name="page79"/>
    <w:bookmarkEnd w:id="7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Jonathan Dworkin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7"/>
          <w:szCs w:val="17"/>
          <w:color w:val="auto"/>
        </w:rPr>
        <w:t>Title:</w:t>
        <w:tab/>
        <w:t>Authorized Signatory</w:t>
      </w:r>
    </w:p>
    <w:p>
      <w:pPr>
        <w:spacing w:after="0" w:line="15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INDUSTRIAL AND COMMERICAL BANK OF CHINA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LIMITED, NEW YORK BRANCH, as a 2022 Additional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Monahan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 Relationship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Pineyen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Pineyen Shih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 Team Lead</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840"/>
          </w:cols>
          <w:pgMar w:left="1440" w:top="274" w:right="619" w:bottom="1440" w:gutter="0" w:footer="0" w:header="0"/>
        </w:sectPr>
      </w:pPr>
    </w:p>
    <w:bookmarkStart w:id="80" w:name="page81"/>
    <w:bookmarkEnd w:id="8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INDUSTRIAL AND COMMERICAL BANK OF CHINA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LIMITED, NEW YORK BRANCH, as a Revolving Lender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Monahan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 Relationship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Pineyen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Pineyen Shih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 Team Lead</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20"/>
          </w:cols>
          <w:pgMar w:left="1440" w:top="274" w:right="539" w:bottom="1440" w:gutter="0" w:footer="0" w:header="0"/>
        </w:sectPr>
      </w:pPr>
    </w:p>
    <w:bookmarkStart w:id="81" w:name="page82"/>
    <w:bookmarkEnd w:id="8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M&amp;T BANK, SUCCESSOR BY MERGER TO PEOPLE’S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UNITED BANK, N.A., as a 2022 Additional Term Lender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J. Emhart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Donna J. Emhart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40"/>
          </w:cols>
          <w:pgMar w:left="1440" w:top="274" w:right="519" w:bottom="1440" w:gutter="0" w:footer="0" w:header="0"/>
        </w:sectPr>
      </w:pPr>
    </w:p>
    <w:bookmarkStart w:id="82" w:name="page83"/>
    <w:bookmarkEnd w:id="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M&amp;T BANK, SUCCESSOR BY MERGER TO PEOPLE’S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UNITED BANK, N.A., 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J. Emhart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Donna J. Emhart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40"/>
          </w:cols>
          <w:pgMar w:left="1440" w:top="274" w:right="519" w:bottom="1440" w:gutter="0" w:footer="0" w:header="0"/>
        </w:sectPr>
      </w:pPr>
    </w:p>
    <w:bookmarkStart w:id="83" w:name="page84"/>
    <w:bookmarkEnd w:id="8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NATIONAL ASSOCIATION, as a 2022</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Patrick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Patrick McCarthy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760"/>
          </w:cols>
          <w:pgMar w:left="1440" w:top="274" w:right="699" w:bottom="1440" w:gutter="0" w:footer="0" w:header="0"/>
        </w:sectPr>
      </w:pPr>
    </w:p>
    <w:bookmarkStart w:id="84" w:name="page85"/>
    <w:bookmarkEnd w:id="8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Patrick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Patrick McCarthy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40"/>
          </w:cols>
          <w:pgMar w:left="1440" w:top="274" w:right="1419" w:bottom="1440" w:gutter="0" w:footer="0" w:header="0"/>
        </w:sectPr>
      </w:pPr>
    </w:p>
    <w:bookmarkStart w:id="85" w:name="page86"/>
    <w:bookmarkEnd w:id="8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CITY NATIONAL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Louis Serio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Louis Serio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86" w:name="page87"/>
    <w:bookmarkEnd w:id="8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CITY NATIONAL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Louis Serio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Louis Serio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87" w:name="page88"/>
    <w:bookmarkEnd w:id="8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DBS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Josephine Lim</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88" w:name="page89"/>
    <w:bookmarkEnd w:id="8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DBS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Josephine Lim</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89" w:name="page90"/>
    <w:bookmarkEnd w:id="8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Rodney J.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Rodney J. Winters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0" w:name="page91"/>
    <w:bookmarkEnd w:id="9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Rodney J.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Rodney J. Winters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1" w:name="page92"/>
    <w:bookmarkEnd w:id="9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Pamela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Pamela Hansen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2" w:name="page93"/>
    <w:bookmarkEnd w:id="9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Pamela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Pamela Hansen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3" w:name="page94"/>
    <w:bookmarkEnd w:id="9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NORTHERN TRUST COMPANY,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D. Holtz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4" w:name="page95"/>
    <w:bookmarkEnd w:id="9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NORTHERN TRUST COMPANY,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D. Holtz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5" w:name="page96"/>
    <w:bookmarkEnd w:id="9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CHINA,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Raymond Qiao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6" w:name="page97"/>
    <w:bookmarkEnd w:id="9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Raymond Qiao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97" w:name="page98"/>
    <w:bookmarkEnd w:id="9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CRÉDIT INDUSTRIEL ET COMMERICAL, NEW</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Clifford Abramsky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Moriarity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Moriarity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00"/>
          </w:cols>
          <w:pgMar w:left="1440" w:top="274" w:right="1059" w:bottom="1440" w:gutter="0" w:footer="0" w:header="0"/>
        </w:sectPr>
      </w:pPr>
    </w:p>
    <w:bookmarkStart w:id="98" w:name="page99"/>
    <w:bookmarkEnd w:id="9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CRÉDIT INDUSTRIEL ET COMMERICAL, NEW</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Clifford Abramsky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Moriarity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Moriarity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00"/>
          </w:cols>
          <w:pgMar w:left="1440" w:top="274" w:right="1059" w:bottom="1440" w:gutter="0" w:footer="0" w:header="0"/>
        </w:sectPr>
      </w:pPr>
    </w:p>
    <w:bookmarkStart w:id="99" w:name="page100"/>
    <w:bookmarkEnd w:id="9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CHARTERED BANK, as a Revolving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Kristopher Tracy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 Financing Solutions</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60"/>
          </w:cols>
          <w:pgMar w:left="1440" w:top="274" w:right="499" w:bottom="1440" w:gutter="0" w:footer="0" w:header="0"/>
        </w:sectPr>
      </w:pPr>
    </w:p>
    <w:bookmarkStart w:id="100" w:name="page101"/>
    <w:bookmarkEnd w:id="10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 as a 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Millane</w:t>
      </w:r>
    </w:p>
    <w:p>
      <w:pPr>
        <w:spacing w:after="0" w:line="23" w:lineRule="exact"/>
        <w:rPr>
          <w:sz w:val="20"/>
          <w:szCs w:val="20"/>
          <w:color w:val="auto"/>
        </w:rPr>
      </w:pPr>
    </w:p>
    <w:p>
      <w:pPr>
        <w:ind w:left="2560" w:right="40" w:firstLine="3394"/>
        <w:spacing w:after="0" w:line="433" w:lineRule="auto"/>
        <w:rPr>
          <w:sz w:val="20"/>
          <w:szCs w:val="20"/>
          <w:color w:val="auto"/>
        </w:rPr>
      </w:pPr>
      <w:r>
        <w:rPr>
          <w:rFonts w:ascii="Arial" w:cs="Arial" w:eastAsia="Arial" w:hAnsi="Arial"/>
          <w:sz w:val="18"/>
          <w:szCs w:val="18"/>
          <w:color w:val="auto"/>
        </w:rPr>
        <w:t>Title: Executive Director and Authorized Signatory Incremental Amendment No. 3 and Fifth Amendment</w:t>
      </w:r>
    </w:p>
    <w:p>
      <w:pPr>
        <w:sectPr>
          <w:pgSz w:w="11900" w:h="16838" w:orient="portrait"/>
          <w:cols w:equalWidth="0" w:num="1">
            <w:col w:w="9860"/>
          </w:cols>
          <w:pgMar w:left="1440" w:top="274" w:right="599" w:bottom="1440" w:gutter="0" w:footer="0" w:header="0"/>
        </w:sectPr>
      </w:pPr>
    </w:p>
    <w:bookmarkStart w:id="101" w:name="page102"/>
    <w:bookmarkEnd w:id="10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 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Millane</w:t>
      </w:r>
    </w:p>
    <w:p>
      <w:pPr>
        <w:spacing w:after="0" w:line="23" w:lineRule="exact"/>
        <w:rPr>
          <w:sz w:val="20"/>
          <w:szCs w:val="20"/>
          <w:color w:val="auto"/>
        </w:rPr>
      </w:pPr>
    </w:p>
    <w:p>
      <w:pPr>
        <w:ind w:left="2560" w:right="40" w:firstLine="3394"/>
        <w:spacing w:after="0" w:line="433" w:lineRule="auto"/>
        <w:rPr>
          <w:sz w:val="20"/>
          <w:szCs w:val="20"/>
          <w:color w:val="auto"/>
        </w:rPr>
      </w:pPr>
      <w:r>
        <w:rPr>
          <w:rFonts w:ascii="Arial" w:cs="Arial" w:eastAsia="Arial" w:hAnsi="Arial"/>
          <w:sz w:val="18"/>
          <w:szCs w:val="18"/>
          <w:color w:val="auto"/>
        </w:rPr>
        <w:t>Title: Executive Director and Authorized Signatory Incremental Amendment No. 3 and Fifth Amendment</w:t>
      </w:r>
    </w:p>
    <w:p>
      <w:pPr>
        <w:sectPr>
          <w:pgSz w:w="11900" w:h="16838" w:orient="portrait"/>
          <w:cols w:equalWidth="0" w:num="1">
            <w:col w:w="9860"/>
          </w:cols>
          <w:pgMar w:left="1440" w:top="274" w:right="599" w:bottom="1440" w:gutter="0" w:footer="0" w:header="0"/>
        </w:sectPr>
      </w:pPr>
    </w:p>
    <w:bookmarkStart w:id="102" w:name="page103"/>
    <w:bookmarkEnd w:id="10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EASTERN BANK, as a 2022 Additional Term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Nussbaum</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540"/>
          </w:cols>
          <w:pgMar w:left="1440" w:top="274" w:right="919" w:bottom="1440" w:gutter="0" w:footer="0" w:header="0"/>
        </w:sectPr>
      </w:pPr>
    </w:p>
    <w:bookmarkStart w:id="103" w:name="page104"/>
    <w:bookmarkEnd w:id="10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EASTERN BANK, as a Revolving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Nussbaum</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04" w:name="page105"/>
    <w:bookmarkEnd w:id="10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 HWA COMMERICAL BANK, LTD.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BRANCH, as a 2022 Additional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Esther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Esther Chen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Assistant Vice President and Assistant General</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Manager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10000"/>
          </w:cols>
          <w:pgMar w:left="1440" w:top="274" w:right="45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 HWA COMMERICAL BANK, LTD.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BRANCH, as a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Esther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Esther Chen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Assistant Vice President and Assistant General</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Manager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10000"/>
          </w:cols>
          <w:pgMar w:left="1440" w:top="274" w:right="459" w:bottom="1440" w:gutter="0" w:footer="0" w:header="0"/>
        </w:sectPr>
      </w:pPr>
    </w:p>
    <w:bookmarkStart w:id="106" w:name="page107"/>
    <w:bookmarkEnd w:id="10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COMMERICAL BANK, LTD.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BRANCH, as a 2022 Additional Term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Ching Fang,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Ching Fang, Liao</w:t>
      </w:r>
    </w:p>
    <w:p>
      <w:pPr>
        <w:spacing w:after="0" w:line="23" w:lineRule="exact"/>
        <w:rPr>
          <w:sz w:val="20"/>
          <w:szCs w:val="20"/>
          <w:color w:val="auto"/>
        </w:rPr>
      </w:pPr>
    </w:p>
    <w:p>
      <w:pPr>
        <w:ind w:left="2560" w:right="560" w:firstLine="3043"/>
        <w:spacing w:after="0" w:line="433" w:lineRule="auto"/>
        <w:rPr>
          <w:sz w:val="20"/>
          <w:szCs w:val="20"/>
          <w:color w:val="auto"/>
        </w:rPr>
      </w:pPr>
      <w:r>
        <w:rPr>
          <w:rFonts w:ascii="Arial" w:cs="Arial" w:eastAsia="Arial" w:hAnsi="Arial"/>
          <w:sz w:val="18"/>
          <w:szCs w:val="18"/>
          <w:color w:val="auto"/>
        </w:rPr>
        <w:t>Title: Vice President and General Manager Incremental Amendment No. 3 and Fifth Amendment</w:t>
      </w:r>
    </w:p>
    <w:p>
      <w:pPr>
        <w:sectPr>
          <w:pgSz w:w="11900" w:h="16838" w:orient="portrait"/>
          <w:cols w:equalWidth="0" w:num="1">
            <w:col w:w="9400"/>
          </w:cols>
          <w:pgMar w:left="1440" w:top="274" w:right="1059" w:bottom="1440" w:gutter="0" w:footer="0" w:header="0"/>
        </w:sectPr>
      </w:pPr>
    </w:p>
    <w:bookmarkStart w:id="107" w:name="page108"/>
    <w:bookmarkEnd w:id="10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COMMERICAL BANK, LTD.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BRANCH, as a Revolving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Ching Fang,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Ching Fang, Liao</w:t>
      </w:r>
    </w:p>
    <w:p>
      <w:pPr>
        <w:spacing w:after="0" w:line="23" w:lineRule="exact"/>
        <w:rPr>
          <w:sz w:val="20"/>
          <w:szCs w:val="20"/>
          <w:color w:val="auto"/>
        </w:rPr>
      </w:pPr>
    </w:p>
    <w:p>
      <w:pPr>
        <w:ind w:left="2560" w:right="560" w:firstLine="3043"/>
        <w:spacing w:after="0" w:line="433" w:lineRule="auto"/>
        <w:rPr>
          <w:sz w:val="20"/>
          <w:szCs w:val="20"/>
          <w:color w:val="auto"/>
        </w:rPr>
      </w:pPr>
      <w:r>
        <w:rPr>
          <w:rFonts w:ascii="Arial" w:cs="Arial" w:eastAsia="Arial" w:hAnsi="Arial"/>
          <w:sz w:val="18"/>
          <w:szCs w:val="18"/>
          <w:color w:val="auto"/>
        </w:rPr>
        <w:t>Title: Vice President and General Manager Incremental Amendment No. 3 and Fifth Amendment</w:t>
      </w:r>
    </w:p>
    <w:p>
      <w:pPr>
        <w:sectPr>
          <w:pgSz w:w="11900" w:h="16838" w:orient="portrait"/>
          <w:cols w:equalWidth="0" w:num="1">
            <w:col w:w="9400"/>
          </w:cols>
          <w:pgMar w:left="1440" w:top="274" w:right="1059" w:bottom="1440" w:gutter="0" w:footer="0" w:header="0"/>
        </w:sectPr>
      </w:pPr>
    </w:p>
    <w:bookmarkStart w:id="108" w:name="page109"/>
    <w:bookmarkEnd w:id="10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EAST ASIA,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2022 Additional Term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Chong Tan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Manny Kwok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Manny Kwok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60"/>
          </w:cols>
          <w:pgMar w:left="1440" w:top="274" w:right="499" w:bottom="1440" w:gutter="0" w:footer="0" w:header="0"/>
        </w:sectPr>
      </w:pPr>
    </w:p>
    <w:bookmarkStart w:id="109" w:name="page110"/>
    <w:bookmarkEnd w:id="10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EAST ASIA,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Chong Tan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Manny Kwok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Manny Kwok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960"/>
          </w:cols>
          <w:pgMar w:left="1440" w:top="274" w:right="49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a Canadian Revolving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Gallaway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Sean Gallaway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880"/>
          </w:cols>
          <w:pgMar w:left="1440" w:top="274" w:right="579" w:bottom="1440" w:gutter="0" w:footer="0" w:header="0"/>
        </w:sectPr>
      </w:pPr>
    </w:p>
    <w:bookmarkStart w:id="111" w:name="page112"/>
    <w:bookmarkEnd w:id="1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CHICAGO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Dollar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Matthew Gerber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500"/>
          </w:cols>
          <w:pgMar w:left="1440" w:top="274" w:right="959" w:bottom="1440" w:gutter="0" w:footer="0" w:header="0"/>
        </w:sectPr>
      </w:pPr>
    </w:p>
    <w:bookmarkStart w:id="112" w:name="page113"/>
    <w:bookmarkEnd w:id="11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BANK CHICAGO, as a 2022 Additional Term</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Barbara R.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Barbara R. Winter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520"/>
          </w:cols>
          <w:pgMar w:left="1440" w:top="274" w:right="939" w:bottom="1440" w:gutter="0" w:footer="0" w:header="0"/>
        </w:sectPr>
      </w:pPr>
    </w:p>
    <w:bookmarkStart w:id="113" w:name="page114"/>
    <w:bookmarkEnd w:id="11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BANK CHICAGO, as a Revolving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Barbara R.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Barbara R. Winter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40"/>
          </w:cols>
          <w:pgMar w:left="1440" w:top="274" w:right="1219" w:bottom="1440" w:gutter="0" w:footer="0" w:header="0"/>
        </w:sectPr>
      </w:pPr>
    </w:p>
    <w:bookmarkStart w:id="114" w:name="page115"/>
    <w:bookmarkEnd w:id="11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Ashley Morfin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Name: Ashley Morfin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15" w:name="page116"/>
    <w:bookmarkEnd w:id="11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KBC BANK, N.V.,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Wesley Eggermont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Wesley Eggermont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Francis X.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Francis X. Payne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16" w:name="page117"/>
    <w:bookmarkEnd w:id="1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KBC BANK, N.V.,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Wesley Eggermont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 Wesley Eggermont</w:t>
      </w:r>
    </w:p>
    <w:p>
      <w:pPr>
        <w:spacing w:after="0" w:line="46"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Francis X.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Francis X. Payne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Managing Director</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17" w:name="page118"/>
    <w:bookmarkEnd w:id="11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RAIFFENISEN BANK INTERNATIONAL, AG,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2022 Additional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Marx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Peter Marx</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Florian Glinz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Florian Glinz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00"/>
          </w:cols>
          <w:pgMar w:left="1440" w:top="274" w:right="1259" w:bottom="1440" w:gutter="0" w:footer="0" w:header="0"/>
        </w:sectPr>
      </w:pPr>
    </w:p>
    <w:bookmarkStart w:id="118" w:name="page119"/>
    <w:bookmarkEnd w:id="11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RAIFFENISEN BANK INTERNATIONAL, AG,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Marx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Peter Marx</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Florian Glinz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Florian Glinz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200"/>
          </w:cols>
          <w:pgMar w:left="1440" w:top="274" w:right="125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TRISTATE CAPITAL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2022 Additional Term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Ellen Frank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019"/>
          </w:cols>
          <w:pgMar w:left="1440" w:top="274" w:right="1440" w:bottom="1440" w:gutter="0" w:footer="0" w:header="0"/>
        </w:sectPr>
      </w:pPr>
    </w:p>
    <w:bookmarkStart w:id="120" w:name="page121"/>
    <w:bookmarkEnd w:id="12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TRISTATE CAPITAL BANK, as a Revolving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Ellen Frank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30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Incremental Amendment No. 3 and Fifth Amendment</w:t>
      </w:r>
    </w:p>
    <w:p>
      <w:pPr>
        <w:sectPr>
          <w:pgSz w:w="11900" w:h="16838" w:orient="portrait"/>
          <w:cols w:equalWidth="0" w:num="1">
            <w:col w:w="9480"/>
          </w:cols>
          <w:pgMar w:left="1440" w:top="274" w:right="9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Additional Term Loan Commitments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Revolving Lenders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Applicable LC Sublimit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Incremental Amendment No. 3 and Fifth Amendment</w:t>
      </w:r>
    </w:p>
    <w:p>
      <w:pPr>
        <w:sectPr>
          <w:pgSz w:w="11900" w:h="16838" w:orient="portrait"/>
          <w:cols w:equalWidth="0" w:num="1">
            <w:col w:w="9019"/>
          </w:cols>
          <w:pgMar w:left="1440" w:top="270"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270"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600,000,000</w:t>
      </w:r>
      <w:r>
        <w:rPr>
          <w:rFonts w:ascii="Arial" w:cs="Arial" w:eastAsia="Arial" w:hAnsi="Arial"/>
          <w:sz w:val="18"/>
          <w:szCs w:val="18"/>
          <w:b w:val="1"/>
          <w:bCs w:val="1"/>
          <w:u w:val="single" w:color="auto"/>
          <w:color w:val="0000FF"/>
        </w:rPr>
        <w:t>800,000,000</w:t>
      </w:r>
      <w:r>
        <w:rPr>
          <w:rFonts w:ascii="Arial" w:cs="Arial" w:eastAsia="Arial" w:hAnsi="Arial"/>
          <w:sz w:val="18"/>
          <w:szCs w:val="18"/>
          <w:b w:val="1"/>
          <w:bCs w:val="1"/>
          <w:color w:val="auto"/>
        </w:rPr>
        <w:t xml:space="preserve"> Dollar Revolving Facility</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1,000,000,000</w:t>
      </w:r>
      <w:r>
        <w:rPr>
          <w:rFonts w:ascii="Arial" w:cs="Arial" w:eastAsia="Arial" w:hAnsi="Arial"/>
          <w:sz w:val="18"/>
          <w:szCs w:val="18"/>
          <w:b w:val="1"/>
          <w:bCs w:val="1"/>
          <w:u w:val="single" w:color="auto"/>
          <w:color w:val="0000FF"/>
        </w:rPr>
        <w:t>800,000,000</w:t>
      </w:r>
      <w:r>
        <w:rPr>
          <w:rFonts w:ascii="Arial" w:cs="Arial" w:eastAsia="Arial" w:hAnsi="Arial"/>
          <w:sz w:val="18"/>
          <w:szCs w:val="18"/>
          <w:b w:val="1"/>
          <w:bCs w:val="1"/>
          <w:color w:val="auto"/>
        </w:rPr>
        <w:t xml:space="preserve"> Multicurrency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-121920</wp:posOffset>
            </wp:positionV>
            <wp:extent cx="5740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b w:val="1"/>
          <w:bCs w:val="1"/>
          <w:color w:val="auto"/>
        </w:rPr>
        <w:t>$50,000,000 Canadian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-121920</wp:posOffset>
            </wp:positionV>
            <wp:extent cx="5740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1,100,000,000</w:t>
      </w:r>
      <w:r>
        <w:rPr>
          <w:rFonts w:ascii="Arial" w:cs="Arial" w:eastAsia="Arial" w:hAnsi="Arial"/>
          <w:sz w:val="18"/>
          <w:szCs w:val="18"/>
          <w:b w:val="1"/>
          <w:bCs w:val="1"/>
          <w:u w:val="single" w:color="auto"/>
          <w:color w:val="0000FF"/>
        </w:rPr>
        <w:t>1,800,000,000</w:t>
      </w:r>
      <w:r>
        <w:rPr>
          <w:rFonts w:ascii="Arial" w:cs="Arial" w:eastAsia="Arial" w:hAnsi="Arial"/>
          <w:sz w:val="18"/>
          <w:szCs w:val="18"/>
          <w:b w:val="1"/>
          <w:bCs w:val="1"/>
          <w:color w:val="auto"/>
        </w:rPr>
        <w:t xml:space="preserve"> Term Loan A Facility</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450,000,000</w:t>
      </w:r>
      <w:r>
        <w:rPr>
          <w:rFonts w:ascii="Arial" w:cs="Arial" w:eastAsia="Arial" w:hAnsi="Arial"/>
          <w:sz w:val="18"/>
          <w:szCs w:val="18"/>
          <w:b w:val="1"/>
          <w:bCs w:val="1"/>
          <w:u w:val="single" w:color="auto"/>
          <w:color w:val="0000FF"/>
        </w:rPr>
        <w:t>540,000,000</w:t>
      </w:r>
      <w:r>
        <w:rPr>
          <w:rFonts w:ascii="Arial" w:cs="Arial" w:eastAsia="Arial" w:hAnsi="Arial"/>
          <w:sz w:val="18"/>
          <w:szCs w:val="18"/>
          <w:b w:val="1"/>
          <w:bCs w:val="1"/>
          <w:color w:val="auto"/>
        </w:rPr>
        <w:t xml:space="preserve"> Term Euro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-121920</wp:posOffset>
            </wp:positionV>
            <wp:extent cx="6515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14605</wp:posOffset>
            </wp:positionV>
            <wp:extent cx="5746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April 7, 2017,</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amended by the First Amendment, dated as of December 28, 2017,</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further amended by Incremental Amendment No. 1, dated as of January 29, 2018,</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further amended by the Second Amendment, dated as of March 23, 2018,</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as further amended by the Incremental Amendment No. 2 and Third Amendment, dated as of December 13, 2019</w:t>
      </w:r>
    </w:p>
    <w:p>
      <w:pPr>
        <w:spacing w:after="0" w:line="24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FF0000"/>
          <w:strike w:val="1"/>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further amended by the Fourth Amendment, dated as of October 4,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26035</wp:posOffset>
            </wp:positionV>
            <wp:extent cx="1885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0000FF"/>
        </w:rPr>
        <w:t>as further amended by the Incremental Amendment No. 3 and Fifth Amendment, dated as of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52978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pacing w:after="0" w:line="22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AMERICAS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a U.S. Borrower,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EUROPEAN HOLDINGS S.A.,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European Borrower,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METAL PACKAGING CANADA LP,</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Canadian Borrower,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SUBSIDIARY BORROWERS NAMED HEREIN,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INTERNATIONAL HOLDINGS, INC. 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CROWN CORK &amp; SEAL COMPANY,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Parent Guarantors,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AG, LONDON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U.K. Administrative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AG, CANADA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Canadian Administrative Agent</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ectPr>
          <w:pgSz w:w="11900" w:h="16838" w:orient="portrait"/>
          <w:cols w:equalWidth="0" w:num="1">
            <w:col w:w="10020"/>
          </w:cols>
          <w:pgMar w:left="1440" w:top="270" w:right="4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SECURITIES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jc w:val="center"/>
        <w:ind w:left="1020" w:right="1039"/>
        <w:spacing w:after="0" w:line="250" w:lineRule="auto"/>
        <w:rPr>
          <w:sz w:val="20"/>
          <w:szCs w:val="20"/>
          <w:color w:val="auto"/>
        </w:rPr>
      </w:pPr>
      <w:r>
        <w:rPr>
          <w:rFonts w:ascii="Arial" w:cs="Arial" w:eastAsia="Arial" w:hAnsi="Arial"/>
          <w:sz w:val="18"/>
          <w:szCs w:val="18"/>
          <w:b w:val="1"/>
          <w:bCs w:val="1"/>
          <w:color w:val="auto"/>
        </w:rPr>
        <w:t xml:space="preserve">COÖPERATIEVE RABOBANK U.A., NEW YORK BRANCH, CREDIT AGRICOLE CORPORATE AND INVESTMENT BANK, </w:t>
      </w:r>
      <w:r>
        <w:rPr>
          <w:rFonts w:ascii="Arial" w:cs="Arial" w:eastAsia="Arial" w:hAnsi="Arial"/>
          <w:sz w:val="18"/>
          <w:szCs w:val="18"/>
          <w:b w:val="1"/>
          <w:bCs w:val="1"/>
          <w:u w:val="single" w:color="auto"/>
          <w:color w:val="0000FF"/>
        </w:rPr>
        <w:t>ING CAPITAL LLC,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UNICREDIT BANK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-121920</wp:posOffset>
            </wp:positionV>
            <wp:extent cx="10458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as Joint Sustainability Coordinators,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VARIOUS LENDING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Arranged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DEUTSCHE BANK SECURITIES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BANCO SANTANDER,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MIZUHO BANK, LTD.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0000FF"/>
        </w:rPr>
        <w:t>PNC CAPITAL MARKETS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0000FF"/>
        </w:rPr>
        <w:t>UNICREDIT BANK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-121920</wp:posOffset>
            </wp:positionV>
            <wp:extent cx="16459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-121920</wp:posOffset>
            </wp:positionV>
            <wp:extent cx="12001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THE BANK OF NOVA SCOTIA,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as Incremental Amendment No. </w:t>
      </w:r>
      <w:r>
        <w:rPr>
          <w:rFonts w:ascii="Arial" w:cs="Arial" w:eastAsia="Arial" w:hAnsi="Arial"/>
          <w:sz w:val="18"/>
          <w:szCs w:val="18"/>
          <w:b w:val="1"/>
          <w:bCs w:val="1"/>
          <w:color w:val="FF0000"/>
          <w:strike w:val="1"/>
        </w:rPr>
        <w:t>2</w:t>
      </w:r>
      <w:r>
        <w:rPr>
          <w:rFonts w:ascii="Arial" w:cs="Arial" w:eastAsia="Arial" w:hAnsi="Arial"/>
          <w:sz w:val="18"/>
          <w:szCs w:val="18"/>
          <w:b w:val="1"/>
          <w:bCs w:val="1"/>
          <w:u w:val="single" w:color="auto"/>
          <w:color w:val="0000FF"/>
        </w:rPr>
        <w:t>3</w:t>
      </w:r>
      <w:r>
        <w:rPr>
          <w:rFonts w:ascii="Arial" w:cs="Arial" w:eastAsia="Arial" w:hAnsi="Arial"/>
          <w:sz w:val="18"/>
          <w:szCs w:val="18"/>
          <w:b w:val="1"/>
          <w:bCs w:val="1"/>
          <w:color w:val="auto"/>
        </w:rPr>
        <w:t xml:space="preserve"> and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Fifth</w:t>
      </w:r>
      <w:r>
        <w:rPr>
          <w:rFonts w:ascii="Arial" w:cs="Arial" w:eastAsia="Arial" w:hAnsi="Arial"/>
          <w:sz w:val="18"/>
          <w:szCs w:val="18"/>
          <w:b w:val="1"/>
          <w:bCs w:val="1"/>
          <w:color w:val="auto"/>
        </w:rPr>
        <w:t xml:space="preserve"> Amendment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14605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14605</wp:posOffset>
            </wp:positionV>
            <wp:extent cx="2400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BBVA COMPASS,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COBANK, ACB,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COMMERZBANK AG, NEW YORK BRANCH,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COÖPERATIEVE RABOBANK U.A., NEW YORK BRANCH,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0000FF"/>
        </w:rPr>
        <w:t>ING BANK N.V., DUBLIN BRANCH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GOLDMAN SACHS BANK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-121920</wp:posOffset>
            </wp:positionV>
            <wp:extent cx="18345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FF0000"/>
          <w:strike w:val="1"/>
        </w:rPr>
        <w:t>ING IRELAND (DAC),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MUFG BANK, LTD.,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PNC CAPITAL MARKETS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0000FF"/>
        </w:rPr>
        <w:t>COBANK, ACB,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strike w:val="1"/>
        </w:rPr>
        <w:t>UNICREDIT</w:t>
      </w:r>
      <w:r>
        <w:rPr>
          <w:rFonts w:ascii="Arial" w:cs="Arial" w:eastAsia="Arial" w:hAnsi="Arial"/>
          <w:sz w:val="18"/>
          <w:szCs w:val="18"/>
          <w:b w:val="1"/>
          <w:bCs w:val="1"/>
          <w:u w:val="single" w:color="auto"/>
          <w:color w:val="0000FF"/>
        </w:rPr>
        <w:t>THE HUNTINGTON NATIONAL</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BANK</w:t>
      </w:r>
      <w:r>
        <w:rPr>
          <w:rFonts w:ascii="Arial" w:cs="Arial" w:eastAsia="Arial" w:hAnsi="Arial"/>
          <w:sz w:val="18"/>
          <w:szCs w:val="18"/>
          <w:b w:val="1"/>
          <w:bCs w:val="1"/>
          <w:color w:val="FF0000"/>
        </w:rPr>
        <w:t xml:space="preserve"> AG</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-121920</wp:posOffset>
            </wp:positionV>
            <wp:extent cx="8229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-70485</wp:posOffset>
            </wp:positionV>
            <wp:extent cx="2000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 xml:space="preserve">as Incremental Amendment No. </w:t>
      </w:r>
      <w:r>
        <w:rPr>
          <w:rFonts w:ascii="Arial" w:cs="Arial" w:eastAsia="Arial" w:hAnsi="Arial"/>
          <w:sz w:val="16"/>
          <w:szCs w:val="16"/>
          <w:b w:val="1"/>
          <w:bCs w:val="1"/>
          <w:color w:val="FF0000"/>
          <w:strike w:val="1"/>
        </w:rPr>
        <w:t>2</w:t>
      </w:r>
      <w:r>
        <w:rPr>
          <w:rFonts w:ascii="Arial" w:cs="Arial" w:eastAsia="Arial" w:hAnsi="Arial"/>
          <w:sz w:val="16"/>
          <w:szCs w:val="16"/>
          <w:b w:val="1"/>
          <w:bCs w:val="1"/>
          <w:u w:val="single" w:color="auto"/>
          <w:color w:val="0000FF"/>
        </w:rPr>
        <w:t>3</w:t>
      </w:r>
      <w:r>
        <w:rPr>
          <w:rFonts w:ascii="Arial" w:cs="Arial" w:eastAsia="Arial" w:hAnsi="Arial"/>
          <w:sz w:val="16"/>
          <w:szCs w:val="16"/>
          <w:b w:val="1"/>
          <w:bCs w:val="1"/>
          <w:color w:val="auto"/>
        </w:rPr>
        <w:t xml:space="preserve"> and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Fifth</w:t>
      </w:r>
      <w:r>
        <w:rPr>
          <w:rFonts w:ascii="Arial" w:cs="Arial" w:eastAsia="Arial" w:hAnsi="Arial"/>
          <w:sz w:val="16"/>
          <w:szCs w:val="16"/>
          <w:b w:val="1"/>
          <w:bCs w:val="1"/>
          <w:color w:val="auto"/>
        </w:rPr>
        <w:t xml:space="preserve"> Amendment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252095</wp:posOffset>
            </wp:positionV>
            <wp:extent cx="1474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-107315</wp:posOffset>
            </wp:positionV>
            <wp:extent cx="16973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29210</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29210</wp:posOffset>
            </wp:positionV>
            <wp:extent cx="2400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ARTICLE I</w:t>
            </w:r>
          </w:p>
        </w:tc>
        <w:tc>
          <w:tcPr>
            <w:tcW w:w="4180" w:type="dxa"/>
            <w:vAlign w:val="bottom"/>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1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DEFINITIONS AND ACCOUNTING TERMS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Terms Generally; Financial 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Luxembourg terms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French terms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Calculation of Exchange Rate</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1.6</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Limited Condition Transactions</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1.7</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Sanctions Limitations</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1.8</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Effect of Amendment and Restatement of the Existing Credit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1.9</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Divisions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00" w:type="dxa"/>
            <w:vAlign w:val="bottom"/>
            <w:gridSpan w:val="2"/>
          </w:tcPr>
          <w:p>
            <w:pPr>
              <w:jc w:val="center"/>
              <w:ind w:right="4220"/>
              <w:spacing w:after="0"/>
              <w:rPr>
                <w:sz w:val="20"/>
                <w:szCs w:val="20"/>
                <w:color w:val="auto"/>
              </w:rPr>
            </w:pPr>
            <w:r>
              <w:rPr>
                <w:rFonts w:ascii="Arial" w:cs="Arial" w:eastAsia="Arial" w:hAnsi="Arial"/>
                <w:sz w:val="18"/>
                <w:szCs w:val="18"/>
                <w:color w:val="auto"/>
              </w:rPr>
              <w:t>ARTICLE 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010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AMOUNT AND TERMS OF U.S. DOLLAR, STERLING AND EURO CREDITS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The 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Evidence of Indebtedness; Repayment of Loans</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2.3</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Minimum Amount of Each Borrowing; Maximum Number of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2.4</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Borrowing Options</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2.5</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Notice of Borrowing</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2.6</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Conversion or Continuation</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2.7</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Disbursement of Funds</w:t>
            </w: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2.8</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Utilization of Revolving Commitments in an Alternative Currency</w:t>
            </w: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2.9</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Additional Facility</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2.10</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Letters of Credit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Pro Rata Borrowings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2.12</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Defaulting Lenders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2.13</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Replacement Revolving Credit Facility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2.14</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Replacement Term Loans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2.15</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Extension of Maturity Date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2.16</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U.S. Borrower Representative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2A.1</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The Canadian Revolving Commitments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2A.2</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Notes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2A.3</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Minimum Amount of Each Borrowing; Maximum Number of Borrowings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2A.4</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Borrowing Options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2A.5</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Notice of Canadian Borrowing</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2A.6</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Conversion or Continuation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2A.7</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Disbursement of Funds and Presumptions by Canadian Administrative Agent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2A.8</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Pro Rata Borrowings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2A.9</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Bankers’ Acceptances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2A.10</w:t>
            </w:r>
          </w:p>
        </w:tc>
        <w:tc>
          <w:tcPr>
            <w:tcW w:w="10100" w:type="dxa"/>
            <w:vAlign w:val="bottom"/>
            <w:gridSpan w:val="3"/>
          </w:tcPr>
          <w:p>
            <w:pPr>
              <w:ind w:left="100"/>
              <w:spacing w:after="0"/>
              <w:rPr>
                <w:sz w:val="20"/>
                <w:szCs w:val="20"/>
                <w:color w:val="auto"/>
              </w:rPr>
            </w:pPr>
            <w:r>
              <w:rPr>
                <w:rFonts w:ascii="Arial" w:cs="Arial" w:eastAsia="Arial" w:hAnsi="Arial"/>
                <w:sz w:val="18"/>
                <w:szCs w:val="18"/>
                <w:color w:val="auto"/>
              </w:rPr>
              <w:t>Miscellaneous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9"/>
              </w:rPr>
              <w:t>ARTICLE III</w:t>
            </w:r>
          </w:p>
        </w:tc>
        <w:tc>
          <w:tcPr>
            <w:tcW w:w="150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5"/>
              </w:rPr>
              <w:t>INTEREST AND FEES</w:t>
            </w:r>
          </w:p>
        </w:tc>
        <w:tc>
          <w:tcPr>
            <w:tcW w:w="150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9100" w:type="dxa"/>
            <w:vAlign w:val="bottom"/>
          </w:tcPr>
          <w:p>
            <w:pPr>
              <w:ind w:left="60"/>
              <w:spacing w:after="0"/>
              <w:rPr>
                <w:sz w:val="20"/>
                <w:szCs w:val="20"/>
                <w:color w:val="auto"/>
              </w:rPr>
            </w:pPr>
            <w:r>
              <w:rPr>
                <w:rFonts w:ascii="Arial" w:cs="Arial" w:eastAsia="Arial" w:hAnsi="Arial"/>
                <w:sz w:val="18"/>
                <w:szCs w:val="18"/>
                <w:color w:val="auto"/>
              </w:rPr>
              <w:t>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9100" w:type="dxa"/>
            <w:vAlign w:val="bottom"/>
          </w:tcPr>
          <w:p>
            <w:pPr>
              <w:ind w:left="60"/>
              <w:spacing w:after="0"/>
              <w:rPr>
                <w:sz w:val="20"/>
                <w:szCs w:val="20"/>
                <w:color w:val="auto"/>
              </w:rPr>
            </w:pPr>
            <w:r>
              <w:rPr>
                <w:rFonts w:ascii="Arial" w:cs="Arial" w:eastAsia="Arial" w:hAnsi="Arial"/>
                <w:sz w:val="18"/>
                <w:szCs w:val="18"/>
                <w:color w:val="auto"/>
              </w:rPr>
              <w:t>Fees</w:t>
            </w:r>
          </w:p>
        </w:tc>
        <w:tc>
          <w:tcPr>
            <w:tcW w:w="15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3.3</w:t>
            </w:r>
          </w:p>
        </w:tc>
        <w:tc>
          <w:tcPr>
            <w:tcW w:w="910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15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3.4</w:t>
            </w:r>
          </w:p>
        </w:tc>
        <w:tc>
          <w:tcPr>
            <w:tcW w:w="9100" w:type="dxa"/>
            <w:vAlign w:val="bottom"/>
          </w:tcPr>
          <w:p>
            <w:pPr>
              <w:ind w:left="60"/>
              <w:spacing w:after="0"/>
              <w:rPr>
                <w:sz w:val="20"/>
                <w:szCs w:val="20"/>
                <w:color w:val="auto"/>
              </w:rPr>
            </w:pPr>
            <w:r>
              <w:rPr>
                <w:rFonts w:ascii="Arial" w:cs="Arial" w:eastAsia="Arial" w:hAnsi="Arial"/>
                <w:sz w:val="18"/>
                <w:szCs w:val="18"/>
                <w:color w:val="auto"/>
              </w:rPr>
              <w:t>Interest Periods</w:t>
            </w:r>
          </w:p>
        </w:tc>
        <w:tc>
          <w:tcPr>
            <w:tcW w:w="15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3.5</w:t>
            </w:r>
          </w:p>
        </w:tc>
        <w:tc>
          <w:tcPr>
            <w:tcW w:w="9100" w:type="dxa"/>
            <w:vAlign w:val="bottom"/>
          </w:tcPr>
          <w:p>
            <w:pPr>
              <w:ind w:left="60"/>
              <w:spacing w:after="0"/>
              <w:rPr>
                <w:sz w:val="20"/>
                <w:szCs w:val="20"/>
                <w:color w:val="auto"/>
              </w:rPr>
            </w:pPr>
            <w:r>
              <w:rPr>
                <w:rFonts w:ascii="Arial" w:cs="Arial" w:eastAsia="Arial" w:hAnsi="Arial"/>
                <w:sz w:val="18"/>
                <w:szCs w:val="18"/>
                <w:color w:val="auto"/>
              </w:rPr>
              <w:t>Compensation for Funding Losses</w:t>
            </w:r>
          </w:p>
        </w:tc>
        <w:tc>
          <w:tcPr>
            <w:tcW w:w="15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3.6</w:t>
            </w:r>
          </w:p>
        </w:tc>
        <w:tc>
          <w:tcPr>
            <w:tcW w:w="9100" w:type="dxa"/>
            <w:vAlign w:val="bottom"/>
          </w:tcPr>
          <w:p>
            <w:pPr>
              <w:ind w:left="60"/>
              <w:spacing w:after="0"/>
              <w:rPr>
                <w:sz w:val="20"/>
                <w:szCs w:val="20"/>
                <w:color w:val="auto"/>
              </w:rPr>
            </w:pPr>
            <w:r>
              <w:rPr>
                <w:rFonts w:ascii="Arial" w:cs="Arial" w:eastAsia="Arial" w:hAnsi="Arial"/>
                <w:sz w:val="18"/>
                <w:szCs w:val="18"/>
                <w:color w:val="auto"/>
              </w:rPr>
              <w:t>Increased Costs, Illegality, Etc.</w:t>
            </w:r>
          </w:p>
        </w:tc>
        <w:tc>
          <w:tcPr>
            <w:tcW w:w="15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3.7</w:t>
            </w:r>
          </w:p>
        </w:tc>
        <w:tc>
          <w:tcPr>
            <w:tcW w:w="9100" w:type="dxa"/>
            <w:vAlign w:val="bottom"/>
          </w:tcPr>
          <w:p>
            <w:pPr>
              <w:ind w:left="60"/>
              <w:spacing w:after="0"/>
              <w:rPr>
                <w:sz w:val="20"/>
                <w:szCs w:val="20"/>
                <w:color w:val="auto"/>
              </w:rPr>
            </w:pPr>
            <w:r>
              <w:rPr>
                <w:rFonts w:ascii="Arial" w:cs="Arial" w:eastAsia="Arial" w:hAnsi="Arial"/>
                <w:sz w:val="18"/>
                <w:szCs w:val="18"/>
                <w:color w:val="auto"/>
              </w:rPr>
              <w:t>Mitigation Obligations; Replacement of Affected Lenders</w:t>
            </w:r>
          </w:p>
        </w:tc>
        <w:tc>
          <w:tcPr>
            <w:tcW w:w="1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8"/>
        </w:trPr>
        <w:tc>
          <w:tcPr>
            <w:tcW w:w="360" w:type="dxa"/>
            <w:vAlign w:val="bottom"/>
          </w:tcPr>
          <w:p>
            <w:pPr>
              <w:spacing w:after="0"/>
              <w:rPr>
                <w:sz w:val="24"/>
                <w:szCs w:val="24"/>
                <w:color w:val="auto"/>
              </w:rPr>
            </w:pPr>
          </w:p>
        </w:tc>
        <w:tc>
          <w:tcPr>
            <w:tcW w:w="9100" w:type="dxa"/>
            <w:vAlign w:val="bottom"/>
          </w:tcPr>
          <w:p>
            <w:pPr>
              <w:jc w:val="center"/>
              <w:ind w:left="1030"/>
              <w:spacing w:after="0"/>
              <w:rPr>
                <w:sz w:val="20"/>
                <w:szCs w:val="20"/>
                <w:color w:val="auto"/>
              </w:rPr>
            </w:pPr>
            <w:r>
              <w:rPr>
                <w:rFonts w:ascii="Arial" w:cs="Arial" w:eastAsia="Arial" w:hAnsi="Arial"/>
                <w:sz w:val="18"/>
                <w:szCs w:val="18"/>
                <w:color w:val="auto"/>
                <w:w w:val="99"/>
              </w:rPr>
              <w:t>ARTICLE IV</w:t>
            </w:r>
          </w:p>
        </w:tc>
        <w:tc>
          <w:tcPr>
            <w:tcW w:w="15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5"/>
              </w:rPr>
              <w:t>REDUCTION OF COMMITMENTS; PAYMENTS AND PREPAYMENTS</w:t>
            </w:r>
          </w:p>
        </w:tc>
        <w:tc>
          <w:tcPr>
            <w:tcW w:w="150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9100" w:type="dxa"/>
            <w:vAlign w:val="bottom"/>
          </w:tcPr>
          <w:p>
            <w:pPr>
              <w:ind w:left="60"/>
              <w:spacing w:after="0"/>
              <w:rPr>
                <w:sz w:val="20"/>
                <w:szCs w:val="20"/>
                <w:color w:val="auto"/>
              </w:rPr>
            </w:pPr>
            <w:r>
              <w:rPr>
                <w:rFonts w:ascii="Arial" w:cs="Arial" w:eastAsia="Arial" w:hAnsi="Arial"/>
                <w:sz w:val="18"/>
                <w:szCs w:val="18"/>
                <w:color w:val="auto"/>
              </w:rPr>
              <w:t>Voluntary Reduction of Commitments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9100" w:type="dxa"/>
            <w:vAlign w:val="bottom"/>
          </w:tcPr>
          <w:p>
            <w:pPr>
              <w:ind w:left="60"/>
              <w:spacing w:after="0"/>
              <w:rPr>
                <w:sz w:val="20"/>
                <w:szCs w:val="20"/>
                <w:color w:val="auto"/>
              </w:rPr>
            </w:pPr>
            <w:r>
              <w:rPr>
                <w:rFonts w:ascii="Arial" w:cs="Arial" w:eastAsia="Arial" w:hAnsi="Arial"/>
                <w:sz w:val="18"/>
                <w:szCs w:val="18"/>
                <w:color w:val="auto"/>
              </w:rPr>
              <w:t>Mandatory Reductions of Term Commitments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4.3</w:t>
            </w:r>
          </w:p>
        </w:tc>
        <w:tc>
          <w:tcPr>
            <w:tcW w:w="9100" w:type="dxa"/>
            <w:vAlign w:val="bottom"/>
          </w:tcPr>
          <w:p>
            <w:pPr>
              <w:ind w:left="60"/>
              <w:spacing w:after="0"/>
              <w:rPr>
                <w:sz w:val="20"/>
                <w:szCs w:val="20"/>
                <w:color w:val="auto"/>
              </w:rPr>
            </w:pPr>
            <w:r>
              <w:rPr>
                <w:rFonts w:ascii="Arial" w:cs="Arial" w:eastAsia="Arial" w:hAnsi="Arial"/>
                <w:sz w:val="18"/>
                <w:szCs w:val="18"/>
                <w:color w:val="auto"/>
              </w:rPr>
              <w:t>Voluntary Prepayments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4.4</w:t>
            </w:r>
          </w:p>
        </w:tc>
        <w:tc>
          <w:tcPr>
            <w:tcW w:w="9100" w:type="dxa"/>
            <w:vAlign w:val="bottom"/>
          </w:tcPr>
          <w:p>
            <w:pPr>
              <w:ind w:left="60"/>
              <w:spacing w:after="0"/>
              <w:rPr>
                <w:sz w:val="20"/>
                <w:szCs w:val="20"/>
                <w:color w:val="auto"/>
              </w:rPr>
            </w:pPr>
            <w:r>
              <w:rPr>
                <w:rFonts w:ascii="Arial" w:cs="Arial" w:eastAsia="Arial" w:hAnsi="Arial"/>
                <w:sz w:val="18"/>
                <w:szCs w:val="18"/>
                <w:color w:val="auto"/>
              </w:rPr>
              <w:t>Mandatory Prepayments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4.5</w:t>
            </w:r>
          </w:p>
        </w:tc>
        <w:tc>
          <w:tcPr>
            <w:tcW w:w="9100" w:type="dxa"/>
            <w:vAlign w:val="bottom"/>
          </w:tcPr>
          <w:p>
            <w:pPr>
              <w:ind w:left="60"/>
              <w:spacing w:after="0"/>
              <w:rPr>
                <w:sz w:val="20"/>
                <w:szCs w:val="20"/>
                <w:color w:val="auto"/>
              </w:rPr>
            </w:pPr>
            <w:r>
              <w:rPr>
                <w:rFonts w:ascii="Arial" w:cs="Arial" w:eastAsia="Arial" w:hAnsi="Arial"/>
                <w:sz w:val="18"/>
                <w:szCs w:val="18"/>
                <w:color w:val="auto"/>
              </w:rPr>
              <w:t>Application of Prepayments; Waiver of Certain Prepayments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4.6</w:t>
            </w:r>
          </w:p>
        </w:tc>
        <w:tc>
          <w:tcPr>
            <w:tcW w:w="9100" w:type="dxa"/>
            <w:vAlign w:val="bottom"/>
          </w:tcPr>
          <w:p>
            <w:pPr>
              <w:ind w:left="60"/>
              <w:spacing w:after="0"/>
              <w:rPr>
                <w:sz w:val="20"/>
                <w:szCs w:val="20"/>
                <w:color w:val="auto"/>
              </w:rPr>
            </w:pPr>
            <w:r>
              <w:rPr>
                <w:rFonts w:ascii="Arial" w:cs="Arial" w:eastAsia="Arial" w:hAnsi="Arial"/>
                <w:sz w:val="18"/>
                <w:szCs w:val="18"/>
                <w:color w:val="auto"/>
              </w:rPr>
              <w:t>Method and Place of Payment</w:t>
            </w: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4.7</w:t>
            </w:r>
          </w:p>
        </w:tc>
        <w:tc>
          <w:tcPr>
            <w:tcW w:w="9100" w:type="dxa"/>
            <w:vAlign w:val="bottom"/>
          </w:tcPr>
          <w:p>
            <w:pPr>
              <w:ind w:left="60"/>
              <w:spacing w:after="0"/>
              <w:rPr>
                <w:sz w:val="20"/>
                <w:szCs w:val="20"/>
                <w:color w:val="auto"/>
              </w:rPr>
            </w:pPr>
            <w:r>
              <w:rPr>
                <w:rFonts w:ascii="Arial" w:cs="Arial" w:eastAsia="Arial" w:hAnsi="Arial"/>
                <w:sz w:val="18"/>
                <w:szCs w:val="18"/>
                <w:color w:val="auto"/>
              </w:rPr>
              <w:t>Net Payments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418"/>
        </w:trPr>
        <w:tc>
          <w:tcPr>
            <w:tcW w:w="360" w:type="dxa"/>
            <w:vAlign w:val="bottom"/>
          </w:tcPr>
          <w:p>
            <w:pPr>
              <w:spacing w:after="0"/>
              <w:rPr>
                <w:sz w:val="24"/>
                <w:szCs w:val="24"/>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8"/>
              </w:rPr>
              <w:t>ARTICLE V</w:t>
            </w:r>
          </w:p>
        </w:tc>
        <w:tc>
          <w:tcPr>
            <w:tcW w:w="15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6"/>
              </w:rPr>
              <w:t>CONDITIONS OF CREDIT</w:t>
            </w:r>
          </w:p>
        </w:tc>
        <w:tc>
          <w:tcPr>
            <w:tcW w:w="150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5.1</w:t>
            </w:r>
          </w:p>
        </w:tc>
        <w:tc>
          <w:tcPr>
            <w:tcW w:w="9100" w:type="dxa"/>
            <w:vAlign w:val="bottom"/>
          </w:tcPr>
          <w:p>
            <w:pPr>
              <w:ind w:left="60"/>
              <w:spacing w:after="0"/>
              <w:rPr>
                <w:sz w:val="20"/>
                <w:szCs w:val="20"/>
                <w:color w:val="auto"/>
              </w:rPr>
            </w:pPr>
            <w:r>
              <w:rPr>
                <w:rFonts w:ascii="Arial" w:cs="Arial" w:eastAsia="Arial" w:hAnsi="Arial"/>
                <w:sz w:val="18"/>
                <w:szCs w:val="18"/>
                <w:color w:val="auto"/>
              </w:rPr>
              <w:t>Conditions Precedent to the Effective Date</w:t>
            </w:r>
          </w:p>
        </w:tc>
        <w:tc>
          <w:tcPr>
            <w:tcW w:w="15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5.2</w:t>
            </w:r>
          </w:p>
        </w:tc>
        <w:tc>
          <w:tcPr>
            <w:tcW w:w="9100" w:type="dxa"/>
            <w:vAlign w:val="bottom"/>
          </w:tcPr>
          <w:p>
            <w:pPr>
              <w:ind w:left="60"/>
              <w:spacing w:after="0"/>
              <w:rPr>
                <w:sz w:val="20"/>
                <w:szCs w:val="20"/>
                <w:color w:val="auto"/>
              </w:rPr>
            </w:pPr>
            <w:r>
              <w:rPr>
                <w:rFonts w:ascii="Arial" w:cs="Arial" w:eastAsia="Arial" w:hAnsi="Arial"/>
                <w:sz w:val="18"/>
                <w:szCs w:val="18"/>
                <w:color w:val="auto"/>
              </w:rPr>
              <w:t>Conditions Precedent to All Credit Events</w:t>
            </w:r>
          </w:p>
        </w:tc>
        <w:tc>
          <w:tcPr>
            <w:tcW w:w="15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18"/>
        </w:trPr>
        <w:tc>
          <w:tcPr>
            <w:tcW w:w="360" w:type="dxa"/>
            <w:vAlign w:val="bottom"/>
          </w:tcPr>
          <w:p>
            <w:pPr>
              <w:spacing w:after="0"/>
              <w:rPr>
                <w:sz w:val="24"/>
                <w:szCs w:val="24"/>
                <w:color w:val="auto"/>
              </w:rPr>
            </w:pPr>
          </w:p>
        </w:tc>
        <w:tc>
          <w:tcPr>
            <w:tcW w:w="9100" w:type="dxa"/>
            <w:vAlign w:val="bottom"/>
          </w:tcPr>
          <w:p>
            <w:pPr>
              <w:jc w:val="center"/>
              <w:ind w:left="1030"/>
              <w:spacing w:after="0"/>
              <w:rPr>
                <w:sz w:val="20"/>
                <w:szCs w:val="20"/>
                <w:color w:val="auto"/>
              </w:rPr>
            </w:pPr>
            <w:r>
              <w:rPr>
                <w:rFonts w:ascii="Arial" w:cs="Arial" w:eastAsia="Arial" w:hAnsi="Arial"/>
                <w:sz w:val="18"/>
                <w:szCs w:val="18"/>
                <w:color w:val="auto"/>
                <w:w w:val="99"/>
              </w:rPr>
              <w:t>ARTICLE VI</w:t>
            </w:r>
          </w:p>
        </w:tc>
        <w:tc>
          <w:tcPr>
            <w:tcW w:w="15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100" w:type="dxa"/>
            <w:vAlign w:val="bottom"/>
          </w:tcPr>
          <w:p>
            <w:pPr>
              <w:jc w:val="center"/>
              <w:ind w:left="1050"/>
              <w:spacing w:after="0"/>
              <w:rPr>
                <w:sz w:val="20"/>
                <w:szCs w:val="20"/>
                <w:color w:val="auto"/>
              </w:rPr>
            </w:pPr>
            <w:r>
              <w:rPr>
                <w:rFonts w:ascii="Arial" w:cs="Arial" w:eastAsia="Arial" w:hAnsi="Arial"/>
                <w:sz w:val="18"/>
                <w:szCs w:val="18"/>
                <w:color w:val="auto"/>
                <w:w w:val="95"/>
              </w:rPr>
              <w:t>REPRESENTATIONS AND WARRANTIES</w:t>
            </w:r>
          </w:p>
        </w:tc>
        <w:tc>
          <w:tcPr>
            <w:tcW w:w="150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6.1</w:t>
            </w:r>
          </w:p>
        </w:tc>
        <w:tc>
          <w:tcPr>
            <w:tcW w:w="9100" w:type="dxa"/>
            <w:vAlign w:val="bottom"/>
          </w:tcPr>
          <w:p>
            <w:pPr>
              <w:ind w:left="60"/>
              <w:spacing w:after="0"/>
              <w:rPr>
                <w:sz w:val="20"/>
                <w:szCs w:val="20"/>
                <w:color w:val="auto"/>
              </w:rPr>
            </w:pPr>
            <w:r>
              <w:rPr>
                <w:rFonts w:ascii="Arial" w:cs="Arial" w:eastAsia="Arial" w:hAnsi="Arial"/>
                <w:sz w:val="18"/>
                <w:szCs w:val="18"/>
                <w:color w:val="auto"/>
              </w:rPr>
              <w:t>Corporate Status</w:t>
            </w:r>
          </w:p>
        </w:tc>
        <w:tc>
          <w:tcPr>
            <w:tcW w:w="15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6.2</w:t>
            </w:r>
          </w:p>
        </w:tc>
        <w:tc>
          <w:tcPr>
            <w:tcW w:w="9100" w:type="dxa"/>
            <w:vAlign w:val="bottom"/>
          </w:tcPr>
          <w:p>
            <w:pPr>
              <w:ind w:left="60"/>
              <w:spacing w:after="0"/>
              <w:rPr>
                <w:sz w:val="20"/>
                <w:szCs w:val="20"/>
                <w:color w:val="auto"/>
              </w:rPr>
            </w:pPr>
            <w:r>
              <w:rPr>
                <w:rFonts w:ascii="Arial" w:cs="Arial" w:eastAsia="Arial" w:hAnsi="Arial"/>
                <w:sz w:val="18"/>
                <w:szCs w:val="18"/>
                <w:color w:val="auto"/>
              </w:rPr>
              <w:t>Corporate Power and Authority</w:t>
            </w:r>
          </w:p>
        </w:tc>
        <w:tc>
          <w:tcPr>
            <w:tcW w:w="15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6.3</w:t>
            </w:r>
          </w:p>
        </w:tc>
        <w:tc>
          <w:tcPr>
            <w:tcW w:w="9100" w:type="dxa"/>
            <w:vAlign w:val="bottom"/>
          </w:tcPr>
          <w:p>
            <w:pPr>
              <w:ind w:left="60"/>
              <w:spacing w:after="0"/>
              <w:rPr>
                <w:sz w:val="20"/>
                <w:szCs w:val="20"/>
                <w:color w:val="auto"/>
              </w:rPr>
            </w:pPr>
            <w:r>
              <w:rPr>
                <w:rFonts w:ascii="Arial" w:cs="Arial" w:eastAsia="Arial" w:hAnsi="Arial"/>
                <w:sz w:val="18"/>
                <w:szCs w:val="18"/>
                <w:color w:val="auto"/>
              </w:rPr>
              <w:t>No Violation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6.4</w:t>
            </w:r>
          </w:p>
        </w:tc>
        <w:tc>
          <w:tcPr>
            <w:tcW w:w="9100" w:type="dxa"/>
            <w:vAlign w:val="bottom"/>
          </w:tcPr>
          <w:p>
            <w:pPr>
              <w:ind w:left="60"/>
              <w:spacing w:after="0"/>
              <w:rPr>
                <w:sz w:val="20"/>
                <w:szCs w:val="20"/>
                <w:color w:val="auto"/>
              </w:rPr>
            </w:pPr>
            <w:r>
              <w:rPr>
                <w:rFonts w:ascii="Arial" w:cs="Arial" w:eastAsia="Arial" w:hAnsi="Arial"/>
                <w:sz w:val="18"/>
                <w:szCs w:val="18"/>
                <w:color w:val="auto"/>
              </w:rPr>
              <w:t>Governmental and Other Approvals</w:t>
            </w: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9100" w:type="dxa"/>
            <w:vAlign w:val="bottom"/>
          </w:tcPr>
          <w:p>
            <w:pPr>
              <w:ind w:left="60"/>
              <w:spacing w:after="0"/>
              <w:rPr>
                <w:sz w:val="20"/>
                <w:szCs w:val="20"/>
                <w:color w:val="auto"/>
              </w:rPr>
            </w:pPr>
            <w:r>
              <w:rPr>
                <w:rFonts w:ascii="Arial" w:cs="Arial" w:eastAsia="Arial" w:hAnsi="Arial"/>
                <w:sz w:val="18"/>
                <w:szCs w:val="18"/>
                <w:color w:val="auto"/>
              </w:rPr>
              <w:t>Financial Statements; Financial Condition; Undisclosed Liabilities Projections; Etc.</w:t>
            </w: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910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6.7</w:t>
            </w:r>
          </w:p>
        </w:tc>
        <w:tc>
          <w:tcPr>
            <w:tcW w:w="9100" w:type="dxa"/>
            <w:vAlign w:val="bottom"/>
          </w:tcPr>
          <w:p>
            <w:pPr>
              <w:ind w:left="60"/>
              <w:spacing w:after="0"/>
              <w:rPr>
                <w:sz w:val="20"/>
                <w:szCs w:val="20"/>
                <w:color w:val="auto"/>
              </w:rPr>
            </w:pPr>
            <w:r>
              <w:rPr>
                <w:rFonts w:ascii="Arial" w:cs="Arial" w:eastAsia="Arial" w:hAnsi="Arial"/>
                <w:sz w:val="18"/>
                <w:szCs w:val="18"/>
                <w:color w:val="auto"/>
              </w:rPr>
              <w:t>True and Complete Disclosure</w:t>
            </w:r>
          </w:p>
        </w:tc>
        <w:tc>
          <w:tcPr>
            <w:tcW w:w="15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6.8</w:t>
            </w:r>
          </w:p>
        </w:tc>
        <w:tc>
          <w:tcPr>
            <w:tcW w:w="9100" w:type="dxa"/>
            <w:vAlign w:val="bottom"/>
          </w:tcPr>
          <w:p>
            <w:pPr>
              <w:ind w:left="60"/>
              <w:spacing w:after="0"/>
              <w:rPr>
                <w:sz w:val="20"/>
                <w:szCs w:val="20"/>
                <w:color w:val="auto"/>
              </w:rPr>
            </w:pPr>
            <w:r>
              <w:rPr>
                <w:rFonts w:ascii="Arial" w:cs="Arial" w:eastAsia="Arial" w:hAnsi="Arial"/>
                <w:sz w:val="18"/>
                <w:szCs w:val="18"/>
                <w:color w:val="auto"/>
              </w:rPr>
              <w:t>Use of Proceeds; Margin Regulations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6.9</w:t>
            </w:r>
          </w:p>
        </w:tc>
        <w:tc>
          <w:tcPr>
            <w:tcW w:w="9100" w:type="dxa"/>
            <w:vAlign w:val="bottom"/>
          </w:tcPr>
          <w:p>
            <w:pPr>
              <w:ind w:left="60"/>
              <w:spacing w:after="0"/>
              <w:rPr>
                <w:sz w:val="20"/>
                <w:szCs w:val="20"/>
                <w:color w:val="auto"/>
              </w:rPr>
            </w:pPr>
            <w:r>
              <w:rPr>
                <w:rFonts w:ascii="Arial" w:cs="Arial" w:eastAsia="Arial" w:hAnsi="Arial"/>
                <w:sz w:val="18"/>
                <w:szCs w:val="18"/>
                <w:color w:val="auto"/>
              </w:rPr>
              <w:t>Taxes</w:t>
            </w:r>
          </w:p>
        </w:tc>
        <w:tc>
          <w:tcPr>
            <w:tcW w:w="15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6.10</w:t>
            </w:r>
          </w:p>
        </w:tc>
        <w:tc>
          <w:tcPr>
            <w:tcW w:w="9100" w:type="dxa"/>
            <w:vAlign w:val="bottom"/>
          </w:tcPr>
          <w:p>
            <w:pPr>
              <w:ind w:left="60"/>
              <w:spacing w:after="0"/>
              <w:rPr>
                <w:sz w:val="20"/>
                <w:szCs w:val="20"/>
                <w:color w:val="auto"/>
              </w:rPr>
            </w:pPr>
            <w:r>
              <w:rPr>
                <w:rFonts w:ascii="Arial" w:cs="Arial" w:eastAsia="Arial" w:hAnsi="Arial"/>
                <w:sz w:val="18"/>
                <w:szCs w:val="18"/>
                <w:color w:val="auto"/>
              </w:rPr>
              <w:t>Compliance With ERISA; Foreign Pension Plans</w:t>
            </w:r>
          </w:p>
        </w:tc>
        <w:tc>
          <w:tcPr>
            <w:tcW w:w="15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6.11</w:t>
            </w:r>
          </w:p>
        </w:tc>
        <w:tc>
          <w:tcPr>
            <w:tcW w:w="9100" w:type="dxa"/>
            <w:vAlign w:val="bottom"/>
          </w:tcPr>
          <w:p>
            <w:pPr>
              <w:ind w:left="60"/>
              <w:spacing w:after="0"/>
              <w:rPr>
                <w:sz w:val="20"/>
                <w:szCs w:val="20"/>
                <w:color w:val="auto"/>
              </w:rPr>
            </w:pPr>
            <w:r>
              <w:rPr>
                <w:rFonts w:ascii="Arial" w:cs="Arial" w:eastAsia="Arial" w:hAnsi="Arial"/>
                <w:sz w:val="18"/>
                <w:szCs w:val="18"/>
                <w:color w:val="auto"/>
              </w:rPr>
              <w:t>Security Documents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6.12</w:t>
            </w:r>
          </w:p>
        </w:tc>
        <w:tc>
          <w:tcPr>
            <w:tcW w:w="9100" w:type="dxa"/>
            <w:vAlign w:val="bottom"/>
          </w:tcPr>
          <w:p>
            <w:pPr>
              <w:ind w:left="60"/>
              <w:spacing w:after="0"/>
              <w:rPr>
                <w:sz w:val="20"/>
                <w:szCs w:val="20"/>
                <w:color w:val="auto"/>
              </w:rPr>
            </w:pPr>
            <w:r>
              <w:rPr>
                <w:rFonts w:ascii="Arial" w:cs="Arial" w:eastAsia="Arial" w:hAnsi="Arial"/>
                <w:sz w:val="18"/>
                <w:szCs w:val="18"/>
                <w:color w:val="auto"/>
              </w:rPr>
              <w:t>Ownership of Property</w:t>
            </w:r>
          </w:p>
        </w:tc>
        <w:tc>
          <w:tcPr>
            <w:tcW w:w="15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6.13</w:t>
            </w:r>
          </w:p>
        </w:tc>
        <w:tc>
          <w:tcPr>
            <w:tcW w:w="9100" w:type="dxa"/>
            <w:vAlign w:val="bottom"/>
          </w:tcPr>
          <w:p>
            <w:pPr>
              <w:ind w:left="60"/>
              <w:spacing w:after="0"/>
              <w:rPr>
                <w:sz w:val="20"/>
                <w:szCs w:val="20"/>
                <w:color w:val="auto"/>
              </w:rPr>
            </w:pPr>
            <w:r>
              <w:rPr>
                <w:rFonts w:ascii="Arial" w:cs="Arial" w:eastAsia="Arial" w:hAnsi="Arial"/>
                <w:sz w:val="18"/>
                <w:szCs w:val="18"/>
                <w:color w:val="auto"/>
              </w:rPr>
              <w:t>Capitalization of Credit Parties</w:t>
            </w:r>
          </w:p>
        </w:tc>
        <w:tc>
          <w:tcPr>
            <w:tcW w:w="15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6.14</w:t>
            </w:r>
          </w:p>
        </w:tc>
        <w:tc>
          <w:tcPr>
            <w:tcW w:w="910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6.15</w:t>
            </w:r>
          </w:p>
        </w:tc>
        <w:tc>
          <w:tcPr>
            <w:tcW w:w="9100" w:type="dxa"/>
            <w:vAlign w:val="bottom"/>
          </w:tcPr>
          <w:p>
            <w:pPr>
              <w:ind w:left="60"/>
              <w:spacing w:after="0"/>
              <w:rPr>
                <w:sz w:val="20"/>
                <w:szCs w:val="20"/>
                <w:color w:val="auto"/>
              </w:rPr>
            </w:pPr>
            <w:r>
              <w:rPr>
                <w:rFonts w:ascii="Arial" w:cs="Arial" w:eastAsia="Arial" w:hAnsi="Arial"/>
                <w:sz w:val="18"/>
                <w:szCs w:val="18"/>
                <w:color w:val="auto"/>
              </w:rPr>
              <w:t>Compliance With Laws, Etc.</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6.16</w:t>
            </w:r>
          </w:p>
        </w:tc>
        <w:tc>
          <w:tcPr>
            <w:tcW w:w="910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6.17</w:t>
            </w:r>
          </w:p>
        </w:tc>
        <w:tc>
          <w:tcPr>
            <w:tcW w:w="9100" w:type="dxa"/>
            <w:vAlign w:val="bottom"/>
          </w:tcPr>
          <w:p>
            <w:pPr>
              <w:ind w:left="80"/>
              <w:spacing w:after="0"/>
              <w:rPr>
                <w:sz w:val="20"/>
                <w:szCs w:val="20"/>
                <w:color w:val="auto"/>
              </w:rPr>
            </w:pPr>
            <w:r>
              <w:rPr>
                <w:rFonts w:ascii="Arial" w:cs="Arial" w:eastAsia="Arial" w:hAnsi="Arial"/>
                <w:sz w:val="18"/>
                <w:szCs w:val="18"/>
                <w:color w:val="auto"/>
              </w:rPr>
              <w:t>[Reserved]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6.18</w:t>
            </w:r>
          </w:p>
        </w:tc>
        <w:tc>
          <w:tcPr>
            <w:tcW w:w="91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6.19</w:t>
            </w:r>
          </w:p>
        </w:tc>
        <w:tc>
          <w:tcPr>
            <w:tcW w:w="9100" w:type="dxa"/>
            <w:vAlign w:val="bottom"/>
          </w:tcPr>
          <w:p>
            <w:pPr>
              <w:ind w:left="80"/>
              <w:spacing w:after="0"/>
              <w:rPr>
                <w:sz w:val="20"/>
                <w:szCs w:val="20"/>
                <w:color w:val="auto"/>
              </w:rPr>
            </w:pPr>
            <w:r>
              <w:rPr>
                <w:rFonts w:ascii="Arial" w:cs="Arial" w:eastAsia="Arial" w:hAnsi="Arial"/>
                <w:sz w:val="18"/>
                <w:szCs w:val="18"/>
                <w:color w:val="auto"/>
              </w:rPr>
              <w:t>[Reserved]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6.20</w:t>
            </w:r>
          </w:p>
        </w:tc>
        <w:tc>
          <w:tcPr>
            <w:tcW w:w="9100" w:type="dxa"/>
            <w:vAlign w:val="bottom"/>
          </w:tcPr>
          <w:p>
            <w:pPr>
              <w:ind w:left="60"/>
              <w:spacing w:after="0"/>
              <w:rPr>
                <w:sz w:val="20"/>
                <w:szCs w:val="20"/>
                <w:color w:val="auto"/>
              </w:rPr>
            </w:pPr>
            <w:r>
              <w:rPr>
                <w:rFonts w:ascii="Arial" w:cs="Arial" w:eastAsia="Arial" w:hAnsi="Arial"/>
                <w:sz w:val="18"/>
                <w:szCs w:val="18"/>
                <w:color w:val="auto"/>
              </w:rPr>
              <w:t>Intellectual Property, Licenses, Franchises and Formulas</w:t>
            </w:r>
          </w:p>
        </w:tc>
        <w:tc>
          <w:tcPr>
            <w:tcW w:w="15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6.21</w:t>
            </w:r>
          </w:p>
        </w:tc>
        <w:tc>
          <w:tcPr>
            <w:tcW w:w="9100" w:type="dxa"/>
            <w:vAlign w:val="bottom"/>
          </w:tcPr>
          <w:p>
            <w:pPr>
              <w:ind w:left="60"/>
              <w:spacing w:after="0"/>
              <w:rPr>
                <w:sz w:val="20"/>
                <w:szCs w:val="20"/>
                <w:color w:val="auto"/>
              </w:rPr>
            </w:pPr>
            <w:r>
              <w:rPr>
                <w:rFonts w:ascii="Arial" w:cs="Arial" w:eastAsia="Arial" w:hAnsi="Arial"/>
                <w:sz w:val="18"/>
                <w:szCs w:val="18"/>
                <w:color w:val="auto"/>
              </w:rPr>
              <w:t>Anti-Terrorism Laws</w:t>
            </w:r>
          </w:p>
        </w:tc>
        <w:tc>
          <w:tcPr>
            <w:tcW w:w="15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6.22</w:t>
            </w:r>
          </w:p>
        </w:tc>
        <w:tc>
          <w:tcPr>
            <w:tcW w:w="9100" w:type="dxa"/>
            <w:vAlign w:val="bottom"/>
          </w:tcPr>
          <w:p>
            <w:pPr>
              <w:ind w:left="60"/>
              <w:spacing w:after="0"/>
              <w:rPr>
                <w:sz w:val="20"/>
                <w:szCs w:val="20"/>
                <w:color w:val="auto"/>
              </w:rPr>
            </w:pPr>
            <w:r>
              <w:rPr>
                <w:rFonts w:ascii="Arial" w:cs="Arial" w:eastAsia="Arial" w:hAnsi="Arial"/>
                <w:sz w:val="18"/>
                <w:szCs w:val="18"/>
                <w:color w:val="auto"/>
              </w:rPr>
              <w:t>Patriot Act; Foreign Corrupt Practices Act</w:t>
            </w:r>
          </w:p>
        </w:tc>
        <w:tc>
          <w:tcPr>
            <w:tcW w:w="15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6.23</w:t>
            </w:r>
          </w:p>
        </w:tc>
        <w:tc>
          <w:tcPr>
            <w:tcW w:w="9100" w:type="dxa"/>
            <w:vAlign w:val="bottom"/>
          </w:tcPr>
          <w:p>
            <w:pPr>
              <w:ind w:left="60"/>
              <w:spacing w:after="0"/>
              <w:rPr>
                <w:sz w:val="20"/>
                <w:szCs w:val="20"/>
                <w:color w:val="auto"/>
              </w:rPr>
            </w:pPr>
            <w:r>
              <w:rPr>
                <w:rFonts w:ascii="Arial" w:cs="Arial" w:eastAsia="Arial" w:hAnsi="Arial"/>
                <w:sz w:val="18"/>
                <w:szCs w:val="18"/>
                <w:color w:val="auto"/>
              </w:rPr>
              <w:t>Insolvency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6.24</w:t>
            </w:r>
          </w:p>
        </w:tc>
        <w:tc>
          <w:tcPr>
            <w:tcW w:w="9100" w:type="dxa"/>
            <w:vAlign w:val="bottom"/>
          </w:tcPr>
          <w:p>
            <w:pPr>
              <w:ind w:left="60"/>
              <w:spacing w:after="0"/>
              <w:rPr>
                <w:sz w:val="20"/>
                <w:szCs w:val="20"/>
                <w:color w:val="auto"/>
              </w:rPr>
            </w:pPr>
            <w:r>
              <w:rPr>
                <w:rFonts w:ascii="Arial" w:cs="Arial" w:eastAsia="Arial" w:hAnsi="Arial"/>
                <w:sz w:val="18"/>
                <w:szCs w:val="18"/>
                <w:color w:val="auto"/>
              </w:rPr>
              <w:t>Beneficial Ownership Certification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169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460" w:type="dxa"/>
            <w:vAlign w:val="bottom"/>
          </w:tcPr>
          <w:p>
            <w:pPr>
              <w:jc w:val="center"/>
              <w:ind w:left="1690"/>
              <w:spacing w:after="0"/>
              <w:rPr>
                <w:sz w:val="20"/>
                <w:szCs w:val="20"/>
                <w:color w:val="auto"/>
              </w:rPr>
            </w:pPr>
            <w:r>
              <w:rPr>
                <w:rFonts w:ascii="Arial" w:cs="Arial" w:eastAsia="Arial" w:hAnsi="Arial"/>
                <w:sz w:val="18"/>
                <w:szCs w:val="18"/>
                <w:color w:val="auto"/>
              </w:rPr>
              <w:t>ARTICLE VII</w:t>
            </w:r>
          </w:p>
        </w:tc>
        <w:tc>
          <w:tcPr>
            <w:tcW w:w="21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460" w:type="dxa"/>
            <w:vAlign w:val="bottom"/>
          </w:tcPr>
          <w:p>
            <w:pPr>
              <w:jc w:val="center"/>
              <w:ind w:left="1690"/>
              <w:spacing w:after="0"/>
              <w:rPr>
                <w:sz w:val="20"/>
                <w:szCs w:val="20"/>
                <w:color w:val="auto"/>
              </w:rPr>
            </w:pPr>
            <w:r>
              <w:rPr>
                <w:rFonts w:ascii="Arial" w:cs="Arial" w:eastAsia="Arial" w:hAnsi="Arial"/>
                <w:sz w:val="18"/>
                <w:szCs w:val="18"/>
                <w:color w:val="auto"/>
                <w:w w:val="98"/>
              </w:rPr>
              <w:t>AFFIRMATIVE COVENANTS</w:t>
            </w:r>
          </w:p>
        </w:tc>
        <w:tc>
          <w:tcPr>
            <w:tcW w:w="21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7.1</w:t>
            </w:r>
          </w:p>
        </w:tc>
        <w:tc>
          <w:tcPr>
            <w:tcW w:w="84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7.2</w:t>
            </w:r>
          </w:p>
        </w:tc>
        <w:tc>
          <w:tcPr>
            <w:tcW w:w="846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7.3</w:t>
            </w:r>
          </w:p>
        </w:tc>
        <w:tc>
          <w:tcPr>
            <w:tcW w:w="8460" w:type="dxa"/>
            <w:vAlign w:val="bottom"/>
          </w:tcPr>
          <w:p>
            <w:pPr>
              <w:ind w:left="6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7.4</w:t>
            </w:r>
          </w:p>
        </w:tc>
        <w:tc>
          <w:tcPr>
            <w:tcW w:w="8460" w:type="dxa"/>
            <w:vAlign w:val="bottom"/>
          </w:tcPr>
          <w:p>
            <w:pPr>
              <w:ind w:left="60"/>
              <w:spacing w:after="0"/>
              <w:rPr>
                <w:sz w:val="20"/>
                <w:szCs w:val="20"/>
                <w:color w:val="auto"/>
              </w:rPr>
            </w:pPr>
            <w:r>
              <w:rPr>
                <w:rFonts w:ascii="Arial" w:cs="Arial" w:eastAsia="Arial" w:hAnsi="Arial"/>
                <w:sz w:val="18"/>
                <w:szCs w:val="18"/>
                <w:color w:val="auto"/>
              </w:rPr>
              <w:t>Conduct of Business and Maintenance of Existence</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7.5</w:t>
            </w:r>
          </w:p>
        </w:tc>
        <w:tc>
          <w:tcPr>
            <w:tcW w:w="8460" w:type="dxa"/>
            <w:vAlign w:val="bottom"/>
          </w:tcPr>
          <w:p>
            <w:pPr>
              <w:ind w:left="60"/>
              <w:spacing w:after="0"/>
              <w:rPr>
                <w:sz w:val="20"/>
                <w:szCs w:val="20"/>
                <w:color w:val="auto"/>
              </w:rPr>
            </w:pPr>
            <w:r>
              <w:rPr>
                <w:rFonts w:ascii="Arial" w:cs="Arial" w:eastAsia="Arial" w:hAnsi="Arial"/>
                <w:sz w:val="18"/>
                <w:szCs w:val="18"/>
                <w:color w:val="auto"/>
              </w:rPr>
              <w:t>Compliance with Laws, etc.</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7.6</w:t>
            </w:r>
          </w:p>
        </w:tc>
        <w:tc>
          <w:tcPr>
            <w:tcW w:w="846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7.7</w:t>
            </w:r>
          </w:p>
        </w:tc>
        <w:tc>
          <w:tcPr>
            <w:tcW w:w="8460" w:type="dxa"/>
            <w:vAlign w:val="bottom"/>
          </w:tcPr>
          <w:p>
            <w:pPr>
              <w:ind w:left="60"/>
              <w:spacing w:after="0"/>
              <w:rPr>
                <w:sz w:val="20"/>
                <w:szCs w:val="20"/>
                <w:color w:val="auto"/>
              </w:rPr>
            </w:pPr>
            <w:r>
              <w:rPr>
                <w:rFonts w:ascii="Arial" w:cs="Arial" w:eastAsia="Arial" w:hAnsi="Arial"/>
                <w:sz w:val="18"/>
                <w:szCs w:val="18"/>
                <w:color w:val="auto"/>
              </w:rPr>
              <w:t>[Reserved]</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7.8</w:t>
            </w:r>
          </w:p>
        </w:tc>
        <w:tc>
          <w:tcPr>
            <w:tcW w:w="8460" w:type="dxa"/>
            <w:vAlign w:val="bottom"/>
          </w:tcPr>
          <w:p>
            <w:pPr>
              <w:ind w:left="60"/>
              <w:spacing w:after="0"/>
              <w:rPr>
                <w:sz w:val="20"/>
                <w:szCs w:val="20"/>
                <w:color w:val="auto"/>
              </w:rPr>
            </w:pPr>
            <w:r>
              <w:rPr>
                <w:rFonts w:ascii="Arial" w:cs="Arial" w:eastAsia="Arial" w:hAnsi="Arial"/>
                <w:sz w:val="18"/>
                <w:szCs w:val="18"/>
                <w:color w:val="auto"/>
              </w:rPr>
              <w:t>Payment of Taxes</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7.9</w:t>
            </w:r>
          </w:p>
        </w:tc>
        <w:tc>
          <w:tcPr>
            <w:tcW w:w="8460" w:type="dxa"/>
            <w:vAlign w:val="bottom"/>
          </w:tcPr>
          <w:p>
            <w:pPr>
              <w:ind w:left="60"/>
              <w:spacing w:after="0"/>
              <w:rPr>
                <w:sz w:val="20"/>
                <w:szCs w:val="20"/>
                <w:color w:val="auto"/>
              </w:rPr>
            </w:pPr>
            <w:r>
              <w:rPr>
                <w:rFonts w:ascii="Arial" w:cs="Arial" w:eastAsia="Arial" w:hAnsi="Arial"/>
                <w:sz w:val="18"/>
                <w:szCs w:val="18"/>
                <w:color w:val="auto"/>
              </w:rPr>
              <w:t>Inspection of Property, Books and Records</w:t>
            </w:r>
          </w:p>
        </w:tc>
        <w:tc>
          <w:tcPr>
            <w:tcW w:w="2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7.10</w:t>
            </w:r>
          </w:p>
        </w:tc>
        <w:tc>
          <w:tcPr>
            <w:tcW w:w="8460" w:type="dxa"/>
            <w:vAlign w:val="bottom"/>
          </w:tcPr>
          <w:p>
            <w:pPr>
              <w:ind w:left="60"/>
              <w:spacing w:after="0"/>
              <w:rPr>
                <w:sz w:val="20"/>
                <w:szCs w:val="20"/>
                <w:color w:val="auto"/>
              </w:rPr>
            </w:pPr>
            <w:r>
              <w:rPr>
                <w:rFonts w:ascii="Arial" w:cs="Arial" w:eastAsia="Arial" w:hAnsi="Arial"/>
                <w:sz w:val="18"/>
                <w:szCs w:val="18"/>
                <w:color w:val="auto"/>
              </w:rPr>
              <w:t>ERISA; Foreign Pension Plan</w:t>
            </w:r>
          </w:p>
        </w:tc>
        <w:tc>
          <w:tcPr>
            <w:tcW w:w="21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7.11</w:t>
            </w:r>
          </w:p>
        </w:tc>
        <w:tc>
          <w:tcPr>
            <w:tcW w:w="84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7.12</w:t>
            </w:r>
          </w:p>
        </w:tc>
        <w:tc>
          <w:tcPr>
            <w:tcW w:w="8460" w:type="dxa"/>
            <w:vAlign w:val="bottom"/>
          </w:tcPr>
          <w:p>
            <w:pPr>
              <w:ind w:left="60"/>
              <w:spacing w:after="0"/>
              <w:rPr>
                <w:sz w:val="20"/>
                <w:szCs w:val="20"/>
                <w:color w:val="auto"/>
              </w:rPr>
            </w:pPr>
            <w:r>
              <w:rPr>
                <w:rFonts w:ascii="Arial" w:cs="Arial" w:eastAsia="Arial" w:hAnsi="Arial"/>
                <w:sz w:val="18"/>
                <w:szCs w:val="18"/>
                <w:color w:val="auto"/>
              </w:rPr>
              <w:t>Environmental Laws</w:t>
            </w:r>
          </w:p>
        </w:tc>
        <w:tc>
          <w:tcPr>
            <w:tcW w:w="2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7.13</w:t>
            </w:r>
          </w:p>
        </w:tc>
        <w:tc>
          <w:tcPr>
            <w:tcW w:w="846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21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7.14</w:t>
            </w:r>
          </w:p>
        </w:tc>
        <w:tc>
          <w:tcPr>
            <w:tcW w:w="8460" w:type="dxa"/>
            <w:vAlign w:val="bottom"/>
          </w:tcPr>
          <w:p>
            <w:pPr>
              <w:ind w:left="60"/>
              <w:spacing w:after="0"/>
              <w:rPr>
                <w:sz w:val="20"/>
                <w:szCs w:val="20"/>
                <w:color w:val="auto"/>
              </w:rPr>
            </w:pPr>
            <w:r>
              <w:rPr>
                <w:rFonts w:ascii="Arial" w:cs="Arial" w:eastAsia="Arial" w:hAnsi="Arial"/>
                <w:sz w:val="18"/>
                <w:szCs w:val="18"/>
                <w:color w:val="auto"/>
              </w:rPr>
              <w:t>Guarantees; Pledge of Additional Collateral</w:t>
            </w:r>
          </w:p>
        </w:tc>
        <w:tc>
          <w:tcPr>
            <w:tcW w:w="21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7.15</w:t>
            </w:r>
          </w:p>
        </w:tc>
        <w:tc>
          <w:tcPr>
            <w:tcW w:w="8460" w:type="dxa"/>
            <w:vAlign w:val="bottom"/>
          </w:tcPr>
          <w:p>
            <w:pPr>
              <w:ind w:left="60"/>
              <w:spacing w:after="0"/>
              <w:rPr>
                <w:sz w:val="20"/>
                <w:szCs w:val="20"/>
                <w:color w:val="auto"/>
              </w:rPr>
            </w:pPr>
            <w:r>
              <w:rPr>
                <w:rFonts w:ascii="Arial" w:cs="Arial" w:eastAsia="Arial" w:hAnsi="Arial"/>
                <w:sz w:val="18"/>
                <w:szCs w:val="18"/>
                <w:color w:val="auto"/>
              </w:rPr>
              <w:t>End of Fiscal Years; Fiscal Quarters</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7.16</w:t>
            </w:r>
          </w:p>
        </w:tc>
        <w:tc>
          <w:tcPr>
            <w:tcW w:w="8460" w:type="dxa"/>
            <w:vAlign w:val="bottom"/>
          </w:tcPr>
          <w:p>
            <w:pPr>
              <w:ind w:left="60"/>
              <w:spacing w:after="0"/>
              <w:rPr>
                <w:sz w:val="20"/>
                <w:szCs w:val="20"/>
                <w:color w:val="auto"/>
              </w:rPr>
            </w:pPr>
            <w:r>
              <w:rPr>
                <w:rFonts w:ascii="Arial" w:cs="Arial" w:eastAsia="Arial" w:hAnsi="Arial"/>
                <w:sz w:val="18"/>
                <w:szCs w:val="18"/>
                <w:color w:val="auto"/>
              </w:rPr>
              <w:t>Information Regarding Collateral</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7.17</w:t>
            </w:r>
          </w:p>
        </w:tc>
        <w:tc>
          <w:tcPr>
            <w:tcW w:w="8460" w:type="dxa"/>
            <w:vAlign w:val="bottom"/>
          </w:tcPr>
          <w:p>
            <w:pPr>
              <w:ind w:left="60"/>
              <w:spacing w:after="0"/>
              <w:rPr>
                <w:sz w:val="20"/>
                <w:szCs w:val="20"/>
                <w:color w:val="auto"/>
              </w:rPr>
            </w:pPr>
            <w:r>
              <w:rPr>
                <w:rFonts w:ascii="Arial" w:cs="Arial" w:eastAsia="Arial" w:hAnsi="Arial"/>
                <w:sz w:val="18"/>
                <w:szCs w:val="18"/>
                <w:color w:val="auto"/>
              </w:rPr>
              <w:t>Excluded Companies</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7.18</w:t>
            </w:r>
          </w:p>
        </w:tc>
        <w:tc>
          <w:tcPr>
            <w:tcW w:w="8460" w:type="dxa"/>
            <w:vAlign w:val="bottom"/>
          </w:tcPr>
          <w:p>
            <w:pPr>
              <w:ind w:left="60"/>
              <w:spacing w:after="0"/>
              <w:rPr>
                <w:sz w:val="20"/>
                <w:szCs w:val="20"/>
                <w:color w:val="auto"/>
              </w:rPr>
            </w:pPr>
            <w:r>
              <w:rPr>
                <w:rFonts w:ascii="Arial" w:cs="Arial" w:eastAsia="Arial" w:hAnsi="Arial"/>
                <w:sz w:val="18"/>
                <w:szCs w:val="18"/>
                <w:color w:val="auto"/>
              </w:rPr>
              <w:t>Facilities Rating</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7.19</w:t>
            </w:r>
          </w:p>
        </w:tc>
        <w:tc>
          <w:tcPr>
            <w:tcW w:w="8460" w:type="dxa"/>
            <w:vAlign w:val="bottom"/>
          </w:tcPr>
          <w:p>
            <w:pPr>
              <w:ind w:left="60"/>
              <w:spacing w:after="0"/>
              <w:rPr>
                <w:sz w:val="20"/>
                <w:szCs w:val="20"/>
                <w:color w:val="auto"/>
              </w:rPr>
            </w:pPr>
            <w:r>
              <w:rPr>
                <w:rFonts w:ascii="Arial" w:cs="Arial" w:eastAsia="Arial" w:hAnsi="Arial"/>
                <w:sz w:val="18"/>
                <w:szCs w:val="18"/>
                <w:color w:val="auto"/>
              </w:rPr>
              <w:t>Post Closing</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7.20</w:t>
            </w:r>
          </w:p>
        </w:tc>
        <w:tc>
          <w:tcPr>
            <w:tcW w:w="8460" w:type="dxa"/>
            <w:vAlign w:val="bottom"/>
          </w:tcPr>
          <w:p>
            <w:pPr>
              <w:ind w:left="60"/>
              <w:spacing w:after="0"/>
              <w:rPr>
                <w:sz w:val="20"/>
                <w:szCs w:val="20"/>
                <w:color w:val="auto"/>
              </w:rPr>
            </w:pPr>
            <w:r>
              <w:rPr>
                <w:rFonts w:ascii="Arial" w:cs="Arial" w:eastAsia="Arial" w:hAnsi="Arial"/>
                <w:sz w:val="18"/>
                <w:szCs w:val="18"/>
                <w:color w:val="auto"/>
              </w:rPr>
              <w:t>Release and Reinstatement of Collateral</w:t>
            </w:r>
          </w:p>
        </w:tc>
        <w:tc>
          <w:tcPr>
            <w:tcW w:w="21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418"/>
        </w:trPr>
        <w:tc>
          <w:tcPr>
            <w:tcW w:w="360" w:type="dxa"/>
            <w:vAlign w:val="bottom"/>
          </w:tcPr>
          <w:p>
            <w:pPr>
              <w:spacing w:after="0"/>
              <w:rPr>
                <w:sz w:val="24"/>
                <w:szCs w:val="24"/>
                <w:color w:val="auto"/>
              </w:rPr>
            </w:pPr>
          </w:p>
        </w:tc>
        <w:tc>
          <w:tcPr>
            <w:tcW w:w="8460" w:type="dxa"/>
            <w:vAlign w:val="bottom"/>
          </w:tcPr>
          <w:p>
            <w:pPr>
              <w:jc w:val="center"/>
              <w:ind w:left="1670"/>
              <w:spacing w:after="0"/>
              <w:rPr>
                <w:sz w:val="20"/>
                <w:szCs w:val="20"/>
                <w:color w:val="auto"/>
              </w:rPr>
            </w:pPr>
            <w:r>
              <w:rPr>
                <w:rFonts w:ascii="Arial" w:cs="Arial" w:eastAsia="Arial" w:hAnsi="Arial"/>
                <w:sz w:val="18"/>
                <w:szCs w:val="18"/>
                <w:color w:val="auto"/>
              </w:rPr>
              <w:t>ARTICLE VIII</w:t>
            </w:r>
          </w:p>
        </w:tc>
        <w:tc>
          <w:tcPr>
            <w:tcW w:w="21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8460" w:type="dxa"/>
            <w:vAlign w:val="bottom"/>
          </w:tcPr>
          <w:p>
            <w:pPr>
              <w:jc w:val="center"/>
              <w:ind w:left="1670"/>
              <w:spacing w:after="0"/>
              <w:rPr>
                <w:sz w:val="20"/>
                <w:szCs w:val="20"/>
                <w:color w:val="auto"/>
              </w:rPr>
            </w:pPr>
            <w:r>
              <w:rPr>
                <w:rFonts w:ascii="Arial" w:cs="Arial" w:eastAsia="Arial" w:hAnsi="Arial"/>
                <w:sz w:val="18"/>
                <w:szCs w:val="18"/>
                <w:color w:val="auto"/>
                <w:w w:val="97"/>
              </w:rPr>
              <w:t>NEGATIVE COVENANTS</w:t>
            </w:r>
          </w:p>
        </w:tc>
        <w:tc>
          <w:tcPr>
            <w:tcW w:w="21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8.1</w:t>
            </w:r>
          </w:p>
        </w:tc>
        <w:tc>
          <w:tcPr>
            <w:tcW w:w="8460" w:type="dxa"/>
            <w:vAlign w:val="bottom"/>
          </w:tcPr>
          <w:p>
            <w:pPr>
              <w:ind w:left="60"/>
              <w:spacing w:after="0"/>
              <w:rPr>
                <w:sz w:val="20"/>
                <w:szCs w:val="20"/>
                <w:color w:val="auto"/>
              </w:rPr>
            </w:pPr>
            <w:r>
              <w:rPr>
                <w:rFonts w:ascii="Arial" w:cs="Arial" w:eastAsia="Arial" w:hAnsi="Arial"/>
                <w:sz w:val="18"/>
                <w:szCs w:val="18"/>
                <w:color w:val="auto"/>
              </w:rPr>
              <w:t>Indebtedness; Certain Equity Securities</w:t>
            </w:r>
          </w:p>
        </w:tc>
        <w:tc>
          <w:tcPr>
            <w:tcW w:w="21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8.2</w:t>
            </w:r>
          </w:p>
        </w:tc>
        <w:tc>
          <w:tcPr>
            <w:tcW w:w="8460" w:type="dxa"/>
            <w:vAlign w:val="bottom"/>
          </w:tcPr>
          <w:p>
            <w:pPr>
              <w:ind w:left="60"/>
              <w:spacing w:after="0"/>
              <w:rPr>
                <w:sz w:val="20"/>
                <w:szCs w:val="20"/>
                <w:color w:val="auto"/>
              </w:rPr>
            </w:pPr>
            <w:r>
              <w:rPr>
                <w:rFonts w:ascii="Arial" w:cs="Arial" w:eastAsia="Arial" w:hAnsi="Arial"/>
                <w:sz w:val="18"/>
                <w:szCs w:val="18"/>
                <w:color w:val="auto"/>
              </w:rPr>
              <w:t>Liens</w:t>
            </w:r>
          </w:p>
        </w:tc>
        <w:tc>
          <w:tcPr>
            <w:tcW w:w="21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8.3</w:t>
            </w:r>
          </w:p>
        </w:tc>
        <w:tc>
          <w:tcPr>
            <w:tcW w:w="8460" w:type="dxa"/>
            <w:vAlign w:val="bottom"/>
          </w:tcPr>
          <w:p>
            <w:pPr>
              <w:ind w:left="60"/>
              <w:spacing w:after="0"/>
              <w:rPr>
                <w:sz w:val="20"/>
                <w:szCs w:val="20"/>
                <w:color w:val="auto"/>
              </w:rPr>
            </w:pPr>
            <w:r>
              <w:rPr>
                <w:rFonts w:ascii="Arial" w:cs="Arial" w:eastAsia="Arial" w:hAnsi="Arial"/>
                <w:sz w:val="18"/>
                <w:szCs w:val="18"/>
                <w:color w:val="auto"/>
              </w:rPr>
              <w:t>Fundamental Changes</w:t>
            </w:r>
          </w:p>
        </w:tc>
        <w:tc>
          <w:tcPr>
            <w:tcW w:w="21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8.4</w:t>
            </w:r>
          </w:p>
        </w:tc>
        <w:tc>
          <w:tcPr>
            <w:tcW w:w="8460" w:type="dxa"/>
            <w:vAlign w:val="bottom"/>
          </w:tcPr>
          <w:p>
            <w:pPr>
              <w:ind w:left="60"/>
              <w:spacing w:after="0"/>
              <w:rPr>
                <w:sz w:val="20"/>
                <w:szCs w:val="20"/>
                <w:color w:val="auto"/>
              </w:rPr>
            </w:pPr>
            <w:r>
              <w:rPr>
                <w:rFonts w:ascii="Arial" w:cs="Arial" w:eastAsia="Arial" w:hAnsi="Arial"/>
                <w:sz w:val="18"/>
                <w:szCs w:val="18"/>
                <w:color w:val="auto"/>
              </w:rPr>
              <w:t>Investments, Loans, Advances, Guarantee Obligations and Acquisitions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8.5</w:t>
            </w:r>
          </w:p>
        </w:tc>
        <w:tc>
          <w:tcPr>
            <w:tcW w:w="8460" w:type="dxa"/>
            <w:vAlign w:val="bottom"/>
          </w:tcPr>
          <w:p>
            <w:pPr>
              <w:ind w:left="60"/>
              <w:spacing w:after="0"/>
              <w:rPr>
                <w:sz w:val="20"/>
                <w:szCs w:val="20"/>
                <w:color w:val="auto"/>
              </w:rPr>
            </w:pPr>
            <w:r>
              <w:rPr>
                <w:rFonts w:ascii="Arial" w:cs="Arial" w:eastAsia="Arial" w:hAnsi="Arial"/>
                <w:sz w:val="18"/>
                <w:szCs w:val="18"/>
                <w:color w:val="auto"/>
              </w:rPr>
              <w:t>Asset Sales</w:t>
            </w:r>
          </w:p>
        </w:tc>
        <w:tc>
          <w:tcPr>
            <w:tcW w:w="21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8.6</w:t>
            </w:r>
          </w:p>
        </w:tc>
        <w:tc>
          <w:tcPr>
            <w:tcW w:w="8460" w:type="dxa"/>
            <w:vAlign w:val="bottom"/>
          </w:tcPr>
          <w:p>
            <w:pPr>
              <w:ind w:left="60"/>
              <w:spacing w:after="0"/>
              <w:rPr>
                <w:sz w:val="20"/>
                <w:szCs w:val="20"/>
                <w:color w:val="auto"/>
              </w:rPr>
            </w:pPr>
            <w:r>
              <w:rPr>
                <w:rFonts w:ascii="Arial" w:cs="Arial" w:eastAsia="Arial" w:hAnsi="Arial"/>
                <w:sz w:val="18"/>
                <w:szCs w:val="18"/>
                <w:color w:val="auto"/>
              </w:rPr>
              <w:t>Sale and Leaseback Transactions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8.7</w:t>
            </w:r>
          </w:p>
        </w:tc>
        <w:tc>
          <w:tcPr>
            <w:tcW w:w="8460" w:type="dxa"/>
            <w:vAlign w:val="bottom"/>
          </w:tcPr>
          <w:p>
            <w:pPr>
              <w:ind w:left="60"/>
              <w:spacing w:after="0"/>
              <w:rPr>
                <w:sz w:val="20"/>
                <w:szCs w:val="20"/>
                <w:color w:val="auto"/>
              </w:rPr>
            </w:pPr>
            <w:r>
              <w:rPr>
                <w:rFonts w:ascii="Arial" w:cs="Arial" w:eastAsia="Arial" w:hAnsi="Arial"/>
                <w:sz w:val="18"/>
                <w:szCs w:val="18"/>
                <w:color w:val="auto"/>
              </w:rPr>
              <w:t>Sale or Discount of Receivables</w:t>
            </w:r>
          </w:p>
        </w:tc>
        <w:tc>
          <w:tcPr>
            <w:tcW w:w="21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8.8</w:t>
            </w:r>
          </w:p>
        </w:tc>
        <w:tc>
          <w:tcPr>
            <w:tcW w:w="8460" w:type="dxa"/>
            <w:vAlign w:val="bottom"/>
          </w:tcPr>
          <w:p>
            <w:pPr>
              <w:ind w:left="60"/>
              <w:spacing w:after="0"/>
              <w:rPr>
                <w:sz w:val="20"/>
                <w:szCs w:val="20"/>
                <w:color w:val="auto"/>
              </w:rPr>
            </w:pPr>
            <w:r>
              <w:rPr>
                <w:rFonts w:ascii="Arial" w:cs="Arial" w:eastAsia="Arial" w:hAnsi="Arial"/>
                <w:sz w:val="18"/>
                <w:szCs w:val="18"/>
                <w:color w:val="auto"/>
              </w:rPr>
              <w:t>Restricted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8.9</w:t>
            </w:r>
          </w:p>
        </w:tc>
        <w:tc>
          <w:tcPr>
            <w:tcW w:w="84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8.10</w:t>
            </w:r>
          </w:p>
        </w:tc>
        <w:tc>
          <w:tcPr>
            <w:tcW w:w="8460" w:type="dxa"/>
            <w:vAlign w:val="bottom"/>
          </w:tcPr>
          <w:p>
            <w:pPr>
              <w:ind w:left="60"/>
              <w:spacing w:after="0"/>
              <w:rPr>
                <w:sz w:val="20"/>
                <w:szCs w:val="20"/>
                <w:color w:val="auto"/>
              </w:rPr>
            </w:pPr>
            <w:r>
              <w:rPr>
                <w:rFonts w:ascii="Arial" w:cs="Arial" w:eastAsia="Arial" w:hAnsi="Arial"/>
                <w:sz w:val="18"/>
                <w:szCs w:val="18"/>
                <w:color w:val="auto"/>
              </w:rPr>
              <w:t>Restrictive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8.11</w:t>
            </w:r>
          </w:p>
        </w:tc>
        <w:tc>
          <w:tcPr>
            <w:tcW w:w="8460" w:type="dxa"/>
            <w:vAlign w:val="bottom"/>
          </w:tcPr>
          <w:p>
            <w:pPr>
              <w:ind w:left="60"/>
              <w:spacing w:after="0"/>
              <w:rPr>
                <w:sz w:val="20"/>
                <w:szCs w:val="20"/>
                <w:color w:val="auto"/>
              </w:rPr>
            </w:pPr>
            <w:r>
              <w:rPr>
                <w:rFonts w:ascii="Arial" w:cs="Arial" w:eastAsia="Arial" w:hAnsi="Arial"/>
                <w:sz w:val="18"/>
                <w:szCs w:val="18"/>
                <w:color w:val="auto"/>
              </w:rPr>
              <w:t>Amendments or Waivers of Certain Documents; Prepayments of Indebtedness</w:t>
            </w:r>
          </w:p>
        </w:tc>
        <w:tc>
          <w:tcPr>
            <w:tcW w:w="21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8.12</w:t>
            </w:r>
          </w:p>
        </w:tc>
        <w:tc>
          <w:tcPr>
            <w:tcW w:w="8460" w:type="dxa"/>
            <w:vAlign w:val="bottom"/>
          </w:tcPr>
          <w:p>
            <w:pPr>
              <w:ind w:left="60"/>
              <w:spacing w:after="0"/>
              <w:rPr>
                <w:sz w:val="20"/>
                <w:szCs w:val="20"/>
                <w:color w:val="auto"/>
              </w:rPr>
            </w:pPr>
            <w:r>
              <w:rPr>
                <w:rFonts w:ascii="Arial" w:cs="Arial" w:eastAsia="Arial" w:hAnsi="Arial"/>
                <w:sz w:val="18"/>
                <w:szCs w:val="18"/>
                <w:color w:val="auto"/>
              </w:rPr>
              <w:t>Limitation on Activities of Crown Holdings, Crown Finance, Crown Finance II and CCSC</w:t>
            </w:r>
          </w:p>
        </w:tc>
        <w:tc>
          <w:tcPr>
            <w:tcW w:w="21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8.13</w:t>
            </w:r>
          </w:p>
        </w:tc>
        <w:tc>
          <w:tcPr>
            <w:tcW w:w="8460" w:type="dxa"/>
            <w:vAlign w:val="bottom"/>
          </w:tcPr>
          <w:p>
            <w:pPr>
              <w:ind w:left="60"/>
              <w:spacing w:after="0"/>
              <w:rPr>
                <w:sz w:val="20"/>
                <w:szCs w:val="20"/>
                <w:color w:val="auto"/>
              </w:rPr>
            </w:pPr>
            <w:r>
              <w:rPr>
                <w:rFonts w:ascii="Arial" w:cs="Arial" w:eastAsia="Arial" w:hAnsi="Arial"/>
                <w:sz w:val="18"/>
                <w:szCs w:val="18"/>
                <w:color w:val="auto"/>
              </w:rPr>
              <w:t>Anti-Money Laundering</w:t>
            </w:r>
          </w:p>
        </w:tc>
        <w:tc>
          <w:tcPr>
            <w:tcW w:w="2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8.14</w:t>
            </w:r>
          </w:p>
        </w:tc>
        <w:tc>
          <w:tcPr>
            <w:tcW w:w="8460" w:type="dxa"/>
            <w:vAlign w:val="bottom"/>
          </w:tcPr>
          <w:p>
            <w:pPr>
              <w:ind w:left="60"/>
              <w:spacing w:after="0"/>
              <w:rPr>
                <w:sz w:val="20"/>
                <w:szCs w:val="20"/>
                <w:color w:val="auto"/>
              </w:rPr>
            </w:pPr>
            <w:r>
              <w:rPr>
                <w:rFonts w:ascii="Arial" w:cs="Arial" w:eastAsia="Arial" w:hAnsi="Arial"/>
                <w:sz w:val="18"/>
                <w:szCs w:val="18"/>
                <w:color w:val="auto"/>
              </w:rPr>
              <w:t>Accounting Changes</w:t>
            </w:r>
          </w:p>
        </w:tc>
        <w:tc>
          <w:tcPr>
            <w:tcW w:w="2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8.15</w:t>
            </w:r>
          </w:p>
        </w:tc>
        <w:tc>
          <w:tcPr>
            <w:tcW w:w="8460" w:type="dxa"/>
            <w:vAlign w:val="bottom"/>
          </w:tcPr>
          <w:p>
            <w:pPr>
              <w:ind w:left="60"/>
              <w:spacing w:after="0"/>
              <w:rPr>
                <w:sz w:val="20"/>
                <w:szCs w:val="20"/>
                <w:color w:val="auto"/>
              </w:rPr>
            </w:pPr>
            <w:r>
              <w:rPr>
                <w:rFonts w:ascii="Arial" w:cs="Arial" w:eastAsia="Arial" w:hAnsi="Arial"/>
                <w:sz w:val="18"/>
                <w:szCs w:val="18"/>
                <w:color w:val="auto"/>
              </w:rPr>
              <w:t>Canadian Defined Benefit Plans</w:t>
            </w:r>
          </w:p>
        </w:tc>
        <w:tc>
          <w:tcPr>
            <w:tcW w:w="2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8.16</w:t>
            </w:r>
          </w:p>
        </w:tc>
        <w:tc>
          <w:tcPr>
            <w:tcW w:w="8460" w:type="dxa"/>
            <w:vAlign w:val="bottom"/>
          </w:tcPr>
          <w:p>
            <w:pPr>
              <w:ind w:left="60"/>
              <w:spacing w:after="0"/>
              <w:rPr>
                <w:sz w:val="20"/>
                <w:szCs w:val="20"/>
                <w:color w:val="auto"/>
              </w:rPr>
            </w:pPr>
            <w:r>
              <w:rPr>
                <w:rFonts w:ascii="Arial" w:cs="Arial" w:eastAsia="Arial" w:hAnsi="Arial"/>
                <w:sz w:val="18"/>
                <w:szCs w:val="18"/>
                <w:color w:val="auto"/>
              </w:rPr>
              <w:t>Sanctions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490" w:right="4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780" w:type="dxa"/>
            <w:vAlign w:val="bottom"/>
          </w:tcPr>
          <w:p>
            <w:pPr>
              <w:jc w:val="center"/>
              <w:ind w:left="1150"/>
              <w:spacing w:after="0"/>
              <w:rPr>
                <w:sz w:val="20"/>
                <w:szCs w:val="20"/>
                <w:color w:val="auto"/>
              </w:rPr>
            </w:pPr>
            <w:r>
              <w:rPr>
                <w:rFonts w:ascii="Arial" w:cs="Arial" w:eastAsia="Arial" w:hAnsi="Arial"/>
                <w:sz w:val="18"/>
                <w:szCs w:val="18"/>
                <w:color w:val="auto"/>
                <w:w w:val="99"/>
              </w:rPr>
              <w:t>ARTICLE IX</w:t>
            </w:r>
          </w:p>
        </w:tc>
        <w:tc>
          <w:tcPr>
            <w:tcW w:w="17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8780" w:type="dxa"/>
            <w:vAlign w:val="bottom"/>
          </w:tcPr>
          <w:p>
            <w:pPr>
              <w:jc w:val="center"/>
              <w:ind w:left="1170"/>
              <w:spacing w:after="0"/>
              <w:rPr>
                <w:sz w:val="20"/>
                <w:szCs w:val="20"/>
                <w:color w:val="auto"/>
              </w:rPr>
            </w:pPr>
            <w:r>
              <w:rPr>
                <w:rFonts w:ascii="Arial" w:cs="Arial" w:eastAsia="Arial" w:hAnsi="Arial"/>
                <w:sz w:val="18"/>
                <w:szCs w:val="18"/>
                <w:color w:val="auto"/>
              </w:rPr>
              <w:t>FINANCIAL COVENANT</w:t>
            </w:r>
          </w:p>
        </w:tc>
        <w:tc>
          <w:tcPr>
            <w:tcW w:w="17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8780" w:type="dxa"/>
            <w:vAlign w:val="bottom"/>
          </w:tcPr>
          <w:p>
            <w:pPr>
              <w:jc w:val="center"/>
              <w:ind w:left="1170"/>
              <w:spacing w:after="0"/>
              <w:rPr>
                <w:sz w:val="20"/>
                <w:szCs w:val="20"/>
                <w:color w:val="auto"/>
              </w:rPr>
            </w:pPr>
            <w:r>
              <w:rPr>
                <w:rFonts w:ascii="Arial" w:cs="Arial" w:eastAsia="Arial" w:hAnsi="Arial"/>
                <w:sz w:val="18"/>
                <w:szCs w:val="18"/>
                <w:color w:val="auto"/>
                <w:w w:val="98"/>
              </w:rPr>
              <w:t>ARTICLE X</w:t>
            </w:r>
          </w:p>
        </w:tc>
        <w:tc>
          <w:tcPr>
            <w:tcW w:w="17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780" w:type="dxa"/>
            <w:vAlign w:val="bottom"/>
          </w:tcPr>
          <w:p>
            <w:pPr>
              <w:jc w:val="center"/>
              <w:ind w:left="1170"/>
              <w:spacing w:after="0"/>
              <w:rPr>
                <w:sz w:val="20"/>
                <w:szCs w:val="20"/>
                <w:color w:val="auto"/>
              </w:rPr>
            </w:pPr>
            <w:r>
              <w:rPr>
                <w:rFonts w:ascii="Arial" w:cs="Arial" w:eastAsia="Arial" w:hAnsi="Arial"/>
                <w:sz w:val="18"/>
                <w:szCs w:val="18"/>
                <w:color w:val="auto"/>
                <w:w w:val="95"/>
              </w:rPr>
              <w:t>EVENTS OF DEFAULT</w:t>
            </w:r>
          </w:p>
        </w:tc>
        <w:tc>
          <w:tcPr>
            <w:tcW w:w="172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8780" w:type="dxa"/>
            <w:vAlign w:val="bottom"/>
          </w:tcPr>
          <w:p>
            <w:pPr>
              <w:ind w:left="60"/>
              <w:spacing w:after="0"/>
              <w:rPr>
                <w:sz w:val="20"/>
                <w:szCs w:val="20"/>
                <w:color w:val="auto"/>
              </w:rPr>
            </w:pPr>
            <w:r>
              <w:rPr>
                <w:rFonts w:ascii="Arial" w:cs="Arial" w:eastAsia="Arial" w:hAnsi="Arial"/>
                <w:sz w:val="18"/>
                <w:szCs w:val="18"/>
                <w:color w:val="auto"/>
              </w:rPr>
              <w:t>Listing of Events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8780" w:type="dxa"/>
            <w:vAlign w:val="bottom"/>
          </w:tcPr>
          <w:p>
            <w:pPr>
              <w:ind w:left="60"/>
              <w:spacing w:after="0"/>
              <w:rPr>
                <w:sz w:val="20"/>
                <w:szCs w:val="20"/>
                <w:color w:val="auto"/>
              </w:rPr>
            </w:pPr>
            <w:r>
              <w:rPr>
                <w:rFonts w:ascii="Arial" w:cs="Arial" w:eastAsia="Arial" w:hAnsi="Arial"/>
                <w:sz w:val="18"/>
                <w:szCs w:val="18"/>
                <w:color w:val="auto"/>
              </w:rPr>
              <w:t>Action if Bankruptcy</w:t>
            </w:r>
          </w:p>
        </w:tc>
        <w:tc>
          <w:tcPr>
            <w:tcW w:w="17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8780" w:type="dxa"/>
            <w:vAlign w:val="bottom"/>
          </w:tcPr>
          <w:p>
            <w:pPr>
              <w:ind w:left="60"/>
              <w:spacing w:after="0"/>
              <w:rPr>
                <w:sz w:val="20"/>
                <w:szCs w:val="20"/>
                <w:color w:val="auto"/>
              </w:rPr>
            </w:pPr>
            <w:r>
              <w:rPr>
                <w:rFonts w:ascii="Arial" w:cs="Arial" w:eastAsia="Arial" w:hAnsi="Arial"/>
                <w:sz w:val="18"/>
                <w:szCs w:val="18"/>
                <w:color w:val="auto"/>
              </w:rPr>
              <w:t>Action if Other Event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8780" w:type="dxa"/>
            <w:vAlign w:val="bottom"/>
          </w:tcPr>
          <w:p>
            <w:pPr>
              <w:ind w:left="6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8780" w:type="dxa"/>
            <w:vAlign w:val="bottom"/>
          </w:tcPr>
          <w:p>
            <w:pPr>
              <w:ind w:left="60"/>
              <w:spacing w:after="0"/>
              <w:rPr>
                <w:sz w:val="20"/>
                <w:szCs w:val="20"/>
                <w:color w:val="auto"/>
              </w:rPr>
            </w:pPr>
            <w:r>
              <w:rPr>
                <w:rFonts w:ascii="Arial" w:cs="Arial" w:eastAsia="Arial" w:hAnsi="Arial"/>
                <w:sz w:val="18"/>
                <w:szCs w:val="18"/>
                <w:color w:val="auto"/>
              </w:rPr>
              <w:t>Rights Not Exclusive</w:t>
            </w:r>
          </w:p>
        </w:tc>
        <w:tc>
          <w:tcPr>
            <w:tcW w:w="17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418"/>
        </w:trPr>
        <w:tc>
          <w:tcPr>
            <w:tcW w:w="460" w:type="dxa"/>
            <w:vAlign w:val="bottom"/>
          </w:tcPr>
          <w:p>
            <w:pPr>
              <w:spacing w:after="0"/>
              <w:rPr>
                <w:sz w:val="24"/>
                <w:szCs w:val="24"/>
                <w:color w:val="auto"/>
              </w:rPr>
            </w:pPr>
          </w:p>
        </w:tc>
        <w:tc>
          <w:tcPr>
            <w:tcW w:w="8780" w:type="dxa"/>
            <w:vAlign w:val="bottom"/>
          </w:tcPr>
          <w:p>
            <w:pPr>
              <w:jc w:val="center"/>
              <w:ind w:left="1150"/>
              <w:spacing w:after="0"/>
              <w:rPr>
                <w:sz w:val="20"/>
                <w:szCs w:val="20"/>
                <w:color w:val="auto"/>
              </w:rPr>
            </w:pPr>
            <w:r>
              <w:rPr>
                <w:rFonts w:ascii="Arial" w:cs="Arial" w:eastAsia="Arial" w:hAnsi="Arial"/>
                <w:sz w:val="18"/>
                <w:szCs w:val="18"/>
                <w:color w:val="auto"/>
                <w:w w:val="99"/>
              </w:rPr>
              <w:t>ARTICLE XI</w:t>
            </w:r>
          </w:p>
        </w:tc>
        <w:tc>
          <w:tcPr>
            <w:tcW w:w="17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780" w:type="dxa"/>
            <w:vAlign w:val="bottom"/>
          </w:tcPr>
          <w:p>
            <w:pPr>
              <w:jc w:val="center"/>
              <w:ind w:left="1150"/>
              <w:spacing w:after="0"/>
              <w:rPr>
                <w:sz w:val="20"/>
                <w:szCs w:val="20"/>
                <w:color w:val="auto"/>
              </w:rPr>
            </w:pPr>
            <w:r>
              <w:rPr>
                <w:rFonts w:ascii="Arial" w:cs="Arial" w:eastAsia="Arial" w:hAnsi="Arial"/>
                <w:sz w:val="18"/>
                <w:szCs w:val="18"/>
                <w:color w:val="auto"/>
                <w:w w:val="95"/>
              </w:rPr>
              <w:t>THE AGENTS</w:t>
            </w:r>
          </w:p>
        </w:tc>
        <w:tc>
          <w:tcPr>
            <w:tcW w:w="172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11.1</w:t>
            </w:r>
          </w:p>
        </w:tc>
        <w:tc>
          <w:tcPr>
            <w:tcW w:w="878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17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8780" w:type="dxa"/>
            <w:vAlign w:val="bottom"/>
          </w:tcPr>
          <w:p>
            <w:pPr>
              <w:ind w:left="60"/>
              <w:spacing w:after="0"/>
              <w:rPr>
                <w:sz w:val="20"/>
                <w:szCs w:val="20"/>
                <w:color w:val="auto"/>
              </w:rPr>
            </w:pPr>
            <w:r>
              <w:rPr>
                <w:rFonts w:ascii="Arial" w:cs="Arial" w:eastAsia="Arial" w:hAnsi="Arial"/>
                <w:sz w:val="18"/>
                <w:szCs w:val="18"/>
                <w:color w:val="auto"/>
              </w:rPr>
              <w:t>The Administrative Agent in Its Individual Capacity</w:t>
            </w:r>
          </w:p>
        </w:tc>
        <w:tc>
          <w:tcPr>
            <w:tcW w:w="17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11.3</w:t>
            </w:r>
          </w:p>
        </w:tc>
        <w:tc>
          <w:tcPr>
            <w:tcW w:w="8780" w:type="dxa"/>
            <w:vAlign w:val="bottom"/>
          </w:tcPr>
          <w:p>
            <w:pPr>
              <w:ind w:left="60"/>
              <w:spacing w:after="0"/>
              <w:rPr>
                <w:sz w:val="20"/>
                <w:szCs w:val="20"/>
                <w:color w:val="auto"/>
              </w:rPr>
            </w:pPr>
            <w:r>
              <w:rPr>
                <w:rFonts w:ascii="Arial" w:cs="Arial" w:eastAsia="Arial" w:hAnsi="Arial"/>
                <w:sz w:val="18"/>
                <w:szCs w:val="18"/>
                <w:color w:val="auto"/>
              </w:rPr>
              <w:t>Nature of Duties</w:t>
            </w:r>
          </w:p>
        </w:tc>
        <w:tc>
          <w:tcPr>
            <w:tcW w:w="17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11.4</w:t>
            </w:r>
          </w:p>
        </w:tc>
        <w:tc>
          <w:tcPr>
            <w:tcW w:w="8780" w:type="dxa"/>
            <w:vAlign w:val="bottom"/>
          </w:tcPr>
          <w:p>
            <w:pPr>
              <w:ind w:left="60"/>
              <w:spacing w:after="0"/>
              <w:rPr>
                <w:sz w:val="20"/>
                <w:szCs w:val="20"/>
                <w:color w:val="auto"/>
              </w:rPr>
            </w:pPr>
            <w:r>
              <w:rPr>
                <w:rFonts w:ascii="Arial" w:cs="Arial" w:eastAsia="Arial" w:hAnsi="Arial"/>
                <w:sz w:val="18"/>
                <w:szCs w:val="18"/>
                <w:color w:val="auto"/>
              </w:rPr>
              <w:t>Reliance</w:t>
            </w:r>
          </w:p>
        </w:tc>
        <w:tc>
          <w:tcPr>
            <w:tcW w:w="17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11.5</w:t>
            </w:r>
          </w:p>
        </w:tc>
        <w:tc>
          <w:tcPr>
            <w:tcW w:w="878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17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11.6</w:t>
            </w:r>
          </w:p>
        </w:tc>
        <w:tc>
          <w:tcPr>
            <w:tcW w:w="8780" w:type="dxa"/>
            <w:vAlign w:val="bottom"/>
          </w:tcPr>
          <w:p>
            <w:pPr>
              <w:ind w:left="60"/>
              <w:spacing w:after="0"/>
              <w:rPr>
                <w:sz w:val="20"/>
                <w:szCs w:val="20"/>
                <w:color w:val="auto"/>
              </w:rPr>
            </w:pPr>
            <w:r>
              <w:rPr>
                <w:rFonts w:ascii="Arial" w:cs="Arial" w:eastAsia="Arial" w:hAnsi="Arial"/>
                <w:sz w:val="18"/>
                <w:szCs w:val="18"/>
                <w:color w:val="auto"/>
              </w:rPr>
              <w:t>Resignation by the Administrative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8780" w:type="dxa"/>
            <w:vAlign w:val="bottom"/>
          </w:tcPr>
          <w:p>
            <w:pPr>
              <w:ind w:left="60"/>
              <w:spacing w:after="0"/>
              <w:rPr>
                <w:sz w:val="20"/>
                <w:szCs w:val="20"/>
                <w:color w:val="auto"/>
              </w:rPr>
            </w:pPr>
            <w:r>
              <w:rPr>
                <w:rFonts w:ascii="Arial" w:cs="Arial" w:eastAsia="Arial" w:hAnsi="Arial"/>
                <w:sz w:val="18"/>
                <w:szCs w:val="18"/>
                <w:color w:val="auto"/>
              </w:rPr>
              <w:t>Lack of Reliance on the Administrative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11.8</w:t>
            </w:r>
          </w:p>
        </w:tc>
        <w:tc>
          <w:tcPr>
            <w:tcW w:w="878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17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11.9</w:t>
            </w:r>
          </w:p>
        </w:tc>
        <w:tc>
          <w:tcPr>
            <w:tcW w:w="878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17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11.10</w:t>
            </w:r>
          </w:p>
        </w:tc>
        <w:tc>
          <w:tcPr>
            <w:tcW w:w="8780" w:type="dxa"/>
            <w:vAlign w:val="bottom"/>
          </w:tcPr>
          <w:p>
            <w:pPr>
              <w:ind w:left="60"/>
              <w:spacing w:after="0"/>
              <w:rPr>
                <w:sz w:val="20"/>
                <w:szCs w:val="20"/>
                <w:color w:val="auto"/>
              </w:rPr>
            </w:pPr>
            <w:r>
              <w:rPr>
                <w:rFonts w:ascii="Arial" w:cs="Arial" w:eastAsia="Arial" w:hAnsi="Arial"/>
                <w:sz w:val="18"/>
                <w:szCs w:val="18"/>
                <w:color w:val="auto"/>
              </w:rPr>
              <w:t>Collateral and Guaranty Matters</w:t>
            </w:r>
          </w:p>
        </w:tc>
        <w:tc>
          <w:tcPr>
            <w:tcW w:w="17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11.11</w:t>
            </w:r>
          </w:p>
        </w:tc>
        <w:tc>
          <w:tcPr>
            <w:tcW w:w="8780" w:type="dxa"/>
            <w:vAlign w:val="bottom"/>
          </w:tcPr>
          <w:p>
            <w:pPr>
              <w:ind w:left="60"/>
              <w:spacing w:after="0"/>
              <w:rPr>
                <w:sz w:val="20"/>
                <w:szCs w:val="20"/>
                <w:color w:val="auto"/>
              </w:rPr>
            </w:pPr>
            <w:r>
              <w:rPr>
                <w:rFonts w:ascii="Arial" w:cs="Arial" w:eastAsia="Arial" w:hAnsi="Arial"/>
                <w:sz w:val="18"/>
                <w:szCs w:val="18"/>
                <w:color w:val="auto"/>
              </w:rPr>
              <w:t>Bank Related Debt</w:t>
            </w:r>
          </w:p>
        </w:tc>
        <w:tc>
          <w:tcPr>
            <w:tcW w:w="1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11.12</w:t>
            </w:r>
          </w:p>
        </w:tc>
        <w:tc>
          <w:tcPr>
            <w:tcW w:w="8780" w:type="dxa"/>
            <w:vAlign w:val="bottom"/>
          </w:tcPr>
          <w:p>
            <w:pPr>
              <w:ind w:left="60"/>
              <w:spacing w:after="0"/>
              <w:rPr>
                <w:sz w:val="20"/>
                <w:szCs w:val="20"/>
                <w:color w:val="auto"/>
              </w:rPr>
            </w:pPr>
            <w:r>
              <w:rPr>
                <w:rFonts w:ascii="Arial" w:cs="Arial" w:eastAsia="Arial" w:hAnsi="Arial"/>
                <w:sz w:val="18"/>
                <w:szCs w:val="18"/>
                <w:color w:val="auto"/>
              </w:rPr>
              <w:t>Withholding Tax Indemnity</w:t>
            </w:r>
          </w:p>
        </w:tc>
        <w:tc>
          <w:tcPr>
            <w:tcW w:w="1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11.13</w:t>
            </w:r>
          </w:p>
        </w:tc>
        <w:tc>
          <w:tcPr>
            <w:tcW w:w="8780" w:type="dxa"/>
            <w:vAlign w:val="bottom"/>
          </w:tcPr>
          <w:p>
            <w:pPr>
              <w:ind w:left="60"/>
              <w:spacing w:after="0"/>
              <w:rPr>
                <w:sz w:val="20"/>
                <w:szCs w:val="20"/>
                <w:color w:val="auto"/>
              </w:rPr>
            </w:pPr>
            <w:r>
              <w:rPr>
                <w:rFonts w:ascii="Arial" w:cs="Arial" w:eastAsia="Arial" w:hAnsi="Arial"/>
                <w:sz w:val="18"/>
                <w:szCs w:val="18"/>
                <w:color w:val="auto"/>
              </w:rPr>
              <w:t>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418"/>
        </w:trPr>
        <w:tc>
          <w:tcPr>
            <w:tcW w:w="460" w:type="dxa"/>
            <w:vAlign w:val="bottom"/>
          </w:tcPr>
          <w:p>
            <w:pPr>
              <w:spacing w:after="0"/>
              <w:rPr>
                <w:sz w:val="24"/>
                <w:szCs w:val="24"/>
                <w:color w:val="auto"/>
              </w:rPr>
            </w:pPr>
          </w:p>
        </w:tc>
        <w:tc>
          <w:tcPr>
            <w:tcW w:w="8780" w:type="dxa"/>
            <w:vAlign w:val="bottom"/>
          </w:tcPr>
          <w:p>
            <w:pPr>
              <w:jc w:val="center"/>
              <w:ind w:left="1170"/>
              <w:spacing w:after="0"/>
              <w:rPr>
                <w:sz w:val="20"/>
                <w:szCs w:val="20"/>
                <w:color w:val="auto"/>
              </w:rPr>
            </w:pPr>
            <w:r>
              <w:rPr>
                <w:rFonts w:ascii="Arial" w:cs="Arial" w:eastAsia="Arial" w:hAnsi="Arial"/>
                <w:sz w:val="18"/>
                <w:szCs w:val="18"/>
                <w:color w:val="auto"/>
              </w:rPr>
              <w:t>ARTICLE XII</w:t>
            </w:r>
          </w:p>
        </w:tc>
        <w:tc>
          <w:tcPr>
            <w:tcW w:w="17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780" w:type="dxa"/>
            <w:vAlign w:val="bottom"/>
          </w:tcPr>
          <w:p>
            <w:pPr>
              <w:jc w:val="center"/>
              <w:ind w:left="1150"/>
              <w:spacing w:after="0"/>
              <w:rPr>
                <w:sz w:val="20"/>
                <w:szCs w:val="20"/>
                <w:color w:val="auto"/>
              </w:rPr>
            </w:pPr>
            <w:r>
              <w:rPr>
                <w:rFonts w:ascii="Arial" w:cs="Arial" w:eastAsia="Arial" w:hAnsi="Arial"/>
                <w:sz w:val="18"/>
                <w:szCs w:val="18"/>
                <w:color w:val="auto"/>
                <w:w w:val="97"/>
              </w:rPr>
              <w:t>MISCELLANEOUS</w:t>
            </w:r>
          </w:p>
        </w:tc>
        <w:tc>
          <w:tcPr>
            <w:tcW w:w="172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8780" w:type="dxa"/>
            <w:vAlign w:val="bottom"/>
          </w:tcPr>
          <w:p>
            <w:pPr>
              <w:ind w:left="60"/>
              <w:spacing w:after="0"/>
              <w:rPr>
                <w:sz w:val="20"/>
                <w:szCs w:val="20"/>
                <w:color w:val="auto"/>
              </w:rPr>
            </w:pPr>
            <w:r>
              <w:rPr>
                <w:rFonts w:ascii="Arial" w:cs="Arial" w:eastAsia="Arial" w:hAnsi="Arial"/>
                <w:sz w:val="18"/>
                <w:szCs w:val="18"/>
                <w:color w:val="auto"/>
              </w:rPr>
              <w:t>No Waiver; Modifications in Writing</w:t>
            </w:r>
          </w:p>
        </w:tc>
        <w:tc>
          <w:tcPr>
            <w:tcW w:w="17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12.2</w:t>
            </w:r>
          </w:p>
        </w:tc>
        <w:tc>
          <w:tcPr>
            <w:tcW w:w="878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17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12.3</w:t>
            </w:r>
          </w:p>
        </w:tc>
        <w:tc>
          <w:tcPr>
            <w:tcW w:w="8780" w:type="dxa"/>
            <w:vAlign w:val="bottom"/>
          </w:tcPr>
          <w:p>
            <w:pPr>
              <w:ind w:left="60"/>
              <w:spacing w:after="0"/>
              <w:rPr>
                <w:sz w:val="20"/>
                <w:szCs w:val="20"/>
                <w:color w:val="auto"/>
              </w:rPr>
            </w:pPr>
            <w:r>
              <w:rPr>
                <w:rFonts w:ascii="Arial" w:cs="Arial" w:eastAsia="Arial" w:hAnsi="Arial"/>
                <w:sz w:val="18"/>
                <w:szCs w:val="18"/>
                <w:color w:val="auto"/>
              </w:rPr>
              <w:t>Notices, Etc.</w:t>
            </w:r>
          </w:p>
        </w:tc>
        <w:tc>
          <w:tcPr>
            <w:tcW w:w="17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12.4</w:t>
            </w:r>
          </w:p>
        </w:tc>
        <w:tc>
          <w:tcPr>
            <w:tcW w:w="8780" w:type="dxa"/>
            <w:vAlign w:val="bottom"/>
          </w:tcPr>
          <w:p>
            <w:pPr>
              <w:ind w:left="60"/>
              <w:spacing w:after="0"/>
              <w:rPr>
                <w:sz w:val="20"/>
                <w:szCs w:val="20"/>
                <w:color w:val="auto"/>
              </w:rPr>
            </w:pPr>
            <w:r>
              <w:rPr>
                <w:rFonts w:ascii="Arial" w:cs="Arial" w:eastAsia="Arial" w:hAnsi="Arial"/>
                <w:sz w:val="18"/>
                <w:szCs w:val="18"/>
                <w:color w:val="auto"/>
              </w:rPr>
              <w:t>Costs and Expenses; Indemnification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12.5</w:t>
            </w:r>
          </w:p>
        </w:tc>
        <w:tc>
          <w:tcPr>
            <w:tcW w:w="8780" w:type="dxa"/>
            <w:vAlign w:val="bottom"/>
          </w:tcPr>
          <w:p>
            <w:pPr>
              <w:ind w:left="60"/>
              <w:spacing w:after="0"/>
              <w:rPr>
                <w:sz w:val="20"/>
                <w:szCs w:val="20"/>
                <w:color w:val="auto"/>
              </w:rPr>
            </w:pPr>
            <w:r>
              <w:rPr>
                <w:rFonts w:ascii="Arial" w:cs="Arial" w:eastAsia="Arial" w:hAnsi="Arial"/>
                <w:sz w:val="18"/>
                <w:szCs w:val="18"/>
                <w:color w:val="auto"/>
              </w:rPr>
              <w:t>Confirmations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12.6</w:t>
            </w:r>
          </w:p>
        </w:tc>
        <w:tc>
          <w:tcPr>
            <w:tcW w:w="8780" w:type="dxa"/>
            <w:vAlign w:val="bottom"/>
          </w:tcPr>
          <w:p>
            <w:pPr>
              <w:ind w:left="60"/>
              <w:spacing w:after="0"/>
              <w:rPr>
                <w:sz w:val="20"/>
                <w:szCs w:val="20"/>
                <w:color w:val="auto"/>
              </w:rPr>
            </w:pPr>
            <w:r>
              <w:rPr>
                <w:rFonts w:ascii="Arial" w:cs="Arial" w:eastAsia="Arial" w:hAnsi="Arial"/>
                <w:sz w:val="18"/>
                <w:szCs w:val="18"/>
                <w:color w:val="auto"/>
              </w:rPr>
              <w:t>Adjustment; Setoff</w:t>
            </w:r>
          </w:p>
        </w:tc>
        <w:tc>
          <w:tcPr>
            <w:tcW w:w="17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12.7</w:t>
            </w:r>
          </w:p>
        </w:tc>
        <w:tc>
          <w:tcPr>
            <w:tcW w:w="8780" w:type="dxa"/>
            <w:vAlign w:val="bottom"/>
          </w:tcPr>
          <w:p>
            <w:pPr>
              <w:ind w:left="60"/>
              <w:spacing w:after="0"/>
              <w:rPr>
                <w:sz w:val="20"/>
                <w:szCs w:val="20"/>
                <w:color w:val="auto"/>
              </w:rPr>
            </w:pPr>
            <w:r>
              <w:rPr>
                <w:rFonts w:ascii="Arial" w:cs="Arial" w:eastAsia="Arial" w:hAnsi="Arial"/>
                <w:sz w:val="18"/>
                <w:szCs w:val="18"/>
                <w:color w:val="auto"/>
              </w:rPr>
              <w:t>Execution in Counterparts; Electronic Execution</w:t>
            </w:r>
          </w:p>
        </w:tc>
        <w:tc>
          <w:tcPr>
            <w:tcW w:w="17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12.8</w:t>
            </w:r>
          </w:p>
        </w:tc>
        <w:tc>
          <w:tcPr>
            <w:tcW w:w="8780" w:type="dxa"/>
            <w:vAlign w:val="bottom"/>
          </w:tcPr>
          <w:p>
            <w:pPr>
              <w:ind w:left="60"/>
              <w:spacing w:after="0"/>
              <w:rPr>
                <w:sz w:val="20"/>
                <w:szCs w:val="20"/>
                <w:color w:val="auto"/>
              </w:rPr>
            </w:pPr>
            <w:r>
              <w:rPr>
                <w:rFonts w:ascii="Arial" w:cs="Arial" w:eastAsia="Arial" w:hAnsi="Arial"/>
                <w:sz w:val="18"/>
                <w:szCs w:val="18"/>
                <w:color w:val="auto"/>
              </w:rPr>
              <w:t>Binding Effect; Assignment; Addition and Substitution of Lenders</w:t>
            </w:r>
          </w:p>
        </w:tc>
        <w:tc>
          <w:tcPr>
            <w:tcW w:w="17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12.9</w:t>
            </w:r>
          </w:p>
        </w:tc>
        <w:tc>
          <w:tcPr>
            <w:tcW w:w="8780" w:type="dxa"/>
            <w:vAlign w:val="bottom"/>
          </w:tcPr>
          <w:p>
            <w:pPr>
              <w:ind w:left="60"/>
              <w:spacing w:after="0"/>
              <w:rPr>
                <w:sz w:val="20"/>
                <w:szCs w:val="20"/>
                <w:color w:val="auto"/>
              </w:rPr>
            </w:pPr>
            <w:r>
              <w:rPr>
                <w:rFonts w:ascii="Arial" w:cs="Arial" w:eastAsia="Arial" w:hAnsi="Arial"/>
                <w:sz w:val="18"/>
                <w:szCs w:val="18"/>
                <w:color w:val="auto"/>
              </w:rPr>
              <w:t>CONSENT TO JURISDICTION; MUTUAL WAIVER OF JURY TRIAL; SERVICE OF PROCESS</w:t>
            </w:r>
          </w:p>
        </w:tc>
        <w:tc>
          <w:tcPr>
            <w:tcW w:w="17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12.10</w:t>
            </w:r>
          </w:p>
        </w:tc>
        <w:tc>
          <w:tcPr>
            <w:tcW w:w="878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12.11</w:t>
            </w:r>
          </w:p>
        </w:tc>
        <w:tc>
          <w:tcPr>
            <w:tcW w:w="8780" w:type="dxa"/>
            <w:vAlign w:val="bottom"/>
          </w:tcPr>
          <w:p>
            <w:pPr>
              <w:ind w:left="60"/>
              <w:spacing w:after="0"/>
              <w:rPr>
                <w:sz w:val="20"/>
                <w:szCs w:val="20"/>
                <w:color w:val="auto"/>
              </w:rPr>
            </w:pPr>
            <w:r>
              <w:rPr>
                <w:rFonts w:ascii="Arial" w:cs="Arial" w:eastAsia="Arial" w:hAnsi="Arial"/>
                <w:sz w:val="18"/>
                <w:szCs w:val="18"/>
                <w:color w:val="auto"/>
              </w:rPr>
              <w:t>Transfers of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12.12</w:t>
            </w:r>
          </w:p>
        </w:tc>
        <w:tc>
          <w:tcPr>
            <w:tcW w:w="8780" w:type="dxa"/>
            <w:vAlign w:val="bottom"/>
          </w:tcPr>
          <w:p>
            <w:pPr>
              <w:ind w:left="60"/>
              <w:spacing w:after="0"/>
              <w:rPr>
                <w:sz w:val="20"/>
                <w:szCs w:val="20"/>
                <w:color w:val="auto"/>
              </w:rPr>
            </w:pPr>
            <w:r>
              <w:rPr>
                <w:rFonts w:ascii="Arial" w:cs="Arial" w:eastAsia="Arial" w:hAnsi="Arial"/>
                <w:sz w:val="18"/>
                <w:szCs w:val="18"/>
                <w:color w:val="auto"/>
              </w:rPr>
              <w:t>Registry</w:t>
            </w:r>
          </w:p>
        </w:tc>
        <w:tc>
          <w:tcPr>
            <w:tcW w:w="17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12.13</w:t>
            </w:r>
          </w:p>
        </w:tc>
        <w:tc>
          <w:tcPr>
            <w:tcW w:w="8780" w:type="dxa"/>
            <w:vAlign w:val="bottom"/>
          </w:tcPr>
          <w:p>
            <w:pPr>
              <w:ind w:left="60"/>
              <w:spacing w:after="0"/>
              <w:rPr>
                <w:sz w:val="20"/>
                <w:szCs w:val="20"/>
                <w:color w:val="auto"/>
              </w:rPr>
            </w:pPr>
            <w:r>
              <w:rPr>
                <w:rFonts w:ascii="Arial" w:cs="Arial" w:eastAsia="Arial" w:hAnsi="Arial"/>
                <w:sz w:val="18"/>
                <w:szCs w:val="18"/>
                <w:color w:val="auto"/>
              </w:rPr>
              <w:t>USA PATRIOT Act and Beneficial Ownership Certificate Notice</w:t>
            </w:r>
          </w:p>
        </w:tc>
        <w:tc>
          <w:tcPr>
            <w:tcW w:w="17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12.14</w:t>
            </w:r>
          </w:p>
        </w:tc>
        <w:tc>
          <w:tcPr>
            <w:tcW w:w="8780" w:type="dxa"/>
            <w:vAlign w:val="bottom"/>
          </w:tcPr>
          <w:p>
            <w:pPr>
              <w:ind w:left="60"/>
              <w:spacing w:after="0"/>
              <w:rPr>
                <w:sz w:val="20"/>
                <w:szCs w:val="20"/>
                <w:color w:val="auto"/>
              </w:rPr>
            </w:pPr>
            <w:r>
              <w:rPr>
                <w:rFonts w:ascii="Arial" w:cs="Arial" w:eastAsia="Arial" w:hAnsi="Arial"/>
                <w:sz w:val="18"/>
                <w:szCs w:val="18"/>
                <w:color w:val="auto"/>
              </w:rPr>
              <w:t>Headings</w:t>
            </w:r>
          </w:p>
        </w:tc>
        <w:tc>
          <w:tcPr>
            <w:tcW w:w="17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12.15</w:t>
            </w:r>
          </w:p>
        </w:tc>
        <w:tc>
          <w:tcPr>
            <w:tcW w:w="8780" w:type="dxa"/>
            <w:vAlign w:val="bottom"/>
          </w:tcPr>
          <w:p>
            <w:pPr>
              <w:ind w:left="60"/>
              <w:spacing w:after="0"/>
              <w:rPr>
                <w:sz w:val="20"/>
                <w:szCs w:val="20"/>
                <w:color w:val="auto"/>
              </w:rPr>
            </w:pPr>
            <w:r>
              <w:rPr>
                <w:rFonts w:ascii="Arial" w:cs="Arial" w:eastAsia="Arial" w:hAnsi="Arial"/>
                <w:sz w:val="18"/>
                <w:szCs w:val="18"/>
                <w:color w:val="auto"/>
              </w:rPr>
              <w:t>Termination of Agreement</w:t>
            </w:r>
          </w:p>
        </w:tc>
        <w:tc>
          <w:tcPr>
            <w:tcW w:w="17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12.16</w:t>
            </w:r>
          </w:p>
        </w:tc>
        <w:tc>
          <w:tcPr>
            <w:tcW w:w="8780" w:type="dxa"/>
            <w:vAlign w:val="bottom"/>
          </w:tcPr>
          <w:p>
            <w:pPr>
              <w:ind w:left="60"/>
              <w:spacing w:after="0"/>
              <w:rPr>
                <w:sz w:val="20"/>
                <w:szCs w:val="20"/>
                <w:color w:val="auto"/>
              </w:rPr>
            </w:pPr>
            <w:r>
              <w:rPr>
                <w:rFonts w:ascii="Arial" w:cs="Arial" w:eastAsia="Arial" w:hAnsi="Arial"/>
                <w:sz w:val="18"/>
                <w:szCs w:val="18"/>
                <w:color w:val="auto"/>
              </w:rPr>
              <w:t>Treatment of Certain Information; Confidentiality</w:t>
            </w:r>
          </w:p>
        </w:tc>
        <w:tc>
          <w:tcPr>
            <w:tcW w:w="17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12.17</w:t>
            </w:r>
          </w:p>
        </w:tc>
        <w:tc>
          <w:tcPr>
            <w:tcW w:w="8780" w:type="dxa"/>
            <w:vAlign w:val="bottom"/>
          </w:tcPr>
          <w:p>
            <w:pPr>
              <w:ind w:left="60"/>
              <w:spacing w:after="0"/>
              <w:rPr>
                <w:sz w:val="20"/>
                <w:szCs w:val="20"/>
                <w:color w:val="auto"/>
              </w:rPr>
            </w:pPr>
            <w:r>
              <w:rPr>
                <w:rFonts w:ascii="Arial" w:cs="Arial" w:eastAsia="Arial" w:hAnsi="Arial"/>
                <w:sz w:val="18"/>
                <w:szCs w:val="18"/>
                <w:color w:val="auto"/>
              </w:rPr>
              <w:t>Concerning the Collateral and the Loan Documents</w:t>
            </w:r>
          </w:p>
        </w:tc>
        <w:tc>
          <w:tcPr>
            <w:tcW w:w="17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12.18</w:t>
            </w:r>
          </w:p>
        </w:tc>
        <w:tc>
          <w:tcPr>
            <w:tcW w:w="8780" w:type="dxa"/>
            <w:vAlign w:val="bottom"/>
          </w:tcPr>
          <w:p>
            <w:pPr>
              <w:ind w:left="60"/>
              <w:spacing w:after="0"/>
              <w:rPr>
                <w:sz w:val="20"/>
                <w:szCs w:val="20"/>
                <w:color w:val="auto"/>
              </w:rPr>
            </w:pPr>
            <w:r>
              <w:rPr>
                <w:rFonts w:ascii="Arial" w:cs="Arial" w:eastAsia="Arial" w:hAnsi="Arial"/>
                <w:sz w:val="18"/>
                <w:szCs w:val="18"/>
                <w:color w:val="auto"/>
              </w:rPr>
              <w:t>U.K. Administrative Agent and Euro Collateral Agent as Joint Creditors</w:t>
            </w:r>
          </w:p>
        </w:tc>
        <w:tc>
          <w:tcPr>
            <w:tcW w:w="1720" w:type="dxa"/>
            <w:vAlign w:val="bottom"/>
          </w:tcPr>
          <w:p>
            <w:pPr>
              <w:jc w:val="right"/>
              <w:spacing w:after="0"/>
              <w:rPr>
                <w:sz w:val="20"/>
                <w:szCs w:val="20"/>
                <w:color w:val="auto"/>
              </w:rPr>
            </w:pPr>
            <w:r>
              <w:rPr>
                <w:rFonts w:ascii="Arial" w:cs="Arial" w:eastAsia="Arial" w:hAnsi="Arial"/>
                <w:sz w:val="18"/>
                <w:szCs w:val="18"/>
                <w:color w:val="auto"/>
              </w:rPr>
              <w:t>238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490" w:right="49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12.19</w:t>
            </w:r>
          </w:p>
        </w:tc>
        <w:tc>
          <w:tcPr>
            <w:tcW w:w="8380" w:type="dxa"/>
            <w:vAlign w:val="bottom"/>
          </w:tcPr>
          <w:p>
            <w:pPr>
              <w:ind w:left="60"/>
              <w:spacing w:after="0"/>
              <w:rPr>
                <w:sz w:val="20"/>
                <w:szCs w:val="20"/>
                <w:color w:val="auto"/>
              </w:rPr>
            </w:pPr>
            <w:r>
              <w:rPr>
                <w:rFonts w:ascii="Arial" w:cs="Arial" w:eastAsia="Arial" w:hAnsi="Arial"/>
                <w:sz w:val="18"/>
                <w:szCs w:val="18"/>
                <w:color w:val="auto"/>
              </w:rPr>
              <w:t>Dutch Parallel Debt</w:t>
            </w:r>
          </w:p>
        </w:tc>
        <w:tc>
          <w:tcPr>
            <w:tcW w:w="2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12.20</w:t>
            </w:r>
          </w:p>
        </w:tc>
        <w:tc>
          <w:tcPr>
            <w:tcW w:w="8380" w:type="dxa"/>
            <w:vAlign w:val="bottom"/>
          </w:tcPr>
          <w:p>
            <w:pPr>
              <w:ind w:left="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12.21</w:t>
            </w:r>
          </w:p>
        </w:tc>
        <w:tc>
          <w:tcPr>
            <w:tcW w:w="8380" w:type="dxa"/>
            <w:vAlign w:val="bottom"/>
          </w:tcPr>
          <w:p>
            <w:pPr>
              <w:ind w:left="60"/>
              <w:spacing w:after="0"/>
              <w:rPr>
                <w:sz w:val="20"/>
                <w:szCs w:val="20"/>
                <w:color w:val="auto"/>
              </w:rPr>
            </w:pPr>
            <w:r>
              <w:rPr>
                <w:rFonts w:ascii="Arial" w:cs="Arial" w:eastAsia="Arial" w:hAnsi="Arial"/>
                <w:sz w:val="18"/>
                <w:szCs w:val="18"/>
                <w:color w:val="auto"/>
              </w:rPr>
              <w:t>Redesignation of Unrestricted Entities as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12.22</w:t>
            </w:r>
          </w:p>
        </w:tc>
        <w:tc>
          <w:tcPr>
            <w:tcW w:w="8380" w:type="dxa"/>
            <w:vAlign w:val="bottom"/>
          </w:tcPr>
          <w:p>
            <w:pPr>
              <w:ind w:left="60"/>
              <w:spacing w:after="0"/>
              <w:rPr>
                <w:sz w:val="20"/>
                <w:szCs w:val="20"/>
                <w:color w:val="auto"/>
              </w:rPr>
            </w:pPr>
            <w:r>
              <w:rPr>
                <w:rFonts w:ascii="Arial" w:cs="Arial" w:eastAsia="Arial" w:hAnsi="Arial"/>
                <w:sz w:val="18"/>
                <w:szCs w:val="18"/>
                <w:color w:val="auto"/>
              </w:rPr>
              <w:t>No Fiduciary Responsibility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12.23</w:t>
            </w:r>
          </w:p>
        </w:tc>
        <w:tc>
          <w:tcPr>
            <w:tcW w:w="8380" w:type="dxa"/>
            <w:vAlign w:val="bottom"/>
          </w:tcPr>
          <w:p>
            <w:pPr>
              <w:ind w:left="60"/>
              <w:spacing w:after="0"/>
              <w:rPr>
                <w:sz w:val="20"/>
                <w:szCs w:val="20"/>
                <w:color w:val="auto"/>
              </w:rPr>
            </w:pPr>
            <w:r>
              <w:rPr>
                <w:rFonts w:ascii="Arial" w:cs="Arial" w:eastAsia="Arial" w:hAnsi="Arial"/>
                <w:sz w:val="18"/>
                <w:szCs w:val="18"/>
                <w:color w:val="auto"/>
              </w:rPr>
              <w:t>Joint and Several Liability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12.24</w:t>
            </w:r>
          </w:p>
        </w:tc>
        <w:tc>
          <w:tcPr>
            <w:tcW w:w="8380" w:type="dxa"/>
            <w:vAlign w:val="bottom"/>
          </w:tcPr>
          <w:p>
            <w:pPr>
              <w:ind w:left="60"/>
              <w:spacing w:after="0"/>
              <w:rPr>
                <w:sz w:val="20"/>
                <w:szCs w:val="20"/>
                <w:color w:val="auto"/>
              </w:rPr>
            </w:pPr>
            <w:r>
              <w:rPr>
                <w:rFonts w:ascii="Arial" w:cs="Arial" w:eastAsia="Arial" w:hAnsi="Arial"/>
                <w:sz w:val="18"/>
                <w:szCs w:val="18"/>
                <w:color w:val="auto"/>
              </w:rPr>
              <w:t>Acknowledgement Regarding Any Supported QFCs</w:t>
            </w:r>
          </w:p>
        </w:tc>
        <w:tc>
          <w:tcPr>
            <w:tcW w:w="21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12.25</w:t>
            </w:r>
          </w:p>
        </w:tc>
        <w:tc>
          <w:tcPr>
            <w:tcW w:w="8380" w:type="dxa"/>
            <w:vAlign w:val="bottom"/>
          </w:tcPr>
          <w:p>
            <w:pPr>
              <w:ind w:left="60"/>
              <w:spacing w:after="0"/>
              <w:rPr>
                <w:sz w:val="20"/>
                <w:szCs w:val="20"/>
                <w:color w:val="auto"/>
              </w:rPr>
            </w:pPr>
            <w:r>
              <w:rPr>
                <w:rFonts w:ascii="Arial" w:cs="Arial" w:eastAsia="Arial" w:hAnsi="Arial"/>
                <w:sz w:val="18"/>
                <w:szCs w:val="18"/>
                <w:color w:val="auto"/>
              </w:rPr>
              <w:t>Certain ERISA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418"/>
        </w:trPr>
        <w:tc>
          <w:tcPr>
            <w:tcW w:w="460" w:type="dxa"/>
            <w:vAlign w:val="bottom"/>
          </w:tcPr>
          <w:p>
            <w:pPr>
              <w:spacing w:after="0"/>
              <w:rPr>
                <w:sz w:val="24"/>
                <w:szCs w:val="24"/>
                <w:color w:val="auto"/>
              </w:rPr>
            </w:pPr>
          </w:p>
        </w:tc>
        <w:tc>
          <w:tcPr>
            <w:tcW w:w="8380" w:type="dxa"/>
            <w:vAlign w:val="bottom"/>
          </w:tcPr>
          <w:p>
            <w:pPr>
              <w:jc w:val="center"/>
              <w:ind w:left="1550"/>
              <w:spacing w:after="0"/>
              <w:rPr>
                <w:sz w:val="20"/>
                <w:szCs w:val="20"/>
                <w:color w:val="auto"/>
              </w:rPr>
            </w:pPr>
            <w:r>
              <w:rPr>
                <w:rFonts w:ascii="Arial" w:cs="Arial" w:eastAsia="Arial" w:hAnsi="Arial"/>
                <w:sz w:val="18"/>
                <w:szCs w:val="18"/>
                <w:color w:val="auto"/>
              </w:rPr>
              <w:t>ARTICLE XIII</w:t>
            </w:r>
          </w:p>
        </w:tc>
        <w:tc>
          <w:tcPr>
            <w:tcW w:w="21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380" w:type="dxa"/>
            <w:vAlign w:val="bottom"/>
          </w:tcPr>
          <w:p>
            <w:pPr>
              <w:jc w:val="center"/>
              <w:ind w:left="1570"/>
              <w:spacing w:after="0"/>
              <w:rPr>
                <w:sz w:val="20"/>
                <w:szCs w:val="20"/>
                <w:color w:val="auto"/>
              </w:rPr>
            </w:pPr>
            <w:r>
              <w:rPr>
                <w:rFonts w:ascii="Arial" w:cs="Arial" w:eastAsia="Arial" w:hAnsi="Arial"/>
                <w:sz w:val="18"/>
                <w:szCs w:val="18"/>
                <w:color w:val="auto"/>
                <w:w w:val="98"/>
              </w:rPr>
              <w:t>COLLECTION ACTION MECHANISM</w:t>
            </w:r>
          </w:p>
        </w:tc>
        <w:tc>
          <w:tcPr>
            <w:tcW w:w="212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13.1</w:t>
            </w:r>
          </w:p>
        </w:tc>
        <w:tc>
          <w:tcPr>
            <w:tcW w:w="8380" w:type="dxa"/>
            <w:vAlign w:val="bottom"/>
          </w:tcPr>
          <w:p>
            <w:pPr>
              <w:ind w:left="60"/>
              <w:spacing w:after="0"/>
              <w:rPr>
                <w:sz w:val="20"/>
                <w:szCs w:val="20"/>
                <w:color w:val="auto"/>
              </w:rPr>
            </w:pPr>
            <w:r>
              <w:rPr>
                <w:rFonts w:ascii="Arial" w:cs="Arial" w:eastAsia="Arial" w:hAnsi="Arial"/>
                <w:sz w:val="18"/>
                <w:szCs w:val="18"/>
                <w:color w:val="auto"/>
              </w:rPr>
              <w:t>Implementation of CAM</w:t>
            </w:r>
          </w:p>
        </w:tc>
        <w:tc>
          <w:tcPr>
            <w:tcW w:w="21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13.2</w:t>
            </w:r>
          </w:p>
        </w:tc>
        <w:tc>
          <w:tcPr>
            <w:tcW w:w="838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1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418"/>
        </w:trPr>
        <w:tc>
          <w:tcPr>
            <w:tcW w:w="460" w:type="dxa"/>
            <w:vAlign w:val="bottom"/>
          </w:tcPr>
          <w:p>
            <w:pPr>
              <w:spacing w:after="0"/>
              <w:rPr>
                <w:sz w:val="24"/>
                <w:szCs w:val="24"/>
                <w:color w:val="auto"/>
              </w:rPr>
            </w:pPr>
          </w:p>
        </w:tc>
        <w:tc>
          <w:tcPr>
            <w:tcW w:w="8380" w:type="dxa"/>
            <w:vAlign w:val="bottom"/>
          </w:tcPr>
          <w:p>
            <w:pPr>
              <w:jc w:val="center"/>
              <w:ind w:left="1570"/>
              <w:spacing w:after="0"/>
              <w:rPr>
                <w:sz w:val="20"/>
                <w:szCs w:val="20"/>
                <w:color w:val="auto"/>
              </w:rPr>
            </w:pPr>
            <w:r>
              <w:rPr>
                <w:rFonts w:ascii="Arial" w:cs="Arial" w:eastAsia="Arial" w:hAnsi="Arial"/>
                <w:sz w:val="18"/>
                <w:szCs w:val="18"/>
                <w:color w:val="auto"/>
              </w:rPr>
              <w:t>ARTICLE XIV</w:t>
            </w:r>
          </w:p>
        </w:tc>
        <w:tc>
          <w:tcPr>
            <w:tcW w:w="21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380" w:type="dxa"/>
            <w:vAlign w:val="bottom"/>
          </w:tcPr>
          <w:p>
            <w:pPr>
              <w:jc w:val="center"/>
              <w:ind w:left="1570"/>
              <w:spacing w:after="0"/>
              <w:rPr>
                <w:sz w:val="20"/>
                <w:szCs w:val="20"/>
                <w:color w:val="auto"/>
              </w:rPr>
            </w:pPr>
            <w:r>
              <w:rPr>
                <w:rFonts w:ascii="Arial" w:cs="Arial" w:eastAsia="Arial" w:hAnsi="Arial"/>
                <w:sz w:val="18"/>
                <w:szCs w:val="18"/>
                <w:color w:val="auto"/>
                <w:w w:val="99"/>
              </w:rPr>
              <w:t>GUARANTY</w:t>
            </w:r>
          </w:p>
        </w:tc>
        <w:tc>
          <w:tcPr>
            <w:tcW w:w="212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14.1</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of Each of the Parent Guarantors</w:t>
            </w:r>
          </w:p>
        </w:tc>
        <w:tc>
          <w:tcPr>
            <w:tcW w:w="2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14.2</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of European Borrower</w:t>
            </w:r>
          </w:p>
        </w:tc>
        <w:tc>
          <w:tcPr>
            <w:tcW w:w="2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14.3</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of Crown Finance</w:t>
            </w:r>
          </w:p>
        </w:tc>
        <w:tc>
          <w:tcPr>
            <w:tcW w:w="2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14.4</w:t>
            </w:r>
          </w:p>
        </w:tc>
        <w:tc>
          <w:tcPr>
            <w:tcW w:w="8380" w:type="dxa"/>
            <w:vAlign w:val="bottom"/>
          </w:tcPr>
          <w:p>
            <w:pPr>
              <w:ind w:left="60"/>
              <w:spacing w:after="0"/>
              <w:rPr>
                <w:sz w:val="20"/>
                <w:szCs w:val="20"/>
                <w:color w:val="auto"/>
              </w:rPr>
            </w:pPr>
            <w:r>
              <w:rPr>
                <w:rFonts w:ascii="Arial" w:cs="Arial" w:eastAsia="Arial" w:hAnsi="Arial"/>
                <w:sz w:val="18"/>
                <w:szCs w:val="18"/>
                <w:color w:val="auto"/>
              </w:rPr>
              <w:t>Amendments, etc. with Respect to the Applicable Obligations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14.5</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Absolute and Unconditional</w:t>
            </w:r>
          </w:p>
        </w:tc>
        <w:tc>
          <w:tcPr>
            <w:tcW w:w="21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14.6</w:t>
            </w:r>
          </w:p>
        </w:tc>
        <w:tc>
          <w:tcPr>
            <w:tcW w:w="838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2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14.7</w:t>
            </w:r>
          </w:p>
        </w:tc>
        <w:tc>
          <w:tcPr>
            <w:tcW w:w="8380" w:type="dxa"/>
            <w:vAlign w:val="bottom"/>
          </w:tcPr>
          <w:p>
            <w:pPr>
              <w:ind w:left="60"/>
              <w:spacing w:after="0"/>
              <w:rPr>
                <w:sz w:val="20"/>
                <w:szCs w:val="20"/>
                <w:color w:val="auto"/>
              </w:rPr>
            </w:pPr>
            <w:r>
              <w:rPr>
                <w:rFonts w:ascii="Arial" w:cs="Arial" w:eastAsia="Arial" w:hAnsi="Arial"/>
                <w:sz w:val="18"/>
                <w:szCs w:val="18"/>
                <w:color w:val="auto"/>
              </w:rPr>
              <w:t>Payments</w:t>
            </w:r>
          </w:p>
        </w:tc>
        <w:tc>
          <w:tcPr>
            <w:tcW w:w="2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14.8</w:t>
            </w:r>
          </w:p>
        </w:tc>
        <w:tc>
          <w:tcPr>
            <w:tcW w:w="8380" w:type="dxa"/>
            <w:vAlign w:val="bottom"/>
          </w:tcPr>
          <w:p>
            <w:pPr>
              <w:ind w:left="60"/>
              <w:spacing w:after="0"/>
              <w:rPr>
                <w:sz w:val="20"/>
                <w:szCs w:val="20"/>
                <w:color w:val="auto"/>
              </w:rPr>
            </w:pPr>
            <w:r>
              <w:rPr>
                <w:rFonts w:ascii="Arial" w:cs="Arial" w:eastAsia="Arial" w:hAnsi="Arial"/>
                <w:sz w:val="18"/>
                <w:szCs w:val="18"/>
                <w:color w:val="auto"/>
              </w:rPr>
              <w:t>Independent Obligations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14.9</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Limitations for French Guarantees</w:t>
            </w:r>
          </w:p>
        </w:tc>
        <w:tc>
          <w:tcPr>
            <w:tcW w:w="2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14.10</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Limitations for Luxembourg Guarantees</w:t>
            </w:r>
          </w:p>
        </w:tc>
        <w:tc>
          <w:tcPr>
            <w:tcW w:w="21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14.11</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Limitations for Spanish Guarantees and Security</w:t>
            </w:r>
          </w:p>
        </w:tc>
        <w:tc>
          <w:tcPr>
            <w:tcW w:w="21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14.12</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Limitations for German Guarantees and Security.</w:t>
            </w:r>
          </w:p>
        </w:tc>
        <w:tc>
          <w:tcPr>
            <w:tcW w:w="21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14.13</w:t>
            </w:r>
          </w:p>
        </w:tc>
        <w:tc>
          <w:tcPr>
            <w:tcW w:w="8380" w:type="dxa"/>
            <w:vAlign w:val="bottom"/>
          </w:tcPr>
          <w:p>
            <w:pPr>
              <w:ind w:left="60"/>
              <w:spacing w:after="0"/>
              <w:rPr>
                <w:sz w:val="20"/>
                <w:szCs w:val="20"/>
                <w:color w:val="auto"/>
              </w:rPr>
            </w:pPr>
            <w:r>
              <w:rPr>
                <w:rFonts w:ascii="Arial" w:cs="Arial" w:eastAsia="Arial" w:hAnsi="Arial"/>
                <w:sz w:val="18"/>
                <w:szCs w:val="18"/>
                <w:color w:val="auto"/>
              </w:rPr>
              <w:t>Keepwell</w:t>
            </w:r>
          </w:p>
        </w:tc>
        <w:tc>
          <w:tcPr>
            <w:tcW w:w="21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14.14</w:t>
            </w:r>
          </w:p>
        </w:tc>
        <w:tc>
          <w:tcPr>
            <w:tcW w:w="8380" w:type="dxa"/>
            <w:vAlign w:val="bottom"/>
          </w:tcPr>
          <w:p>
            <w:pPr>
              <w:ind w:left="60"/>
              <w:spacing w:after="0"/>
              <w:rPr>
                <w:sz w:val="20"/>
                <w:szCs w:val="20"/>
                <w:color w:val="auto"/>
              </w:rPr>
            </w:pPr>
            <w:r>
              <w:rPr>
                <w:rFonts w:ascii="Arial" w:cs="Arial" w:eastAsia="Arial" w:hAnsi="Arial"/>
                <w:sz w:val="18"/>
                <w:szCs w:val="18"/>
                <w:color w:val="auto"/>
              </w:rPr>
              <w:t>Executive Proceedings</w:t>
            </w:r>
          </w:p>
        </w:tc>
        <w:tc>
          <w:tcPr>
            <w:tcW w:w="21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14.15</w:t>
            </w:r>
          </w:p>
        </w:tc>
        <w:tc>
          <w:tcPr>
            <w:tcW w:w="8380" w:type="dxa"/>
            <w:vAlign w:val="bottom"/>
          </w:tcPr>
          <w:p>
            <w:pPr>
              <w:ind w:left="60"/>
              <w:spacing w:after="0"/>
              <w:rPr>
                <w:sz w:val="20"/>
                <w:szCs w:val="20"/>
                <w:color w:val="auto"/>
              </w:rPr>
            </w:pPr>
            <w:r>
              <w:rPr>
                <w:rFonts w:ascii="Arial" w:cs="Arial" w:eastAsia="Arial" w:hAnsi="Arial"/>
                <w:sz w:val="18"/>
                <w:szCs w:val="18"/>
                <w:color w:val="auto"/>
              </w:rPr>
              <w:t>Spanish Public Document</w:t>
            </w:r>
          </w:p>
        </w:tc>
        <w:tc>
          <w:tcPr>
            <w:tcW w:w="21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14.16</w:t>
            </w:r>
          </w:p>
        </w:tc>
        <w:tc>
          <w:tcPr>
            <w:tcW w:w="8380" w:type="dxa"/>
            <w:vAlign w:val="bottom"/>
          </w:tcPr>
          <w:p>
            <w:pPr>
              <w:ind w:left="60"/>
              <w:spacing w:after="0"/>
              <w:rPr>
                <w:sz w:val="20"/>
                <w:szCs w:val="20"/>
                <w:color w:val="auto"/>
              </w:rPr>
            </w:pPr>
            <w:r>
              <w:rPr>
                <w:rFonts w:ascii="Arial" w:cs="Arial" w:eastAsia="Arial" w:hAnsi="Arial"/>
                <w:sz w:val="18"/>
                <w:szCs w:val="18"/>
                <w:color w:val="auto"/>
              </w:rPr>
              <w:t>Guarantee of Each U.S. Borrower</w:t>
            </w:r>
          </w:p>
        </w:tc>
        <w:tc>
          <w:tcPr>
            <w:tcW w:w="2120" w:type="dxa"/>
            <w:vAlign w:val="bottom"/>
          </w:tcPr>
          <w:p>
            <w:pPr>
              <w:jc w:val="right"/>
              <w:spacing w:after="0"/>
              <w:rPr>
                <w:sz w:val="20"/>
                <w:szCs w:val="20"/>
                <w:color w:val="auto"/>
              </w:rPr>
            </w:pPr>
            <w:r>
              <w:rPr>
                <w:rFonts w:ascii="Arial" w:cs="Arial" w:eastAsia="Arial" w:hAnsi="Arial"/>
                <w:sz w:val="18"/>
                <w:szCs w:val="18"/>
                <w:color w:val="auto"/>
              </w:rPr>
              <w:t>252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20" w:type="dxa"/>
            <w:vAlign w:val="bottom"/>
            <w:gridSpan w:val="5"/>
          </w:tcPr>
          <w:p>
            <w:pPr>
              <w:jc w:val="center"/>
              <w:ind w:left="1490"/>
              <w:spacing w:after="0"/>
              <w:rPr>
                <w:sz w:val="20"/>
                <w:szCs w:val="20"/>
                <w:color w:val="auto"/>
              </w:rPr>
            </w:pPr>
            <w:r>
              <w:rPr>
                <w:rFonts w:ascii="Arial" w:cs="Arial" w:eastAsia="Arial" w:hAnsi="Arial"/>
                <w:sz w:val="18"/>
                <w:szCs w:val="18"/>
                <w:b w:val="1"/>
                <w:bCs w:val="1"/>
                <w:color w:val="auto"/>
              </w:rPr>
              <w:t>INDEX OF SCHEDULES AND EXHIBITS</w:t>
            </w:r>
          </w:p>
        </w:tc>
      </w:tr>
      <w:tr>
        <w:trPr>
          <w:trHeight w:val="418"/>
        </w:trPr>
        <w:tc>
          <w:tcPr>
            <w:tcW w:w="2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344"/>
        </w:trPr>
        <w:tc>
          <w:tcPr>
            <w:tcW w:w="2100" w:type="dxa"/>
            <w:vAlign w:val="bottom"/>
          </w:tcPr>
          <w:p>
            <w:pPr>
              <w:spacing w:after="0"/>
              <w:rPr>
                <w:sz w:val="20"/>
                <w:szCs w:val="20"/>
                <w:color w:val="auto"/>
              </w:rPr>
            </w:pPr>
            <w:r>
              <w:rPr>
                <w:rFonts w:ascii="Arial" w:cs="Arial" w:eastAsia="Arial" w:hAnsi="Arial"/>
                <w:sz w:val="18"/>
                <w:szCs w:val="18"/>
                <w:color w:val="auto"/>
              </w:rPr>
              <w:t>Exhibit 2.1(c)</w:t>
            </w:r>
          </w:p>
        </w:tc>
        <w:tc>
          <w:tcPr>
            <w:tcW w:w="4340" w:type="dxa"/>
            <w:vAlign w:val="bottom"/>
            <w:gridSpan w:val="3"/>
          </w:tcPr>
          <w:p>
            <w:pPr>
              <w:ind w:left="420"/>
              <w:spacing w:after="0"/>
              <w:rPr>
                <w:sz w:val="20"/>
                <w:szCs w:val="20"/>
                <w:color w:val="auto"/>
              </w:rPr>
            </w:pPr>
            <w:r>
              <w:rPr>
                <w:rFonts w:ascii="Arial" w:cs="Arial" w:eastAsia="Arial" w:hAnsi="Arial"/>
                <w:sz w:val="18"/>
                <w:szCs w:val="18"/>
                <w:color w:val="auto"/>
                <w:w w:val="99"/>
              </w:rPr>
              <w:t>Form of Swing Line Loan Participation Certificate</w:t>
            </w: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2.2(a)(1)</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Term Note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2.2(a)(2)</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Revolving Note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2.5</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Notice of Borrowing</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2.6</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Notice of Conversion or Continuation</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2.10(c)</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Notice of Issuance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2A.2(a)</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Canadian Revolving Note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2A.5</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Notice of Canadian Borrowing</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2A.6</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Notice of Canadian Conversion or Continuation</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4.7(d)</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U.S. Tax Compliance Certificate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5.1(a)(ii)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U.S. Guarantee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5.1(a)(iii)(A)</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U.S. Security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5.1(a)(iii)(B)(I)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U.S. Pledge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5.1(a)(iv)(A)</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Non-U.S. Guarantee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5.1(a)(v)</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Euro Bank Pledge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5.1(a)(vii)(A)</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w w:val="91"/>
              </w:rPr>
              <w:t>Form of U.S. Indemnity, Subrogation and Contribution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5.1(a)(viii)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Receivables Intercreditor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5.1(e)(i)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Officer’s Certificate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5.1(e)(ii)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Secretary’s Certificate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5.1(e)(iv)</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Solvency Certificate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7.2(a)</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Compliance Certificate</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12.1(c)</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Joinder Agreement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Exhibit 12.8(d)</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Form of Assignment and Assumption Agreement</w:t>
            </w:r>
          </w:p>
        </w:tc>
      </w:tr>
      <w:tr>
        <w:trPr>
          <w:trHeight w:val="391"/>
        </w:trPr>
        <w:tc>
          <w:tcPr>
            <w:tcW w:w="2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w w:val="84"/>
              </w:rPr>
              <w:t>Schedules</w:t>
            </w:r>
          </w:p>
        </w:tc>
      </w:tr>
      <w:tr>
        <w:trPr>
          <w:trHeight w:val="345"/>
        </w:trPr>
        <w:tc>
          <w:tcPr>
            <w:tcW w:w="2100" w:type="dxa"/>
            <w:vAlign w:val="bottom"/>
          </w:tcPr>
          <w:p>
            <w:pPr>
              <w:spacing w:after="0"/>
              <w:rPr>
                <w:sz w:val="20"/>
                <w:szCs w:val="20"/>
                <w:color w:val="auto"/>
              </w:rPr>
            </w:pPr>
            <w:r>
              <w:rPr>
                <w:rFonts w:ascii="Arial" w:cs="Arial" w:eastAsia="Arial" w:hAnsi="Arial"/>
                <w:sz w:val="18"/>
                <w:szCs w:val="18"/>
                <w:color w:val="auto"/>
              </w:rPr>
              <w:t>Schedule 1.1(a)</w:t>
            </w:r>
          </w:p>
        </w:tc>
        <w:tc>
          <w:tcPr>
            <w:tcW w:w="3020" w:type="dxa"/>
            <w:vAlign w:val="bottom"/>
          </w:tcPr>
          <w:p>
            <w:pPr>
              <w:ind w:left="420"/>
              <w:spacing w:after="0"/>
              <w:rPr>
                <w:sz w:val="20"/>
                <w:szCs w:val="20"/>
                <w:color w:val="auto"/>
              </w:rPr>
            </w:pPr>
            <w:r>
              <w:rPr>
                <w:rFonts w:ascii="Arial" w:cs="Arial" w:eastAsia="Arial" w:hAnsi="Arial"/>
                <w:sz w:val="18"/>
                <w:szCs w:val="18"/>
                <w:color w:val="auto"/>
              </w:rPr>
              <w:t>Commitments</w:t>
            </w:r>
          </w:p>
        </w:tc>
        <w:tc>
          <w:tcPr>
            <w:tcW w:w="760" w:type="dxa"/>
            <w:vAlign w:val="bottom"/>
            <w:tcBorders>
              <w:top w:val="single" w:sz="8" w:color="auto"/>
            </w:tcBorders>
          </w:tcPr>
          <w:p>
            <w:pPr>
              <w:spacing w:after="0"/>
              <w:rPr>
                <w:sz w:val="24"/>
                <w:szCs w:val="24"/>
                <w:color w:val="auto"/>
              </w:rPr>
            </w:pPr>
          </w:p>
        </w:tc>
        <w:tc>
          <w:tcPr>
            <w:tcW w:w="1440" w:type="dxa"/>
            <w:vAlign w:val="bottom"/>
            <w:gridSpan w:val="3"/>
          </w:tcPr>
          <w:p>
            <w:pPr>
              <w:spacing w:after="0"/>
              <w:rPr>
                <w:sz w:val="24"/>
                <w:szCs w:val="24"/>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1.1(b)</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Revolver Sublimits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1.1(d)</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Subsidiary Borrowers/Subsidiary Guarantors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1.1(e)</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Unrestricted Entities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1.1(g)</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Applicable LC Sublimit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2.10(j)</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Letters of Credit Outstanding</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5.1(d)</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Opinions of Counsel</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6.5(b)(i)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Indebtedness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6.5(b)(ii)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Existing Non-U.S. Facilities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6.5(b)(iii)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Existing Factoring Facilities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6.10(c)</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Canadian Defined Benefit Plans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6.14</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Subsidiaries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8.2(c)</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Existing Liens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8.4</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Existing Investments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8.5(b)(i)</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Permitted Transfers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8.5(h)</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Permitted Divestitures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8.9(f)</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Transactions with Affiliates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Schedule 8.10</w:t>
            </w:r>
          </w:p>
        </w:tc>
        <w:tc>
          <w:tcPr>
            <w:tcW w:w="5220" w:type="dxa"/>
            <w:vAlign w:val="bottom"/>
            <w:gridSpan w:val="5"/>
          </w:tcPr>
          <w:p>
            <w:pPr>
              <w:ind w:left="420"/>
              <w:spacing w:after="0"/>
              <w:rPr>
                <w:sz w:val="20"/>
                <w:szCs w:val="20"/>
                <w:color w:val="auto"/>
              </w:rPr>
            </w:pPr>
            <w:r>
              <w:rPr>
                <w:rFonts w:ascii="Arial" w:cs="Arial" w:eastAsia="Arial" w:hAnsi="Arial"/>
                <w:sz w:val="18"/>
                <w:szCs w:val="18"/>
                <w:color w:val="auto"/>
              </w:rPr>
              <w:t>Restrictive Agreements</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FF0000"/>
                <w:strike w:val="1"/>
              </w:rPr>
              <w:t>Schedule 12.8(c)</w:t>
            </w:r>
          </w:p>
        </w:tc>
        <w:tc>
          <w:tcPr>
            <w:tcW w:w="3020" w:type="dxa"/>
            <w:vAlign w:val="bottom"/>
          </w:tcPr>
          <w:p>
            <w:pPr>
              <w:ind w:left="420"/>
              <w:spacing w:after="0"/>
              <w:rPr>
                <w:sz w:val="20"/>
                <w:szCs w:val="20"/>
                <w:color w:val="auto"/>
              </w:rPr>
            </w:pPr>
            <w:r>
              <w:rPr>
                <w:rFonts w:ascii="Arial" w:cs="Arial" w:eastAsia="Arial" w:hAnsi="Arial"/>
                <w:sz w:val="18"/>
                <w:szCs w:val="18"/>
                <w:color w:val="FF0000"/>
                <w:strike w:val="1"/>
              </w:rPr>
              <w:t>Voting Participants</w:t>
            </w:r>
          </w:p>
        </w:tc>
        <w:tc>
          <w:tcPr>
            <w:tcW w:w="2200" w:type="dxa"/>
            <w:vAlign w:val="bottom"/>
            <w:gridSpan w:val="4"/>
          </w:tcPr>
          <w:p>
            <w:pPr>
              <w:spacing w:after="0"/>
              <w:rPr>
                <w:sz w:val="24"/>
                <w:szCs w:val="24"/>
                <w:color w:val="auto"/>
              </w:rPr>
            </w:pPr>
          </w:p>
        </w:tc>
      </w:tr>
      <w:tr>
        <w:trPr>
          <w:trHeight w:val="364"/>
        </w:trPr>
        <w:tc>
          <w:tcPr>
            <w:tcW w:w="2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0" w:type="dxa"/>
            <w:vAlign w:val="bottom"/>
            <w:gridSpan w:val="4"/>
          </w:tcPr>
          <w:p>
            <w:pPr>
              <w:jc w:val="center"/>
              <w:ind w:right="1420"/>
              <w:spacing w:after="0"/>
              <w:rPr>
                <w:sz w:val="20"/>
                <w:szCs w:val="20"/>
                <w:color w:val="auto"/>
              </w:rPr>
            </w:pPr>
            <w:r>
              <w:rPr>
                <w:rFonts w:ascii="Arial" w:cs="Arial" w:eastAsia="Arial" w:hAnsi="Arial"/>
                <w:sz w:val="18"/>
                <w:szCs w:val="18"/>
                <w:color w:val="auto"/>
              </w:rPr>
              <w:t>vi</w:t>
            </w:r>
          </w:p>
        </w:tc>
      </w:tr>
    </w:tbl>
    <w:p>
      <w:pPr>
        <w:jc w:val="center"/>
        <w:ind w:right="1420"/>
        <w:spacing w:after="0"/>
        <w:rPr>
          <w:sz w:val="20"/>
          <w:szCs w:val="20"/>
          <w:color w:val="auto"/>
        </w:rPr>
        <w:sectPr>
          <w:pgSz w:w="11900" w:h="16838" w:orient="portrait"/>
          <w:cols w:equalWidth="0" w:num="1">
            <w:col w:w="10019"/>
          </w:cols>
          <w:pgMar w:left="440" w:top="270" w:right="1440" w:bottom="906"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CREDIT AGREEMENT</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This Amended and Restated Credit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April 7, 2017 by and among CROWN AMERICAS LLC, a Pennsylvania limited liability company, CROWN EUROPEAN HOLDINGS S.A., a corporation organized under the laws of France (“</w:t>
      </w:r>
      <w:r>
        <w:rPr>
          <w:rFonts w:ascii="Arial" w:cs="Arial" w:eastAsia="Arial" w:hAnsi="Arial"/>
          <w:sz w:val="17"/>
          <w:szCs w:val="17"/>
          <w:u w:val="single" w:color="auto"/>
          <w:color w:val="auto"/>
        </w:rPr>
        <w:t>European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each of the Subsidiary Borrowers from time to time party hereto, CROWN METAL PACKAGING CANADA LP, a limited partnership organized under the laws of the Province of Ontario, Canada (“</w:t>
      </w:r>
      <w:r>
        <w:rPr>
          <w:rFonts w:ascii="Arial" w:cs="Arial" w:eastAsia="Arial" w:hAnsi="Arial"/>
          <w:sz w:val="17"/>
          <w:szCs w:val="17"/>
          <w:u w:val="single" w:color="auto"/>
          <w:color w:val="auto"/>
        </w:rPr>
        <w:t>Canadian Borrower</w:t>
      </w:r>
      <w:r>
        <w:rPr>
          <w:rFonts w:ascii="Arial" w:cs="Arial" w:eastAsia="Arial" w:hAnsi="Arial"/>
          <w:sz w:val="17"/>
          <w:szCs w:val="17"/>
          <w:color w:val="auto"/>
        </w:rPr>
        <w:t>” and together with U.S. Borrower, European Borrower and the Subsidiary Borrowers,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CROWN CORK &amp; SEAL COMPANY, INC., a Pennsylvania corporation (“</w:t>
      </w:r>
      <w:r>
        <w:rPr>
          <w:rFonts w:ascii="Arial" w:cs="Arial" w:eastAsia="Arial" w:hAnsi="Arial"/>
          <w:sz w:val="17"/>
          <w:szCs w:val="17"/>
          <w:u w:val="single" w:color="auto"/>
          <w:color w:val="auto"/>
        </w:rPr>
        <w:t>CCSC</w:t>
      </w:r>
      <w:r>
        <w:rPr>
          <w:rFonts w:ascii="Arial" w:cs="Arial" w:eastAsia="Arial" w:hAnsi="Arial"/>
          <w:sz w:val="17"/>
          <w:szCs w:val="17"/>
          <w:color w:val="auto"/>
        </w:rPr>
        <w:t>”), CROWN HOLDINGS, INC., a Pennsylvania corporation (“</w:t>
      </w:r>
      <w:r>
        <w:rPr>
          <w:rFonts w:ascii="Arial" w:cs="Arial" w:eastAsia="Arial" w:hAnsi="Arial"/>
          <w:sz w:val="17"/>
          <w:szCs w:val="17"/>
          <w:u w:val="single" w:color="auto"/>
          <w:color w:val="auto"/>
        </w:rPr>
        <w:t>Crown Holdings</w:t>
      </w:r>
      <w:r>
        <w:rPr>
          <w:rFonts w:ascii="Arial" w:cs="Arial" w:eastAsia="Arial" w:hAnsi="Arial"/>
          <w:sz w:val="17"/>
          <w:szCs w:val="17"/>
          <w:color w:val="auto"/>
        </w:rPr>
        <w:t>”) and CROWN INTERNATIONAL HOLDINGS, INC., a Delaware corporation (“</w:t>
      </w:r>
      <w:r>
        <w:rPr>
          <w:rFonts w:ascii="Arial" w:cs="Arial" w:eastAsia="Arial" w:hAnsi="Arial"/>
          <w:sz w:val="17"/>
          <w:szCs w:val="17"/>
          <w:u w:val="single" w:color="auto"/>
          <w:color w:val="auto"/>
        </w:rPr>
        <w:t>Crown International</w:t>
      </w:r>
      <w:r>
        <w:rPr>
          <w:rFonts w:ascii="Arial" w:cs="Arial" w:eastAsia="Arial" w:hAnsi="Arial"/>
          <w:sz w:val="17"/>
          <w:szCs w:val="17"/>
          <w:color w:val="auto"/>
        </w:rPr>
        <w:t>”) as Parent Guarantors, each other Credit Party from time to time party hereto, the undersigned financial institutions in their capacities as lenders hereunder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DEUTSCHE BANK AG CANADA BRANCH, as Canadian administrative agent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for the Canadian Revolving Lenders, DEUTSCHE BANK AG LONDON BRANCH, as U.K. Administrative Agent (“</w:t>
      </w:r>
      <w:r>
        <w:rPr>
          <w:rFonts w:ascii="Arial" w:cs="Arial" w:eastAsia="Arial" w:hAnsi="Arial"/>
          <w:sz w:val="17"/>
          <w:szCs w:val="17"/>
          <w:u w:val="single" w:color="auto"/>
          <w:color w:val="auto"/>
        </w:rPr>
        <w:t>U.K. Administrative Agent</w:t>
      </w:r>
      <w:r>
        <w:rPr>
          <w:rFonts w:ascii="Arial" w:cs="Arial" w:eastAsia="Arial" w:hAnsi="Arial"/>
          <w:sz w:val="17"/>
          <w:szCs w:val="17"/>
          <w:color w:val="auto"/>
        </w:rPr>
        <w:t>”) for the Multicurrency Revolving Lenders and Term Euro Lenders, and DEUTSCHE BANK AG NEW YORK BRANCH,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Dollar Revolving Lenders and the Term Loan A Lenders.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WHEREAS, a credit agreement exists in favor of Borrowers, dated as of December 19, 2013, by and among Borrowers, the Guarantors party thereto, the lenders from time to time party thereto, Canadian Administrative Agent, U.K. Administrative Agent and Administrative Agent (as amended, restated, amended and restated or otherwise modified prior to the Effective Date,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WHEREAS, the Borrowers have requested that the (a) (i) Existing Credit Agreement be amended and restated as provided herein and (ii) 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NOW, THEREFORE, in consideration of the premises and of the mutual covenants herein contained and, among other things, the parties hereto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and unless the context requires a different meaning, the following terms have the meanings indicated:</w:t>
      </w:r>
    </w:p>
    <w:p>
      <w:pPr>
        <w:spacing w:after="0" w:line="23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1996 Indenture</w:t>
      </w:r>
      <w:r>
        <w:rPr>
          <w:rFonts w:ascii="Arial" w:cs="Arial" w:eastAsia="Arial" w:hAnsi="Arial"/>
          <w:sz w:val="18"/>
          <w:szCs w:val="18"/>
          <w:color w:val="auto"/>
        </w:rPr>
        <w:t>” means the Indenture dated as of December 17, 1996 among CCSC, Crown Cork &amp; Seal Finance PLC, Crown Cork &amp; Seal Finance S.A. and The Bank of New York, as trustee.</w:t>
      </w:r>
    </w:p>
    <w:p>
      <w:pPr>
        <w:spacing w:after="0" w:line="170"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Acceptance Fee</w:t>
      </w:r>
      <w:r>
        <w:rPr>
          <w:rFonts w:ascii="Arial" w:cs="Arial" w:eastAsia="Arial" w:hAnsi="Arial"/>
          <w:sz w:val="17"/>
          <w:szCs w:val="17"/>
          <w:color w:val="auto"/>
        </w:rPr>
        <w:t>” means a fee payable in Canadian Dollars by Canadian Borrower to a Canadian Revolving Lender with respect to the acceptance of a B/A or the making of a B/A Equivalent Loan on the date of such acceptance or loan, equal to the Applicable B/A Margin of the face amount of such B/A or B/A Equivalent Loan calculated on the basis of the number of days in the applicable Contract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35" w:name="page136"/>
    <w:bookmarkEnd w:id="135"/>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the date of acceptance and excluding the date of maturity) and a year of 365 days (it being agreed that the rate per annum applicable to the B/A Equivalent Loan is equivalent to the rate per annum otherwise applicable to the Bankers’ Acceptance which has been replaced by the making of such B/A Equivalent Loan pursuant to </w:t>
      </w:r>
      <w:r>
        <w:rPr>
          <w:rFonts w:ascii="Arial" w:cs="Arial" w:eastAsia="Arial" w:hAnsi="Arial"/>
          <w:sz w:val="18"/>
          <w:szCs w:val="18"/>
          <w:u w:val="single" w:color="auto"/>
          <w:color w:val="auto"/>
        </w:rPr>
        <w:t>Section 2A.9</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Acceptances to be Converted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for the purpose of or resulting, directly or indirectly, in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Consideration</w:t>
      </w:r>
      <w:r>
        <w:rPr>
          <w:rFonts w:ascii="Arial" w:cs="Arial" w:eastAsia="Arial" w:hAnsi="Arial"/>
          <w:sz w:val="17"/>
          <w:szCs w:val="17"/>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Euro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Facilities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Facility Commitment</w:t>
      </w:r>
      <w:r>
        <w:rPr>
          <w:rFonts w:ascii="Arial" w:cs="Arial" w:eastAsia="Arial" w:hAnsi="Arial"/>
          <w:sz w:val="18"/>
          <w:szCs w:val="18"/>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Facility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Security Documents</w:t>
      </w:r>
      <w:r>
        <w:rPr>
          <w:rFonts w:ascii="Arial" w:cs="Arial" w:eastAsia="Arial" w:hAnsi="Arial"/>
          <w:sz w:val="16"/>
          <w:szCs w:val="16"/>
          <w:color w:val="auto"/>
        </w:rPr>
        <w:t xml:space="preserve">” means all pledge agreements, security agreements and other security documents entered into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with respect to Additional Collateral, in each case, as amended, supplemented or otherwise modified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U.S.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7.14(b)</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u w:val="single" w:color="auto"/>
          <w:color w:val="0000FF"/>
        </w:rPr>
        <w:t>“Adjusted Term SOFR” means, for purposes of any calculation</w:t>
      </w:r>
      <w:r>
        <w:rPr>
          <w:rFonts w:ascii="Arial" w:cs="Arial" w:eastAsia="Arial" w:hAnsi="Arial"/>
          <w:sz w:val="18"/>
          <w:szCs w:val="18"/>
          <w:u w:val="single" w:color="auto"/>
          <w:color w:val="008000"/>
        </w:rPr>
        <w:t>, the rate per annum equal to (</w:t>
      </w:r>
      <w:r>
        <w:rPr>
          <w:rFonts w:ascii="Arial" w:cs="Arial" w:eastAsia="Arial" w:hAnsi="Arial"/>
          <w:sz w:val="18"/>
          <w:szCs w:val="18"/>
          <w:u w:val="single" w:color="auto"/>
          <w:color w:val="0000FF"/>
        </w:rPr>
        <w:t>a) Term SOFR for such calculation plus (b) the Term SOFR Adjustment; provided that if Adjusted Term SOFR as so determined shall ever be less than the Floor, then Adjusted Term SOFR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6694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43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6940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6" w:name="page137"/>
    <w:bookmarkEnd w:id="13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that term in the preamble to this Agreement and any successor Administrative Agent in such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the context otherwise requires, (i) when used in respect of payments and notices pertaining to Canadian Revolving Loans, the term “Administrative Agent” shall mean Canadian Administrative Agent and (ii) when used in respect of payments and notices pertaining to Multicurrency Revolving Loans, to Term Euro Loans, or to any other Term Loans denominated in an Alternative Currency, the term “Administrative Agent” shall mean U.K. Administrative Agent.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9720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being an officer or director of a person shall not, in and of itself, be deemed “control” of such person. None of the Administrative Agent, the Arrangers, the Bookrunners, any Lender or any of their respective Affiliates shall be considered an Affiliate of Crown Holdings or any of its Subsidiaries.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or “</w:t>
      </w:r>
      <w:r>
        <w:rPr>
          <w:rFonts w:ascii="Arial" w:cs="Arial" w:eastAsia="Arial" w:hAnsi="Arial"/>
          <w:sz w:val="16"/>
          <w:szCs w:val="16"/>
          <w:u w:val="single" w:color="auto"/>
          <w:color w:val="auto"/>
        </w:rPr>
        <w:t>Agents</w:t>
      </w:r>
      <w:r>
        <w:rPr>
          <w:rFonts w:ascii="Arial" w:cs="Arial" w:eastAsia="Arial" w:hAnsi="Arial"/>
          <w:sz w:val="16"/>
          <w:szCs w:val="16"/>
          <w:color w:val="auto"/>
        </w:rPr>
        <w:t>” means Administrative Agent, Canadian Administrative Agent and/or U.K. Administrative Agent, as the context may require.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Alternative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2.8(b)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Agreed Guaranty and Security Principles</w:t>
      </w:r>
      <w:r>
        <w:rPr>
          <w:rFonts w:ascii="Arial" w:cs="Arial" w:eastAsia="Arial" w:hAnsi="Arial"/>
          <w:sz w:val="16"/>
          <w:szCs w:val="16"/>
          <w:color w:val="auto"/>
        </w:rPr>
        <w:t xml:space="preserve">” means, with respect to any Subsidiary incorporated or formed under the laws of any jurisdiction, that a 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the extent that such guaranty, pledge 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-19050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-19050</wp:posOffset>
            </wp:positionV>
            <wp:extent cx="2228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9" w:lineRule="exact"/>
        <w:rPr>
          <w:sz w:val="20"/>
          <w:szCs w:val="20"/>
          <w:color w:val="auto"/>
        </w:rPr>
      </w:pPr>
    </w:p>
    <w:p>
      <w:pPr>
        <w:ind w:right="20" w:firstLine="436"/>
        <w:spacing w:after="0" w:line="279" w:lineRule="auto"/>
        <w:tabs>
          <w:tab w:leader="none" w:pos="6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63" w:lineRule="exact"/>
        <w:rPr>
          <w:rFonts w:ascii="Arial" w:cs="Arial" w:eastAsia="Arial" w:hAnsi="Arial"/>
          <w:sz w:val="17"/>
          <w:szCs w:val="17"/>
          <w:color w:val="auto"/>
        </w:rPr>
      </w:pPr>
    </w:p>
    <w:p>
      <w:pPr>
        <w:ind w:right="140" w:firstLine="436"/>
        <w:spacing w:after="0" w:line="263"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37" w:name="page138"/>
    <w:bookmarkEnd w:id="137"/>
    <w:p>
      <w:pPr>
        <w:ind w:right="140" w:firstLine="436"/>
        <w:spacing w:after="0" w:line="342" w:lineRule="auto"/>
        <w:tabs>
          <w:tab w:leader="none" w:pos="68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15" w:lineRule="exact"/>
        <w:rPr>
          <w:rFonts w:ascii="Arial" w:cs="Arial" w:eastAsia="Arial" w:hAnsi="Arial"/>
          <w:sz w:val="16"/>
          <w:szCs w:val="16"/>
          <w:color w:val="auto"/>
        </w:rPr>
      </w:pPr>
    </w:p>
    <w:p>
      <w:pPr>
        <w:ind w:right="20" w:firstLine="436"/>
        <w:spacing w:after="0" w:line="277"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each case of clauses (a) through (d) of this definition, as determined in good faith by Crown Holdings in consultation with the Administrative Agent.</w:t>
      </w:r>
    </w:p>
    <w:p>
      <w:pPr>
        <w:spacing w:after="0" w:line="24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the same may at any time be amended, supplemented or otherwise modified in accordance with the terms hereof and in effect.</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Payment</w:t>
      </w:r>
      <w:r>
        <w:rPr>
          <w:rFonts w:ascii="Arial" w:cs="Arial" w:eastAsia="Arial" w:hAnsi="Arial"/>
          <w:sz w:val="18"/>
          <w:szCs w:val="18"/>
          <w:color w:val="auto"/>
        </w:rPr>
        <w:t xml:space="preserve">” means any interest payment, mandatory prepayment or redemption pursuant to the terms of this Agreement or any other Loan Document or any other loan document with respect to any Indebtedness described in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in an amount that is the minimum amount necessary to ensure that such Indebtedness is not treated as an “applicable high yield discount obligation” within the meaning of Section 163(i) of the Code.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at any time, Euro, Sterling and any Agreed Alternative Currency.</w:t>
      </w:r>
    </w:p>
    <w:p>
      <w:pPr>
        <w:spacing w:after="0" w:line="22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u w:val="single" w:color="auto"/>
          <w:color w:val="0000FF"/>
        </w:rPr>
        <w:t>“Alternative Currency Alternate Rate” means</w:t>
      </w:r>
      <w:r>
        <w:rPr>
          <w:rFonts w:ascii="Arial" w:cs="Arial" w:eastAsia="Arial" w:hAnsi="Arial"/>
          <w:sz w:val="16"/>
          <w:szCs w:val="16"/>
          <w:u w:val="single" w:color="auto"/>
          <w:color w:val="008000"/>
        </w:rPr>
        <w:t>, with respect to any Alternative Currency</w:t>
      </w:r>
      <w:r>
        <w:rPr>
          <w:rFonts w:ascii="Arial" w:cs="Arial" w:eastAsia="Arial" w:hAnsi="Arial"/>
          <w:sz w:val="16"/>
          <w:szCs w:val="16"/>
          <w:u w:val="single" w:color="auto"/>
          <w:color w:val="0000FF"/>
        </w:rPr>
        <w:t xml:space="preserve"> in any jurisdiction, the rate of interest per annum notified to the Administrative Agent by that Lender as soon as practicable after notice is given under Section 3.6(c), and in any event before interest is due to be paid in respect of the applicable Borrowing, based on the cost to that Lender of funding its participation in that Loan. Notwithstanding anything to the contrary contained herein, Loans may be made or maintained as Daily Rate Loans only to the extent specified in Section 3.6(c).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6433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934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8491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8375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Loan</w:t>
      </w:r>
      <w:r>
        <w:rPr>
          <w:rFonts w:ascii="Arial" w:cs="Arial" w:eastAsia="Arial" w:hAnsi="Arial"/>
          <w:sz w:val="18"/>
          <w:szCs w:val="18"/>
          <w:color w:val="auto"/>
        </w:rPr>
        <w:t>” means any Loan denominated in a currency other than Dollars or Canadian Dollars.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Affiliates from time to time concerning or relating to bribery or corruption.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B/A Margin</w:t>
      </w:r>
      <w:r>
        <w:rPr>
          <w:rFonts w:ascii="Arial" w:cs="Arial" w:eastAsia="Arial" w:hAnsi="Arial"/>
          <w:sz w:val="17"/>
          <w:szCs w:val="17"/>
          <w:color w:val="auto"/>
        </w:rPr>
        <w:t xml:space="preserve">” means, at any date, (i) from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to the date upon which the Administrative Agent receives the Compliance Certificate related to the financial statements for the Fiscal Quarter ending </w:t>
      </w:r>
      <w:r>
        <w:rPr>
          <w:rFonts w:ascii="Arial" w:cs="Arial" w:eastAsia="Arial" w:hAnsi="Arial"/>
          <w:sz w:val="17"/>
          <w:szCs w:val="17"/>
          <w:color w:val="FF0000"/>
          <w:strike w:val="1"/>
        </w:rPr>
        <w:t>December 31,</w:t>
      </w:r>
      <w:r>
        <w:rPr>
          <w:rFonts w:ascii="Arial" w:cs="Arial" w:eastAsia="Arial" w:hAnsi="Arial"/>
          <w:sz w:val="17"/>
          <w:szCs w:val="17"/>
          <w:color w:val="auto"/>
        </w:rPr>
        <w:t xml:space="preserve"> </w:t>
      </w:r>
      <w:r>
        <w:rPr>
          <w:rFonts w:ascii="Arial" w:cs="Arial" w:eastAsia="Arial" w:hAnsi="Arial"/>
          <w:sz w:val="17"/>
          <w:szCs w:val="17"/>
          <w:color w:val="FF0000"/>
          <w:strike w:val="1"/>
        </w:rPr>
        <w:t>2019, 1.50</w:t>
      </w:r>
      <w:r>
        <w:rPr>
          <w:rFonts w:ascii="Arial" w:cs="Arial" w:eastAsia="Arial" w:hAnsi="Arial"/>
          <w:sz w:val="17"/>
          <w:szCs w:val="17"/>
          <w:u w:val="single" w:color="auto"/>
          <w:color w:val="0000FF"/>
        </w:rPr>
        <w:t>September 30, 2022, 1.25</w:t>
      </w:r>
      <w:r>
        <w:rPr>
          <w:rFonts w:ascii="Arial" w:cs="Arial" w:eastAsia="Arial" w:hAnsi="Arial"/>
          <w:sz w:val="17"/>
          <w:szCs w:val="17"/>
          <w:color w:val="000000"/>
        </w:rPr>
        <w:t>%, and (ii) at any date thereafter, the applicable percentage rate per annum set forth in the following table under</w:t>
      </w:r>
      <w:r>
        <w:rPr>
          <w:rFonts w:ascii="Arial" w:cs="Arial" w:eastAsia="Arial" w:hAnsi="Arial"/>
          <w:sz w:val="17"/>
          <w:szCs w:val="17"/>
          <w:color w:val="FF0000"/>
        </w:rPr>
        <w:t xml:space="preserve"> </w:t>
      </w:r>
      <w:r>
        <w:rPr>
          <w:rFonts w:ascii="Arial" w:cs="Arial" w:eastAsia="Arial" w:hAnsi="Arial"/>
          <w:sz w:val="17"/>
          <w:szCs w:val="17"/>
          <w:color w:val="000000"/>
        </w:rPr>
        <w:t>column Applicable B/A Margin opposite the Most Recent Total Leverage Ratio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-421640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-421640</wp:posOffset>
            </wp:positionV>
            <wp:extent cx="2228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-147320</wp:posOffset>
            </wp:positionV>
            <wp:extent cx="11741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Borders>
              <w:bottom w:val="single" w:sz="8" w:color="auto"/>
            </w:tcBorders>
          </w:tcPr>
          <w:p>
            <w:pPr>
              <w:jc w:val="center"/>
              <w:ind w:left="694"/>
              <w:spacing w:after="0"/>
              <w:rPr>
                <w:sz w:val="20"/>
                <w:szCs w:val="20"/>
                <w:color w:val="auto"/>
              </w:rPr>
            </w:pPr>
            <w:r>
              <w:rPr>
                <w:rFonts w:ascii="Arial" w:cs="Arial" w:eastAsia="Arial" w:hAnsi="Arial"/>
                <w:sz w:val="14"/>
                <w:szCs w:val="14"/>
                <w:b w:val="1"/>
                <w:bCs w:val="1"/>
                <w:color w:val="auto"/>
                <w:w w:val="93"/>
              </w:rPr>
              <w:t>Most Recent Total Leverage Ratio</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Applicable B/A Margin</w:t>
            </w:r>
          </w:p>
        </w:tc>
      </w:tr>
      <w:tr>
        <w:trPr>
          <w:trHeight w:val="195"/>
        </w:trPr>
        <w:tc>
          <w:tcPr>
            <w:tcW w:w="4760" w:type="dxa"/>
            <w:vAlign w:val="bottom"/>
          </w:tcPr>
          <w:p>
            <w:pPr>
              <w:jc w:val="center"/>
              <w:ind w:left="714"/>
              <w:spacing w:after="0" w:line="195" w:lineRule="exact"/>
              <w:rPr>
                <w:sz w:val="20"/>
                <w:szCs w:val="20"/>
                <w:color w:val="auto"/>
              </w:rPr>
            </w:pPr>
            <w:r>
              <w:rPr>
                <w:rFonts w:ascii="Arial" w:cs="Arial" w:eastAsia="Arial" w:hAnsi="Arial"/>
                <w:sz w:val="18"/>
                <w:szCs w:val="18"/>
                <w:color w:val="auto"/>
                <w:w w:val="89"/>
              </w:rPr>
              <w:t>Less than 3.00 to 1.00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jc w:val="center"/>
              <w:spacing w:after="0" w:line="195" w:lineRule="exact"/>
              <w:rPr>
                <w:sz w:val="20"/>
                <w:szCs w:val="20"/>
                <w:color w:val="auto"/>
              </w:rPr>
            </w:pPr>
            <w:r>
              <w:rPr>
                <w:rFonts w:ascii="Arial" w:cs="Arial" w:eastAsia="Arial" w:hAnsi="Arial"/>
                <w:sz w:val="18"/>
                <w:szCs w:val="18"/>
                <w:color w:val="auto"/>
                <w:w w:val="93"/>
              </w:rPr>
              <w:t>1.00%</w:t>
            </w:r>
          </w:p>
        </w:tc>
      </w:tr>
      <w:tr>
        <w:trPr>
          <w:trHeight w:val="216"/>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Equal to or greater than 3.00 to 1.00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but less than 4.00 to 1.00</w:t>
            </w:r>
          </w:p>
        </w:tc>
        <w:tc>
          <w:tcPr>
            <w:tcW w:w="626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1.25%</w:t>
            </w:r>
          </w:p>
        </w:tc>
      </w:tr>
      <w:tr>
        <w:trPr>
          <w:trHeight w:val="230"/>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Equal to or greater than 4.00 to 1.00</w:t>
            </w:r>
          </w:p>
        </w:tc>
        <w:tc>
          <w:tcPr>
            <w:tcW w:w="626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1.50%</w:t>
            </w:r>
          </w:p>
        </w:tc>
      </w:tr>
      <w:tr>
        <w:trPr>
          <w:trHeight w:val="365"/>
        </w:trPr>
        <w:tc>
          <w:tcPr>
            <w:tcW w:w="4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38" w:name="page139"/>
    <w:bookmarkEnd w:id="138"/>
    <w:p>
      <w:pPr>
        <w:ind w:right="40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that the Applicable B/A Margin shall be adjusted pursuant to the Sustainability Rating Adjustment. Any adjustment in the Applicable B/A Margin shall be applicable to all applicable Loans then existing or subsequently made or issued.</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u w:val="single" w:color="auto"/>
          <w:color w:val="0000FF"/>
        </w:rPr>
        <w:t>“Applicable Adjusted Term SOFR Margin” means, with respect to Dollar Revolving Loans, Multicurrency Revolving Loans and Term A Loans, (i</w:t>
      </w:r>
      <w:r>
        <w:rPr>
          <w:rFonts w:ascii="Arial" w:cs="Arial" w:eastAsia="Arial" w:hAnsi="Arial"/>
          <w:sz w:val="18"/>
          <w:szCs w:val="18"/>
          <w:u w:val="single" w:color="auto"/>
          <w:color w:val="008000"/>
        </w:rPr>
        <w:t>) from the Incremental Amendment No.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3 and Fifth Amendment Effective Date to the</w:t>
      </w:r>
      <w:r>
        <w:rPr>
          <w:rFonts w:ascii="Arial" w:cs="Arial" w:eastAsia="Arial" w:hAnsi="Arial"/>
          <w:sz w:val="18"/>
          <w:szCs w:val="18"/>
          <w:color w:val="0000FF"/>
        </w:rPr>
        <w:t xml:space="preserve"> </w:t>
      </w:r>
      <w:r>
        <w:rPr>
          <w:rFonts w:ascii="Arial" w:cs="Arial" w:eastAsia="Arial" w:hAnsi="Arial"/>
          <w:sz w:val="18"/>
          <w:szCs w:val="18"/>
          <w:color w:val="008000"/>
        </w:rPr>
        <w:t>date upon which the Administrative Agent receives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 xml:space="preserve">Compliance Certificate related to the financial statements for the Fiscal Quarter ending September 30, 2022, 1.25%, and (ii) at any date thereafter, the applicable percentage rate per annum set forth in the following table under the column Applicable Adjusted Term SOFR Margin opposite the </w:t>
      </w:r>
      <w:r>
        <w:rPr>
          <w:rFonts w:ascii="Arial" w:cs="Arial" w:eastAsia="Arial" w:hAnsi="Arial"/>
          <w:sz w:val="18"/>
          <w:szCs w:val="18"/>
          <w:u w:val="single" w:color="auto"/>
          <w:color w:val="008000"/>
        </w:rPr>
        <w:t>Most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Recent Total Leverage Ratio </w:t>
      </w:r>
      <w:r>
        <w:rPr>
          <w:rFonts w:ascii="Arial" w:cs="Arial" w:eastAsia="Arial" w:hAnsi="Arial"/>
          <w:sz w:val="18"/>
          <w:szCs w:val="18"/>
          <w:u w:val="single" w:color="auto"/>
          <w:color w:val="0000FF"/>
        </w:rPr>
        <w:t>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6008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5322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-445135</wp:posOffset>
            </wp:positionV>
            <wp:extent cx="25444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408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7119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0485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86" w:lineRule="exact"/>
        <w:rPr>
          <w:sz w:val="20"/>
          <w:szCs w:val="20"/>
          <w:color w:val="auto"/>
        </w:rPr>
      </w:pPr>
    </w:p>
    <w:p>
      <w:pPr>
        <w:ind w:left="1720"/>
        <w:spacing w:after="0"/>
        <w:tabs>
          <w:tab w:leader="none" w:pos="7040" w:val="left"/>
        </w:tabs>
        <w:rPr>
          <w:sz w:val="20"/>
          <w:szCs w:val="20"/>
          <w:color w:val="auto"/>
        </w:rPr>
      </w:pPr>
      <w:r>
        <w:rPr>
          <w:rFonts w:ascii="Arial" w:cs="Arial" w:eastAsia="Arial" w:hAnsi="Arial"/>
          <w:sz w:val="14"/>
          <w:szCs w:val="14"/>
          <w:b w:val="1"/>
          <w:bCs w:val="1"/>
          <w:u w:val="single" w:color="auto"/>
          <w:color w:val="0000FF"/>
        </w:rPr>
        <w:t>Most Recent Total Leverage Ratio</w:t>
      </w:r>
      <w:r>
        <w:rPr>
          <w:sz w:val="20"/>
          <w:szCs w:val="20"/>
          <w:color w:val="auto"/>
        </w:rPr>
        <w:tab/>
      </w:r>
      <w:r>
        <w:rPr>
          <w:rFonts w:ascii="Arial" w:cs="Arial" w:eastAsia="Arial" w:hAnsi="Arial"/>
          <w:sz w:val="13"/>
          <w:szCs w:val="13"/>
          <w:b w:val="1"/>
          <w:bCs w:val="1"/>
          <w:u w:val="single" w:color="auto"/>
          <w:color w:val="0000FF"/>
        </w:rPr>
        <w:t>Applicable Adjusted Term SOFR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5" w:lineRule="exact"/>
        <w:rPr>
          <w:sz w:val="20"/>
          <w:szCs w:val="20"/>
          <w:color w:val="auto"/>
        </w:rPr>
      </w:pPr>
    </w:p>
    <w:p>
      <w:pPr>
        <w:jc w:val="center"/>
        <w:ind w:right="1820"/>
        <w:spacing w:after="0"/>
        <w:rPr>
          <w:sz w:val="20"/>
          <w:szCs w:val="20"/>
          <w:color w:val="auto"/>
        </w:rPr>
      </w:pPr>
      <w:r>
        <w:rPr>
          <w:rFonts w:ascii="Arial" w:cs="Arial" w:eastAsia="Arial" w:hAnsi="Arial"/>
          <w:sz w:val="18"/>
          <w:szCs w:val="18"/>
          <w:u w:val="single" w:color="auto"/>
          <w:color w:val="0000FF"/>
        </w:rPr>
        <w:t>Less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-123190</wp:posOffset>
            </wp:positionV>
            <wp:extent cx="13373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6"/>
          <w:szCs w:val="16"/>
          <w:u w:val="single" w:color="auto"/>
          <w:color w:val="0000FF"/>
        </w:rPr>
        <w:t>Equal to or greater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-107315</wp:posOffset>
            </wp:positionV>
            <wp:extent cx="10115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 w:lineRule="exact"/>
        <w:rPr>
          <w:sz w:val="20"/>
          <w:szCs w:val="20"/>
          <w:color w:val="auto"/>
        </w:rPr>
      </w:pPr>
    </w:p>
    <w:p>
      <w:pPr>
        <w:jc w:val="center"/>
        <w:ind w:right="1820"/>
        <w:spacing w:after="0"/>
        <w:rPr>
          <w:sz w:val="20"/>
          <w:szCs w:val="20"/>
          <w:color w:val="auto"/>
        </w:rPr>
      </w:pPr>
      <w:r>
        <w:rPr>
          <w:rFonts w:ascii="Arial" w:cs="Arial" w:eastAsia="Arial" w:hAnsi="Arial"/>
          <w:sz w:val="18"/>
          <w:szCs w:val="18"/>
          <w:u w:val="single" w:color="auto"/>
          <w:color w:val="0000FF"/>
        </w:rPr>
        <w:t>but less than 4.00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-121920</wp:posOffset>
            </wp:positionV>
            <wp:extent cx="16459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6"/>
          <w:szCs w:val="16"/>
          <w:u w:val="single" w:color="auto"/>
          <w:color w:val="0000FF"/>
        </w:rPr>
        <w:t>Equal to or greater than 4.00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-107315</wp:posOffset>
            </wp:positionV>
            <wp:extent cx="11487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37465</wp:posOffset>
            </wp:positionV>
            <wp:extent cx="16459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-108585</wp:posOffset>
            </wp:positionV>
            <wp:extent cx="16116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36830</wp:posOffset>
            </wp:positionV>
            <wp:extent cx="2914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291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2914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2920"/>
          </w:cols>
          <w:pgMar w:left="440" w:top="274" w:right="439" w:bottom="1440" w:gutter="0" w:footer="0" w:header="0"/>
          <w:type w:val="continuous"/>
        </w:sectPr>
      </w:pPr>
    </w:p>
    <w:p>
      <w:pPr>
        <w:spacing w:after="0" w:line="2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Base Rate Margin</w:t>
      </w:r>
      <w:r>
        <w:rPr>
          <w:rFonts w:ascii="Arial" w:cs="Arial" w:eastAsia="Arial" w:hAnsi="Arial"/>
          <w:sz w:val="18"/>
          <w:szCs w:val="18"/>
          <w:color w:val="auto"/>
        </w:rPr>
        <w:t xml:space="preserve">” means, at any date, with respect to Dollar Revolving Loans and Term A Loans, (i) from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to the date upon which the Administrative Agent receives the Compliance Certificate related to the financial statements for the Fiscal Quarter ending </w:t>
      </w:r>
      <w:r>
        <w:rPr>
          <w:rFonts w:ascii="Arial" w:cs="Arial" w:eastAsia="Arial" w:hAnsi="Arial"/>
          <w:sz w:val="18"/>
          <w:szCs w:val="18"/>
          <w:color w:val="FF0000"/>
          <w:strike w:val="1"/>
        </w:rPr>
        <w:t>December 31, 2019, 0.50</w:t>
      </w:r>
      <w:r>
        <w:rPr>
          <w:rFonts w:ascii="Arial" w:cs="Arial" w:eastAsia="Arial" w:hAnsi="Arial"/>
          <w:sz w:val="18"/>
          <w:szCs w:val="18"/>
          <w:u w:val="single" w:color="auto"/>
          <w:color w:val="0000FF"/>
        </w:rPr>
        <w:t>September 30, 2022, 0.25</w:t>
      </w:r>
      <w:r>
        <w:rPr>
          <w:rFonts w:ascii="Arial" w:cs="Arial" w:eastAsia="Arial" w:hAnsi="Arial"/>
          <w:sz w:val="18"/>
          <w:szCs w:val="18"/>
          <w:color w:val="auto"/>
        </w:rPr>
        <w:t>%, and (ii) at any date thereafter, the applicable percentage rate per annum set forth in the following applicable table under the column Applicable Base Rate Margin opposite the Most Recent Total Leverage Ratio as of such date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Most Recent Total Leverage Ratio</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 Base Rate Margin</w:t>
            </w:r>
          </w:p>
        </w:tc>
      </w:tr>
      <w:tr>
        <w:trPr>
          <w:trHeight w:val="195"/>
        </w:trPr>
        <w:tc>
          <w:tcPr>
            <w:tcW w:w="5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Less than 3.00 to 1.00</w:t>
            </w:r>
          </w:p>
        </w:tc>
        <w:tc>
          <w:tcPr>
            <w:tcW w:w="1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0.00%</w:t>
            </w:r>
          </w:p>
        </w:tc>
      </w:tr>
      <w:tr>
        <w:trPr>
          <w:trHeight w:val="216"/>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Equal to or greater than 3.00 to 1.00</w:t>
            </w:r>
          </w:p>
        </w:tc>
        <w:tc>
          <w:tcPr>
            <w:tcW w:w="5360" w:type="dxa"/>
            <w:vAlign w:val="bottom"/>
          </w:tcPr>
          <w:p>
            <w:pPr>
              <w:spacing w:after="0"/>
              <w:rPr>
                <w:sz w:val="18"/>
                <w:szCs w:val="18"/>
                <w:color w:val="auto"/>
              </w:rPr>
            </w:pPr>
          </w:p>
        </w:tc>
      </w:tr>
      <w:tr>
        <w:trPr>
          <w:trHeight w:val="229"/>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but less than 4.00 to 1.00</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0.25%</w:t>
            </w:r>
          </w:p>
        </w:tc>
      </w:tr>
      <w:tr>
        <w:trPr>
          <w:trHeight w:val="230"/>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Equal to or greater than 4.00 to 1.00</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0.50%</w:t>
            </w:r>
          </w:p>
        </w:tc>
      </w:tr>
    </w:tbl>
    <w:p>
      <w:pPr>
        <w:spacing w:after="0" w:line="202"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Canadian Prime Rate Margin</w:t>
      </w:r>
      <w:r>
        <w:rPr>
          <w:rFonts w:ascii="Arial" w:cs="Arial" w:eastAsia="Arial" w:hAnsi="Arial"/>
          <w:sz w:val="16"/>
          <w:szCs w:val="16"/>
          <w:color w:val="auto"/>
        </w:rPr>
        <w:t xml:space="preserve">” means, at any date, (i) from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December 31, 2019, 0.50</w:t>
      </w:r>
      <w:r>
        <w:rPr>
          <w:rFonts w:ascii="Arial" w:cs="Arial" w:eastAsia="Arial" w:hAnsi="Arial"/>
          <w:sz w:val="16"/>
          <w:szCs w:val="16"/>
          <w:u w:val="single" w:color="auto"/>
          <w:color w:val="0000FF"/>
        </w:rPr>
        <w:t>September 30, 2022, 0.25</w:t>
      </w:r>
      <w:r>
        <w:rPr>
          <w:rFonts w:ascii="Arial" w:cs="Arial" w:eastAsia="Arial" w:hAnsi="Arial"/>
          <w:sz w:val="16"/>
          <w:szCs w:val="16"/>
          <w:color w:val="auto"/>
        </w:rPr>
        <w:t>%, and (ii) at any date thereafter, the applicable percentage rate per annum set forth in the following table under the column Applicable Canadian Prime Rate Margin opposite the Most Recent Total Leverage Ratio as of such date</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Borders>
              <w:bottom w:val="single" w:sz="8" w:color="auto"/>
            </w:tcBorders>
          </w:tcPr>
          <w:p>
            <w:pPr>
              <w:jc w:val="center"/>
              <w:ind w:left="694"/>
              <w:spacing w:after="0"/>
              <w:rPr>
                <w:sz w:val="20"/>
                <w:szCs w:val="20"/>
                <w:color w:val="auto"/>
              </w:rPr>
            </w:pPr>
            <w:r>
              <w:rPr>
                <w:rFonts w:ascii="Arial" w:cs="Arial" w:eastAsia="Arial" w:hAnsi="Arial"/>
                <w:sz w:val="14"/>
                <w:szCs w:val="14"/>
                <w:b w:val="1"/>
                <w:bCs w:val="1"/>
                <w:color w:val="auto"/>
                <w:w w:val="93"/>
              </w:rPr>
              <w:t>Most Recent Total Leverage Ratio</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Applicable Canadian Prime Rate Margin</w:t>
            </w:r>
          </w:p>
        </w:tc>
      </w:tr>
      <w:tr>
        <w:trPr>
          <w:trHeight w:val="195"/>
        </w:trPr>
        <w:tc>
          <w:tcPr>
            <w:tcW w:w="4760" w:type="dxa"/>
            <w:vAlign w:val="bottom"/>
          </w:tcPr>
          <w:p>
            <w:pPr>
              <w:jc w:val="center"/>
              <w:ind w:left="714"/>
              <w:spacing w:after="0" w:line="195" w:lineRule="exact"/>
              <w:rPr>
                <w:sz w:val="20"/>
                <w:szCs w:val="20"/>
                <w:color w:val="auto"/>
              </w:rPr>
            </w:pPr>
            <w:r>
              <w:rPr>
                <w:rFonts w:ascii="Arial" w:cs="Arial" w:eastAsia="Arial" w:hAnsi="Arial"/>
                <w:sz w:val="18"/>
                <w:szCs w:val="18"/>
                <w:color w:val="auto"/>
                <w:w w:val="89"/>
              </w:rPr>
              <w:t>Less than 3.00 to 1.00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jc w:val="center"/>
              <w:spacing w:after="0" w:line="195" w:lineRule="exact"/>
              <w:rPr>
                <w:sz w:val="20"/>
                <w:szCs w:val="20"/>
                <w:color w:val="auto"/>
              </w:rPr>
            </w:pPr>
            <w:r>
              <w:rPr>
                <w:rFonts w:ascii="Arial" w:cs="Arial" w:eastAsia="Arial" w:hAnsi="Arial"/>
                <w:sz w:val="18"/>
                <w:szCs w:val="18"/>
                <w:color w:val="auto"/>
                <w:w w:val="93"/>
              </w:rPr>
              <w:t>0.00%</w:t>
            </w:r>
          </w:p>
        </w:tc>
      </w:tr>
      <w:tr>
        <w:trPr>
          <w:trHeight w:val="216"/>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Equal to or greater than 3.00 to 1.00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but less than 4.00 to 1.00</w:t>
            </w:r>
          </w:p>
        </w:tc>
        <w:tc>
          <w:tcPr>
            <w:tcW w:w="626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0.25%</w:t>
            </w:r>
          </w:p>
        </w:tc>
      </w:tr>
      <w:tr>
        <w:trPr>
          <w:trHeight w:val="230"/>
        </w:trPr>
        <w:tc>
          <w:tcPr>
            <w:tcW w:w="4760" w:type="dxa"/>
            <w:vAlign w:val="bottom"/>
          </w:tcPr>
          <w:p>
            <w:pPr>
              <w:jc w:val="center"/>
              <w:ind w:left="714"/>
              <w:spacing w:after="0"/>
              <w:rPr>
                <w:sz w:val="20"/>
                <w:szCs w:val="20"/>
                <w:color w:val="auto"/>
              </w:rPr>
            </w:pPr>
            <w:r>
              <w:rPr>
                <w:rFonts w:ascii="Arial" w:cs="Arial" w:eastAsia="Arial" w:hAnsi="Arial"/>
                <w:sz w:val="18"/>
                <w:szCs w:val="18"/>
                <w:color w:val="auto"/>
                <w:w w:val="89"/>
              </w:rPr>
              <w:t>Equal to or greater than 4.00 to 1.00</w:t>
            </w:r>
          </w:p>
        </w:tc>
        <w:tc>
          <w:tcPr>
            <w:tcW w:w="626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0.50%</w:t>
            </w:r>
          </w:p>
        </w:tc>
      </w:tr>
      <w:tr>
        <w:trPr>
          <w:trHeight w:val="364"/>
        </w:trPr>
        <w:tc>
          <w:tcPr>
            <w:tcW w:w="4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type w:val="continuous"/>
        </w:sectPr>
      </w:pPr>
    </w:p>
    <w:bookmarkStart w:id="139" w:name="page140"/>
    <w:bookmarkEnd w:id="139"/>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Applicable Commitment Fee Percentage</w:t>
      </w:r>
      <w:r>
        <w:rPr>
          <w:rFonts w:ascii="Arial" w:cs="Arial" w:eastAsia="Arial" w:hAnsi="Arial"/>
          <w:sz w:val="16"/>
          <w:szCs w:val="16"/>
          <w:color w:val="auto"/>
        </w:rPr>
        <w:t xml:space="preserve">” means, at any date, (i) from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December 31, 2019, 0.25</w:t>
      </w:r>
      <w:r>
        <w:rPr>
          <w:rFonts w:ascii="Arial" w:cs="Arial" w:eastAsia="Arial" w:hAnsi="Arial"/>
          <w:sz w:val="16"/>
          <w:szCs w:val="16"/>
          <w:u w:val="single" w:color="auto"/>
          <w:color w:val="0000FF"/>
        </w:rPr>
        <w:t>September 30, 2022, 0.20</w:t>
      </w:r>
      <w:r>
        <w:rPr>
          <w:rFonts w:ascii="Arial" w:cs="Arial" w:eastAsia="Arial" w:hAnsi="Arial"/>
          <w:sz w:val="16"/>
          <w:szCs w:val="16"/>
          <w:color w:val="auto"/>
        </w:rPr>
        <w:t>%, and (ii) at any date thereafter, the applicable percentage rate per annum set forth in the following table under the column Applicable Commitment Fee Percentage opposite the Most Recent Total Leverage Ratio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-430530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-430530</wp:posOffset>
            </wp:positionV>
            <wp:extent cx="22288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-156210</wp:posOffset>
            </wp:positionV>
            <wp:extent cx="11741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Most Recent Total Leverage Ratio</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Applicable Commitment Fee Percentage</w:t>
            </w:r>
          </w:p>
        </w:tc>
      </w:tr>
      <w:tr>
        <w:trPr>
          <w:trHeight w:val="195"/>
        </w:trPr>
        <w:tc>
          <w:tcPr>
            <w:tcW w:w="5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Less than 3.00 to 1.00</w:t>
            </w:r>
          </w:p>
        </w:tc>
        <w:tc>
          <w:tcPr>
            <w:tcW w:w="1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0.15%</w:t>
            </w:r>
          </w:p>
        </w:tc>
      </w:tr>
      <w:tr>
        <w:trPr>
          <w:trHeight w:val="216"/>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Equal to or greater than 3.00 to 1.00</w:t>
            </w:r>
          </w:p>
        </w:tc>
        <w:tc>
          <w:tcPr>
            <w:tcW w:w="5360" w:type="dxa"/>
            <w:vAlign w:val="bottom"/>
          </w:tcPr>
          <w:p>
            <w:pPr>
              <w:spacing w:after="0"/>
              <w:rPr>
                <w:sz w:val="18"/>
                <w:szCs w:val="18"/>
                <w:color w:val="auto"/>
              </w:rPr>
            </w:pPr>
          </w:p>
        </w:tc>
      </w:tr>
      <w:tr>
        <w:trPr>
          <w:trHeight w:val="229"/>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but less than 4.00 to 1.00</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0.20%</w:t>
            </w:r>
          </w:p>
        </w:tc>
      </w:tr>
      <w:tr>
        <w:trPr>
          <w:trHeight w:val="230"/>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Equal to or greater than 4.00 to 1.00</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0.25%</w:t>
            </w:r>
          </w:p>
        </w:tc>
      </w:tr>
    </w:tbl>
    <w:p>
      <w:pPr>
        <w:spacing w:after="0" w:line="20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as to any particular payment or Loan, the currency in which it is denominated or is payable (i.e. Dollars, Canadian Dollars or the applicable Alternative Currency).</w:t>
      </w:r>
    </w:p>
    <w:p>
      <w:pPr>
        <w:spacing w:after="0" w:line="170"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Eurocurrency Margin</w:t>
      </w:r>
      <w:r>
        <w:rPr>
          <w:rFonts w:ascii="Arial" w:cs="Arial" w:eastAsia="Arial" w:hAnsi="Arial"/>
          <w:sz w:val="16"/>
          <w:szCs w:val="16"/>
          <w:color w:val="auto"/>
        </w:rPr>
        <w:t xml:space="preserve">” means, at any date, with respect to </w:t>
      </w:r>
      <w:r>
        <w:rPr>
          <w:rFonts w:ascii="Arial" w:cs="Arial" w:eastAsia="Arial" w:hAnsi="Arial"/>
          <w:sz w:val="16"/>
          <w:szCs w:val="16"/>
          <w:color w:val="FF0000"/>
          <w:strike w:val="1"/>
        </w:rPr>
        <w:t>Canadian Revolving Loans, Dollar Revolving Loans,</w:t>
      </w:r>
      <w:r>
        <w:rPr>
          <w:rFonts w:ascii="Arial" w:cs="Arial" w:eastAsia="Arial" w:hAnsi="Arial"/>
          <w:sz w:val="16"/>
          <w:szCs w:val="16"/>
          <w:color w:val="auto"/>
        </w:rPr>
        <w:t xml:space="preserve"> Multicurrency Revolving Loans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and</w:t>
      </w:r>
      <w:r>
        <w:rPr>
          <w:rFonts w:ascii="Arial" w:cs="Arial" w:eastAsia="Arial" w:hAnsi="Arial"/>
          <w:sz w:val="16"/>
          <w:szCs w:val="16"/>
          <w:color w:val="auto"/>
        </w:rPr>
        <w:t xml:space="preserve"> Term Euro </w:t>
      </w:r>
      <w:r>
        <w:rPr>
          <w:rFonts w:ascii="Arial" w:cs="Arial" w:eastAsia="Arial" w:hAnsi="Arial"/>
          <w:sz w:val="16"/>
          <w:szCs w:val="16"/>
          <w:color w:val="FF0000"/>
          <w:strike w:val="1"/>
        </w:rPr>
        <w:t>Loans and Term A</w:t>
      </w:r>
      <w:r>
        <w:rPr>
          <w:rFonts w:ascii="Arial" w:cs="Arial" w:eastAsia="Arial" w:hAnsi="Arial"/>
          <w:sz w:val="16"/>
          <w:szCs w:val="16"/>
          <w:color w:val="auto"/>
        </w:rPr>
        <w:t xml:space="preserve"> Loans, (i) from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December 31, 2019, 1.50</w:t>
      </w:r>
      <w:r>
        <w:rPr>
          <w:rFonts w:ascii="Arial" w:cs="Arial" w:eastAsia="Arial" w:hAnsi="Arial"/>
          <w:sz w:val="16"/>
          <w:szCs w:val="16"/>
          <w:u w:val="single" w:color="auto"/>
          <w:color w:val="0000FF"/>
        </w:rPr>
        <w:t>September 30, 2022, 1.25</w:t>
      </w:r>
      <w:r>
        <w:rPr>
          <w:rFonts w:ascii="Arial" w:cs="Arial" w:eastAsia="Arial" w:hAnsi="Arial"/>
          <w:sz w:val="16"/>
          <w:szCs w:val="16"/>
          <w:color w:val="000000"/>
        </w:rPr>
        <w:t>% and (ii) at any date thereafter, the applicable percentage rate per annum set forth in the following</w:t>
      </w:r>
      <w:r>
        <w:rPr>
          <w:rFonts w:ascii="Arial" w:cs="Arial" w:eastAsia="Arial" w:hAnsi="Arial"/>
          <w:sz w:val="16"/>
          <w:szCs w:val="16"/>
          <w:color w:val="FF0000"/>
        </w:rPr>
        <w:t xml:space="preserve"> </w:t>
      </w:r>
      <w:r>
        <w:rPr>
          <w:rFonts w:ascii="Arial" w:cs="Arial" w:eastAsia="Arial" w:hAnsi="Arial"/>
          <w:sz w:val="16"/>
          <w:szCs w:val="16"/>
          <w:color w:val="000000"/>
        </w:rPr>
        <w:t>table under the column Applicable Eurocurrency Margin opposite the Most Recent Total Leverage Ratio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-427990</wp:posOffset>
            </wp:positionV>
            <wp:extent cx="1885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-462280</wp:posOffset>
            </wp:positionV>
            <wp:extent cx="1936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-427990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-427990</wp:posOffset>
            </wp:positionV>
            <wp:extent cx="22288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-153670</wp:posOffset>
            </wp:positionV>
            <wp:extent cx="11741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Applicable Eurocurrency Margin</w:t>
            </w:r>
          </w:p>
        </w:tc>
        <w:tc>
          <w:tcPr>
            <w:tcW w:w="3540" w:type="dxa"/>
            <w:vAlign w:val="bottom"/>
          </w:tcPr>
          <w:p>
            <w:pPr>
              <w:spacing w:after="0"/>
              <w:rPr>
                <w:sz w:val="14"/>
                <w:szCs w:val="14"/>
                <w:color w:val="auto"/>
              </w:rPr>
            </w:pPr>
          </w:p>
        </w:tc>
      </w:t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Most Recent Total Leverage Ratio</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FF0000"/>
                <w:strike w:val="1"/>
                <w:w w:val="95"/>
              </w:rPr>
              <w:t>(other than Daily Simple RFR Loans)</w:t>
            </w: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FF0000"/>
                <w:strike w:val="1"/>
                <w:w w:val="95"/>
              </w:rPr>
              <w:t>Daily Simple RFR Loans</w:t>
            </w: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Less than 3.00 to 1.00</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FF0000"/>
                <w:strike w:val="1"/>
                <w:w w:val="92"/>
              </w:rPr>
              <w:t>1.0326%</w:t>
            </w: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Equal to or greater than 3.00 to 1.00</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9"/>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but less than 4.00 to 1.00</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FF0000"/>
                <w:strike w:val="1"/>
                <w:w w:val="92"/>
              </w:rPr>
              <w:t>1.2826%</w:t>
            </w:r>
          </w:p>
        </w:tc>
      </w:tr>
      <w:tr>
        <w:trPr>
          <w:trHeight w:val="230"/>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Equal to or greater than 4.00 to 1.00</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FF0000"/>
                <w:strike w:val="1"/>
                <w:w w:val="92"/>
              </w:rPr>
              <w:t>1.5326%</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the Applicable Eurocurrency Margin shall be adjusted pursuant to the Sustainability Rating Adjustment. Any adjustment in the Applicable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Eurocurrency Margin shall be applicable to all applicable Loans then existing or subsequently made or issued.</w:t>
      </w:r>
    </w:p>
    <w:p>
      <w:pPr>
        <w:spacing w:after="0" w:line="170"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xml:space="preserve">” means, (i) with respect to each of the Facing Agents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the amount set forth opposite such Facing Agent’s name on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 which such entity agrees to become a Facing Agent hereunder, as each of the foregoing amounts may be decreased or increased from time to time with the written consent of Crown Holdings and the Facing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Applicable LC Sublimit with respect to any Facing Agent shall only require the consent of Crown Holdings and such Facing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-836295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-836295</wp:posOffset>
            </wp:positionV>
            <wp:extent cx="22288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0" w:name="page141"/>
    <w:bookmarkEnd w:id="140"/>
    <w:p>
      <w:pPr>
        <w:ind w:right="120" w:firstLine="440"/>
        <w:spacing w:after="0" w:line="30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RFR Margin” means, with respect to Multicurrency Revolving Loans, (i) from the Incremental Amendment No. 3 and Fifth Amendment Effective Date to the date upon which the Administrative Agent receives the Compliance Certificate related to the financial statements for the Fiscal Quarter ending September 30, 2022, 1.2826%, and (ii) at any date thereafter, the applicable percentage rate per annum set forth in the following table under the column Applicable Daily Simple RFR Margin opposite the </w:t>
      </w:r>
      <w:r>
        <w:rPr>
          <w:rFonts w:ascii="Arial" w:cs="Arial" w:eastAsia="Arial" w:hAnsi="Arial"/>
          <w:sz w:val="16"/>
          <w:szCs w:val="16"/>
          <w:u w:val="single" w:color="auto"/>
          <w:color w:val="008000"/>
        </w:rPr>
        <w:t>Most Recent Total Leverage Ratio</w:t>
      </w:r>
      <w:r>
        <w:rPr>
          <w:rFonts w:ascii="Arial" w:cs="Arial" w:eastAsia="Arial" w:hAnsi="Arial"/>
          <w:sz w:val="16"/>
          <w:szCs w:val="16"/>
          <w:u w:val="single" w:color="auto"/>
          <w:color w:val="0000FF"/>
        </w:rPr>
        <w:t xml:space="preserv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231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9005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5665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2147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56" w:lineRule="exact"/>
        <w:rPr>
          <w:sz w:val="20"/>
          <w:szCs w:val="20"/>
          <w:color w:val="auto"/>
        </w:rPr>
      </w:pPr>
    </w:p>
    <w:p>
      <w:pPr>
        <w:ind w:left="1720"/>
        <w:spacing w:after="0"/>
        <w:tabs>
          <w:tab w:leader="none" w:pos="7580" w:val="left"/>
        </w:tabs>
        <w:rPr>
          <w:sz w:val="20"/>
          <w:szCs w:val="20"/>
          <w:color w:val="auto"/>
        </w:rPr>
      </w:pPr>
      <w:r>
        <w:rPr>
          <w:rFonts w:ascii="Arial" w:cs="Arial" w:eastAsia="Arial" w:hAnsi="Arial"/>
          <w:sz w:val="14"/>
          <w:szCs w:val="14"/>
          <w:b w:val="1"/>
          <w:bCs w:val="1"/>
          <w:u w:val="single" w:color="auto"/>
          <w:color w:val="0000FF"/>
        </w:rPr>
        <w:t>Most Recent Total Leverage Ratio</w:t>
      </w:r>
      <w:r>
        <w:rPr>
          <w:sz w:val="20"/>
          <w:szCs w:val="20"/>
          <w:color w:val="auto"/>
        </w:rPr>
        <w:tab/>
      </w:r>
      <w:r>
        <w:rPr>
          <w:rFonts w:ascii="Arial" w:cs="Arial" w:eastAsia="Arial" w:hAnsi="Arial"/>
          <w:sz w:val="13"/>
          <w:szCs w:val="13"/>
          <w:b w:val="1"/>
          <w:bCs w:val="1"/>
          <w:u w:val="single" w:color="auto"/>
          <w:color w:val="0000FF"/>
        </w:rPr>
        <w:t>Applicable RFR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p>
      <w:pPr>
        <w:spacing w:after="0" w:line="25" w:lineRule="exact"/>
        <w:rPr>
          <w:sz w:val="20"/>
          <w:szCs w:val="20"/>
          <w:color w:val="auto"/>
        </w:rPr>
      </w:pPr>
    </w:p>
    <w:p>
      <w:pPr>
        <w:jc w:val="center"/>
        <w:ind w:right="1740"/>
        <w:spacing w:after="0"/>
        <w:rPr>
          <w:sz w:val="20"/>
          <w:szCs w:val="20"/>
          <w:color w:val="auto"/>
        </w:rPr>
      </w:pPr>
      <w:r>
        <w:rPr>
          <w:rFonts w:ascii="Arial" w:cs="Arial" w:eastAsia="Arial" w:hAnsi="Arial"/>
          <w:sz w:val="18"/>
          <w:szCs w:val="18"/>
          <w:u w:val="single" w:color="auto"/>
          <w:color w:val="0000FF"/>
        </w:rPr>
        <w:t>Less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-123190</wp:posOffset>
            </wp:positionV>
            <wp:extent cx="13373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 w:lineRule="exact"/>
        <w:rPr>
          <w:sz w:val="20"/>
          <w:szCs w:val="20"/>
          <w:color w:val="auto"/>
        </w:rPr>
      </w:pPr>
    </w:p>
    <w:p>
      <w:pPr>
        <w:jc w:val="center"/>
        <w:ind w:right="1740"/>
        <w:spacing w:after="0"/>
        <w:rPr>
          <w:sz w:val="20"/>
          <w:szCs w:val="20"/>
          <w:color w:val="auto"/>
        </w:rPr>
      </w:pPr>
      <w:r>
        <w:rPr>
          <w:rFonts w:ascii="Arial" w:cs="Arial" w:eastAsia="Arial" w:hAnsi="Arial"/>
          <w:sz w:val="16"/>
          <w:szCs w:val="16"/>
          <w:u w:val="single" w:color="auto"/>
          <w:color w:val="0000FF"/>
        </w:rPr>
        <w:t>Equal to or greater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-107315</wp:posOffset>
            </wp:positionV>
            <wp:extent cx="10115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 w:lineRule="exact"/>
        <w:rPr>
          <w:sz w:val="20"/>
          <w:szCs w:val="20"/>
          <w:color w:val="auto"/>
        </w:rPr>
      </w:pPr>
    </w:p>
    <w:p>
      <w:pPr>
        <w:jc w:val="center"/>
        <w:ind w:right="1740"/>
        <w:spacing w:after="0"/>
        <w:rPr>
          <w:sz w:val="20"/>
          <w:szCs w:val="20"/>
          <w:color w:val="auto"/>
        </w:rPr>
      </w:pPr>
      <w:r>
        <w:rPr>
          <w:rFonts w:ascii="Arial" w:cs="Arial" w:eastAsia="Arial" w:hAnsi="Arial"/>
          <w:sz w:val="18"/>
          <w:szCs w:val="18"/>
          <w:u w:val="single" w:color="auto"/>
          <w:color w:val="0000FF"/>
        </w:rPr>
        <w:t>but less than 4.00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-121920</wp:posOffset>
            </wp:positionV>
            <wp:extent cx="16459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6"/>
          <w:szCs w:val="16"/>
          <w:u w:val="single" w:color="auto"/>
          <w:color w:val="0000FF"/>
        </w:rPr>
        <w:t>Equal to or greater than 4.00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-107315</wp:posOffset>
            </wp:positionV>
            <wp:extent cx="11487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37465</wp:posOffset>
            </wp:positionV>
            <wp:extent cx="16459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-108585</wp:posOffset>
            </wp:positionV>
            <wp:extent cx="9429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36830</wp:posOffset>
            </wp:positionV>
            <wp:extent cx="4114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1.2826%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4114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411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2960"/>
          </w:cols>
          <w:pgMar w:left="440" w:top="274" w:right="479" w:bottom="1440" w:gutter="0" w:footer="0" w:header="0"/>
          <w:type w:val="continuous"/>
        </w:sectPr>
      </w:pP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that term in the definition of “Cash Equivalents.”</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Member State</w:t>
      </w:r>
      <w:r>
        <w:rPr>
          <w:rFonts w:ascii="Arial" w:cs="Arial" w:eastAsia="Arial" w:hAnsi="Arial"/>
          <w:sz w:val="18"/>
          <w:szCs w:val="18"/>
          <w:color w:val="auto"/>
        </w:rPr>
        <w:t>” means Belgium, France, Germany, Ireland, Italy, Luxembourg, The Netherlands, Spain, Sweden and the United Kingdom.</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xml:space="preserve">” means each of Deutsche Bank Securities Inc., Citibank, N.A., Wells Fargo Securities, LLC, Merrill Lynch, Pierce, Fenner &amp; Smith Incorporated, BNP Paribas, Banco Santander, S.A., Mizuho Bank, Ltd., The Bank of Nova Scotia and TD Bank, N.A., each in its capacity as a joint lead arranger under this Agreement, and each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Arranger.</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Asbestos Payment</w:t>
      </w:r>
      <w:r>
        <w:rPr>
          <w:rFonts w:ascii="Arial" w:cs="Arial" w:eastAsia="Arial" w:hAnsi="Arial"/>
          <w:sz w:val="18"/>
          <w:szCs w:val="18"/>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Disposition</w:t>
      </w:r>
      <w:r>
        <w:rPr>
          <w:rFonts w:ascii="Arial" w:cs="Arial" w:eastAsia="Arial" w:hAnsi="Arial"/>
          <w:sz w:val="16"/>
          <w:szCs w:val="16"/>
          <w:color w:val="auto"/>
        </w:rPr>
        <w:t>” means any sale, transfer, lease, conveyance or other disposition (or series of related sales, leases, transfers or dispositions) of all or any part of (i) an interest in shares of Capital Stock of a Subsidiary of Crown Holdings (other than directors’ qualifying shares) or (ii) property or other assets (each of (i) and (ii) referred to for the purposes of this definition as a “</w:t>
      </w:r>
      <w:r>
        <w:rPr>
          <w:rFonts w:ascii="Arial" w:cs="Arial" w:eastAsia="Arial" w:hAnsi="Arial"/>
          <w:sz w:val="16"/>
          <w:szCs w:val="16"/>
          <w:u w:val="single" w:color="auto"/>
          <w:color w:val="auto"/>
        </w:rPr>
        <w:t>disposition</w:t>
      </w:r>
      <w:r>
        <w:rPr>
          <w:rFonts w:ascii="Arial" w:cs="Arial" w:eastAsia="Arial" w:hAnsi="Arial"/>
          <w:sz w:val="16"/>
          <w:szCs w:val="16"/>
          <w:color w:val="auto"/>
        </w:rPr>
        <w:t xml:space="preserve">”) by Crown Holdings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asset dispositions following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having an aggregate fair market value not in excess of $750,000,000 shall not be deemed an “Asset Disposition” for purposes of this Agreement</w:t>
      </w:r>
      <w:r>
        <w:rPr>
          <w:rFonts w:ascii="Arial" w:cs="Arial" w:eastAsia="Arial" w:hAnsi="Arial"/>
          <w:sz w:val="16"/>
          <w:szCs w:val="16"/>
          <w:i w:val="1"/>
          <w:iCs w:val="1"/>
          <w:color w:val="auto"/>
        </w:rPr>
        <w: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means an Assignment and Assumption Agreement substantially in the form of </w:t>
      </w:r>
      <w:r>
        <w:rPr>
          <w:rFonts w:ascii="Arial" w:cs="Arial" w:eastAsia="Arial" w:hAnsi="Arial"/>
          <w:sz w:val="18"/>
          <w:szCs w:val="18"/>
          <w:u w:val="single" w:color="auto"/>
          <w:color w:val="auto"/>
        </w:rPr>
        <w:t>Exhibit 12.8(d)</w:t>
      </w:r>
      <w:r>
        <w:rPr>
          <w:rFonts w:ascii="Arial" w:cs="Arial" w:eastAsia="Arial" w:hAnsi="Arial"/>
          <w:sz w:val="18"/>
          <w:szCs w:val="18"/>
          <w:color w:val="auto"/>
        </w:rPr>
        <w:t xml:space="preserve"> (or such other form as mutually agreed by Crown Holdings and the Administrative Agent) by any applicable Lender, as assignor, and such Lender’s assignee in accordance with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Attorney Costs</w:t>
      </w:r>
      <w:r>
        <w:rPr>
          <w:rFonts w:ascii="Arial" w:cs="Arial" w:eastAsia="Arial" w:hAnsi="Arial"/>
          <w:sz w:val="17"/>
          <w:szCs w:val="17"/>
          <w:color w:val="auto"/>
        </w:rPr>
        <w:t>” means all reasonable, documented and out-of-pocket fees and disbursements of any law firm or other external counsel, which, in the absence of an Event of Default which is continuing, shall include only the fees and expenses of one joint outside counsel for the Administrative Agent and the Lenders (and special and local counsels in each appropriate jurisdiction, to the extent reasonably necessary).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type w:val="continuous"/>
        </w:sectPr>
      </w:pPr>
    </w:p>
    <w:bookmarkStart w:id="141" w:name="page142"/>
    <w:bookmarkEnd w:id="141"/>
    <w:p>
      <w:pPr>
        <w:ind w:left="4"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Attributable Debt</w:t>
      </w:r>
      <w:r>
        <w:rPr>
          <w:rFonts w:ascii="Arial" w:cs="Arial" w:eastAsia="Arial" w:hAnsi="Arial"/>
          <w:sz w:val="18"/>
          <w:szCs w:val="18"/>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 the liquidation or preference value of outstanding Disqualified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Excluded Attributable Debt shall not constitute Attributable Debt.</w:t>
      </w:r>
    </w:p>
    <w:p>
      <w:pPr>
        <w:spacing w:after="0" w:line="188"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on any date of determination, an amount equal to the sum of (A) 50% of the Consolidated Net Income of 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 Effective Date (other than Capital Stock that is not permitted to be issued under Section 8.1(b)), plus (C) $200,000,000 plus (D) the Retained Declined Proceeds minus (E) the amount of any usage of such Available Amount pursuant to Section 8.4(l), Section 8.8(m) and Section 8.11(b)(s), in each case in this clause (E), prior to such date.</w:t>
      </w:r>
    </w:p>
    <w:p>
      <w:pPr>
        <w:spacing w:after="0" w:line="195" w:lineRule="exact"/>
        <w:rPr>
          <w:sz w:val="20"/>
          <w:szCs w:val="20"/>
          <w:color w:val="auto"/>
        </w:rPr>
      </w:pPr>
    </w:p>
    <w:p>
      <w:pPr>
        <w:jc w:val="both"/>
        <w:ind w:left="4" w:right="2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Canadian Revolving Commitment</w:t>
      </w:r>
      <w:r>
        <w:rPr>
          <w:rFonts w:ascii="Arial" w:cs="Arial" w:eastAsia="Arial" w:hAnsi="Arial"/>
          <w:sz w:val="17"/>
          <w:szCs w:val="17"/>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6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Dollar Revolving Commitment</w:t>
      </w:r>
      <w:r>
        <w:rPr>
          <w:rFonts w:ascii="Arial" w:cs="Arial" w:eastAsia="Arial" w:hAnsi="Arial"/>
          <w:sz w:val="18"/>
          <w:szCs w:val="18"/>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Commitment</w:t>
      </w:r>
      <w:r>
        <w:rPr>
          <w:rFonts w:ascii="Arial" w:cs="Arial" w:eastAsia="Arial" w:hAnsi="Arial"/>
          <w:sz w:val="18"/>
          <w:szCs w:val="18"/>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187"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Sublimit</w:t>
      </w:r>
      <w:r>
        <w:rPr>
          <w:rFonts w:ascii="Arial" w:cs="Arial" w:eastAsia="Arial" w:hAnsi="Arial"/>
          <w:sz w:val="18"/>
          <w:szCs w:val="18"/>
          <w:color w:val="auto"/>
        </w:rPr>
        <w:t>” means, as to European Borrower or any Subsidiary Borrower at any time an amount equal to</w:t>
      </w:r>
    </w:p>
    <w:p>
      <w:pPr>
        <w:spacing w:after="0" w:line="23" w:lineRule="exact"/>
        <w:rPr>
          <w:sz w:val="20"/>
          <w:szCs w:val="20"/>
          <w:color w:val="auto"/>
        </w:rPr>
      </w:pPr>
    </w:p>
    <w:p>
      <w:pPr>
        <w:jc w:val="both"/>
        <w:ind w:left="4" w:right="600" w:hanging="4"/>
        <w:spacing w:after="0" w:line="255"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Borrower’s Multicurrency Revolving Sublimit at such time minus (ii) the sum of (a) the aggregate Effective Amount of then outstanding Multicurrency Revolving Loans made to such Borrower plus (b) the Effective Amount of such Borrower’s LC Obligations plus (c) the aggregate Effective Amount of then outstanding Swing Line Loans made to such Borrower.</w:t>
      </w:r>
    </w:p>
    <w:p>
      <w:pPr>
        <w:spacing w:after="0" w:line="190"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u w:val="single" w:color="auto"/>
          <w:color w:val="0000FF"/>
        </w:rPr>
        <w:t>“Available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-682625</wp:posOffset>
            </wp:positionV>
            <wp:extent cx="66605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69519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9608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9608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866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0801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42" w:name="page143"/>
    <w:bookmarkEnd w:id="14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B/A Equivalent Loan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2A.9(h)</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Loan</w:t>
      </w:r>
      <w:r>
        <w:rPr>
          <w:rFonts w:ascii="Arial" w:cs="Arial" w:eastAsia="Arial" w:hAnsi="Arial"/>
          <w:sz w:val="16"/>
          <w:szCs w:val="16"/>
          <w:color w:val="auto"/>
        </w:rPr>
        <w:t xml:space="preserve">” means a Borrowing comprised of one or more Bankers’ Acceptances or, as applicable, B/A Equivalent Loans. For greater certainty, all provisions of this Agreement which are applicable to Bankers’ Acceptances are also applicable,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B/A Equivalent Loans.</w:t>
      </w:r>
    </w:p>
    <w:p>
      <w:pPr>
        <w:spacing w:after="0" w:line="12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-10795</wp:posOffset>
            </wp:positionV>
            <wp:extent cx="3943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5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FF"/>
        </w:rPr>
        <w:t>, 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and (b) with respect to the United Kingdom, Part I of the United Kingdom Banking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-682625</wp:posOffset>
            </wp:positionV>
            <wp:extent cx="1543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-716915</wp:posOffset>
            </wp:positionV>
            <wp:extent cx="1549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4940" cy="825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-545465</wp:posOffset>
            </wp:positionV>
            <wp:extent cx="14312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-408305</wp:posOffset>
            </wp:positionV>
            <wp:extent cx="38404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-442595</wp:posOffset>
            </wp:positionV>
            <wp:extent cx="38398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39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9780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6262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6172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72" w:lineRule="exact"/>
        <w:rPr>
          <w:sz w:val="20"/>
          <w:szCs w:val="20"/>
          <w:color w:val="auto"/>
        </w:rPr>
      </w:pPr>
    </w:p>
    <w:p>
      <w:pPr>
        <w:jc w:val="both"/>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Related Cash Management Agreement</w:t>
      </w:r>
      <w:r>
        <w:rPr>
          <w:rFonts w:ascii="Arial" w:cs="Arial" w:eastAsia="Arial" w:hAnsi="Arial"/>
          <w:sz w:val="18"/>
          <w:szCs w:val="18"/>
          <w:color w:val="auto"/>
        </w:rPr>
        <w:t xml:space="preserve">” means agreements of Crown Holdings or any of its Subsidiaries arising from treasury, depository, cash management services (but excluding credit and debit cards) and letter of credit facilities pursuant to </w:t>
      </w:r>
      <w:r>
        <w:rPr>
          <w:rFonts w:ascii="Arial" w:cs="Arial" w:eastAsia="Arial" w:hAnsi="Arial"/>
          <w:sz w:val="18"/>
          <w:szCs w:val="18"/>
          <w:u w:val="single" w:color="auto"/>
          <w:color w:val="auto"/>
        </w:rPr>
        <w:t>Section 8.1(a)(xxviii)</w:t>
      </w:r>
      <w:r>
        <w:rPr>
          <w:rFonts w:ascii="Arial" w:cs="Arial" w:eastAsia="Arial" w:hAnsi="Arial"/>
          <w:sz w:val="18"/>
          <w:szCs w:val="18"/>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87" w:lineRule="exact"/>
        <w:rPr>
          <w:sz w:val="20"/>
          <w:szCs w:val="20"/>
          <w:color w:val="auto"/>
        </w:rPr>
      </w:pPr>
    </w:p>
    <w:p>
      <w:pPr>
        <w:jc w:val="both"/>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Related Debt</w:t>
      </w:r>
      <w:r>
        <w:rPr>
          <w:rFonts w:ascii="Arial" w:cs="Arial" w:eastAsia="Arial" w:hAnsi="Arial"/>
          <w:sz w:val="18"/>
          <w:szCs w:val="18"/>
          <w:color w:val="auto"/>
        </w:rPr>
        <w:t xml:space="preserve">” means obligations under Hedging Agreements, letter of credit facilities pursuant to </w:t>
      </w:r>
      <w:r>
        <w:rPr>
          <w:rFonts w:ascii="Arial" w:cs="Arial" w:eastAsia="Arial" w:hAnsi="Arial"/>
          <w:sz w:val="18"/>
          <w:szCs w:val="18"/>
          <w:u w:val="single" w:color="auto"/>
          <w:color w:val="auto"/>
        </w:rPr>
        <w:t>Section 8.1(a)(xxviii)</w:t>
      </w:r>
      <w:r>
        <w:rPr>
          <w:rFonts w:ascii="Arial" w:cs="Arial" w:eastAsia="Arial" w:hAnsi="Arial"/>
          <w:sz w:val="18"/>
          <w:szCs w:val="18"/>
          <w:color w:val="auto"/>
        </w:rPr>
        <w:t>, and Bank Related Cash Management Agreements owed to counterparties that are Administrative Agent, U.K. Administrative Agent, Canadian Administrative Agent or a Lender or any Affiliate thereof at the time such Hedging Agreement, letter of credit facility or Bank Related Cash Management Agreement was entered into (any such Person, a “</w:t>
      </w:r>
      <w:r>
        <w:rPr>
          <w:rFonts w:ascii="Arial" w:cs="Arial" w:eastAsia="Arial" w:hAnsi="Arial"/>
          <w:sz w:val="18"/>
          <w:szCs w:val="18"/>
          <w:u w:val="single" w:color="auto"/>
          <w:color w:val="auto"/>
        </w:rPr>
        <w:t>Hedge Bank</w:t>
      </w:r>
      <w:r>
        <w:rPr>
          <w:rFonts w:ascii="Arial" w:cs="Arial" w:eastAsia="Arial" w:hAnsi="Arial"/>
          <w:sz w:val="18"/>
          <w:szCs w:val="18"/>
          <w:color w:val="auto"/>
        </w:rPr>
        <w:t>”) to the extent permitted hereunder.</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and “</w:t>
      </w:r>
      <w:r>
        <w:rPr>
          <w:rFonts w:ascii="Arial" w:cs="Arial" w:eastAsia="Arial" w:hAnsi="Arial"/>
          <w:sz w:val="18"/>
          <w:szCs w:val="18"/>
          <w:u w:val="single" w:color="auto"/>
          <w:color w:val="auto"/>
        </w:rPr>
        <w:t>B/A</w:t>
      </w:r>
      <w:r>
        <w:rPr>
          <w:rFonts w:ascii="Arial" w:cs="Arial" w:eastAsia="Arial" w:hAnsi="Arial"/>
          <w:sz w:val="18"/>
          <w:szCs w:val="18"/>
          <w:color w:val="auto"/>
        </w:rPr>
        <w:t>” mean a depository bill within the meaning of the Depository Bills and Notes Act (Canada) or a bill of exchange within the meaning of the Bills of Exchange Act (Canada), in each case, denominated in Canadian Dollars, drawn by Canadian Borrower, and accepted by a Canadian Revolving Lender in accordance with this Agreement.</w:t>
      </w:r>
    </w:p>
    <w:p>
      <w:pPr>
        <w:spacing w:after="0" w:line="184"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187"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the </w:t>
      </w:r>
      <w:r>
        <w:rPr>
          <w:rFonts w:ascii="Arial" w:cs="Arial" w:eastAsia="Arial" w:hAnsi="Arial"/>
          <w:sz w:val="16"/>
          <w:szCs w:val="16"/>
          <w:color w:val="FF0000"/>
          <w:strike w:val="1"/>
        </w:rPr>
        <w:t>greater</w:t>
      </w:r>
      <w:r>
        <w:rPr>
          <w:rFonts w:ascii="Arial" w:cs="Arial" w:eastAsia="Arial" w:hAnsi="Arial"/>
          <w:sz w:val="16"/>
          <w:szCs w:val="16"/>
          <w:u w:val="single" w:color="auto"/>
          <w:color w:val="0000FF"/>
        </w:rPr>
        <w:t>greatest</w:t>
      </w:r>
      <w:r>
        <w:rPr>
          <w:rFonts w:ascii="Arial" w:cs="Arial" w:eastAsia="Arial" w:hAnsi="Arial"/>
          <w:sz w:val="16"/>
          <w:szCs w:val="16"/>
          <w:color w:val="auto"/>
        </w:rPr>
        <w:t xml:space="preserve"> of (i) the rate most recently announced by the Administrative Agent at its principal office as its “prime rate,” which is not necessarily the lowest rate made available by the Administrative Agent, (ii) the Federal Funds Rate plus 1/2 of 1% per annum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-127635</wp:posOffset>
            </wp:positionV>
            <wp:extent cx="36004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ind w:left="4" w:right="220" w:hanging="4"/>
        <w:spacing w:after="0" w:line="292" w:lineRule="auto"/>
        <w:tabs>
          <w:tab w:leader="none" w:pos="3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Adjusted Term SOFR</w:t>
      </w:r>
      <w:r>
        <w:rPr>
          <w:rFonts w:ascii="Arial" w:cs="Arial" w:eastAsia="Arial" w:hAnsi="Arial"/>
          <w:sz w:val="16"/>
          <w:szCs w:val="16"/>
          <w:color w:val="auto"/>
        </w:rPr>
        <w:t xml:space="preserve"> plus 1.00%. The “prime rate” announced by the Administrative Agent is evidenced by the recording thereof after its announcement in such internal publication or publications as the Administrative Agent may designate. Any change in the interest rate resulting from a change in such “prime rate” announced by the Administrative Agent shall become effective without prior notice to Borrower as of 12:01 a.m. (New York City time) on the Business Day on which each change in such “prime rate” is announced by the Administrative Agent. The Administrative Agent may make commercial or other loans to others at rates of interest at, above or below its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-564515</wp:posOffset>
            </wp:positionV>
            <wp:extent cx="9944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43" w:name="page144"/>
    <w:bookmarkEnd w:id="14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any Loan which bears interest at a rate determined with reference to the Base Rate.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“Base Rate Term SOFR Determination Day” has the meaning specified in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48520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w:t>
      </w:r>
    </w:p>
    <w:p>
      <w:pPr>
        <w:spacing w:after="0" w:line="117" w:lineRule="exact"/>
        <w:rPr>
          <w:sz w:val="20"/>
          <w:szCs w:val="20"/>
          <w:color w:val="auto"/>
        </w:rPr>
      </w:pPr>
    </w:p>
    <w:p>
      <w:pPr>
        <w:ind w:left="4" w:right="300" w:firstLine="436"/>
        <w:spacing w:after="0" w:line="259"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78" w:lineRule="exact"/>
        <w:rPr>
          <w:rFonts w:ascii="Arial" w:cs="Arial" w:eastAsia="Arial" w:hAnsi="Arial"/>
          <w:sz w:val="18"/>
          <w:szCs w:val="18"/>
          <w:color w:val="auto"/>
        </w:rPr>
      </w:pPr>
    </w:p>
    <w:p>
      <w:pPr>
        <w:ind w:left="4" w:right="480" w:firstLine="436"/>
        <w:spacing w:after="0" w:line="263" w:lineRule="auto"/>
        <w:tabs>
          <w:tab w:leader="none" w:pos="6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7"/>
          <w:szCs w:val="17"/>
          <w:u w:val="single" w:color="auto"/>
          <w:color w:val="0000FF"/>
        </w:rPr>
        <w:t>“Benchmark” means, initially, (w) the Term SOFR Reference Rate (in the case of Dollars), (x) the Eurocurrency Rate (in the case of Euros),</w:t>
      </w:r>
    </w:p>
    <w:p>
      <w:pPr>
        <w:spacing w:after="0" w:line="35" w:lineRule="exact"/>
        <w:rPr>
          <w:sz w:val="20"/>
          <w:szCs w:val="20"/>
          <w:color w:val="auto"/>
        </w:rPr>
      </w:pPr>
    </w:p>
    <w:p>
      <w:pPr>
        <w:ind w:left="4" w:hanging="4"/>
        <w:spacing w:after="0" w:line="253" w:lineRule="auto"/>
        <w:tabs>
          <w:tab w:leader="none" w:pos="259"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SONIA (</w:t>
      </w:r>
      <w:r>
        <w:rPr>
          <w:rFonts w:ascii="Arial" w:cs="Arial" w:eastAsia="Arial" w:hAnsi="Arial"/>
          <w:sz w:val="18"/>
          <w:szCs w:val="18"/>
          <w:u w:val="single" w:color="auto"/>
          <w:color w:val="008000"/>
        </w:rPr>
        <w:t>in the case of Sterling</w:t>
      </w:r>
      <w:r>
        <w:rPr>
          <w:rFonts w:ascii="Arial" w:cs="Arial" w:eastAsia="Arial" w:hAnsi="Arial"/>
          <w:sz w:val="18"/>
          <w:szCs w:val="18"/>
          <w:u w:val="single" w:color="auto"/>
          <w:color w:val="0000FF"/>
        </w:rPr>
        <w:t>) and (z) the Canadian Prime Rate (in the case of Canadian Dollars); provided that if a Benchmark Transition Event has occurred with respect to any of the aforementioned rates or the then-current Benchmark, in each case for the applicable currency, then “Benchmark” for such currency means the applicable Benchmark Replacement for such currency to the extent that such Benchmark Replacement has replaced such prior benchmark rate for such currency pursuant to Section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-544830</wp:posOffset>
            </wp:positionV>
            <wp:extent cx="64033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84911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960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8408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8975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73"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u w:val="single" w:color="auto"/>
          <w:color w:val="0000FF"/>
        </w:rPr>
        <w:t>“Benchmark Replacement” means, with respect to any Benchmark Transition Event, the first alternative set forth in the order below that can be determined by the 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5493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41319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42" w:lineRule="exact"/>
        <w:rPr>
          <w:sz w:val="20"/>
          <w:szCs w:val="20"/>
          <w:color w:val="auto"/>
        </w:rPr>
      </w:pPr>
    </w:p>
    <w:p>
      <w:pPr>
        <w:ind w:left="684" w:hanging="244"/>
        <w:spacing w:after="0"/>
        <w:tabs>
          <w:tab w:leader="none" w:pos="684" w:val="left"/>
        </w:tabs>
        <w:numPr>
          <w:ilvl w:val="1"/>
          <w:numId w:val="1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solely</w:t>
      </w:r>
      <w:r>
        <w:rPr>
          <w:rFonts w:ascii="Arial" w:cs="Arial" w:eastAsia="Arial" w:hAnsi="Arial"/>
          <w:sz w:val="16"/>
          <w:szCs w:val="16"/>
          <w:color w:val="0000FF"/>
        </w:rPr>
        <w:t xml:space="preserve"> </w:t>
      </w:r>
      <w:r>
        <w:rPr>
          <w:rFonts w:ascii="Arial" w:cs="Arial" w:eastAsia="Arial" w:hAnsi="Arial"/>
          <w:sz w:val="16"/>
          <w:szCs w:val="16"/>
          <w:color w:val="008000"/>
        </w:rPr>
        <w:t>in the case of 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Benchmark Transition Event with respect to the Term SOFR Reference Rate, the sum of (i) Daily Simple SOFR and</w:t>
      </w:r>
    </w:p>
    <w:p>
      <w:pPr>
        <w:spacing w:after="0" w:line="46" w:lineRule="exact"/>
        <w:rPr>
          <w:rFonts w:ascii="Arial" w:cs="Arial" w:eastAsia="Arial" w:hAnsi="Arial"/>
          <w:sz w:val="16"/>
          <w:szCs w:val="16"/>
          <w:u w:val="single" w:color="auto"/>
          <w:color w:val="0000FF"/>
        </w:rPr>
      </w:pPr>
    </w:p>
    <w:p>
      <w:pPr>
        <w:ind w:left="264" w:hanging="264"/>
        <w:spacing w:after="0"/>
        <w:tabs>
          <w:tab w:leader="none" w:pos="264"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0.10% (10 basis points); or</w:t>
      </w:r>
    </w:p>
    <w:p>
      <w:pPr>
        <w:spacing w:after="0" w:line="102" w:lineRule="exact"/>
        <w:rPr>
          <w:rFonts w:ascii="Arial" w:cs="Arial" w:eastAsia="Arial" w:hAnsi="Arial"/>
          <w:sz w:val="18"/>
          <w:szCs w:val="18"/>
          <w:u w:val="single" w:color="auto"/>
          <w:color w:val="0000FF"/>
        </w:rPr>
      </w:pPr>
    </w:p>
    <w:p>
      <w:pPr>
        <w:ind w:left="704" w:hanging="264"/>
        <w:spacing w:after="0"/>
        <w:tabs>
          <w:tab w:leader="none" w:pos="704" w:val="left"/>
        </w:tabs>
        <w:numPr>
          <w:ilvl w:val="1"/>
          <w:numId w:val="1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sum of: (i) the alternate benchmark rate that has been selected by the Administrative Agent and the Company giving due consideration to</w:t>
      </w:r>
    </w:p>
    <w:p>
      <w:pPr>
        <w:spacing w:after="0" w:line="46" w:lineRule="exact"/>
        <w:rPr>
          <w:rFonts w:ascii="Arial" w:cs="Arial" w:eastAsia="Arial" w:hAnsi="Arial"/>
          <w:sz w:val="16"/>
          <w:szCs w:val="16"/>
          <w:u w:val="single" w:color="auto"/>
          <w:color w:val="0000FF"/>
        </w:rPr>
      </w:pPr>
    </w:p>
    <w:p>
      <w:pPr>
        <w:ind w:left="4" w:right="180"/>
        <w:spacing w:after="0" w:line="302" w:lineRule="auto"/>
        <w:rPr>
          <w:rFonts w:ascii="Arial" w:cs="Arial" w:eastAsia="Arial" w:hAnsi="Arial"/>
          <w:sz w:val="16"/>
          <w:szCs w:val="16"/>
          <w:u w:val="single" w:color="auto"/>
          <w:color w:val="0000FF"/>
        </w:rPr>
      </w:pPr>
      <w:r>
        <w:rPr>
          <w:rFonts w:ascii="Arial" w:cs="Arial" w:eastAsia="Arial" w:hAnsi="Arial"/>
          <w:sz w:val="16"/>
          <w:szCs w:val="16"/>
          <w:u w:val="single" w:color="auto"/>
          <w:color w:val="0000FF"/>
        </w:rPr>
        <w:t>(A)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-808990</wp:posOffset>
            </wp:positionV>
            <wp:extent cx="6480810" cy="431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8081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-637540</wp:posOffset>
            </wp:positionV>
            <wp:extent cx="1405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-431800</wp:posOffset>
            </wp:positionV>
            <wp:extent cx="66008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-294640</wp:posOffset>
            </wp:positionV>
            <wp:extent cx="67633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68408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56661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13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u w:val="single" w:color="auto"/>
          <w:color w:val="0000FF"/>
        </w:rPr>
        <w:t>If the Benchmark Replacement as determined pursuant to clause (a) or (b) above would be less than the Floor, the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5836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42773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8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144" w:name="page145"/>
    <w:bookmarkEnd w:id="144"/>
    <w:p>
      <w:pPr>
        <w:ind w:right="20" w:firstLine="440"/>
        <w:spacing w:after="0" w:line="29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“Benchmark Replacement </w:t>
      </w:r>
      <w:r>
        <w:rPr>
          <w:rFonts w:ascii="Arial" w:cs="Arial" w:eastAsia="Arial" w:hAnsi="Arial"/>
          <w:sz w:val="16"/>
          <w:szCs w:val="16"/>
          <w:u w:val="single" w:color="auto"/>
          <w:color w:val="008000"/>
        </w:rPr>
        <w:t>Adjustment” means, with respect to</w:t>
      </w:r>
      <w:r>
        <w:rPr>
          <w:rFonts w:ascii="Arial" w:cs="Arial" w:eastAsia="Arial" w:hAnsi="Arial"/>
          <w:sz w:val="16"/>
          <w:szCs w:val="16"/>
          <w:u w:val="single" w:color="auto"/>
          <w:color w:val="0000FF"/>
        </w:rPr>
        <w:t xml:space="preserve">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-836295</wp:posOffset>
            </wp:positionV>
            <wp:extent cx="65493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80656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934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8237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6433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8237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498030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14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u w:val="single" w:color="auto"/>
          <w:color w:val="0000FF"/>
        </w:rPr>
        <w:t>“Benchmark Replacement Date” means a date and time determined by the Administrative Agent, which date shall be no later than the earliest to occur of the following events with respect to the then-current Benchmark for any applicable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919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6634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42" w:lineRule="exact"/>
        <w:rPr>
          <w:sz w:val="20"/>
          <w:szCs w:val="20"/>
          <w:color w:val="auto"/>
        </w:rPr>
      </w:pPr>
    </w:p>
    <w:p>
      <w:pPr>
        <w:ind w:firstLine="436"/>
        <w:spacing w:after="0" w:line="286" w:lineRule="auto"/>
        <w:tabs>
          <w:tab w:leader="none" w:pos="685" w:val="left"/>
        </w:tabs>
        <w:numPr>
          <w:ilvl w:val="0"/>
          <w:numId w:val="20"/>
        </w:numPr>
        <w:rPr>
          <w:rFonts w:ascii="Arial" w:cs="Arial" w:eastAsia="Arial" w:hAnsi="Arial"/>
          <w:sz w:val="17"/>
          <w:szCs w:val="17"/>
          <w:u w:val="single" w:color="auto"/>
          <w:color w:val="0000FF"/>
        </w:rPr>
      </w:pPr>
      <w:r>
        <w:rPr>
          <w:rFonts w:ascii="Arial" w:cs="Arial" w:eastAsia="Arial" w:hAnsi="Arial"/>
          <w:sz w:val="17"/>
          <w:szCs w:val="17"/>
          <w:u w:val="single" w:color="auto"/>
          <w:color w:val="008000"/>
        </w:rPr>
        <w:t>in the case of clause (</w:t>
      </w:r>
      <w:r>
        <w:rPr>
          <w:rFonts w:ascii="Arial" w:cs="Arial" w:eastAsia="Arial" w:hAnsi="Arial"/>
          <w:sz w:val="17"/>
          <w:szCs w:val="17"/>
          <w:u w:val="single" w:color="auto"/>
          <w:color w:val="0000FF"/>
        </w:rPr>
        <w:t>a) or (b) of the definition of “Benchmark Transition Event,” the later of (i) the date of the public statement or publication</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57" w:lineRule="exact"/>
        <w:rPr>
          <w:rFonts w:ascii="Arial" w:cs="Arial" w:eastAsia="Arial" w:hAnsi="Arial"/>
          <w:sz w:val="17"/>
          <w:szCs w:val="17"/>
          <w:u w:val="single" w:color="auto"/>
          <w:color w:val="0000FF"/>
        </w:rPr>
      </w:pPr>
    </w:p>
    <w:p>
      <w:pPr>
        <w:ind w:right="100" w:firstLine="436"/>
        <w:spacing w:after="0" w:line="257" w:lineRule="auto"/>
        <w:tabs>
          <w:tab w:leader="none" w:pos="695" w:val="left"/>
        </w:tabs>
        <w:numPr>
          <w:ilvl w:val="0"/>
          <w:numId w:val="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in the case of </w:t>
      </w:r>
      <w:r>
        <w:rPr>
          <w:rFonts w:ascii="Arial" w:cs="Arial" w:eastAsia="Arial" w:hAnsi="Arial"/>
          <w:sz w:val="18"/>
          <w:szCs w:val="18"/>
          <w:u w:val="single" w:color="auto"/>
          <w:color w:val="008000"/>
        </w:rPr>
        <w:t>clause (c) of the definition of “</w:t>
      </w:r>
      <w:r>
        <w:rPr>
          <w:rFonts w:ascii="Arial" w:cs="Arial" w:eastAsia="Arial" w:hAnsi="Arial"/>
          <w:sz w:val="18"/>
          <w:szCs w:val="18"/>
          <w:u w:val="single" w:color="auto"/>
          <w:color w:val="0000FF"/>
        </w:rPr>
        <w:t>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-1028065</wp:posOffset>
            </wp:positionV>
            <wp:extent cx="66605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-890905</wp:posOffset>
            </wp:positionV>
            <wp:extent cx="68319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-753745</wp:posOffset>
            </wp:positionV>
            <wp:extent cx="57950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-548005</wp:posOffset>
            </wp:positionV>
            <wp:extent cx="62407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8319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379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922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0369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0000FF"/>
        </w:rPr>
        <w:t>For the avoidance of doubt, the “Benchmark Replacement Date” will be deemed to have occurred in the case of clause (a) or (b) with respect to any Benchmark for any applicable currency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5576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522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5002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u w:val="single" w:color="auto"/>
          <w:color w:val="0000FF"/>
        </w:rPr>
        <w:t>“Benchmark Transition Event” means the occurrence of one or more of the following events with respect to the then-current Benchmark for any applicable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919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9258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42" w:lineRule="exact"/>
        <w:rPr>
          <w:sz w:val="20"/>
          <w:szCs w:val="20"/>
          <w:color w:val="auto"/>
        </w:rPr>
      </w:pPr>
    </w:p>
    <w:p>
      <w:pPr>
        <w:ind w:firstLine="436"/>
        <w:spacing w:after="0" w:line="259" w:lineRule="auto"/>
        <w:tabs>
          <w:tab w:leader="none" w:pos="685"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u w:val="single" w:color="auto"/>
          <w:color w:val="0000FF"/>
        </w:rPr>
      </w:pPr>
    </w:p>
    <w:p>
      <w:pPr>
        <w:ind w:firstLine="436"/>
        <w:spacing w:after="0" w:line="275" w:lineRule="auto"/>
        <w:tabs>
          <w:tab w:leader="none" w:pos="695" w:val="left"/>
        </w:tabs>
        <w:numPr>
          <w:ilvl w:val="0"/>
          <w:numId w:val="2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-1172845</wp:posOffset>
            </wp:positionV>
            <wp:extent cx="66090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-1035685</wp:posOffset>
            </wp:positionV>
            <wp:extent cx="65747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-898525</wp:posOffset>
            </wp:positionV>
            <wp:extent cx="69519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-761365</wp:posOffset>
            </wp:positionV>
            <wp:extent cx="41148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-555625</wp:posOffset>
            </wp:positionV>
            <wp:extent cx="635190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0054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094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437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50749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145" w:name="page146"/>
    <w:bookmarkEnd w:id="145"/>
    <w:p>
      <w:pPr>
        <w:ind w:right="200"/>
        <w:spacing w:after="0" w:line="342"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5919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8237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ind w:right="360" w:firstLine="436"/>
        <w:spacing w:after="0" w:line="263" w:lineRule="auto"/>
        <w:tabs>
          <w:tab w:leader="none" w:pos="685" w:val="left"/>
        </w:tabs>
        <w:numPr>
          <w:ilvl w:val="0"/>
          <w:numId w:val="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3436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208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1774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 with respect to any Benchmark for any applicable currency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6008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776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3343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0000FF"/>
        </w:rPr>
        <w:t>“Benchmark Unavailability Period” means, the period (if any) (a) beginning at the time that a Benchmark Replacement Date for any applicable currency has occurred if, at such time, no Benchmark Replacement for such applicable currency has replaced the then-current Benchmark for such currency for all purposes hereunder and under any Loan Document in accordance with Section 3.8 and (b) ending at the time that a Benchmark Replacement for such currency has replaced the then-current Benchmark for such currency for all purposes hereunder and under any Loan Document in accordance with Section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5493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036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5405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43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3201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BIA</w:t>
      </w:r>
      <w:r>
        <w:rPr>
          <w:rFonts w:ascii="Arial" w:cs="Arial" w:eastAsia="Arial" w:hAnsi="Arial"/>
          <w:sz w:val="18"/>
          <w:szCs w:val="18"/>
          <w:color w:val="auto"/>
        </w:rPr>
        <w:t>” means the Bankruptcy and Insolvency Act (Canada),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Bookrunner</w:t>
      </w:r>
      <w:r>
        <w:rPr>
          <w:rFonts w:ascii="Arial" w:cs="Arial" w:eastAsia="Arial" w:hAnsi="Arial"/>
          <w:sz w:val="18"/>
          <w:szCs w:val="18"/>
          <w:color w:val="auto"/>
        </w:rPr>
        <w:t>” means each of Deutsche Bank Securities Inc., Citibank, N.A., Wells Fargo Securities, LLC, Merrill Lynch, Pierce, Fenner &amp; Smith Incorporated, BNP Paribas, Banco Santander, S.A., Mizuho Bank, Ltd., The Bank of Nova Scotia</w:t>
      </w:r>
      <w:r>
        <w:rPr>
          <w:rFonts w:ascii="Arial" w:cs="Arial" w:eastAsia="Arial" w:hAnsi="Arial"/>
          <w:sz w:val="18"/>
          <w:szCs w:val="18"/>
          <w:u w:val="single" w:color="auto"/>
          <w:color w:val="0000FF"/>
        </w:rPr>
        <w:t>, Bofa Securities, Inc., Unicredit Bank AG, PNC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Capital Markets LLC</w:t>
      </w:r>
      <w:r>
        <w:rPr>
          <w:rFonts w:ascii="Arial" w:cs="Arial" w:eastAsia="Arial" w:hAnsi="Arial"/>
          <w:sz w:val="18"/>
          <w:szCs w:val="18"/>
          <w:color w:val="0000FF"/>
        </w:rPr>
        <w:t xml:space="preserve"> </w:t>
      </w:r>
      <w:r>
        <w:rPr>
          <w:rFonts w:ascii="Arial" w:cs="Arial" w:eastAsia="Arial" w:hAnsi="Arial"/>
          <w:sz w:val="18"/>
          <w:szCs w:val="18"/>
          <w:color w:val="000000"/>
        </w:rPr>
        <w:t>and TD Bank, N.A., each in its capacity as a joint bookrunner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-139700</wp:posOffset>
            </wp:positionV>
            <wp:extent cx="22199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9772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group of Loans of a single Type made by the Lenders or the Swing Line Lender, as appropriate, on a single date (or resulting from a conversion on such date) and in the case of </w:t>
      </w:r>
      <w:r>
        <w:rPr>
          <w:rFonts w:ascii="Arial" w:cs="Arial" w:eastAsia="Arial" w:hAnsi="Arial"/>
          <w:sz w:val="18"/>
          <w:szCs w:val="18"/>
          <w:u w:val="single" w:color="auto"/>
          <w:color w:val="0000FF"/>
        </w:rPr>
        <w:t>SOFR Loans or</w:t>
      </w:r>
      <w:r>
        <w:rPr>
          <w:rFonts w:ascii="Arial" w:cs="Arial" w:eastAsia="Arial" w:hAnsi="Arial"/>
          <w:sz w:val="18"/>
          <w:szCs w:val="18"/>
          <w:color w:val="auto"/>
        </w:rPr>
        <w:t xml:space="preserve"> Eurocurrency Loans </w:t>
      </w:r>
      <w:r>
        <w:rPr>
          <w:rFonts w:ascii="Arial" w:cs="Arial" w:eastAsia="Arial" w:hAnsi="Arial"/>
          <w:sz w:val="18"/>
          <w:szCs w:val="18"/>
          <w:color w:val="FF0000"/>
          <w:strike w:val="1"/>
        </w:rPr>
        <w:t>(other than Daily Simple RFR Loans)</w:t>
      </w:r>
      <w:r>
        <w:rPr>
          <w:rFonts w:ascii="Arial" w:cs="Arial" w:eastAsia="Arial" w:hAnsi="Arial"/>
          <w:sz w:val="18"/>
          <w:szCs w:val="18"/>
          <w:color w:val="auto"/>
        </w:rPr>
        <w:t xml:space="preserve">, as to which a single Interest Period is in effect, </w:t>
      </w:r>
      <w:r>
        <w:rPr>
          <w:rFonts w:ascii="Arial" w:cs="Arial" w:eastAsia="Arial" w:hAnsi="Arial"/>
          <w:sz w:val="18"/>
          <w:szCs w:val="18"/>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Base Rate Loans or Eurocurrency Loans incurred pursuant to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3.7</w:t>
      </w:r>
      <w:r>
        <w:rPr>
          <w:rFonts w:ascii="Arial" w:cs="Arial" w:eastAsia="Arial" w:hAnsi="Arial"/>
          <w:sz w:val="18"/>
          <w:szCs w:val="18"/>
          <w:color w:val="auto"/>
        </w:rPr>
        <w:t xml:space="preserve"> </w:t>
      </w:r>
      <w:r>
        <w:rPr>
          <w:rFonts w:ascii="Arial" w:cs="Arial" w:eastAsia="Arial" w:hAnsi="Arial"/>
          <w:sz w:val="18"/>
          <w:szCs w:val="18"/>
          <w:color w:val="FF0000"/>
          <w:strike w:val="1"/>
        </w:rPr>
        <w:t>shall be considered part of any</w:t>
      </w:r>
      <w:r>
        <w:rPr>
          <w:rFonts w:ascii="Arial" w:cs="Arial" w:eastAsia="Arial" w:hAnsi="Arial"/>
          <w:sz w:val="18"/>
          <w:szCs w:val="18"/>
          <w:color w:val="auto"/>
        </w:rPr>
        <w:t xml:space="preserve"> </w:t>
      </w:r>
      <w:r>
        <w:rPr>
          <w:rFonts w:ascii="Arial" w:cs="Arial" w:eastAsia="Arial" w:hAnsi="Arial"/>
          <w:sz w:val="18"/>
          <w:szCs w:val="18"/>
          <w:color w:val="FF0000"/>
          <w:strike w:val="1"/>
        </w:rPr>
        <w:t>related Borrowing of Eurocurrency Loans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-274955</wp:posOffset>
            </wp:positionV>
            <wp:extent cx="7200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46" w:name="page147"/>
    <w:bookmarkEnd w:id="146"/>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however</w:t>
      </w:r>
      <w:r>
        <w:rPr>
          <w:rFonts w:ascii="Arial" w:cs="Arial" w:eastAsia="Arial" w:hAnsi="Arial"/>
          <w:sz w:val="16"/>
          <w:szCs w:val="16"/>
          <w:color w:val="FF0000"/>
          <w:strike w:val="1"/>
        </w:rPr>
        <w:t>, that when used in connection with a Eurocurrency</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Loan or Multicurrency Revolving Loan, the term “Business Day” shall also exclude any day on which banks are not open for dealings in dollar deposits in the London interbank market;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further</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that when used in connection with any Letter of Credit, the term “Business Day” shall also exclude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any day on which commercial banks in the city in which the respective Facing Agent for such Letter of Credit is domiciled are required by law to close;</w:t>
      </w:r>
    </w:p>
    <w:p>
      <w:pPr>
        <w:spacing w:after="0" w:line="4" w:lineRule="exact"/>
        <w:rPr>
          <w:sz w:val="20"/>
          <w:szCs w:val="20"/>
          <w:color w:val="auto"/>
        </w:rPr>
      </w:pPr>
    </w:p>
    <w:p>
      <w:pPr>
        <w:ind w:left="4" w:hanging="4"/>
        <w:spacing w:after="0" w:line="267" w:lineRule="auto"/>
        <w:tabs>
          <w:tab w:leader="none" w:pos="2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as it relates to any payment, determination, funding or notice to be made or given in connection with any Alternative Currency Loan </w:t>
      </w:r>
      <w:r>
        <w:rPr>
          <w:rFonts w:ascii="Arial" w:cs="Arial" w:eastAsia="Arial" w:hAnsi="Arial"/>
          <w:sz w:val="17"/>
          <w:szCs w:val="17"/>
          <w:color w:val="FF0000"/>
          <w:strike w:val="1"/>
        </w:rPr>
        <w:t>(other than</w:t>
      </w:r>
      <w:r>
        <w:rPr>
          <w:rFonts w:ascii="Arial" w:cs="Arial" w:eastAsia="Arial" w:hAnsi="Arial"/>
          <w:sz w:val="17"/>
          <w:szCs w:val="17"/>
          <w:color w:val="auto"/>
        </w:rPr>
        <w:t xml:space="preserve"> </w:t>
      </w:r>
      <w:r>
        <w:rPr>
          <w:rFonts w:ascii="Arial" w:cs="Arial" w:eastAsia="Arial" w:hAnsi="Arial"/>
          <w:sz w:val="17"/>
          <w:szCs w:val="17"/>
          <w:color w:val="FF0000"/>
          <w:strike w:val="1"/>
        </w:rPr>
        <w:t>Sterling)</w:t>
      </w:r>
      <w:r>
        <w:rPr>
          <w:rFonts w:ascii="Arial" w:cs="Arial" w:eastAsia="Arial" w:hAnsi="Arial"/>
          <w:sz w:val="17"/>
          <w:szCs w:val="17"/>
          <w:color w:val="000000"/>
        </w:rPr>
        <w:t>, any day (A)</w:t>
      </w:r>
      <w:r>
        <w:rPr>
          <w:rFonts w:ascii="Arial" w:cs="Arial" w:eastAsia="Arial" w:hAnsi="Arial"/>
          <w:sz w:val="17"/>
          <w:szCs w:val="17"/>
          <w:color w:val="FF0000"/>
        </w:rPr>
        <w:t xml:space="preserve"> </w:t>
      </w:r>
      <w:r>
        <w:rPr>
          <w:rFonts w:ascii="Arial" w:cs="Arial" w:eastAsia="Arial" w:hAnsi="Arial"/>
          <w:sz w:val="17"/>
          <w:szCs w:val="17"/>
          <w:color w:val="FF0000"/>
          <w:strike w:val="1"/>
        </w:rPr>
        <w:t>on which dealings in deposits in the Alternative Currency are carried out in the London interbank market, (B)</w:t>
      </w:r>
      <w:r>
        <w:rPr>
          <w:rFonts w:ascii="Arial" w:cs="Arial" w:eastAsia="Arial" w:hAnsi="Arial"/>
          <w:sz w:val="17"/>
          <w:szCs w:val="17"/>
          <w:color w:val="FF0000"/>
        </w:rPr>
        <w:t xml:space="preserve"> </w:t>
      </w:r>
      <w:r>
        <w:rPr>
          <w:rFonts w:ascii="Arial" w:cs="Arial" w:eastAsia="Arial" w:hAnsi="Arial"/>
          <w:sz w:val="17"/>
          <w:szCs w:val="17"/>
          <w:color w:val="000000"/>
        </w:rPr>
        <w:t>on which</w:t>
      </w:r>
      <w:r>
        <w:rPr>
          <w:rFonts w:ascii="Arial" w:cs="Arial" w:eastAsia="Arial" w:hAnsi="Arial"/>
          <w:sz w:val="17"/>
          <w:szCs w:val="17"/>
          <w:color w:val="FF0000"/>
        </w:rPr>
        <w:t xml:space="preserve"> </w:t>
      </w:r>
      <w:r>
        <w:rPr>
          <w:rFonts w:ascii="Arial" w:cs="Arial" w:eastAsia="Arial" w:hAnsi="Arial"/>
          <w:sz w:val="17"/>
          <w:szCs w:val="17"/>
          <w:color w:val="000000"/>
        </w:rPr>
        <w:t xml:space="preserve">commercial banks and foreign exchange markets are open for business in London, New York City, and the principal financial center for such Alternative Currency, </w:t>
      </w:r>
      <w:r>
        <w:rPr>
          <w:rFonts w:ascii="Arial" w:cs="Arial" w:eastAsia="Arial" w:hAnsi="Arial"/>
          <w:sz w:val="17"/>
          <w:szCs w:val="17"/>
          <w:u w:val="single" w:color="auto"/>
          <w:color w:val="0000FF"/>
        </w:rPr>
        <w:t>and</w:t>
      </w:r>
      <w:r>
        <w:rPr>
          <w:rFonts w:ascii="Arial" w:cs="Arial" w:eastAsia="Arial" w:hAnsi="Arial"/>
          <w:sz w:val="17"/>
          <w:szCs w:val="17"/>
          <w:color w:val="000000"/>
        </w:rPr>
        <w:t xml:space="preserve"> (</w:t>
      </w:r>
      <w:r>
        <w:rPr>
          <w:rFonts w:ascii="Arial" w:cs="Arial" w:eastAsia="Arial" w:hAnsi="Arial"/>
          <w:sz w:val="17"/>
          <w:szCs w:val="17"/>
          <w:color w:val="FF0000"/>
          <w:strike w:val="1"/>
        </w:rPr>
        <w:t>C</w:t>
      </w:r>
      <w:r>
        <w:rPr>
          <w:rFonts w:ascii="Arial" w:cs="Arial" w:eastAsia="Arial" w:hAnsi="Arial"/>
          <w:sz w:val="17"/>
          <w:szCs w:val="17"/>
          <w:u w:val="single" w:color="auto"/>
          <w:color w:val="0000FF"/>
        </w:rPr>
        <w:t>B</w:t>
      </w:r>
      <w:r>
        <w:rPr>
          <w:rFonts w:ascii="Arial" w:cs="Arial" w:eastAsia="Arial" w:hAnsi="Arial"/>
          <w:sz w:val="17"/>
          <w:szCs w:val="17"/>
          <w:color w:val="000000"/>
        </w:rPr>
        <w:t xml:space="preserve">) with respect to any such payment, determination or funding to be made in connection with any Alternative Currency Loan denominated in Euros, on which </w:t>
      </w:r>
      <w:r>
        <w:rPr>
          <w:rFonts w:ascii="Arial" w:cs="Arial" w:eastAsia="Arial" w:hAnsi="Arial"/>
          <w:sz w:val="17"/>
          <w:szCs w:val="17"/>
          <w:color w:val="FF0000"/>
          <w:strike w:val="1"/>
        </w:rPr>
        <w:t>commercial banks and foreign exchange markets are open for business in Paris, and</w:t>
      </w:r>
      <w:r>
        <w:rPr>
          <w:rFonts w:ascii="Arial" w:cs="Arial" w:eastAsia="Arial" w:hAnsi="Arial"/>
          <w:sz w:val="17"/>
          <w:szCs w:val="17"/>
          <w:color w:val="000000"/>
        </w:rPr>
        <w:t xml:space="preserve"> the Trans-European Automated Real-time Gross Settlement Express Transfer (TARGET 2) System </w:t>
      </w:r>
      <w:r>
        <w:rPr>
          <w:rFonts w:ascii="Arial" w:cs="Arial" w:eastAsia="Arial" w:hAnsi="Arial"/>
          <w:sz w:val="17"/>
          <w:szCs w:val="17"/>
          <w:u w:val="single" w:color="auto"/>
          <w:color w:val="0000FF"/>
        </w:rPr>
        <w:t>launched on November 19, 2007</w:t>
      </w:r>
      <w:r>
        <w:rPr>
          <w:rFonts w:ascii="Arial" w:cs="Arial" w:eastAsia="Arial" w:hAnsi="Arial"/>
          <w:sz w:val="17"/>
          <w:szCs w:val="17"/>
          <w:color w:val="000000"/>
        </w:rPr>
        <w:t xml:space="preserve"> or any successor settlement system is open and (</w:t>
      </w:r>
      <w:r>
        <w:rPr>
          <w:rFonts w:ascii="Arial" w:cs="Arial" w:eastAsia="Arial" w:hAnsi="Arial"/>
          <w:sz w:val="17"/>
          <w:szCs w:val="17"/>
          <w:color w:val="FF0000"/>
          <w:strike w:val="1"/>
        </w:rPr>
        <w:t>D</w:t>
      </w:r>
      <w:r>
        <w:rPr>
          <w:rFonts w:ascii="Arial" w:cs="Arial" w:eastAsia="Arial" w:hAnsi="Arial"/>
          <w:sz w:val="17"/>
          <w:szCs w:val="17"/>
          <w:u w:val="single" w:color="auto"/>
          <w:color w:val="0000FF"/>
        </w:rPr>
        <w:t>C</w:t>
      </w:r>
      <w:r>
        <w:rPr>
          <w:rFonts w:ascii="Arial" w:cs="Arial" w:eastAsia="Arial" w:hAnsi="Arial"/>
          <w:sz w:val="17"/>
          <w:szCs w:val="17"/>
          <w:color w:val="000000"/>
        </w:rPr>
        <w:t xml:space="preserve">) with respect to any payment, determination, funding or notice to be made or given in connection with a Borrowing by the Canadian Borrower, or otherwise to be made or given to or from Canadian Administrative Agent, a day other than a Saturday, Sunday or other day on which commercial banks in Toronto are authorized or required by law to close and (iii) if such day relates to any interest rate settings as to a Daily Simple RFR Loan, any fundings, disbursements, settlements and payments in respect of any such Daily Simple RFR Loan, or any other dealings to be carried out pursuant to this Agreement in respect of any such Daily Simple RFR Loan, means any such day that is only a RFR Business Day </w:t>
      </w:r>
      <w:r>
        <w:rPr>
          <w:rFonts w:ascii="Arial" w:cs="Arial" w:eastAsia="Arial" w:hAnsi="Arial"/>
          <w:sz w:val="17"/>
          <w:szCs w:val="17"/>
          <w:color w:val="0000FF"/>
        </w:rPr>
        <w:t>and (iv) as it relates to any</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payment, determination, funding or notice to be made or given in connection with any SOFR Loan, a Business Day must also be a U.S. Government Securities Business Day</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-1237615</wp:posOffset>
            </wp:positionV>
            <wp:extent cx="1714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-1237615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-963295</wp:posOffset>
            </wp:positionV>
            <wp:extent cx="150050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-826135</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-277495</wp:posOffset>
            </wp:positionV>
            <wp:extent cx="12426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-311785</wp:posOffset>
            </wp:positionV>
            <wp:extent cx="12401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40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-140335</wp:posOffset>
            </wp:positionV>
            <wp:extent cx="67894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11055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6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w:t>
      </w:r>
      <w:r>
        <w:rPr>
          <w:rFonts w:ascii="Arial" w:cs="Arial" w:eastAsia="Arial" w:hAnsi="Arial"/>
          <w:sz w:val="16"/>
          <w:szCs w:val="16"/>
          <w:color w:val="auto"/>
        </w:rPr>
        <w:t xml:space="preserve">” means the mechanism for the allocation and exchange of interests in the Facilities and collections thereunder established under </w:t>
      </w:r>
      <w:r>
        <w:rPr>
          <w:rFonts w:ascii="Arial" w:cs="Arial" w:eastAsia="Arial" w:hAnsi="Arial"/>
          <w:sz w:val="16"/>
          <w:szCs w:val="16"/>
          <w:u w:val="single" w:color="auto"/>
          <w:color w:val="auto"/>
        </w:rPr>
        <w:t>Article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XIII</w:t>
      </w:r>
      <w:r>
        <w:rPr>
          <w:rFonts w:ascii="Arial" w:cs="Arial" w:eastAsia="Arial" w:hAnsi="Arial"/>
          <w:sz w:val="18"/>
          <w:szCs w:val="18"/>
          <w:color w:val="auto"/>
        </w:rPr>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 Date</w:t>
      </w:r>
      <w:r>
        <w:rPr>
          <w:rFonts w:ascii="Arial" w:cs="Arial" w:eastAsia="Arial" w:hAnsi="Arial"/>
          <w:sz w:val="18"/>
          <w:szCs w:val="18"/>
          <w:color w:val="auto"/>
        </w:rPr>
        <w:t xml:space="preserve">” means the first date after the Effective Date on which there shall occur (x) any event described in paragraph (i)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 respect to any Borrower or (y) any acceleration of the Loans.</w:t>
      </w:r>
    </w:p>
    <w:p>
      <w:pPr>
        <w:spacing w:after="0" w:line="170"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Percentage</w:t>
      </w:r>
      <w:r>
        <w:rPr>
          <w:rFonts w:ascii="Arial" w:cs="Arial" w:eastAsia="Arial" w:hAnsi="Arial"/>
          <w:sz w:val="16"/>
          <w:szCs w:val="16"/>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w:t>
      </w:r>
    </w:p>
    <w:p>
      <w:pPr>
        <w:spacing w:after="0" w:line="2" w:lineRule="exact"/>
        <w:rPr>
          <w:sz w:val="20"/>
          <w:szCs w:val="20"/>
          <w:color w:val="auto"/>
        </w:rPr>
      </w:pPr>
    </w:p>
    <w:p>
      <w:pPr>
        <w:ind w:left="4" w:right="180" w:hanging="4"/>
        <w:spacing w:after="0" w:line="302" w:lineRule="auto"/>
        <w:tabs>
          <w:tab w:leader="none" w:pos="25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denominator shall be the sum of (i) the aggregate 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7" w:name="page148"/>
    <w:bookmarkEnd w:id="147"/>
    <w:p>
      <w:pPr>
        <w:ind w:right="4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xml:space="preserve">” has the meaning assigned to that term in the preamble to this Agreement and any successor Canadian Administrative Agent in such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the Canadian Administrative Agent must be either (i) a resident in Canada for the purpose of the ITA, or (ii) deemed to be resident in Canada for the purpose of Part XIII of the ITA.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3.2(a)(iii)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 Period</w:t>
      </w:r>
      <w:r>
        <w:rPr>
          <w:rFonts w:ascii="Arial" w:cs="Arial" w:eastAsia="Arial" w:hAnsi="Arial"/>
          <w:sz w:val="18"/>
          <w:szCs w:val="18"/>
          <w:color w:val="auto"/>
        </w:rPr>
        <w:t xml:space="preserve">” means, the period from and including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to but not including the Canadian Revolver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-147955</wp:posOffset>
            </wp:positionV>
            <wp:extent cx="596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5689600</wp:posOffset>
            </wp:positionH>
            <wp:positionV relativeFrom="paragraph">
              <wp:posOffset>-147955</wp:posOffset>
            </wp:positionV>
            <wp:extent cx="22288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Party</w:t>
      </w:r>
      <w:r>
        <w:rPr>
          <w:rFonts w:ascii="Arial" w:cs="Arial" w:eastAsia="Arial" w:hAnsi="Arial"/>
          <w:sz w:val="18"/>
          <w:szCs w:val="18"/>
          <w:color w:val="auto"/>
        </w:rPr>
        <w:t>” means the Canadian Borrower and any Subsidiary Credit Party organized under the federal laws of Canada or the laws of a province or territory of Canada.</w:t>
      </w:r>
    </w:p>
    <w:p>
      <w:pPr>
        <w:spacing w:after="0" w:line="170"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Defined Benefit Plan</w:t>
      </w:r>
      <w:r>
        <w:rPr>
          <w:rFonts w:ascii="Arial" w:cs="Arial" w:eastAsia="Arial" w:hAnsi="Arial"/>
          <w:sz w:val="17"/>
          <w:szCs w:val="17"/>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Cdn.$</w:t>
      </w:r>
      <w:r>
        <w:rPr>
          <w:rFonts w:ascii="Arial" w:cs="Arial" w:eastAsia="Arial" w:hAnsi="Arial"/>
          <w:sz w:val="18"/>
          <w:szCs w:val="18"/>
          <w:color w:val="auto"/>
        </w:rPr>
        <w:t>” mean lawful currency of Canada.</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Facing Agent</w:t>
      </w:r>
      <w:r>
        <w:rPr>
          <w:rFonts w:ascii="Arial" w:cs="Arial" w:eastAsia="Arial" w:hAnsi="Arial"/>
          <w:sz w:val="18"/>
          <w:szCs w:val="18"/>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2.10(g)(ii)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The Canadian LC Obligation of any Canadian Revolving Lender at any time shall mean its Canadian Revolver Pro Rata Share of the aggregate Canadian LC Obligations outstanding at such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2.10(a)(ii)</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 Exposure</w:t>
      </w:r>
      <w:r>
        <w:rPr>
          <w:rFonts w:ascii="Arial" w:cs="Arial" w:eastAsia="Arial" w:hAnsi="Arial"/>
          <w:sz w:val="18"/>
          <w:szCs w:val="18"/>
          <w:color w:val="auto"/>
        </w:rPr>
        <w:t>” means, with respect to a Canadian Revolving Lender, such Lender’s Canadian Revolver Pro Rata Share of the aggregate Canadian LC Obligations.</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 whether or not a claim for post-filing or post-petition interest and fees is allowed in such proceeding) the Loans made to or Unpaid Drawings pursuant to Canadian Letters of Credit issued for the account of Canadian Borrower and all other obligations and liabilities of the Canadian Borrower and any Canadian Subsidiary (including Bank Related Debt) to any Agent, any Facing Agent, to any Lender or any Hedge Bank, whether direct or indirect, absolute or contingent, due or to become due, or now existing or hereafter incurred, which may arise under, out of, or in connection with, this Agreement or any other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48" w:name="page149"/>
    <w:bookmarkEnd w:id="14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Canadian Subsidiary to any Agent, any Facing Agent, any Lender or any Hedge Bank pursuant to any Loan Document or any Bank Related Debt) or otherwise.</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Pension Termination Event</w:t>
      </w:r>
      <w:r>
        <w:rPr>
          <w:rFonts w:ascii="Arial" w:cs="Arial" w:eastAsia="Arial" w:hAnsi="Arial"/>
          <w:sz w:val="16"/>
          <w:szCs w:val="16"/>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 of proceedings by any Governmental Authority to terminate in whole or in part any Canadian Defined Benefit Plan, including notice being given by the Ontario Superintendent of Financial Services or another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 (vi) an event respecting any Canadian Defined Benefit Plan which could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17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for each day in any period, a fluctuating interest rate per annum as shall be in effect from time to time, which rate per annum shall at all times for such day be equal to the higher of (a) the annual rate of interest announced publicly by Canadian Administrative Agent and in effect as its prime rate at its principal office in Toronto, Ontario on such day for determining interest rates on Canadian Dollar-denominated commercial loans made in Canada and (b) 0.75% per annum above the average of the rates per annum for Canadian Dollar bankers’ acceptances having a term of 30 days that appears on the display referred to as the “CDOR Page” (or any display substituted therefor) of Reuters Monitor Money Rates Service as of 10:00 a.m. (Toronto time) on the date of determination, as reported by Canadian Administrative Agent (and if such screen is not available, any successor or similar service as may be selected by Canadian Administrative Agent). Notwithstanding the foregoing, the Canadian Prime Rate shall not in any event be less than zero.</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any Loan which bears interest at a rate determined with reference to the Canadian Prime Rate.</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Revolver Pro Rata Share</w:t>
      </w:r>
      <w:r>
        <w:rPr>
          <w:rFonts w:ascii="Arial" w:cs="Arial" w:eastAsia="Arial" w:hAnsi="Arial"/>
          <w:sz w:val="16"/>
          <w:szCs w:val="16"/>
          <w:color w:val="auto"/>
        </w:rPr>
        <w:t>” means, when used with reference to any Canadian Revolving Lender and any described aggregate or total amount, an amount equal to the result obtained by multiplying such described aggregate or total amount by a fraction the numerator of which shall be such 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 Revolver Termination Date has occurred, the Effective Amount of all then outstanding Canadian Revolving Loans.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9" w:name="page150"/>
    <w:bookmarkEnd w:id="149"/>
    <w:p>
      <w:pPr>
        <w:jc w:val="both"/>
        <w:ind w:right="4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Canadian Revolver Termination Date</w:t>
      </w:r>
      <w:r>
        <w:rPr>
          <w:rFonts w:ascii="Arial" w:cs="Arial" w:eastAsia="Arial" w:hAnsi="Arial"/>
          <w:sz w:val="18"/>
          <w:szCs w:val="18"/>
          <w:color w:val="auto"/>
        </w:rPr>
        <w:t xml:space="preserve">” means the earliest to occur of (i) the date that is the fifth anniversary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or (ii) such earlier date as the Canadian Revolving Commitments shall have been terminated or otherwise reduced to $0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-139700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-139700</wp:posOffset>
            </wp:positionV>
            <wp:extent cx="22288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Commitment</w:t>
      </w:r>
      <w:r>
        <w:rPr>
          <w:rFonts w:ascii="Arial" w:cs="Arial" w:eastAsia="Arial" w:hAnsi="Arial"/>
          <w:sz w:val="18"/>
          <w:szCs w:val="18"/>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is the amount set forth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under the caption “Amount of Canadian Revolving Commitment” as the same may be adjusted from time to time pursuant to the terms hereof and “</w:t>
      </w:r>
      <w:r>
        <w:rPr>
          <w:rFonts w:ascii="Arial" w:cs="Arial" w:eastAsia="Arial" w:hAnsi="Arial"/>
          <w:sz w:val="18"/>
          <w:szCs w:val="18"/>
          <w:u w:val="single" w:color="auto"/>
          <w:color w:val="auto"/>
        </w:rPr>
        <w:t>Canadian Revolving Commitments</w:t>
      </w:r>
      <w:r>
        <w:rPr>
          <w:rFonts w:ascii="Arial" w:cs="Arial" w:eastAsia="Arial" w:hAnsi="Arial"/>
          <w:sz w:val="18"/>
          <w:szCs w:val="18"/>
          <w:color w:val="auto"/>
        </w:rPr>
        <w:t xml:space="preserve">” means such commitments collectively, which commitments equal $50,000,000 in the aggregate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-544195</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-544195</wp:posOffset>
            </wp:positionV>
            <wp:extent cx="2146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-407035</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-407035</wp:posOffset>
            </wp:positionV>
            <wp:extent cx="2228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-132715</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-132715</wp:posOffset>
            </wp:positionV>
            <wp:extent cx="2228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75"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Revolving Credit Exposure</w:t>
      </w:r>
      <w:r>
        <w:rPr>
          <w:rFonts w:ascii="Arial" w:cs="Arial" w:eastAsia="Arial" w:hAnsi="Arial"/>
          <w:sz w:val="16"/>
          <w:szCs w:val="16"/>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12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Facility</w:t>
      </w:r>
      <w:r>
        <w:rPr>
          <w:rFonts w:ascii="Arial" w:cs="Arial" w:eastAsia="Arial" w:hAnsi="Arial"/>
          <w:sz w:val="18"/>
          <w:szCs w:val="18"/>
          <w:color w:val="auto"/>
        </w:rPr>
        <w:t>” means the credit facility under this Agreement evidenced by the Canadian Revolving Commitments and the Canadian Revolving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Lender</w:t>
      </w:r>
      <w:r>
        <w:rPr>
          <w:rFonts w:ascii="Arial" w:cs="Arial" w:eastAsia="Arial" w:hAnsi="Arial"/>
          <w:sz w:val="18"/>
          <w:szCs w:val="18"/>
          <w:color w:val="auto"/>
        </w:rPr>
        <w:t>” means any Lender which has a Canadian Revolving Commitment.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Loan</w:t>
      </w:r>
      <w:r>
        <w:rPr>
          <w:rFonts w:ascii="Arial" w:cs="Arial" w:eastAsia="Arial" w:hAnsi="Arial"/>
          <w:sz w:val="18"/>
          <w:szCs w:val="18"/>
          <w:color w:val="auto"/>
        </w:rPr>
        <w:t>” and “</w:t>
      </w:r>
      <w:r>
        <w:rPr>
          <w:rFonts w:ascii="Arial" w:cs="Arial" w:eastAsia="Arial" w:hAnsi="Arial"/>
          <w:sz w:val="18"/>
          <w:szCs w:val="18"/>
          <w:u w:val="single" w:color="auto"/>
          <w:color w:val="auto"/>
        </w:rPr>
        <w:t>Canadian Revolving Loans</w:t>
      </w:r>
      <w:r>
        <w:rPr>
          <w:rFonts w:ascii="Arial" w:cs="Arial" w:eastAsia="Arial" w:hAnsi="Arial"/>
          <w:sz w:val="18"/>
          <w:szCs w:val="18"/>
          <w:color w:val="auto"/>
        </w:rPr>
        <w:t xml:space="preserve">” as defined have the meanings given in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including by way of Bankers’ Acceptances and B/A Equivalent Loans, pursuant to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2A.9</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Note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2A.2(a)</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with respect to any Person, any and all common shares, preferred shares, interests, participations, rights in or other equivalents (however designated) of such Person’s capital stock, partnership interests, membership interests or other equivalent interests and any rights (other than debt securities convertible into or exchangeable for capital stock or other ownership interests or rights, warrants or options), warrants or options exchangeable for or convertible into such capital stock or other equity interests.</w:t>
      </w:r>
    </w:p>
    <w:p>
      <w:pPr>
        <w:spacing w:after="0" w:line="17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at the time any determination thereof is to be made, any lease of property, real or personal, in respect of which the present value of the minimum rental commitment is capitalized on the balance sheet of the lessee in accordance with GAAP as in effect on December 15, 2018.</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at the time any determination thereof is to be made, the amount of the liability in respect of a Capitalized Lease which would at such time be so required to be capitalized on the balance sheet of the lessee in accordance with GAAP as in effect on December 15, 2018.</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the available credit balance in Dollars, Canadian Dollars, an Alternative Currency or another currency reasonably acceptable to the Administrative Agent in a Deposit 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50" w:name="page151"/>
    <w:bookmarkEnd w:id="150"/>
    <w:p>
      <w:pPr>
        <w:ind w:left="4"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(i) any evidence of indebtedness, maturing not more than one year after the date of issue, issued by an Approved Member State, the United States of America, Canada, or any instrumentality or agency thereof, the principal, interest and premium, if any, of which is guaranteed fully by, or backed by the full faith and credit of, such Approved Member State, the United States of America or Canada,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certificates of deposit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Arial" w:cs="Arial" w:eastAsia="Arial" w:hAnsi="Arial"/>
          <w:sz w:val="16"/>
          <w:szCs w:val="16"/>
          <w:u w:val="single" w:color="auto"/>
          <w:color w:val="auto"/>
        </w:rPr>
        <w:t>Approved Bank</w:t>
      </w:r>
      <w:r>
        <w:rPr>
          <w:rFonts w:ascii="Arial" w:cs="Arial" w:eastAsia="Arial" w:hAnsi="Arial"/>
          <w:sz w:val="16"/>
          <w:szCs w:val="16"/>
          <w:color w:val="auto"/>
        </w:rPr>
        <w:t>”), (iii) commercial paper, maturing not more than one 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 (i) with a term of not more than 30 days with any Approved Bank and (vi) shares of any money market mutual fund rated at least AA- or the equivalent thereof by S&amp;P or at least Aa3 or the equivalent thereof by Moody’s at the time of the acquisition thereof, including, without limitation, any such mutual fund managed or advised by any Lender or Administrative Agent. In the case of Investments by any Non-U.S. Subsidiary or Investments made in a country outside of the United States of America, Cash Equivalents shall include</w:t>
      </w:r>
    </w:p>
    <w:p>
      <w:pPr>
        <w:spacing w:after="0" w:line="11" w:lineRule="exact"/>
        <w:rPr>
          <w:sz w:val="20"/>
          <w:szCs w:val="20"/>
          <w:color w:val="auto"/>
        </w:rPr>
      </w:pPr>
    </w:p>
    <w:p>
      <w:pPr>
        <w:ind w:left="4" w:right="20" w:hanging="4"/>
        <w:spacing w:after="0" w:line="253"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of the type and maturity described in clauses (i) through (vi) 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CCAA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xml:space="preserve"> (Canada),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 2026 Debentures</w:t>
      </w:r>
      <w:r>
        <w:rPr>
          <w:rFonts w:ascii="Arial" w:cs="Arial" w:eastAsia="Arial" w:hAnsi="Arial"/>
          <w:sz w:val="18"/>
          <w:szCs w:val="18"/>
          <w:color w:val="auto"/>
        </w:rPr>
        <w:t>” means the $350,000,000 7.375% Debentures due 2026 of CCSC issued under the 1996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 2096 Debentures</w:t>
      </w:r>
      <w:r>
        <w:rPr>
          <w:rFonts w:ascii="Arial" w:cs="Arial" w:eastAsia="Arial" w:hAnsi="Arial"/>
          <w:sz w:val="18"/>
          <w:szCs w:val="18"/>
          <w:color w:val="auto"/>
        </w:rPr>
        <w:t>” means the $150,000,000 7.50% Debentures due 2096 of CCSC issued under the 1996 Indenture.</w:t>
      </w:r>
    </w:p>
    <w:p>
      <w:pPr>
        <w:spacing w:after="0" w:line="225"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xml:space="preserve">” means, on any day, the per annum rate of interest which is the rate determined as being the arithmetic average of the annual yield rates applicable to Canadian Dollar bankers’ acceptances having identical issue and comparable maturity dates as the Bankers’ Acceptances proposed to be issued, displayed and identified as such on the display referred to as the “CDOR Page” (or any display substituted therefor) of Reuters Monitor Money Rates Service as at approximately 10:00 a.m. (Toronto time) on such day, or if such day is not a Business Day, then on the immediately preceding Business Day (as adjusted by Canadian Administrative Agent in good faith after 10:00 a.m. (Toronto time) to reflect any error in a posted rate of interest or in the posted average annual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such a rate does not appear on such CDOR Page, then the CDOR Rate, on any day, shall be the discount rate quoted by Canadian Administrative Agent (determined as of 10:00 a.m. (Toronto time)) on such day at which Canadian Administrative Agent would purchase its own bankers acceptances in a comparable face amount and with comparable maturity dates to the Bankers’ Acceptances proposed to be issued on such day, or if such day is not a Business Day, then on the immediately preceding Business Day. Notwithstanding the foregoing, the CDOR Rate shall not in any event be less than zero.</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51" w:name="page152"/>
    <w:bookmarkEnd w:id="1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w:t>
      </w:r>
      <w:r>
        <w:rPr>
          <w:rFonts w:ascii="Arial" w:cs="Arial" w:eastAsia="Arial" w:hAnsi="Arial"/>
          <w:sz w:val="17"/>
          <w:szCs w:val="17"/>
          <w:color w:val="FF0000"/>
          <w:strike w:val="1"/>
        </w:rPr>
        <w:t>date of this Agreement</w:t>
      </w:r>
      <w:r>
        <w:rPr>
          <w:rFonts w:ascii="Arial" w:cs="Arial" w:eastAsia="Arial" w:hAnsi="Arial"/>
          <w:sz w:val="17"/>
          <w:szCs w:val="17"/>
          <w:u w:val="single" w:color="auto"/>
          <w:color w:val="0000FF"/>
        </w:rPr>
        <w:t>Incremental Amendment No. 3 and Fifth Amendment Effective Date</w:t>
      </w:r>
      <w:r>
        <w:rPr>
          <w:rFonts w:ascii="Arial" w:cs="Arial" w:eastAsia="Arial" w:hAnsi="Arial"/>
          <w:sz w:val="17"/>
          <w:szCs w:val="17"/>
          <w:color w:val="auto"/>
        </w:rPr>
        <w:t xml:space="preserv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-965835</wp:posOffset>
            </wp:positionV>
            <wp:extent cx="31464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5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 Crown Holdings shall fail to own, directly or indirectly, beneficially or of record all of the outstanding Capital Stock of either U.S. Borrower or European Borrower (other than director’s qualifying shares) or (c) the occurrence of a “Change of Control” as defined in any Public Debt Document.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Civil Procedural Law</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14.14(a)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xml:space="preserve">” means </w:t>
      </w:r>
      <w:r>
        <w:rPr>
          <w:rFonts w:ascii="Arial" w:cs="Arial" w:eastAsia="Arial" w:hAnsi="Arial"/>
          <w:sz w:val="18"/>
          <w:szCs w:val="18"/>
          <w:color w:val="FF0000"/>
          <w:strike w:val="1"/>
        </w:rPr>
        <w:t>BBVA USA, CoBank, ACB, Commerzbank AG, New York Branch,</w:t>
      </w:r>
      <w:r>
        <w:rPr>
          <w:rFonts w:ascii="Arial" w:cs="Arial" w:eastAsia="Arial" w:hAnsi="Arial"/>
          <w:sz w:val="18"/>
          <w:szCs w:val="18"/>
          <w:color w:val="auto"/>
        </w:rPr>
        <w:t xml:space="preserve"> Coöperatieve Rabobank U.A., New York Branch, Credit Agricole Corporate and Investment Bank, </w:t>
      </w:r>
      <w:r>
        <w:rPr>
          <w:rFonts w:ascii="Arial" w:cs="Arial" w:eastAsia="Arial" w:hAnsi="Arial"/>
          <w:sz w:val="18"/>
          <w:szCs w:val="18"/>
          <w:color w:val="FF0000"/>
          <w:strike w:val="1"/>
        </w:rPr>
        <w:t>Goldman Sachs</w:t>
      </w:r>
      <w:r>
        <w:rPr>
          <w:rFonts w:ascii="Arial" w:cs="Arial" w:eastAsia="Arial" w:hAnsi="Arial"/>
          <w:sz w:val="18"/>
          <w:szCs w:val="18"/>
          <w:u w:val="single" w:color="auto"/>
          <w:color w:val="0000FF"/>
        </w:rPr>
        <w:t>ING</w:t>
      </w:r>
      <w:r>
        <w:rPr>
          <w:rFonts w:ascii="Arial" w:cs="Arial" w:eastAsia="Arial" w:hAnsi="Arial"/>
          <w:sz w:val="18"/>
          <w:szCs w:val="18"/>
          <w:color w:val="auto"/>
        </w:rPr>
        <w:t xml:space="preserve"> Bank </w:t>
      </w:r>
      <w:r>
        <w:rPr>
          <w:rFonts w:ascii="Arial" w:cs="Arial" w:eastAsia="Arial" w:hAnsi="Arial"/>
          <w:sz w:val="18"/>
          <w:szCs w:val="18"/>
          <w:color w:val="FF0000"/>
          <w:strike w:val="1"/>
        </w:rPr>
        <w:t>USA, ING Ireland (DAC)</w:t>
      </w:r>
      <w:r>
        <w:rPr>
          <w:rFonts w:ascii="Arial" w:cs="Arial" w:eastAsia="Arial" w:hAnsi="Arial"/>
          <w:sz w:val="18"/>
          <w:szCs w:val="18"/>
          <w:u w:val="single" w:color="auto"/>
          <w:color w:val="0000FF"/>
        </w:rPr>
        <w:t>N.V., Dublin Branch</w:t>
      </w:r>
      <w:r>
        <w:rPr>
          <w:rFonts w:ascii="Arial" w:cs="Arial" w:eastAsia="Arial" w:hAnsi="Arial"/>
          <w:sz w:val="18"/>
          <w:szCs w:val="18"/>
          <w:color w:val="auto"/>
        </w:rPr>
        <w:t xml:space="preserve">, MUFG Bank, Ltd., </w:t>
      </w:r>
      <w:r>
        <w:rPr>
          <w:rFonts w:ascii="Arial" w:cs="Arial" w:eastAsia="Arial" w:hAnsi="Arial"/>
          <w:sz w:val="18"/>
          <w:szCs w:val="18"/>
          <w:color w:val="FF0000"/>
          <w:strike w:val="1"/>
        </w:rPr>
        <w:t>PNC Capital Markets LLC</w:t>
      </w:r>
      <w:r>
        <w:rPr>
          <w:rFonts w:ascii="Arial" w:cs="Arial" w:eastAsia="Arial" w:hAnsi="Arial"/>
          <w:sz w:val="18"/>
          <w:szCs w:val="18"/>
          <w:color w:val="000000"/>
        </w:rPr>
        <w:t>, Sumitomo Mitsui Banking Corporation</w:t>
      </w:r>
      <w:r>
        <w:rPr>
          <w:rFonts w:ascii="Arial" w:cs="Arial" w:eastAsia="Arial" w:hAnsi="Arial"/>
          <w:sz w:val="18"/>
          <w:szCs w:val="18"/>
          <w:color w:val="FF0000"/>
        </w:rPr>
        <w:t xml:space="preserve"> and Unicredit</w:t>
      </w:r>
      <w:r>
        <w:rPr>
          <w:rFonts w:ascii="Arial" w:cs="Arial" w:eastAsia="Arial" w:hAnsi="Arial"/>
          <w:sz w:val="18"/>
          <w:szCs w:val="18"/>
          <w:u w:val="single" w:color="auto"/>
          <w:color w:val="0000FF"/>
        </w:rPr>
        <w:t>, CoBank, ACB and The Huntington National</w:t>
      </w:r>
      <w:r>
        <w:rPr>
          <w:rFonts w:ascii="Arial" w:cs="Arial" w:eastAsia="Arial" w:hAnsi="Arial"/>
          <w:sz w:val="18"/>
          <w:szCs w:val="18"/>
          <w:color w:val="FF0000"/>
        </w:rPr>
        <w:t xml:space="preserve"> </w:t>
      </w:r>
      <w:r>
        <w:rPr>
          <w:rFonts w:ascii="Arial" w:cs="Arial" w:eastAsia="Arial" w:hAnsi="Arial"/>
          <w:sz w:val="18"/>
          <w:szCs w:val="18"/>
          <w:color w:val="000000"/>
        </w:rPr>
        <w:t>Bank</w:t>
      </w:r>
      <w:r>
        <w:rPr>
          <w:rFonts w:ascii="Arial" w:cs="Arial" w:eastAsia="Arial" w:hAnsi="Arial"/>
          <w:sz w:val="18"/>
          <w:szCs w:val="18"/>
          <w:color w:val="FF0000"/>
        </w:rPr>
        <w:t xml:space="preserve"> AG</w:t>
      </w:r>
      <w:r>
        <w:rPr>
          <w:rFonts w:ascii="Arial" w:cs="Arial" w:eastAsia="Arial" w:hAnsi="Arial"/>
          <w:sz w:val="18"/>
          <w:szCs w:val="18"/>
          <w:color w:val="000000"/>
        </w:rPr>
        <w:t>, each in its</w:t>
      </w:r>
      <w:r>
        <w:rPr>
          <w:rFonts w:ascii="Arial" w:cs="Arial" w:eastAsia="Arial" w:hAnsi="Arial"/>
          <w:sz w:val="18"/>
          <w:szCs w:val="18"/>
          <w:color w:val="FF0000"/>
        </w:rPr>
        <w:t xml:space="preserve"> </w:t>
      </w:r>
      <w:r>
        <w:rPr>
          <w:rFonts w:ascii="Arial" w:cs="Arial" w:eastAsia="Arial" w:hAnsi="Arial"/>
          <w:sz w:val="18"/>
          <w:szCs w:val="18"/>
          <w:color w:val="000000"/>
        </w:rPr>
        <w:t xml:space="preserve">capacity as a co-documentation agent under this Agreement, and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000000"/>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000000"/>
        </w:rPr>
        <w:t xml:space="preserve"> Amendment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-410845</wp:posOffset>
            </wp:positionV>
            <wp:extent cx="19685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-410845</wp:posOffset>
            </wp:positionV>
            <wp:extent cx="9429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-359410</wp:posOffset>
            </wp:positionV>
            <wp:extent cx="6534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5341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-273685</wp:posOffset>
            </wp:positionV>
            <wp:extent cx="20916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-359410</wp:posOffset>
            </wp:positionV>
            <wp:extent cx="1936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-136525</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-136525</wp:posOffset>
            </wp:positionV>
            <wp:extent cx="2228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as defined in any applicable Security Document and all other assets pledged or otherwise subject to security pursuant to the Security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4.4(a)(ii)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or “</w:t>
      </w:r>
      <w:r>
        <w:rPr>
          <w:rFonts w:ascii="Arial" w:cs="Arial" w:eastAsia="Arial" w:hAnsi="Arial"/>
          <w:sz w:val="18"/>
          <w:szCs w:val="18"/>
          <w:u w:val="single" w:color="auto"/>
          <w:color w:val="auto"/>
        </w:rPr>
        <w:t>Collateral Agents</w:t>
      </w:r>
      <w:r>
        <w:rPr>
          <w:rFonts w:ascii="Arial" w:cs="Arial" w:eastAsia="Arial" w:hAnsi="Arial"/>
          <w:sz w:val="18"/>
          <w:szCs w:val="18"/>
          <w:color w:val="auto"/>
        </w:rPr>
        <w:t>” means U.S. Collateral Agent and/or Euro Collateral Agent, as the context may require.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52" w:name="page153"/>
    <w:bookmarkEnd w:id="152"/>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Collateral Reinstatement Event</w:t>
      </w:r>
      <w:r>
        <w:rPr>
          <w:rFonts w:ascii="Arial" w:cs="Arial" w:eastAsia="Arial" w:hAnsi="Arial"/>
          <w:sz w:val="16"/>
          <w:szCs w:val="16"/>
          <w:color w:val="auto"/>
        </w:rPr>
        <w:t>” means, at any time after the occurrence of a Collateral Release Event, the occurrence of either of the following:</w:t>
      </w:r>
    </w:p>
    <w:p>
      <w:pPr>
        <w:spacing w:after="0" w:line="46" w:lineRule="exact"/>
        <w:rPr>
          <w:sz w:val="20"/>
          <w:szCs w:val="20"/>
          <w:color w:val="auto"/>
        </w:rPr>
      </w:pPr>
    </w:p>
    <w:p>
      <w:pPr>
        <w:ind w:left="4" w:right="260" w:hanging="4"/>
        <w:spacing w:after="0" w:line="323"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public corporate/corporate family ratings of Crown Holdings from either Moody’s or S&amp;P fall below Baa3 or BBB- respectively or (b) Crown Holdings requests that the Liens and security interests in all Collateral granted by the Credit Parties to secure the Obligations be reinstated.</w:t>
      </w:r>
    </w:p>
    <w:p>
      <w:pPr>
        <w:spacing w:after="0" w:line="138" w:lineRule="exact"/>
        <w:rPr>
          <w:sz w:val="20"/>
          <w:szCs w:val="20"/>
          <w:color w:val="auto"/>
        </w:rPr>
      </w:pPr>
    </w:p>
    <w:p>
      <w:pPr>
        <w:ind w:left="4" w:right="3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Release Event</w:t>
      </w:r>
      <w:r>
        <w:rPr>
          <w:rFonts w:ascii="Arial" w:cs="Arial" w:eastAsia="Arial" w:hAnsi="Arial"/>
          <w:sz w:val="17"/>
          <w:szCs w:val="17"/>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7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Period</w:t>
      </w:r>
      <w:r>
        <w:rPr>
          <w:rFonts w:ascii="Arial" w:cs="Arial" w:eastAsia="Arial" w:hAnsi="Arial"/>
          <w:sz w:val="18"/>
          <w:szCs w:val="18"/>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the aggregate of the Dollar Revolving Commitment, Multicurrency Revolving Commitment, Canadian Revolving Commitment and the Term Commitments of such Lender and “</w:t>
      </w:r>
      <w:r>
        <w:rPr>
          <w:rFonts w:ascii="Arial" w:cs="Arial" w:eastAsia="Arial" w:hAnsi="Arial"/>
          <w:sz w:val="18"/>
          <w:szCs w:val="18"/>
          <w:u w:val="single" w:color="auto"/>
          <w:color w:val="auto"/>
        </w:rPr>
        <w:t>Commitments</w:t>
      </w:r>
      <w:r>
        <w:rPr>
          <w:rFonts w:ascii="Arial" w:cs="Arial" w:eastAsia="Arial" w:hAnsi="Arial"/>
          <w:sz w:val="18"/>
          <w:szCs w:val="18"/>
          <w:color w:val="auto"/>
        </w:rPr>
        <w:t>” means such commitments of all of the Lenders collectively.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means collectively, Dollar Commitment Fees, Multicurrency Commitment Fees and Canadian Commitment Fees.</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means, the period from and including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to but not including the applicable Revolver Termination Date or, in the case of the Swing Line Commitment, five (5) Business Days prior to the Revolver Termination Date for the Multicurrency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-276860</wp:posOffset>
            </wp:positionV>
            <wp:extent cx="603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-276860</wp:posOffset>
            </wp:positionV>
            <wp:extent cx="2228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Original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u w:val="single" w:color="auto"/>
          <w:color w:val="0000FF"/>
        </w:rPr>
        <w:t>“Conforming Changes” means, with respect to either the use or administration of Term SOFR or the use, administration, adoption or implementation of any Benchmark Replacement for any applicable currency, any technical, administrative or operational changes (including changes to the definition of “Base Rate,” the definition of “Business Day,” the definition of “U.S. Government Securities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-288290</wp:posOffset>
            </wp:positionV>
            <wp:extent cx="60521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69348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4603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153" w:name="page154"/>
    <w:bookmarkEnd w:id="153"/>
    <w:p>
      <w:pPr>
        <w:ind w:left="4"/>
        <w:spacing w:after="0" w:line="271"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3.5 and other technical, administrative or operational matters) that the Administrative Agent, in consultation with Crown Holdings,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-965835</wp:posOffset>
            </wp:positionV>
            <wp:extent cx="68834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-828675</wp:posOffset>
            </wp:positionV>
            <wp:extent cx="69519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-691515</wp:posOffset>
            </wp:positionV>
            <wp:extent cx="69780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68408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68148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69862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6090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39433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Capital Expenditures</w:t>
      </w:r>
      <w:r>
        <w:rPr>
          <w:rFonts w:ascii="Arial" w:cs="Arial" w:eastAsia="Arial" w:hAnsi="Arial"/>
          <w:sz w:val="18"/>
          <w:szCs w:val="18"/>
          <w:color w:val="auto"/>
        </w:rPr>
        <w:t>” means, for any Person, for any period, the aggregate of all expenditures (whether paid in cash or accrued as liabilities and including in all events all Capitalized Lease Obligations but excluding any capitalized interest with respect thereto) by such Person and its Subsidiaries during that period that, in conformity with GAAP, are or are required to be included in the property, plant or equipment reflected in the consolidated balance sheet of such Person.</w:t>
      </w:r>
    </w:p>
    <w:p>
      <w:pPr>
        <w:spacing w:after="0" w:line="187" w:lineRule="exact"/>
        <w:rPr>
          <w:sz w:val="20"/>
          <w:szCs w:val="20"/>
          <w:color w:val="auto"/>
        </w:rPr>
      </w:pPr>
    </w:p>
    <w:p>
      <w:pPr>
        <w:ind w:left="4"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with respect to any Person as at any date of determination, the total assets of such Person and its consolidated Subsidiaries which should properly be classified as current assets on a consolidated balance sheet of such Person and its consolidated Subsidiaries in accordance with GAAP.</w:t>
      </w:r>
    </w:p>
    <w:p>
      <w:pPr>
        <w:spacing w:after="0" w:line="184"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with respect to any Person as at any date of determination, the total liabilities of such Person and its consolidated Subsidiaries which should properly be classified as current liabilities (other than the current portion of any Loans) on a consolidated balance sheet of such Person and its consolidated Subsidiaries in accordance with GAAP.</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and with respect to any Person, Consolidated Net Income of such Person and its Subsidiaries for such period plus (a) without duplication and to the extent deducted in determining such Consolidated Net Income, the sum of (i) 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w:t>
      </w:r>
      <w:r>
        <w:rPr>
          <w:rFonts w:ascii="Arial" w:cs="Arial" w:eastAsia="Arial" w:hAnsi="Arial"/>
          <w:sz w:val="16"/>
          <w:szCs w:val="16"/>
          <w:u w:val="single" w:color="auto"/>
          <w:color w:val="auto"/>
        </w:rPr>
        <w:t>Sections 8.8(f)</w:t>
      </w:r>
      <w:r>
        <w:rPr>
          <w:rFonts w:ascii="Arial" w:cs="Arial" w:eastAsia="Arial" w:hAnsi="Arial"/>
          <w:sz w:val="16"/>
          <w:szCs w:val="16"/>
          <w:color w:val="auto"/>
        </w:rPr>
        <w:t>)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 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w:t>
      </w:r>
    </w:p>
    <w:p>
      <w:pPr>
        <w:spacing w:after="0" w:line="2" w:lineRule="exact"/>
        <w:rPr>
          <w:sz w:val="20"/>
          <w:szCs w:val="20"/>
          <w:color w:val="auto"/>
        </w:rPr>
      </w:pPr>
    </w:p>
    <w:p>
      <w:pPr>
        <w:ind w:left="5424" w:right="3120" w:hanging="5424"/>
        <w:spacing w:after="0" w:line="433" w:lineRule="auto"/>
        <w:tabs>
          <w:tab w:leader="none" w:pos="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fees, costs and expenses in connection with the Transactions, (B) transaction fees, costs and expenses 20</w:t>
      </w:r>
    </w:p>
    <w:p>
      <w:pPr>
        <w:sectPr>
          <w:pgSz w:w="11900" w:h="16838" w:orient="portrait"/>
          <w:cols w:equalWidth="0" w:num="1">
            <w:col w:w="11004"/>
          </w:cols>
          <w:pgMar w:left="436" w:top="274" w:right="459" w:bottom="1440" w:gutter="0" w:footer="0" w:header="0"/>
        </w:sectPr>
      </w:pPr>
    </w:p>
    <w:bookmarkStart w:id="154" w:name="page155"/>
    <w:bookmarkEnd w:id="15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(B) in the case of asset sales, investments, asset dispositions, operating improvements, mergers or other business combinations, Acquisitions, divestitures, restructurings and cost savings initiatives, the date it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 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-2468245</wp:posOffset>
            </wp:positionV>
            <wp:extent cx="514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-2468245</wp:posOffset>
            </wp:positionV>
            <wp:extent cx="22288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68"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subject to the last sentence of </w:t>
      </w:r>
      <w:r>
        <w:rPr>
          <w:rFonts w:ascii="Arial" w:cs="Arial" w:eastAsia="Arial" w:hAnsi="Arial"/>
          <w:sz w:val="17"/>
          <w:szCs w:val="17"/>
          <w:u w:val="single" w:color="auto"/>
          <w:color w:val="auto"/>
        </w:rPr>
        <w:t>Section 1.2(a)</w:t>
      </w:r>
      <w:r>
        <w:rPr>
          <w:rFonts w:ascii="Arial" w:cs="Arial" w:eastAsia="Arial" w:hAnsi="Arial"/>
          <w:sz w:val="17"/>
          <w:szCs w:val="17"/>
          <w:color w:val="auto"/>
        </w:rPr>
        <w:t>,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Loans outstanding under the Credit Agreement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shall not be considered Consolidated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-136525</wp:posOffset>
            </wp:positionV>
            <wp:extent cx="514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-136525</wp:posOffset>
            </wp:positionV>
            <wp:extent cx="2228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8"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and “</w:t>
      </w:r>
      <w:r>
        <w:rPr>
          <w:rFonts w:ascii="Arial" w:cs="Arial" w:eastAsia="Arial" w:hAnsi="Arial"/>
          <w:sz w:val="16"/>
          <w:szCs w:val="16"/>
          <w:u w:val="single" w:color="auto"/>
          <w:color w:val="auto"/>
        </w:rPr>
        <w:t>Consolidated Net Loss</w:t>
      </w:r>
      <w:r>
        <w:rPr>
          <w:rFonts w:ascii="Arial" w:cs="Arial" w:eastAsia="Arial" w:hAnsi="Arial"/>
          <w:sz w:val="16"/>
          <w:szCs w:val="16"/>
          <w:color w:val="auto"/>
        </w:rPr>
        <w:t xml:space="preserve">” mean, respectively, for any period and for any Person, the net income (loss) of such Person and its Subsidiaries for such period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for any such Person therefrom (i) the net income or loss of any Person (other than consolidated Subsidiaries of such Person) in which any other Person (other than such Person or any of its Subsidiaries) has a joint interest, except to the extent of the amount of dividends, distributions or other payments actually paid to such Person or any of its Subsidiaries by such Person during such period, (ii) the cumulative effect of a change in accounting principles during such period to the extent included in Consolidated Net Income, (iii) any net after-tax income (loss) from discontinued operations and any net after-tax gains or losses on disposal of discontinued operations, in each case after the date of disposal and not in the ordinary course of business, (iv) the net income or loss of any Person accrued prior to the date it becomes a Subsidiary or is merged into, amalgamated with or consolidated with such Person or any of its Subsidiaries or that Person’s assets are acquired by such Person or any of its Subsidiaries and (v) gains and losses for such period from the early extinguishment of Indebtedness to the extent included in Consolidated Net Income.</w:t>
      </w:r>
    </w:p>
    <w:p>
      <w:pPr>
        <w:spacing w:after="0" w:line="168"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xml:space="preserve">” means the aggregate amount of assets (less applicable reserves and other properly deductible items) after deducting therefrom all goodwill, trade names, trademarks, 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Consolidated Tangible Assets shall be calculated after giving effect to the transaction giving rise to the need to calculate Consolidated Tangible Assets.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means the aggregate amount of assets (less applicable reserves and other properly deductible items), all as set forth in the most recent consolidated balance sheet of Crown Holdings and its Subsidiaries for which financial statements have been delivered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Consolidated Total Assets shall be calculated after giving effect to the transaction giving rise to the need to calculate Consolidated Total Assets.</w:t>
      </w:r>
    </w:p>
    <w:p>
      <w:pPr>
        <w:spacing w:after="0" w:line="187"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Period</w:t>
      </w:r>
      <w:r>
        <w:rPr>
          <w:rFonts w:ascii="Arial" w:cs="Arial" w:eastAsia="Arial" w:hAnsi="Arial"/>
          <w:sz w:val="16"/>
          <w:szCs w:val="16"/>
          <w:color w:val="auto"/>
        </w:rPr>
        <w:t xml:space="preserve">” means the term of a B/A Loan selected by Canadian Borrower in accordance with </w:t>
      </w:r>
      <w:r>
        <w:rPr>
          <w:rFonts w:ascii="Arial" w:cs="Arial" w:eastAsia="Arial" w:hAnsi="Arial"/>
          <w:sz w:val="16"/>
          <w:szCs w:val="16"/>
          <w:u w:val="single" w:color="auto"/>
          <w:color w:val="auto"/>
        </w:rPr>
        <w:t>Section 2A.5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2A.6</w:t>
      </w:r>
      <w:r>
        <w:rPr>
          <w:rFonts w:ascii="Arial" w:cs="Arial" w:eastAsia="Arial" w:hAnsi="Arial"/>
          <w:sz w:val="16"/>
          <w:szCs w:val="16"/>
          <w:color w:val="auto"/>
        </w:rPr>
        <w:t xml:space="preserve"> commencing on the date of such B/A Loan and expiring on a Business Day which shall be either 30 days, 60 days, 90 days or 180 days (subject to availability)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Contract Period would otherwise expire on a day which is not a Business Day, such Contract Period shall expire on the next succeeding Business Day (or if such next succeeding Business Day is in a different month, on the next preceding Business Day) and (ii) no Contract Period for a Canadian Revolving Loan shall extend beyond the Canadian Revolver Termination Date.</w:t>
      </w:r>
    </w:p>
    <w:p>
      <w:pPr>
        <w:spacing w:after="0" w:line="16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84"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56" w:name="page157"/>
    <w:bookmarkEnd w:id="1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Converted Acceptances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the making of any Loan or the issuance of any Letter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Développement</w:t>
      </w:r>
      <w:r>
        <w:rPr>
          <w:rFonts w:ascii="Arial" w:cs="Arial" w:eastAsia="Arial" w:hAnsi="Arial"/>
          <w:sz w:val="18"/>
          <w:szCs w:val="18"/>
          <w:color w:val="auto"/>
        </w:rPr>
        <w:t>” means Crown Développement SAS, a simplified joint stock corporation (société par actions simplifiée) organized under the laws of France.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Finance</w:t>
      </w:r>
      <w:r>
        <w:rPr>
          <w:rFonts w:ascii="Arial" w:cs="Arial" w:eastAsia="Arial" w:hAnsi="Arial"/>
          <w:sz w:val="18"/>
          <w:szCs w:val="18"/>
          <w:color w:val="auto"/>
        </w:rPr>
        <w:t>” means Crown Americas Capital Corp.,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Finance II</w:t>
      </w:r>
      <w:r>
        <w:rPr>
          <w:rFonts w:ascii="Arial" w:cs="Arial" w:eastAsia="Arial" w:hAnsi="Arial"/>
          <w:sz w:val="18"/>
          <w:szCs w:val="18"/>
          <w:color w:val="auto"/>
        </w:rPr>
        <w:t>” means Crown Americas Capital Corp. II,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Holdings</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International</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CTA</w:t>
      </w:r>
      <w:r>
        <w:rPr>
          <w:rFonts w:ascii="Arial" w:cs="Arial" w:eastAsia="Arial" w:hAnsi="Arial"/>
          <w:sz w:val="18"/>
          <w:szCs w:val="18"/>
          <w:color w:val="auto"/>
        </w:rPr>
        <w:t>” means the Corporation Tax Act 2009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00FF"/>
        </w:rPr>
        <w:t>“Daily Rate” means, when used in reference to any Loan or Borrowing, refers to whether such Loan, or the Loans comprising such Borrowing, are bearing interest at a rate determined by reference to the Alternative Currency Alternate Rate. For the avoidance of doubt, RFR Loans do not constitute Daily Rate Loans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70369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66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44284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u w:val="single" w:color="auto"/>
          <w:color w:val="0000FF"/>
        </w:rPr>
        <w:t>“Daily Simple SOFR” means for any day (a “SOFR Rate Day”), a rate per annum equal to SOFR for the day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determined as provided above shall ever be less than, 0.00%, then Daily Simple SOFR shall be deemed to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-555625</wp:posOffset>
            </wp:positionV>
            <wp:extent cx="63093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8834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7722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751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533209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156" w:lineRule="exact"/>
        <w:rPr>
          <w:sz w:val="20"/>
          <w:szCs w:val="20"/>
          <w:color w:val="auto"/>
        </w:rPr>
      </w:pPr>
    </w:p>
    <w:p>
      <w:pPr>
        <w:ind w:firstLine="44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RFR</w:t>
      </w:r>
      <w:r>
        <w:rPr>
          <w:rFonts w:ascii="Arial" w:cs="Arial" w:eastAsia="Arial" w:hAnsi="Arial"/>
          <w:sz w:val="17"/>
          <w:szCs w:val="17"/>
          <w:color w:val="auto"/>
        </w:rPr>
        <w:t>” means, for any day (an “</w:t>
      </w:r>
      <w:r>
        <w:rPr>
          <w:rFonts w:ascii="Arial" w:cs="Arial" w:eastAsia="Arial" w:hAnsi="Arial"/>
          <w:sz w:val="17"/>
          <w:szCs w:val="17"/>
          <w:u w:val="single" w:color="auto"/>
          <w:color w:val="auto"/>
        </w:rPr>
        <w:t>RFR Rate Day</w:t>
      </w:r>
      <w:r>
        <w:rPr>
          <w:rFonts w:ascii="Arial" w:cs="Arial" w:eastAsia="Arial" w:hAnsi="Arial"/>
          <w:sz w:val="17"/>
          <w:szCs w:val="17"/>
          <w:color w:val="auto"/>
        </w:rPr>
        <w:t>”), a rate per annum equal to, for any Obligations denominated in, or calculated with respect to, Sterling, the greater of (i) SONIA for the day (such day, an “</w:t>
      </w:r>
      <w:r>
        <w:rPr>
          <w:rFonts w:ascii="Arial" w:cs="Arial" w:eastAsia="Arial" w:hAnsi="Arial"/>
          <w:sz w:val="17"/>
          <w:szCs w:val="17"/>
          <w:u w:val="single" w:color="auto"/>
          <w:color w:val="auto"/>
        </w:rPr>
        <w:t>RFR Determination Day</w:t>
      </w:r>
      <w:r>
        <w:rPr>
          <w:rFonts w:ascii="Arial" w:cs="Arial" w:eastAsia="Arial" w:hAnsi="Arial"/>
          <w:sz w:val="17"/>
          <w:szCs w:val="17"/>
          <w:color w:val="auto"/>
        </w:rPr>
        <w:t>”) that is five (5) RFR Business Days prior to (A) if such RFR Rate Day is an RFR Business Day, such RFR Rate Day or (B) if such RFR Rate Day is not an RFR Business Day, the RFR Business Day immediately preceding such RFR Rate Day, and (ii) 0.0%. If by 5:00 pm, London time, on the second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RFR Business Day immediately following any RFR Determination Day, SONIA in respect of such RFR Determination Day has not been published, then SONIA for such RFR Determination Day will be SONIA as published in respect of the first preceding RFR Business Day for which SONIA was published on the SONIA Administrator’s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SONIA as determined pursuant to this sentence shall be utilized for purposes of calculating Daily Simple RFR for no more than three (3) consecutive RFR Rate Days. Any change in Daily Simple RFR due to a change in SONIA shall be effective from and including the effective date of such change in SONIA without notice to the Borrowers.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57" w:name="page158"/>
    <w:bookmarkEnd w:id="157"/>
    <w:p>
      <w:pPr>
        <w:ind w:right="720" w:firstLine="4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“Daily Simple RFR Borrowing” means, as to any Borrowing of Daily Simple RFR Loans, the Daily Simple RFR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2579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226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50"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 Loan</w:t>
      </w:r>
      <w:r>
        <w:rPr>
          <w:rFonts w:ascii="Arial" w:cs="Arial" w:eastAsia="Arial" w:hAnsi="Arial"/>
          <w:sz w:val="18"/>
          <w:szCs w:val="18"/>
          <w:color w:val="auto"/>
        </w:rPr>
        <w:t xml:space="preserve">” means a Loan that bears interest at a rate based on Daily Simple RFR </w:t>
      </w:r>
      <w:r>
        <w:rPr>
          <w:rFonts w:ascii="Arial" w:cs="Arial" w:eastAsia="Arial" w:hAnsi="Arial"/>
          <w:sz w:val="18"/>
          <w:szCs w:val="18"/>
          <w:color w:val="FF0000"/>
          <w:strike w:val="1"/>
        </w:rPr>
        <w:t>pursuant to</w:t>
      </w:r>
      <w:r>
        <w:rPr>
          <w:rFonts w:ascii="Arial" w:cs="Arial" w:eastAsia="Arial" w:hAnsi="Arial"/>
          <w:sz w:val="18"/>
          <w:szCs w:val="18"/>
          <w:color w:val="auto"/>
        </w:rPr>
        <w:t xml:space="preserve"> </w:t>
      </w:r>
      <w:r>
        <w:rPr>
          <w:rFonts w:ascii="Arial" w:cs="Arial" w:eastAsia="Arial" w:hAnsi="Arial"/>
          <w:sz w:val="18"/>
          <w:szCs w:val="18"/>
          <w:color w:val="008000"/>
          <w:strike w:val="1"/>
        </w:rPr>
        <w:t>clause (c) of the definition of</w:t>
      </w:r>
      <w:r>
        <w:rPr>
          <w:rFonts w:ascii="Arial" w:cs="Arial" w:eastAsia="Arial" w:hAnsi="Arial"/>
          <w:sz w:val="18"/>
          <w:szCs w:val="18"/>
          <w:color w:val="auto"/>
        </w:rPr>
        <w:t xml:space="preserve"> </w:t>
      </w:r>
      <w:r>
        <w:rPr>
          <w:rFonts w:ascii="Arial" w:cs="Arial" w:eastAsia="Arial" w:hAnsi="Arial"/>
          <w:sz w:val="18"/>
          <w:szCs w:val="18"/>
          <w:color w:val="008000"/>
          <w:strike w:val="1"/>
        </w:rPr>
        <w:t>“</w:t>
      </w:r>
      <w:r>
        <w:rPr>
          <w:rFonts w:ascii="Arial" w:cs="Arial" w:eastAsia="Arial" w:hAnsi="Arial"/>
          <w:sz w:val="18"/>
          <w:szCs w:val="18"/>
          <w:color w:val="FF0000"/>
          <w:strike w:val="1"/>
        </w:rPr>
        <w:t>Eurocurrency Rate”</w:t>
      </w:r>
      <w:r>
        <w:rPr>
          <w:rFonts w:ascii="Arial" w:cs="Arial" w:eastAsia="Arial" w:hAnsi="Arial"/>
          <w:sz w:val="18"/>
          <w:szCs w:val="18"/>
          <w:color w:val="000000"/>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Debentures</w:t>
      </w:r>
      <w:r>
        <w:rPr>
          <w:rFonts w:ascii="Arial" w:cs="Arial" w:eastAsia="Arial" w:hAnsi="Arial"/>
          <w:sz w:val="18"/>
          <w:szCs w:val="18"/>
          <w:color w:val="auto"/>
        </w:rPr>
        <w:t>” means the CCSC 2026 Debentures and the CCSC 2096 Debentures.</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Basket Amount</w:t>
      </w:r>
      <w:r>
        <w:rPr>
          <w:rFonts w:ascii="Arial" w:cs="Arial" w:eastAsia="Arial" w:hAnsi="Arial"/>
          <w:sz w:val="18"/>
          <w:szCs w:val="18"/>
          <w:color w:val="auto"/>
        </w:rPr>
        <w:t xml:space="preserve">” means 20% of Consolidated Tangible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variable rate per annum which shall be two percent (2%) per annum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 Rate plus the Applicable Canadian Prime Rate Margin, but in no event in excess of that permitted by applicable law.</w:t>
      </w:r>
    </w:p>
    <w:p>
      <w:pPr>
        <w:spacing w:after="0" w:line="1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such Borrower’s receipt of such certification in form and substance reasonably satisfactory to it and the Administrative Agent; or (d) (i) has, or has a direct or indirect parent company that has, become the subject of a bankruptcy or Insolvency Proceeding or (ii) has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58" w:name="page159"/>
    <w:bookmarkEnd w:id="158"/>
    <w:p>
      <w:pPr>
        <w:ind w:left="4"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0"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Credit Parties in respect of accrued and unpaid (a) principal of and interest on the Loans (including B/As, B/A Equivalent Loans and Acceptance Fees with respect thereto), (b) Multicurrency LC Commissions, Dollar LC Commissions and Canadian LC Commissions and (c) Commitment Fees, whether or not the same shall at the time of any determination be due and payable under the terms of the Loan Documents.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 Date</w:t>
      </w:r>
      <w:r>
        <w:rPr>
          <w:rFonts w:ascii="Arial" w:cs="Arial" w:eastAsia="Arial" w:hAnsi="Arial"/>
          <w:sz w:val="16"/>
          <w:szCs w:val="16"/>
          <w:color w:val="auto"/>
        </w:rPr>
        <w:t>” means with respect to any Letter of Credit, (i) the most recent date upon which one of the following shall have occurred:</w:t>
      </w:r>
    </w:p>
    <w:p>
      <w:pPr>
        <w:spacing w:after="0" w:line="46" w:lineRule="exact"/>
        <w:rPr>
          <w:sz w:val="20"/>
          <w:szCs w:val="20"/>
          <w:color w:val="auto"/>
        </w:rPr>
      </w:pPr>
    </w:p>
    <w:p>
      <w:pPr>
        <w:ind w:left="4" w:right="340" w:hanging="4"/>
        <w:spacing w:after="0" w:line="277"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173"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 Proceeds</w:t>
      </w:r>
      <w:r>
        <w:rPr>
          <w:rFonts w:ascii="Arial" w:cs="Arial" w:eastAsia="Arial" w:hAnsi="Arial"/>
          <w:sz w:val="17"/>
          <w:szCs w:val="17"/>
          <w:color w:val="auto"/>
        </w:rPr>
        <w:t>” means in respect of any Bankers’ Acceptance (or, as applicable, any B/A Equivalent Loan) required to be accepted and purchased by a Canadian Revolving Lender an amount (rounded to the nearest whole cent with one-half one cent being rounded-up) determined as of the applicable date of the Canadian Revolving Loan or rollover date for such Canadian Revolving Loan which is equal to:</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Face Amount x Price</w:t>
      </w:r>
    </w:p>
    <w:p>
      <w:pPr>
        <w:spacing w:after="0" w:line="117" w:lineRule="exact"/>
        <w:rPr>
          <w:sz w:val="20"/>
          <w:szCs w:val="20"/>
          <w:color w:val="auto"/>
        </w:rPr>
      </w:pPr>
    </w:p>
    <w:p>
      <w:pPr>
        <w:ind w:left="984" w:right="160"/>
        <w:spacing w:after="0" w:line="277" w:lineRule="auto"/>
        <w:rPr>
          <w:sz w:val="20"/>
          <w:szCs w:val="20"/>
          <w:color w:val="auto"/>
        </w:rPr>
      </w:pPr>
      <w:r>
        <w:rPr>
          <w:rFonts w:ascii="Arial" w:cs="Arial" w:eastAsia="Arial" w:hAnsi="Arial"/>
          <w:sz w:val="18"/>
          <w:szCs w:val="18"/>
          <w:color w:val="auto"/>
        </w:rPr>
        <w:t>where “Face Amount” is the face amount of such Bankers’ Acceptance (or, as applicable, the B/A Equivalent Loan) and “Price” is equal to:</w:t>
      </w:r>
    </w:p>
    <w:p>
      <w:pPr>
        <w:spacing w:after="0" w:line="197" w:lineRule="exact"/>
        <w:rPr>
          <w:sz w:val="20"/>
          <w:szCs w:val="20"/>
          <w:color w:val="auto"/>
        </w:rPr>
      </w:pPr>
    </w:p>
    <w:p>
      <w:pPr>
        <w:ind w:left="172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-10160</wp:posOffset>
            </wp:positionV>
            <wp:extent cx="9994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3"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 xml:space="preserve">1 + (Rate x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9" w:lineRule="exact"/>
        <w:rPr>
          <w:sz w:val="20"/>
          <w:szCs w:val="20"/>
          <w:color w:val="auto"/>
        </w:rPr>
      </w:pPr>
    </w:p>
    <w:p>
      <w:pPr>
        <w:ind w:left="2004"/>
        <w:spacing w:after="0"/>
        <w:rPr>
          <w:sz w:val="20"/>
          <w:szCs w:val="20"/>
          <w:color w:val="auto"/>
        </w:rPr>
      </w:pPr>
      <w:r>
        <w:rPr>
          <w:rFonts w:ascii="Arial" w:cs="Arial" w:eastAsia="Arial" w:hAnsi="Arial"/>
          <w:sz w:val="18"/>
          <w:szCs w:val="18"/>
          <w:color w:val="auto"/>
        </w:rPr>
        <w:t>365</w:t>
      </w:r>
    </w:p>
    <w:p>
      <w:pPr>
        <w:spacing w:after="0" w:line="319" w:lineRule="exact"/>
        <w:rPr>
          <w:sz w:val="20"/>
          <w:szCs w:val="20"/>
          <w:color w:val="auto"/>
        </w:rPr>
      </w:pPr>
    </w:p>
    <w:p>
      <w:pPr>
        <w:ind w:left="984" w:right="160"/>
        <w:spacing w:after="0" w:line="286" w:lineRule="auto"/>
        <w:rPr>
          <w:sz w:val="20"/>
          <w:szCs w:val="20"/>
          <w:color w:val="auto"/>
        </w:rPr>
      </w:pPr>
      <w:r>
        <w:rPr>
          <w:rFonts w:ascii="Arial" w:cs="Arial" w:eastAsia="Arial" w:hAnsi="Arial"/>
          <w:sz w:val="17"/>
          <w:szCs w:val="17"/>
          <w:color w:val="auto"/>
        </w:rPr>
        <w:t>where the “Rate” is the Discount Rate expressed as a decimal on the date of the Canadian Revolving Loan or rollover date for such Canadian Revolving Loan, as the case may be; the “Term” is the Contract Period of such Bankers’ Acceptance expressed as a number of days; and the Price as so determined is rounded up or down to the fifth decimal place with .000005 being rounded-up.</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means:</w:t>
      </w:r>
    </w:p>
    <w:p>
      <w:pPr>
        <w:spacing w:after="0" w:line="117" w:lineRule="exact"/>
        <w:rPr>
          <w:sz w:val="20"/>
          <w:szCs w:val="20"/>
          <w:color w:val="auto"/>
        </w:rPr>
      </w:pPr>
    </w:p>
    <w:p>
      <w:pPr>
        <w:ind w:left="444" w:right="20" w:firstLine="419"/>
        <w:spacing w:after="0" w:line="277" w:lineRule="auto"/>
        <w:tabs>
          <w:tab w:leader="none" w:pos="11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an issue of Bankers’ Acceptances accepted and purchased by a Canadian Revolving Lender that is a Schedule I Bank, the CDOR Rate; and</w:t>
      </w:r>
    </w:p>
    <w:p>
      <w:pPr>
        <w:spacing w:after="0" w:line="62" w:lineRule="exact"/>
        <w:rPr>
          <w:rFonts w:ascii="Arial" w:cs="Arial" w:eastAsia="Arial" w:hAnsi="Arial"/>
          <w:sz w:val="18"/>
          <w:szCs w:val="18"/>
          <w:color w:val="auto"/>
        </w:rPr>
      </w:pPr>
    </w:p>
    <w:p>
      <w:pPr>
        <w:ind w:left="444" w:firstLine="419"/>
        <w:spacing w:after="0" w:line="308" w:lineRule="auto"/>
        <w:tabs>
          <w:tab w:leader="none" w:pos="1122"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 respect to an issue of Bankers’ Acceptances accepted and purchased by a Canadian Revolving Lender that is not a Schedule I Bank, including without limitation, a Schedule II Bank and a Schedule III Bank, the CDOR Rate plus ten (10) basis points (0.10%).</w:t>
      </w:r>
    </w:p>
    <w:p>
      <w:pPr>
        <w:spacing w:after="0" w:line="146"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Institution</w:t>
      </w:r>
      <w:r>
        <w:rPr>
          <w:rFonts w:ascii="Arial" w:cs="Arial" w:eastAsia="Arial" w:hAnsi="Arial"/>
          <w:sz w:val="16"/>
          <w:szCs w:val="16"/>
          <w:color w:val="auto"/>
        </w:rPr>
        <w:t>” means (a) each bank, financial institution or other institutional lender identified on a list made available to the Administrative Agent on or prior to the Original Closing Date and (b) any Company Competitor. Notwithstanding the foregoing, any list of Disqualified Institutions shall be required to be available to any Lender on a confidential basis that requests a copy of such list from the Administrative Agent.</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159" w:name="page160"/>
    <w:bookmarkEnd w:id="159"/>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Disqualified Preferred Stock</w:t>
      </w:r>
      <w:r>
        <w:rPr>
          <w:rFonts w:ascii="Arial" w:cs="Arial" w:eastAsia="Arial" w:hAnsi="Arial"/>
          <w:sz w:val="18"/>
          <w:szCs w:val="18"/>
          <w:color w:val="auto"/>
        </w:rPr>
        <w:t>” means any preferred stock of Crown Holdings (or any equity security of Crown Holdings that is convertible or exchangeable into any such preferred stock of Crown Holdings) that is not Permitted Preferred Stock.</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Disregarded Subsidiary</w:t>
      </w:r>
      <w:r>
        <w:rPr>
          <w:rFonts w:ascii="Arial" w:cs="Arial" w:eastAsia="Arial" w:hAnsi="Arial"/>
          <w:sz w:val="17"/>
          <w:szCs w:val="17"/>
          <w:color w:val="auto"/>
        </w:rPr>
        <w:t>” means a Subsidiary of Crown Holdings that is disregarded as an entity separate from its owner for U.S. federal income tax purposes and that has no material assets other than Capital Stock of one or more Non-U.S. Subsidiaries that are CFCs.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on the most recent Computation Date provided for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and (c) as to any amount denominated in any other currency, the equivalent in Dollars of such amount determined by Administrative Agent using the Exchange Rate then in effect.</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Facing Agent</w:t>
      </w:r>
      <w:r>
        <w:rPr>
          <w:rFonts w:ascii="Arial" w:cs="Arial" w:eastAsia="Arial" w:hAnsi="Arial"/>
          <w:sz w:val="18"/>
          <w:szCs w:val="18"/>
          <w:color w:val="auto"/>
        </w:rPr>
        <w:t>” means PNC Bank, National Association or any of its affiliates in its capacity as issuer of Dollar Letters of Credit and any 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2.10(g)(ii)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Obligations</w:t>
      </w:r>
      <w:r>
        <w:rPr>
          <w:rFonts w:ascii="Arial" w:cs="Arial" w:eastAsia="Arial" w:hAnsi="Arial"/>
          <w:sz w:val="18"/>
          <w:szCs w:val="18"/>
          <w:color w:val="auto"/>
        </w:rPr>
        <w:t xml:space="preserve">” means, at any time, an amount equal to the sum of (a) the aggregate Stated Amount of the then outstanding Dollar Letters of Credit and (b) the aggregate amount of Unpaid Drawings under the Dollar Letters of Credit which have not then been reimbursed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The Dollar LC Obligation of any Dollar Revolving Lender at any time shall mean its Dollar Revolver Pro Rata Share of the aggregate Dollar LC Obligations outstanding at such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2.10(a)(ii)</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 of Credit Exposure</w:t>
      </w:r>
      <w:r>
        <w:rPr>
          <w:rFonts w:ascii="Arial" w:cs="Arial" w:eastAsia="Arial" w:hAnsi="Arial"/>
          <w:sz w:val="18"/>
          <w:szCs w:val="18"/>
          <w:color w:val="auto"/>
        </w:rPr>
        <w:t>” means, with respect to a Dollar Revolving Lender, such Lender’s Dollar Revolver Pro Rata Share of the aggregate Dollar LC Obligations.</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Revolver Pro Rata Share</w:t>
      </w:r>
      <w:r>
        <w:rPr>
          <w:rFonts w:ascii="Arial" w:cs="Arial" w:eastAsia="Arial" w:hAnsi="Arial"/>
          <w:sz w:val="18"/>
          <w:szCs w:val="18"/>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60" w:name="page161"/>
    <w:bookmarkEnd w:id="160"/>
    <w:p>
      <w:pPr>
        <w:ind w:right="1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Dollar Revolving Commitment</w:t>
      </w:r>
      <w:r>
        <w:rPr>
          <w:rFonts w:ascii="Arial" w:cs="Arial" w:eastAsia="Arial" w:hAnsi="Arial"/>
          <w:sz w:val="18"/>
          <w:szCs w:val="18"/>
          <w:color w:val="auto"/>
        </w:rPr>
        <w:t xml:space="preserve">” means, with respect to any Dollar Revolving Lender, the obligation of such Dollar Revolving Lender to make Dollar Revolving Loans and to participate in Dollar Letters of Credit, as such commitment may be adjusted from time to time pursuant to this Agreement, which commitment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is the amount set forth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under the caption “Amount of Dollar Revolving Commitment” as the same may be adjusted from time to time pursuant to the terms hereof and “Dollar Revolving Commitments” means such commitments collectively, which commitments equal $</w:t>
      </w:r>
      <w:r>
        <w:rPr>
          <w:rFonts w:ascii="Arial" w:cs="Arial" w:eastAsia="Arial" w:hAnsi="Arial"/>
          <w:sz w:val="18"/>
          <w:szCs w:val="18"/>
          <w:color w:val="FF0000"/>
          <w:strike w:val="1"/>
        </w:rPr>
        <w:t>600,000,000</w:t>
      </w:r>
      <w:r>
        <w:rPr>
          <w:rFonts w:ascii="Arial" w:cs="Arial" w:eastAsia="Arial" w:hAnsi="Arial"/>
          <w:sz w:val="18"/>
          <w:szCs w:val="18"/>
          <w:u w:val="single" w:color="auto"/>
          <w:color w:val="0000FF"/>
        </w:rPr>
        <w:t>800,000,000</w:t>
      </w:r>
      <w:r>
        <w:rPr>
          <w:rFonts w:ascii="Arial" w:cs="Arial" w:eastAsia="Arial" w:hAnsi="Arial"/>
          <w:sz w:val="18"/>
          <w:szCs w:val="18"/>
          <w:color w:val="auto"/>
        </w:rPr>
        <w:t xml:space="preserve"> in the aggregate as of the Incremental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-544195</wp:posOffset>
            </wp:positionV>
            <wp:extent cx="603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-544195</wp:posOffset>
            </wp:positionV>
            <wp:extent cx="22288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-407035</wp:posOffset>
            </wp:positionV>
            <wp:extent cx="603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-407035</wp:posOffset>
            </wp:positionV>
            <wp:extent cx="22288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-132715</wp:posOffset>
            </wp:positionV>
            <wp:extent cx="60007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-132715</wp:posOffset>
            </wp:positionV>
            <wp:extent cx="514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-132715</wp:posOffset>
            </wp:positionV>
            <wp:extent cx="22288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7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Credit Exposure</w:t>
      </w:r>
      <w:r>
        <w:rPr>
          <w:rFonts w:ascii="Arial" w:cs="Arial" w:eastAsia="Arial" w:hAnsi="Arial"/>
          <w:sz w:val="18"/>
          <w:szCs w:val="18"/>
          <w:color w:val="auto"/>
        </w:rPr>
        <w:t>” means, with respect to a Dollar Revolving Lender, the sum of (i) the outstanding principal amount of Dollar Revolving Loans made by such Lender and (ii) the Dollar Letter of Credit Exposure of such Dollar Revolving Lender.</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Facility</w:t>
      </w:r>
      <w:r>
        <w:rPr>
          <w:rFonts w:ascii="Arial" w:cs="Arial" w:eastAsia="Arial" w:hAnsi="Arial"/>
          <w:sz w:val="18"/>
          <w:szCs w:val="18"/>
          <w:color w:val="auto"/>
        </w:rPr>
        <w:t>” means the credit facility under this Agreement evidenced by the Dollar Revolving Commitments and the Dollar Revolving Loans.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Lender</w:t>
      </w:r>
      <w:r>
        <w:rPr>
          <w:rFonts w:ascii="Arial" w:cs="Arial" w:eastAsia="Arial" w:hAnsi="Arial"/>
          <w:sz w:val="18"/>
          <w:szCs w:val="18"/>
          <w:color w:val="auto"/>
        </w:rPr>
        <w:t>” means any Lender which has an Dollar Revolving Commitment or is owed an Dollar Revolving Loan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Loan</w:t>
      </w:r>
      <w:r>
        <w:rPr>
          <w:rFonts w:ascii="Arial" w:cs="Arial" w:eastAsia="Arial" w:hAnsi="Arial"/>
          <w:sz w:val="18"/>
          <w:szCs w:val="18"/>
          <w:color w:val="auto"/>
        </w:rPr>
        <w:t>” and “</w:t>
      </w:r>
      <w:r>
        <w:rPr>
          <w:rFonts w:ascii="Arial" w:cs="Arial" w:eastAsia="Arial" w:hAnsi="Arial"/>
          <w:sz w:val="18"/>
          <w:szCs w:val="18"/>
          <w:u w:val="single" w:color="auto"/>
          <w:color w:val="auto"/>
        </w:rPr>
        <w:t>Dollar Revolving Loans</w:t>
      </w:r>
      <w:r>
        <w:rPr>
          <w:rFonts w:ascii="Arial" w:cs="Arial" w:eastAsia="Arial" w:hAnsi="Arial"/>
          <w:sz w:val="18"/>
          <w:szCs w:val="18"/>
          <w:color w:val="auto"/>
        </w:rPr>
        <w:t xml:space="preserve">” have the meanings given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Dormant Company</w:t>
      </w:r>
      <w:r>
        <w:rPr>
          <w:rFonts w:ascii="Arial" w:cs="Arial" w:eastAsia="Arial" w:hAnsi="Arial"/>
          <w:sz w:val="18"/>
          <w:szCs w:val="18"/>
          <w:color w:val="auto"/>
        </w:rPr>
        <w:t>” means a company, trust or any other legal entity which carries on no operations and does not own, legally or beneficially, assets which in aggregate have a value of £100,000 or more or its equivalent in other currencies as of the last day of the most recently completed period of four consecutive Fiscal Quarters of Crown Holdings.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2.10(d)(ii)</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Borrowers</w:t>
      </w:r>
      <w:r>
        <w:rPr>
          <w:rFonts w:ascii="Arial" w:cs="Arial" w:eastAsia="Arial" w:hAnsi="Arial"/>
          <w:sz w:val="18"/>
          <w:szCs w:val="18"/>
          <w:color w:val="auto"/>
        </w:rPr>
        <w:t xml:space="preserve">” means each Subsidiary of European Borrower organized under the laws of the Netherlands, and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Subsidiary of European Borrower organized under the laws of the Netherlands and requested by European Borrower to be a Dutch Borrower, subject to the approval of Administrative Agent.</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xml:space="preserve">” means any of </w:t>
      </w:r>
      <w:r>
        <w:rPr>
          <w:rFonts w:ascii="Arial" w:cs="Arial" w:eastAsia="Arial" w:hAnsi="Arial"/>
          <w:sz w:val="18"/>
          <w:szCs w:val="18"/>
          <w:color w:val="FF0000"/>
          <w:strike w:val="1"/>
        </w:rPr>
        <w:t>the member states of the European Economic Area under and in accordance with the Agreement on the</w:t>
      </w:r>
      <w:r>
        <w:rPr>
          <w:rFonts w:ascii="Arial" w:cs="Arial" w:eastAsia="Arial" w:hAnsi="Arial"/>
          <w:sz w:val="18"/>
          <w:szCs w:val="18"/>
          <w:color w:val="auto"/>
        </w:rPr>
        <w:t xml:space="preserve"> </w:t>
      </w:r>
      <w:r>
        <w:rPr>
          <w:rFonts w:ascii="Arial" w:cs="Arial" w:eastAsia="Arial" w:hAnsi="Arial"/>
          <w:sz w:val="18"/>
          <w:szCs w:val="18"/>
          <w:color w:val="FF0000"/>
          <w:strike w:val="1"/>
        </w:rPr>
        <w:t>European Economic Area (OJ No L 1, 3.1.1994, p. 3), being (as at the Effective Date)</w:t>
      </w:r>
      <w:r>
        <w:rPr>
          <w:rFonts w:ascii="Arial" w:cs="Arial" w:eastAsia="Arial" w:hAnsi="Arial"/>
          <w:sz w:val="18"/>
          <w:szCs w:val="18"/>
          <w:color w:val="FF0000"/>
        </w:rPr>
        <w:t xml:space="preserve"> </w:t>
      </w:r>
      <w:r>
        <w:rPr>
          <w:rFonts w:ascii="Arial" w:cs="Arial" w:eastAsia="Arial" w:hAnsi="Arial"/>
          <w:sz w:val="18"/>
          <w:szCs w:val="18"/>
          <w:color w:val="000000"/>
        </w:rPr>
        <w:t>the member states of the European Union, Iceland, Liechtenstein,</w:t>
      </w:r>
      <w:r>
        <w:rPr>
          <w:rFonts w:ascii="Arial" w:cs="Arial" w:eastAsia="Arial" w:hAnsi="Arial"/>
          <w:sz w:val="18"/>
          <w:szCs w:val="18"/>
          <w:color w:val="FF0000"/>
        </w:rPr>
        <w:t xml:space="preserve"> </w:t>
      </w:r>
      <w:r>
        <w:rPr>
          <w:rFonts w:ascii="Arial" w:cs="Arial" w:eastAsia="Arial" w:hAnsi="Arial"/>
          <w:sz w:val="18"/>
          <w:szCs w:val="18"/>
          <w:color w:val="000000"/>
        </w:rPr>
        <w:t>and Norway.</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161" w:name="page162"/>
    <w:bookmarkEnd w:id="161"/>
    <w:p>
      <w:pPr>
        <w:ind w:left="4" w:right="2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Effective Amount</w:t>
      </w:r>
      <w:r>
        <w:rPr>
          <w:rFonts w:ascii="Arial" w:cs="Arial" w:eastAsia="Arial" w:hAnsi="Arial"/>
          <w:sz w:val="16"/>
          <w:szCs w:val="16"/>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w:t>
      </w:r>
    </w:p>
    <w:p>
      <w:pPr>
        <w:spacing w:after="0" w:line="4" w:lineRule="exact"/>
        <w:rPr>
          <w:sz w:val="20"/>
          <w:szCs w:val="20"/>
          <w:color w:val="auto"/>
        </w:rPr>
      </w:pPr>
    </w:p>
    <w:p>
      <w:pPr>
        <w:ind w:left="4" w:right="20" w:hanging="4"/>
        <w:spacing w:after="0" w:line="268" w:lineRule="auto"/>
        <w:tabs>
          <w:tab w:leader="none" w:pos="2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any outstanding Dollar LC Obligations on any date, the Dollar amount of such Dollar LC Obligations on such date after giving 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 with respect to any outstanding Canadian LC 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April 7, 2017.</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xml:space="preserve">”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5117465</wp:posOffset>
            </wp:positionH>
            <wp:positionV relativeFrom="paragraph">
              <wp:posOffset>-817245</wp:posOffset>
            </wp:positionV>
            <wp:extent cx="514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Disqualified Institution shall not be deemed an Eligible Assignee, (ii) Crown Holdings and its Subsidiaries and their respective Affiliates shall not be deemed to be Eligible Assignees, (iii) natural persons </w:t>
      </w:r>
      <w:r>
        <w:rPr>
          <w:rFonts w:ascii="Arial" w:cs="Arial" w:eastAsia="Arial" w:hAnsi="Arial"/>
          <w:sz w:val="18"/>
          <w:szCs w:val="18"/>
          <w:u w:val="single" w:color="auto"/>
          <w:color w:val="0000FF"/>
        </w:rPr>
        <w:t>(or holding company, investment vehicle or trust for, or owned and operated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the primary benefit of a natural person)</w:t>
      </w:r>
      <w:r>
        <w:rPr>
          <w:rFonts w:ascii="Arial" w:cs="Arial" w:eastAsia="Arial" w:hAnsi="Arial"/>
          <w:sz w:val="18"/>
          <w:szCs w:val="18"/>
          <w:color w:val="0000FF"/>
        </w:rPr>
        <w:t xml:space="preserve"> </w:t>
      </w:r>
      <w:r>
        <w:rPr>
          <w:rFonts w:ascii="Arial" w:cs="Arial" w:eastAsia="Arial" w:hAnsi="Arial"/>
          <w:sz w:val="18"/>
          <w:szCs w:val="18"/>
          <w:color w:val="000000"/>
        </w:rPr>
        <w:t>shall not be deemed to be Eligible Assignees and (iv) a Defaulting Lender shall not be deemed to be an</w:t>
      </w:r>
      <w:r>
        <w:rPr>
          <w:rFonts w:ascii="Arial" w:cs="Arial" w:eastAsia="Arial" w:hAnsi="Arial"/>
          <w:sz w:val="18"/>
          <w:szCs w:val="18"/>
          <w:color w:val="0000FF"/>
        </w:rPr>
        <w:t xml:space="preserve"> </w:t>
      </w:r>
      <w:r>
        <w:rPr>
          <w:rFonts w:ascii="Arial" w:cs="Arial" w:eastAsia="Arial" w:hAnsi="Arial"/>
          <w:sz w:val="18"/>
          <w:szCs w:val="18"/>
          <w:color w:val="000000"/>
        </w:rPr>
        <w:t>Eligible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-269875</wp:posOffset>
            </wp:positionV>
            <wp:extent cx="34804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19545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75"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w:t>
      </w:r>
      <w:r>
        <w:rPr>
          <w:rFonts w:ascii="Arial" w:cs="Arial" w:eastAsia="Arial" w:hAnsi="Arial"/>
          <w:sz w:val="17"/>
          <w:szCs w:val="17"/>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162" w:name="page163"/>
    <w:bookmarkEnd w:id="162"/>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w:t>
      </w:r>
    </w:p>
    <w:p>
      <w:pPr>
        <w:spacing w:after="0" w:line="187"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any permit, approval, authorization, certificate, license, variance, filing or permission required by or from any Governmental Authority pursuant to any Environmental Law.</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from time to time amended, and the rules and regulations promulgated thereunder.</w:t>
      </w:r>
    </w:p>
    <w:p>
      <w:pPr>
        <w:spacing w:after="0" w:line="170"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Crown Holdings or any Subsidiary.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has the meaning assigned to it in Section 11.14(a).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32613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Deficiency Assignment” has the meaning assigned to it in Section 11.14(d)(i).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5434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Impacted Class” has the meaning assigned to it in Section 11.14(d)(i).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1662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Return Deficiency” has the meaning assigned to it in Section 11.14(d)(i).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30339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Subrogation Rights” has the meaning assigned to it in Section 11.14(e).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23481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“ESG” has the meaning assigned to such term in Section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8460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“ESG Amendment” has the meaning assigned to such term in Section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437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“ESG Pricing Provisions” has the meaning assigned to such term in Section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71157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“ESG Ratings” has the meaning assigned to such term in Section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2232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Participating Member States.</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Bank Pledge Agreement</w:t>
      </w:r>
      <w:r>
        <w:rPr>
          <w:rFonts w:ascii="Arial" w:cs="Arial" w:eastAsia="Arial" w:hAnsi="Arial"/>
          <w:sz w:val="18"/>
          <w:szCs w:val="18"/>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Collateral</w:t>
      </w:r>
      <w:r>
        <w:rPr>
          <w:rFonts w:ascii="Arial" w:cs="Arial" w:eastAsia="Arial" w:hAnsi="Arial"/>
          <w:sz w:val="18"/>
          <w:szCs w:val="18"/>
          <w:color w:val="auto"/>
        </w:rPr>
        <w:t>” means all Collateral securing only the Euro Obligations and/or the Canadian Obligations.</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 Collateral Agent</w:t>
      </w:r>
      <w:r>
        <w:rPr>
          <w:rFonts w:ascii="Arial" w:cs="Arial" w:eastAsia="Arial" w:hAnsi="Arial"/>
          <w:sz w:val="16"/>
          <w:szCs w:val="16"/>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Arial" w:cs="Arial" w:eastAsia="Arial" w:hAnsi="Arial"/>
          <w:sz w:val="16"/>
          <w:szCs w:val="16"/>
          <w:u w:val="single" w:color="auto"/>
          <w:color w:val="auto"/>
        </w:rPr>
        <w:t>agent de sûretés</w:t>
      </w:r>
      <w:r>
        <w:rPr>
          <w:rFonts w:ascii="Arial" w:cs="Arial" w:eastAsia="Arial" w:hAnsi="Arial"/>
          <w:sz w:val="16"/>
          <w:szCs w:val="16"/>
          <w:color w:val="auto"/>
        </w:rPr>
        <w:t>”) in accordance with the provisions of Article 2328-1 of the French Civil Code.</w:t>
      </w:r>
    </w:p>
    <w:p>
      <w:pPr>
        <w:spacing w:after="0" w:line="14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Credit Parties</w:t>
      </w:r>
      <w:r>
        <w:rPr>
          <w:rFonts w:ascii="Arial" w:cs="Arial" w:eastAsia="Arial" w:hAnsi="Arial"/>
          <w:sz w:val="18"/>
          <w:szCs w:val="18"/>
          <w:color w:val="auto"/>
        </w:rPr>
        <w:t>” means (a) European Borrower, (b) Canadian Borrower, (c) each Subsidiary Borrower and (d) each Subsidiary of Crown Holdings from time to time party to a Non-U.S. Guarantee Agreement.</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 Obligations</w:t>
      </w:r>
      <w:r>
        <w:rPr>
          <w:rFonts w:ascii="Arial" w:cs="Arial" w:eastAsia="Arial" w:hAnsi="Arial"/>
          <w:sz w:val="17"/>
          <w:szCs w:val="17"/>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 post-petition interest and fees is allowed in such proceeding) the Loans made to or Unpaid Drawings pursuant to Letters of Credit issued for the account of European Borrower and any Subsidiary Borrower or Euro Subsidiary Credit Party and all other obligations and liabilities of European Borrower and any Subsidiary Borrower or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and any Subsidiary Borrower or any Euro Subsidiary Credit Party to any Agent, any Collateral Agent, any Lender or any Hedge Bank pursuant to any Loan Document or any Bank Related Debt) or otherwise.</w:t>
      </w:r>
    </w:p>
    <w:p>
      <w:pPr>
        <w:spacing w:after="0" w:line="17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 Security Documents</w:t>
      </w:r>
      <w:r>
        <w:rPr>
          <w:rFonts w:ascii="Arial" w:cs="Arial" w:eastAsia="Arial" w:hAnsi="Arial"/>
          <w:sz w:val="16"/>
          <w:szCs w:val="16"/>
          <w:color w:val="auto"/>
        </w:rPr>
        <w:t xml:space="preserve">” means each security agreement, pledge agreement (including the Euro Bank Pledge Agreement), mortgage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mortgage or other instrument or document executed and delivered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(each as amended, restated, amended and restated or otherwise modified from time to time) to secure any of the Euro Obligations or the Canadian Obligations.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64" w:name="page165"/>
    <w:bookmarkEnd w:id="164"/>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Euro Subsidiary Credit Parties</w:t>
      </w:r>
      <w:r>
        <w:rPr>
          <w:rFonts w:ascii="Arial" w:cs="Arial" w:eastAsia="Arial" w:hAnsi="Arial"/>
          <w:sz w:val="18"/>
          <w:szCs w:val="18"/>
          <w:color w:val="auto"/>
        </w:rPr>
        <w:t xml:space="preserve">” means each Non-U.S. Subsidiary of Crown Holdings designated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as a subsidiary guarantor or Subsidiary Borrower or which becomes a subsidiary guarantor pursuant to the provisions of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w:t>
      </w:r>
      <w:r>
        <w:rPr>
          <w:rFonts w:ascii="Arial" w:cs="Arial" w:eastAsia="Arial" w:hAnsi="Arial"/>
          <w:sz w:val="18"/>
          <w:szCs w:val="18"/>
          <w:color w:val="auto"/>
        </w:rPr>
        <w:t>” means any Loan bearing interest at a rate determined by reference to the Eurocurrency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the aggregate of (1) and (2) below:</w:t>
      </w:r>
    </w:p>
    <w:p>
      <w:pPr>
        <w:spacing w:after="0" w:line="117" w:lineRule="exact"/>
        <w:rPr>
          <w:sz w:val="20"/>
          <w:szCs w:val="20"/>
          <w:color w:val="auto"/>
        </w:rPr>
      </w:pPr>
    </w:p>
    <w:p>
      <w:pPr>
        <w:ind w:left="440" w:right="60" w:firstLine="419"/>
        <w:spacing w:after="0" w:line="269" w:lineRule="auto"/>
        <w:tabs>
          <w:tab w:leader="none" w:pos="1118" w:val="left"/>
        </w:tabs>
        <w:numPr>
          <w:ilvl w:val="0"/>
          <w:numId w:val="31"/>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 in the case of Dollar denominated Loans, (i) the rate per annum equal to the rate determined by Administrative Agent to be the offered rate that appears on the Reuters Screen that displays the ICE Benchmark Administration Limited rate for deposits in Dollars (for delivery on </w:t>
      </w:r>
      <w:r>
        <w:rPr>
          <w:rFonts w:ascii="Arial" w:cs="Arial" w:eastAsia="Arial" w:hAnsi="Arial"/>
          <w:sz w:val="17"/>
          <w:szCs w:val="17"/>
          <w:color w:val="008000"/>
          <w:strike w:val="1"/>
        </w:rPr>
        <w:t>the first day of such Interest Period</w:t>
      </w:r>
      <w:r>
        <w:rPr>
          <w:rFonts w:ascii="Arial" w:cs="Arial" w:eastAsia="Arial" w:hAnsi="Arial"/>
          <w:sz w:val="17"/>
          <w:szCs w:val="17"/>
          <w:color w:val="FF0000"/>
          <w:strike w:val="1"/>
        </w:rPr>
        <w:t xml:space="preserve">) with a term equivalent to such Interest Period (or the successor thereto if ICE Benchmark Administration Limited is no longer making the applicable interest settlement rate available), determined as of approximately 11:00 a.m. (London time) on the applicable Interest Rate Determination Date or (ii) in the event such rate does not appear on either of such Reuters pages, on any successor or substitute page on such screen that displays such rate, or on the appropriate page of such </w:t>
      </w:r>
      <w:r>
        <w:rPr>
          <w:rFonts w:ascii="Arial" w:cs="Arial" w:eastAsia="Arial" w:hAnsi="Arial"/>
          <w:sz w:val="17"/>
          <w:szCs w:val="17"/>
          <w:color w:val="008000"/>
          <w:strike w:val="1"/>
        </w:rPr>
        <w:t>other information service that publishes such rate</w:t>
      </w:r>
      <w:r>
        <w:rPr>
          <w:rFonts w:ascii="Arial" w:cs="Arial" w:eastAsia="Arial" w:hAnsi="Arial"/>
          <w:sz w:val="17"/>
          <w:szCs w:val="17"/>
          <w:color w:val="FF0000"/>
          <w:strike w:val="1"/>
        </w:rPr>
        <w:t xml:space="preserve"> or a successor rate as shall be </w:t>
      </w:r>
      <w:r>
        <w:rPr>
          <w:rFonts w:ascii="Arial" w:cs="Arial" w:eastAsia="Arial" w:hAnsi="Arial"/>
          <w:sz w:val="17"/>
          <w:szCs w:val="17"/>
          <w:color w:val="008000"/>
          <w:strike w:val="1"/>
        </w:rPr>
        <w:t>selected by the Administrative Agent</w:t>
      </w:r>
      <w:r>
        <w:rPr>
          <w:rFonts w:ascii="Arial" w:cs="Arial" w:eastAsia="Arial" w:hAnsi="Arial"/>
          <w:sz w:val="17"/>
          <w:szCs w:val="17"/>
          <w:color w:val="FF0000"/>
          <w:strike w:val="1"/>
        </w:rPr>
        <w:t xml:space="preserve"> from time to time in its reasonable discretion and, in the event such rate is not available, the rate for such Interest Period shall be the interest rate per annum at which the Administrative Agent could borrow deposits in Dollars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Dollars at their request at approximately 11:00 a.m. (London time) on the applicable Interest Rate Determination Date; or</w:t>
      </w:r>
    </w:p>
    <w:p>
      <w:pPr>
        <w:spacing w:after="0" w:line="71" w:lineRule="exact"/>
        <w:rPr>
          <w:sz w:val="20"/>
          <w:szCs w:val="20"/>
          <w:color w:val="auto"/>
        </w:rPr>
      </w:pPr>
    </w:p>
    <w:p>
      <w:pPr>
        <w:ind w:left="440" w:firstLine="419"/>
        <w:spacing w:after="0" w:line="287" w:lineRule="auto"/>
        <w:tabs>
          <w:tab w:leader="none" w:pos="1118" w:val="left"/>
        </w:tabs>
        <w:numPr>
          <w:ilvl w:val="0"/>
          <w:numId w:val="3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in the case of Euro denominated Loans, (i) the rate per annum equal to the rate determined by Administrative Agent to be the euro interbank offered rate that appears on the appropriate page of the Thomson Reuters screen that displays the Global Rate Set Systems Limited rate for Euro (for delivery on the first day of such Interest Period) with a term equivalent to such Interest Period (or the successor thereto </w:t>
      </w:r>
      <w:r>
        <w:rPr>
          <w:rFonts w:ascii="Arial" w:cs="Arial" w:eastAsia="Arial" w:hAnsi="Arial"/>
          <w:sz w:val="16"/>
          <w:szCs w:val="16"/>
          <w:color w:val="008000"/>
          <w:strike w:val="1"/>
        </w:rPr>
        <w:t>appointed by</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the European Money Markets Institute, if Global Rate Set Systems </w:t>
      </w:r>
      <w:r>
        <w:rPr>
          <w:rFonts w:ascii="Arial" w:cs="Arial" w:eastAsia="Arial" w:hAnsi="Arial"/>
          <w:sz w:val="16"/>
          <w:szCs w:val="16"/>
          <w:color w:val="FF0000"/>
          <w:strike w:val="1"/>
        </w:rPr>
        <w:t>Limited is no longer making the applicable interest settlement rate available),</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determined as of approximately 11:00 a.m. (London time) on the applicable Interest Rate Determination Date or (ii)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the rate for such Interest Period shall be the interest rate per annum at which the Administrative Agent could borrow deposits in Euros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European interbank market for Euros at their request at approximately 11:00 a.m. (Brussels time) on the applicable Interest Rate Determination Date; or</w:t>
      </w:r>
    </w:p>
    <w:p>
      <w:pPr>
        <w:spacing w:after="0" w:line="59" w:lineRule="exact"/>
        <w:rPr>
          <w:rFonts w:ascii="Arial" w:cs="Arial" w:eastAsia="Arial" w:hAnsi="Arial"/>
          <w:sz w:val="16"/>
          <w:szCs w:val="16"/>
          <w:color w:val="FF0000"/>
          <w:strike w:val="1"/>
        </w:rPr>
      </w:pPr>
    </w:p>
    <w:p>
      <w:pPr>
        <w:ind w:left="1100" w:hanging="241"/>
        <w:spacing w:after="0"/>
        <w:tabs>
          <w:tab w:leader="none" w:pos="1100" w:val="left"/>
        </w:tabs>
        <w:numPr>
          <w:ilvl w:val="0"/>
          <w:numId w:val="32"/>
        </w:numPr>
        <w:rPr>
          <w:rFonts w:ascii="Arial" w:cs="Arial" w:eastAsia="Arial" w:hAnsi="Arial"/>
          <w:sz w:val="18"/>
          <w:szCs w:val="18"/>
          <w:color w:val="FF0000"/>
          <w:strike w:val="1"/>
        </w:rPr>
      </w:pPr>
      <w:r>
        <w:rPr>
          <w:rFonts w:ascii="Arial" w:cs="Arial" w:eastAsia="Arial" w:hAnsi="Arial"/>
          <w:sz w:val="18"/>
          <w:szCs w:val="18"/>
          <w:color w:val="008000"/>
          <w:strike w:val="1"/>
        </w:rPr>
        <w:t xml:space="preserve">in the case of Sterling </w:t>
      </w:r>
      <w:r>
        <w:rPr>
          <w:rFonts w:ascii="Arial" w:cs="Arial" w:eastAsia="Arial" w:hAnsi="Arial"/>
          <w:sz w:val="18"/>
          <w:szCs w:val="18"/>
          <w:color w:val="FF0000"/>
          <w:strike w:val="1"/>
        </w:rPr>
        <w:t>denominated Loans, the rate per annum based on Daily Simple RFR;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65" w:name="page166"/>
    <w:bookmarkEnd w:id="165"/>
    <w:p>
      <w:pPr>
        <w:ind w:left="440" w:firstLine="42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color w:val="FF0000"/>
          <w:strike w:val="1"/>
        </w:rPr>
        <w:t>d</w:t>
      </w:r>
      <w:r>
        <w:rPr>
          <w:rFonts w:ascii="Arial" w:cs="Arial" w:eastAsia="Arial" w:hAnsi="Arial"/>
          <w:sz w:val="17"/>
          <w:szCs w:val="17"/>
          <w:u w:val="single" w:color="auto"/>
          <w:color w:val="0000FF"/>
        </w:rPr>
        <w:t>1</w:t>
      </w:r>
      <w:r>
        <w:rPr>
          <w:rFonts w:ascii="Arial" w:cs="Arial" w:eastAsia="Arial" w:hAnsi="Arial"/>
          <w:sz w:val="17"/>
          <w:szCs w:val="17"/>
          <w:color w:val="auto"/>
        </w:rPr>
        <w:t xml:space="preserve">) </w:t>
      </w:r>
      <w:r>
        <w:rPr>
          <w:rFonts w:ascii="Arial" w:cs="Arial" w:eastAsia="Arial" w:hAnsi="Arial"/>
          <w:sz w:val="17"/>
          <w:szCs w:val="17"/>
          <w:color w:val="0000FF"/>
        </w:rPr>
        <w:t>(1)</w:t>
      </w:r>
      <w:r>
        <w:rPr>
          <w:rFonts w:ascii="Arial" w:cs="Arial" w:eastAsia="Arial" w:hAnsi="Arial"/>
          <w:sz w:val="17"/>
          <w:szCs w:val="17"/>
          <w:color w:val="auto"/>
        </w:rPr>
        <w:t xml:space="preserve"> in the case of </w:t>
      </w:r>
      <w:r>
        <w:rPr>
          <w:rFonts w:ascii="Arial" w:cs="Arial" w:eastAsia="Arial" w:hAnsi="Arial"/>
          <w:sz w:val="17"/>
          <w:szCs w:val="17"/>
          <w:color w:val="FF0000"/>
          <w:strike w:val="1"/>
        </w:rPr>
        <w:t>Loans denominated in any Alternative Currency (other than Euro or Sterling)</w:t>
      </w:r>
      <w:r>
        <w:rPr>
          <w:rFonts w:ascii="Arial" w:cs="Arial" w:eastAsia="Arial" w:hAnsi="Arial"/>
          <w:sz w:val="17"/>
          <w:szCs w:val="17"/>
          <w:u w:val="single" w:color="auto"/>
          <w:color w:val="0000FF"/>
        </w:rPr>
        <w:t>Euro denominated Loans</w:t>
      </w:r>
      <w:r>
        <w:rPr>
          <w:rFonts w:ascii="Arial" w:cs="Arial" w:eastAsia="Arial" w:hAnsi="Arial"/>
          <w:sz w:val="17"/>
          <w:szCs w:val="17"/>
          <w:color w:val="auto"/>
        </w:rPr>
        <w:t xml:space="preserve">, (i) the rate per annum equal to the rate determined by the Administrative Agent to be the offered rate that appears on the appropriate page of the Reuters screen that displays the </w:t>
      </w:r>
      <w:r>
        <w:rPr>
          <w:rFonts w:ascii="Arial" w:cs="Arial" w:eastAsia="Arial" w:hAnsi="Arial"/>
          <w:sz w:val="17"/>
          <w:szCs w:val="17"/>
          <w:color w:val="FF0000"/>
          <w:strike w:val="1"/>
        </w:rPr>
        <w:t>ICE Benchmark Administration</w:t>
      </w:r>
      <w:r>
        <w:rPr>
          <w:rFonts w:ascii="Arial" w:cs="Arial" w:eastAsia="Arial" w:hAnsi="Arial"/>
          <w:sz w:val="17"/>
          <w:szCs w:val="17"/>
          <w:u w:val="single" w:color="auto"/>
          <w:color w:val="0000FF"/>
        </w:rPr>
        <w:t>Global Rate Set Systems</w:t>
      </w:r>
      <w:r>
        <w:rPr>
          <w:rFonts w:ascii="Arial" w:cs="Arial" w:eastAsia="Arial" w:hAnsi="Arial"/>
          <w:sz w:val="17"/>
          <w:szCs w:val="17"/>
          <w:color w:val="auto"/>
        </w:rPr>
        <w:t xml:space="preserve"> Limited rate for deposits in </w:t>
      </w:r>
      <w:r>
        <w:rPr>
          <w:rFonts w:ascii="Arial" w:cs="Arial" w:eastAsia="Arial" w:hAnsi="Arial"/>
          <w:sz w:val="17"/>
          <w:szCs w:val="17"/>
          <w:color w:val="FF0000"/>
          <w:strike w:val="1"/>
        </w:rPr>
        <w:t>the applicable Alternative Currency</w:t>
      </w:r>
      <w:r>
        <w:rPr>
          <w:rFonts w:ascii="Arial" w:cs="Arial" w:eastAsia="Arial" w:hAnsi="Arial"/>
          <w:sz w:val="17"/>
          <w:szCs w:val="17"/>
          <w:u w:val="single" w:color="auto"/>
          <w:color w:val="0000FF"/>
        </w:rPr>
        <w:t>Euros</w:t>
      </w:r>
      <w:r>
        <w:rPr>
          <w:rFonts w:ascii="Arial" w:cs="Arial" w:eastAsia="Arial" w:hAnsi="Arial"/>
          <w:sz w:val="17"/>
          <w:szCs w:val="17"/>
          <w:color w:val="auto"/>
        </w:rPr>
        <w:t xml:space="preserve"> (for delivery on the first day of such Interest Period) with a term equivalent to such Interest Period (or the successor thereto </w:t>
      </w:r>
      <w:r>
        <w:rPr>
          <w:rFonts w:ascii="Arial" w:cs="Arial" w:eastAsia="Arial" w:hAnsi="Arial"/>
          <w:sz w:val="17"/>
          <w:szCs w:val="17"/>
          <w:color w:val="FF0000"/>
          <w:strike w:val="1"/>
        </w:rPr>
        <w:t>if ICE Benchmark</w:t>
      </w:r>
      <w:r>
        <w:rPr>
          <w:rFonts w:ascii="Arial" w:cs="Arial" w:eastAsia="Arial" w:hAnsi="Arial"/>
          <w:sz w:val="17"/>
          <w:szCs w:val="17"/>
          <w:color w:val="auto"/>
        </w:rPr>
        <w:t xml:space="preserve"> </w:t>
      </w:r>
      <w:r>
        <w:rPr>
          <w:rFonts w:ascii="Arial" w:cs="Arial" w:eastAsia="Arial" w:hAnsi="Arial"/>
          <w:sz w:val="17"/>
          <w:szCs w:val="17"/>
          <w:color w:val="FF0000"/>
          <w:strike w:val="1"/>
        </w:rPr>
        <w:t>Administration</w:t>
      </w:r>
      <w:r>
        <w:rPr>
          <w:rFonts w:ascii="Arial" w:cs="Arial" w:eastAsia="Arial" w:hAnsi="Arial"/>
          <w:sz w:val="17"/>
          <w:szCs w:val="17"/>
          <w:color w:val="FF0000"/>
        </w:rPr>
        <w:t xml:space="preserve"> </w:t>
      </w:r>
      <w:r>
        <w:rPr>
          <w:rFonts w:ascii="Arial" w:cs="Arial" w:eastAsia="Arial" w:hAnsi="Arial"/>
          <w:sz w:val="17"/>
          <w:szCs w:val="17"/>
          <w:u w:val="single" w:color="auto"/>
          <w:color w:val="008000"/>
        </w:rPr>
        <w:t>appointed by the European Money Markets Institute, if Global Rate Set Systems</w:t>
      </w:r>
      <w:r>
        <w:rPr>
          <w:rFonts w:ascii="Arial" w:cs="Arial" w:eastAsia="Arial" w:hAnsi="Arial"/>
          <w:sz w:val="17"/>
          <w:szCs w:val="17"/>
          <w:color w:val="FF0000"/>
        </w:rPr>
        <w:t xml:space="preserve"> </w:t>
      </w:r>
      <w:r>
        <w:rPr>
          <w:rFonts w:ascii="Arial" w:cs="Arial" w:eastAsia="Arial" w:hAnsi="Arial"/>
          <w:sz w:val="17"/>
          <w:szCs w:val="17"/>
          <w:color w:val="000000"/>
        </w:rPr>
        <w:t>Limited is no longer making the applicable</w:t>
      </w:r>
      <w:r>
        <w:rPr>
          <w:rFonts w:ascii="Arial" w:cs="Arial" w:eastAsia="Arial" w:hAnsi="Arial"/>
          <w:sz w:val="17"/>
          <w:szCs w:val="17"/>
          <w:color w:val="FF0000"/>
        </w:rPr>
        <w:t xml:space="preserve"> </w:t>
      </w:r>
      <w:r>
        <w:rPr>
          <w:rFonts w:ascii="Arial" w:cs="Arial" w:eastAsia="Arial" w:hAnsi="Arial"/>
          <w:sz w:val="17"/>
          <w:szCs w:val="17"/>
          <w:color w:val="000000"/>
        </w:rPr>
        <w:t>interest settlement rate available) (the “</w:t>
      </w:r>
      <w:r>
        <w:rPr>
          <w:rFonts w:ascii="Arial" w:cs="Arial" w:eastAsia="Arial" w:hAnsi="Arial"/>
          <w:sz w:val="17"/>
          <w:szCs w:val="17"/>
          <w:u w:val="single" w:color="auto"/>
          <w:color w:val="FF0000"/>
          <w:strike w:val="1"/>
        </w:rPr>
        <w:t>LIBOR</w:t>
      </w:r>
      <w:r>
        <w:rPr>
          <w:rFonts w:ascii="Arial" w:cs="Arial" w:eastAsia="Arial" w:hAnsi="Arial"/>
          <w:sz w:val="17"/>
          <w:szCs w:val="17"/>
          <w:u w:val="single" w:color="auto"/>
          <w:color w:val="0000FF"/>
        </w:rPr>
        <w:t>EURIBOR</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Screen Rate</w:t>
      </w:r>
      <w:r>
        <w:rPr>
          <w:rFonts w:ascii="Arial" w:cs="Arial" w:eastAsia="Arial" w:hAnsi="Arial"/>
          <w:sz w:val="17"/>
          <w:szCs w:val="17"/>
          <w:color w:val="000000"/>
        </w:rPr>
        <w:t>”), determined as of approximately 11:00 a.m. (</w:t>
      </w:r>
      <w:r>
        <w:rPr>
          <w:rFonts w:ascii="Arial" w:cs="Arial" w:eastAsia="Arial" w:hAnsi="Arial"/>
          <w:sz w:val="17"/>
          <w:szCs w:val="17"/>
          <w:color w:val="FF0000"/>
          <w:strike w:val="1"/>
        </w:rPr>
        <w:t>London</w:t>
      </w:r>
      <w:r>
        <w:rPr>
          <w:rFonts w:ascii="Arial" w:cs="Arial" w:eastAsia="Arial" w:hAnsi="Arial"/>
          <w:sz w:val="17"/>
          <w:szCs w:val="17"/>
          <w:u w:val="single" w:color="auto"/>
          <w:color w:val="0000FF"/>
        </w:rPr>
        <w:t>Brussels</w:t>
      </w:r>
      <w:r>
        <w:rPr>
          <w:rFonts w:ascii="Arial" w:cs="Arial" w:eastAsia="Arial" w:hAnsi="Arial"/>
          <w:sz w:val="17"/>
          <w:szCs w:val="17"/>
          <w:color w:val="000000"/>
        </w:rPr>
        <w:t xml:space="preserve"> time) on the applicable Interest Rate Determination Date; provided that if the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EURIBOR</w:t>
      </w:r>
      <w:r>
        <w:rPr>
          <w:rFonts w:ascii="Arial" w:cs="Arial" w:eastAsia="Arial" w:hAnsi="Arial"/>
          <w:sz w:val="17"/>
          <w:szCs w:val="17"/>
          <w:color w:val="000000"/>
        </w:rPr>
        <w:t xml:space="preserve"> Screen Rate shall be less than zero, such rate shall be deemed to be zero for the purposes of this Agreement (but if more than one rate is specified on such page, the rate will be an arithmetic average of all such rates) </w:t>
      </w:r>
      <w:r>
        <w:rPr>
          <w:rFonts w:ascii="Arial" w:cs="Arial" w:eastAsia="Arial" w:hAnsi="Arial"/>
          <w:sz w:val="17"/>
          <w:szCs w:val="17"/>
          <w:color w:val="FF0000"/>
        </w:rPr>
        <w:t>or, in the event such rate is not available for any reason, (ii) the rate for such Interest Period shall be the interest rate per annum at</w:t>
      </w:r>
      <w:r>
        <w:rPr>
          <w:rFonts w:ascii="Arial" w:cs="Arial" w:eastAsia="Arial" w:hAnsi="Arial"/>
          <w:sz w:val="17"/>
          <w:szCs w:val="17"/>
          <w:color w:val="000000"/>
        </w:rPr>
        <w:t xml:space="preserve"> </w:t>
      </w:r>
      <w:r>
        <w:rPr>
          <w:rFonts w:ascii="Arial" w:cs="Arial" w:eastAsia="Arial" w:hAnsi="Arial"/>
          <w:sz w:val="17"/>
          <w:szCs w:val="17"/>
          <w:color w:val="FF0000"/>
          <w:strike w:val="1"/>
        </w:rPr>
        <w:t>which the Administrative Agent could borrow deposits in the applicable Alternative Currency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the applicable Alternative Currency at their request at approximately 11:00 a.m. (London time) on the applicable Interest Rate Determination Date; or</w:t>
      </w:r>
      <w:r>
        <w:rPr>
          <w:rFonts w:ascii="Arial" w:cs="Arial" w:eastAsia="Arial" w:hAnsi="Arial"/>
          <w:sz w:val="17"/>
          <w:szCs w:val="17"/>
          <w:u w:val="single" w:color="auto"/>
          <w:color w:val="0000FF"/>
          <w:strike w:val="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-1784985</wp:posOffset>
            </wp:positionV>
            <wp:extent cx="2571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-1819275</wp:posOffset>
            </wp:positionV>
            <wp:extent cx="1619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-1784985</wp:posOffset>
            </wp:positionV>
            <wp:extent cx="114871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-1510665</wp:posOffset>
            </wp:positionV>
            <wp:extent cx="11315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-1510665</wp:posOffset>
            </wp:positionV>
            <wp:extent cx="26543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-1236345</wp:posOffset>
            </wp:positionV>
            <wp:extent cx="3703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-1099185</wp:posOffset>
            </wp:positionV>
            <wp:extent cx="5054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-1099185</wp:posOffset>
            </wp:positionV>
            <wp:extent cx="4203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-962025</wp:posOffset>
            </wp:positionV>
            <wp:extent cx="4972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-773430</wp:posOffset>
            </wp:positionV>
            <wp:extent cx="59499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49950" cy="889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-1905</wp:posOffset>
            </wp:positionV>
            <wp:extent cx="1543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56" w:lineRule="exact"/>
        <w:rPr>
          <w:sz w:val="20"/>
          <w:szCs w:val="20"/>
          <w:color w:val="auto"/>
        </w:rPr>
      </w:pPr>
    </w:p>
    <w:p>
      <w:pPr>
        <w:ind w:left="440" w:right="20" w:firstLine="419"/>
        <w:spacing w:after="0" w:line="269" w:lineRule="auto"/>
        <w:tabs>
          <w:tab w:leader="none" w:pos="1108" w:val="left"/>
        </w:tabs>
        <w:numPr>
          <w:ilvl w:val="0"/>
          <w:numId w:val="33"/>
        </w:numPr>
        <w:rPr>
          <w:rFonts w:ascii="Arial" w:cs="Arial" w:eastAsia="Arial" w:hAnsi="Arial"/>
          <w:sz w:val="17"/>
          <w:szCs w:val="17"/>
          <w:color w:val="FF0000"/>
          <w:strike w:val="1"/>
        </w:rPr>
      </w:pPr>
      <w:r>
        <w:rPr>
          <w:rFonts w:ascii="Arial" w:cs="Arial" w:eastAsia="Arial" w:hAnsi="Arial"/>
          <w:sz w:val="17"/>
          <w:szCs w:val="17"/>
          <w:color w:val="FF0000"/>
          <w:strike w:val="1"/>
        </w:rPr>
        <w:t>for any interest calculation with respect to a Base Rate Loan on any date</w:t>
      </w:r>
      <w:r>
        <w:rPr>
          <w:rFonts w:ascii="Arial" w:cs="Arial" w:eastAsia="Arial" w:hAnsi="Arial"/>
          <w:sz w:val="17"/>
          <w:szCs w:val="17"/>
          <w:color w:val="008000"/>
          <w:strike w:val="1"/>
        </w:rPr>
        <w:t>, the rate per annum equal to (</w:t>
      </w:r>
      <w:r>
        <w:rPr>
          <w:rFonts w:ascii="Arial" w:cs="Arial" w:eastAsia="Arial" w:hAnsi="Arial"/>
          <w:sz w:val="17"/>
          <w:szCs w:val="17"/>
          <w:color w:val="FF0000"/>
          <w:strike w:val="1"/>
        </w:rPr>
        <w:t xml:space="preserve">i) the rate determined by Administrative Agent to be the offered rate that appears on the Reuters Screen that displays an ICE Benchmark Administration Limited rate, determined at approximately 11:00 a.m. (London Time) on the applicable Interest Rate Determination Date for Dollar deposits being delivered in the London interbank market for a term of one month commencing that day or,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or (ii) if such rate is not available at such time for any reason, </w:t>
      </w:r>
      <w:r>
        <w:rPr>
          <w:rFonts w:ascii="Arial" w:cs="Arial" w:eastAsia="Arial" w:hAnsi="Arial"/>
          <w:sz w:val="17"/>
          <w:szCs w:val="17"/>
          <w:color w:val="008000"/>
          <w:strike w:val="1"/>
        </w:rPr>
        <w:t>the rate per annum determined by the Administrative Agent</w:t>
      </w:r>
      <w:r>
        <w:rPr>
          <w:rFonts w:ascii="Arial" w:cs="Arial" w:eastAsia="Arial" w:hAnsi="Arial"/>
          <w:sz w:val="17"/>
          <w:szCs w:val="17"/>
          <w:color w:val="FF0000"/>
          <w:strike w:val="1"/>
        </w:rPr>
        <w:t xml:space="preserve"> to be the rate at which deposits in Dollars for delivery on the date of determination in the same day funds in the approximate amount of the Base Rate Loan being made or maintained and with a term equal to one month would be offered </w:t>
      </w:r>
      <w:r>
        <w:rPr>
          <w:rFonts w:ascii="Arial" w:cs="Arial" w:eastAsia="Arial" w:hAnsi="Arial"/>
          <w:sz w:val="17"/>
          <w:szCs w:val="17"/>
          <w:color w:val="008000"/>
          <w:strike w:val="1"/>
        </w:rPr>
        <w:t>by the Administrative Agent (or</w:t>
      </w:r>
      <w:r>
        <w:rPr>
          <w:rFonts w:ascii="Arial" w:cs="Arial" w:eastAsia="Arial" w:hAnsi="Arial"/>
          <w:sz w:val="17"/>
          <w:szCs w:val="17"/>
          <w:color w:val="FF0000"/>
          <w:strike w:val="1"/>
        </w:rPr>
        <w:t xml:space="preserve"> an affiliate thereof) to major banks in the London interbank Eurocurrency market at their request at the date and time of determination.</w:t>
      </w:r>
    </w:p>
    <w:p>
      <w:pPr>
        <w:spacing w:after="0" w:line="77" w:lineRule="exact"/>
        <w:rPr>
          <w:sz w:val="20"/>
          <w:szCs w:val="20"/>
          <w:color w:val="auto"/>
        </w:rPr>
      </w:pPr>
    </w:p>
    <w:p>
      <w:pPr>
        <w:ind w:left="440" w:right="2840" w:firstLine="419"/>
        <w:spacing w:after="0" w:line="563" w:lineRule="auto"/>
        <w:tabs>
          <w:tab w:leader="none" w:pos="111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then current cost of the Lenders of complying with any Eurocurrency Reserve Requirements. Notwithstanding the foregoing, the Eurocurrency Rate shall not in any event be less than zero.</w:t>
      </w:r>
    </w:p>
    <w:p>
      <w:pPr>
        <w:spacing w:after="0" w:line="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European 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Receivables Purchase Agreement</w:t>
      </w:r>
      <w:r>
        <w:rPr>
          <w:rFonts w:ascii="Arial" w:cs="Arial" w:eastAsia="Arial" w:hAnsi="Arial"/>
          <w:sz w:val="16"/>
          <w:szCs w:val="16"/>
          <w:color w:val="auto"/>
        </w:rPr>
        <w:t xml:space="preserve">”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Incremental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may thereafter be amended, amended and restated, supplemented or otherwise modified from time to time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-156210</wp:posOffset>
            </wp:positionV>
            <wp:extent cx="596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-156210</wp:posOffset>
            </wp:positionV>
            <wp:extent cx="22288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means the Securities Exchange Act of 1934, as amended and as codified in 15 U.S.C. 78a </w:t>
      </w:r>
      <w:r>
        <w:rPr>
          <w:rFonts w:ascii="Arial" w:cs="Arial" w:eastAsia="Arial" w:hAnsi="Arial"/>
          <w:sz w:val="16"/>
          <w:szCs w:val="16"/>
          <w:u w:val="single" w:color="auto"/>
          <w:color w:val="auto"/>
        </w:rPr>
        <w:t>et seq</w:t>
      </w:r>
      <w:r>
        <w:rPr>
          <w:rFonts w:ascii="Arial" w:cs="Arial" w:eastAsia="Arial" w:hAnsi="Arial"/>
          <w:sz w:val="16"/>
          <w:szCs w:val="16"/>
          <w:color w:val="auto"/>
        </w:rPr>
        <w:t>., and as hereafter amended.</w:t>
      </w:r>
    </w:p>
    <w:p>
      <w:pPr>
        <w:spacing w:after="0" w:line="24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Determination Date</w:t>
      </w:r>
      <w:r>
        <w:rPr>
          <w:rFonts w:ascii="Arial" w:cs="Arial" w:eastAsia="Arial" w:hAnsi="Arial"/>
          <w:sz w:val="18"/>
          <w:szCs w:val="18"/>
          <w:color w:val="auto"/>
        </w:rPr>
        <w:t>” means for purposes of the determination of the Exchange Rate of any stated amount on any Business Day in relation to any Alternative Currency Loan, the date which is two Business Days prior to such Borrowing.</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Attributable Debt</w:t>
      </w:r>
      <w:r>
        <w:rPr>
          <w:rFonts w:ascii="Arial" w:cs="Arial" w:eastAsia="Arial" w:hAnsi="Arial"/>
          <w:sz w:val="18"/>
          <w:szCs w:val="18"/>
          <w:color w:val="auto"/>
        </w:rPr>
        <w:t>” means (a) Attributable Debt (for purposes of this definition, without regard to the proviso thereto) under any Permitted Receivables or Factoring Financing which is 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pacing w:after="0" w:line="18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any Subsidiary of Crown Holdings (a) that is an Unrestricted Entity, (b) that, in accordance with the Agreed Guaranty and Security Principles, is not required to guarantee the Obligations (including pursuant to the Guaranty) or pledge or grant a security interest in its assets (including Capital Stock) on the date such Subsidiary is acquired, (c) that is a Receivables Subsidiary, (d) that is the Insurance Subsidiary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 that is not a Material Subsidiary.</w:t>
      </w:r>
    </w:p>
    <w:p>
      <w:pPr>
        <w:spacing w:after="0" w:line="211"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Obligations guaranteed by such Guarantor or the grant by such Guarantor of a security interest to secure, such Swap Obligation (or any Obligations guaranteed by such Guarantor thereof) is or becomes illegal under the Commodity Exchange Act or any rule, regulation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67" w:name="page168"/>
    <w:bookmarkEnd w:id="16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14.13</w:t>
      </w:r>
      <w:r>
        <w:rPr>
          <w:rFonts w:ascii="Arial" w:cs="Arial" w:eastAsia="Arial" w:hAnsi="Arial"/>
          <w:sz w:val="17"/>
          <w:szCs w:val="17"/>
          <w:color w:val="auto"/>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17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under any Loan Document:</w:t>
      </w:r>
    </w:p>
    <w:p>
      <w:pPr>
        <w:spacing w:after="0" w:line="62" w:lineRule="exact"/>
        <w:rPr>
          <w:sz w:val="20"/>
          <w:szCs w:val="20"/>
          <w:color w:val="auto"/>
        </w:rPr>
      </w:pPr>
    </w:p>
    <w:p>
      <w:pPr>
        <w:ind w:left="440" w:right="20" w:firstLine="419"/>
        <w:spacing w:after="0" w:line="290" w:lineRule="auto"/>
        <w:tabs>
          <w:tab w:leader="none" w:pos="10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Taxes based upon, or measured by, net income (however denominated) or net profits, including franchise Taxes and similar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57" w:lineRule="exact"/>
        <w:rPr>
          <w:rFonts w:ascii="Arial" w:cs="Arial" w:eastAsia="Arial" w:hAnsi="Arial"/>
          <w:sz w:val="16"/>
          <w:szCs w:val="16"/>
          <w:color w:val="auto"/>
        </w:rPr>
      </w:pPr>
    </w:p>
    <w:p>
      <w:pPr>
        <w:ind w:left="440" w:right="240" w:firstLine="419"/>
        <w:spacing w:after="0" w:line="287" w:lineRule="auto"/>
        <w:tabs>
          <w:tab w:leader="none" w:pos="1128"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in the case of a Lender, Swing Line Lender or Facing Agent (other than an assignee pursuant to a request by Crown Holdings under </w:t>
      </w:r>
      <w:r>
        <w:rPr>
          <w:rFonts w:ascii="Arial" w:cs="Arial" w:eastAsia="Arial" w:hAnsi="Arial"/>
          <w:sz w:val="16"/>
          <w:szCs w:val="16"/>
          <w:u w:val="single" w:color="auto"/>
          <w:color w:val="auto"/>
        </w:rPr>
        <w:t>Section 3.7</w:t>
      </w:r>
      <w:r>
        <w:rPr>
          <w:rFonts w:ascii="Arial" w:cs="Arial" w:eastAsia="Arial" w:hAnsi="Arial"/>
          <w:sz w:val="16"/>
          <w:szCs w:val="16"/>
          <w:color w:val="auto"/>
        </w:rPr>
        <w:t>), any U.S. federal withholding Tax imposed on amounts payable to or for the account of such Lender, Swing Line Lender or Facing Agent, in respect of any Loans, Letters of Credit, or Commitments provided to U.S. Borrower pursuant to a law in effect on the date on which</w:t>
      </w:r>
    </w:p>
    <w:p>
      <w:pPr>
        <w:spacing w:after="0" w:line="2" w:lineRule="exact"/>
        <w:rPr>
          <w:rFonts w:ascii="Arial" w:cs="Arial" w:eastAsia="Arial" w:hAnsi="Arial"/>
          <w:sz w:val="16"/>
          <w:szCs w:val="16"/>
          <w:color w:val="auto"/>
        </w:rPr>
      </w:pPr>
    </w:p>
    <w:p>
      <w:pPr>
        <w:ind w:left="440" w:hanging="4"/>
        <w:spacing w:after="0" w:line="252"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such Lender, Swing Line Lender or Facing Agent acquires the applicable interest in the applicable Commitment (or, to the extent any Lender, Swing Line Lender or Facing Agent did not fund an applicable Loan or Letter of Credit pursuant to a prior commitment, on the date on which such Person acquires its interest in such Loan or Letter of Credit) or (B) such Lender, Swing Line Lender or Facing Agent changes its lending office, except in each case to the extent that,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amounts with respect to such Taxes were payable either to such Lender’s, Swing Line Lender’s or Facing Agent’s assignor immediately before such Lender, Swing Line Lender or Facing Agent became a party hereto or to such Lender immediately before it changed its lending office;</w:t>
      </w:r>
    </w:p>
    <w:p>
      <w:pPr>
        <w:spacing w:after="0" w:line="85" w:lineRule="exact"/>
        <w:rPr>
          <w:rFonts w:ascii="Arial" w:cs="Arial" w:eastAsia="Arial" w:hAnsi="Arial"/>
          <w:sz w:val="18"/>
          <w:szCs w:val="18"/>
          <w:color w:val="auto"/>
        </w:rPr>
      </w:pPr>
    </w:p>
    <w:p>
      <w:pPr>
        <w:jc w:val="both"/>
        <w:ind w:left="440" w:firstLine="419"/>
        <w:spacing w:after="0" w:line="286" w:lineRule="auto"/>
        <w:tabs>
          <w:tab w:leader="none" w:pos="117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in the case of a Lender (other than an assignee pursuant to a request by Crown Holdings under </w:t>
      </w:r>
      <w:r>
        <w:rPr>
          <w:rFonts w:ascii="Arial" w:cs="Arial" w:eastAsia="Arial" w:hAnsi="Arial"/>
          <w:sz w:val="17"/>
          <w:szCs w:val="17"/>
          <w:u w:val="single" w:color="auto"/>
          <w:color w:val="auto"/>
        </w:rPr>
        <w:t>Section 3.7</w:t>
      </w:r>
      <w:r>
        <w:rPr>
          <w:rFonts w:ascii="Arial" w:cs="Arial" w:eastAsia="Arial" w:hAnsi="Arial"/>
          <w:sz w:val="17"/>
          <w:szCs w:val="17"/>
          <w:color w:val="auto"/>
        </w:rPr>
        <w:t>), any Tax imposed by France on amounts payable, in respect of any Loans, Letters of Credit, or Commitments provided to European Borrower, to such Lender, to the extent that such Tax would not have been imposed but for the payment in a Non-Cooperative Jurisdiction;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68" w:name="page169"/>
    <w:bookmarkEnd w:id="168"/>
    <w:p>
      <w:pPr>
        <w:ind w:left="440" w:firstLine="419"/>
        <w:spacing w:after="0" w:line="269" w:lineRule="auto"/>
        <w:tabs>
          <w:tab w:leader="none" w:pos="1168"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Lender (other than an assignee pursuant to a request by Crown Holdings under </w:t>
      </w:r>
      <w:r>
        <w:rPr>
          <w:rFonts w:ascii="Arial" w:cs="Arial" w:eastAsia="Arial" w:hAnsi="Arial"/>
          <w:sz w:val="17"/>
          <w:szCs w:val="17"/>
          <w:u w:val="single" w:color="auto"/>
          <w:color w:val="auto"/>
        </w:rPr>
        <w:t>Section 3.7</w:t>
      </w:r>
      <w:r>
        <w:rPr>
          <w:rFonts w:ascii="Arial" w:cs="Arial" w:eastAsia="Arial" w:hAnsi="Arial"/>
          <w:sz w:val="17"/>
          <w:szCs w:val="17"/>
          <w:color w:val="auto"/>
        </w:rPr>
        <w:t>), any Canadian federal withholding Tax imposed under the ITA on any payment of interest (or any payments on account, in lieu, or in satisfaction of interest, or which are deemed to be interest for purposes of the ITA), in respect of any advance provided to Canadian Borrower under any Loan Document, because such Lender is not dealing at arm’s length for purposes of the ITA with the applicable Credit Party at the time of such payment or deemed payment or is a “specified shareholder” (as such term is defined in subsection 18(5) of the ITA) of the applicable Credit Party or does not deal at arm’s length for purposes of the ITA with a “specified shareholder” (as such term is defined in subsection 18(5) of the ITA) of the applicable Credit Party, or because a Person that is not resident in Canada for purposes of the ITA has made a transfer or assignment to another Person that is resident in Canada for purposes of the ITA and this other Person is not dealing at arm’s length for purposes of the ITA with the transferor or assignor other than where the non-arm’s length relationship arises, or where the Lender is a “specified shareholder” or does not deal at arm’s length with a “specified shareholder” in connection with or as a result of the Lender having become a party to, received or perfected a security interest under or received or enforced any rights under, a Loan Document;</w:t>
      </w:r>
    </w:p>
    <w:p>
      <w:pPr>
        <w:spacing w:after="0" w:line="73" w:lineRule="exact"/>
        <w:rPr>
          <w:rFonts w:ascii="Arial" w:cs="Arial" w:eastAsia="Arial" w:hAnsi="Arial"/>
          <w:sz w:val="17"/>
          <w:szCs w:val="17"/>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Taxes attributable to a Recipient’s failure to comply with </w:t>
      </w:r>
      <w:r>
        <w:rPr>
          <w:rFonts w:ascii="Arial" w:cs="Arial" w:eastAsia="Arial" w:hAnsi="Arial"/>
          <w:sz w:val="18"/>
          <w:szCs w:val="18"/>
          <w:u w:val="single" w:color="auto"/>
          <w:color w:val="auto"/>
        </w:rPr>
        <w:t>Section 4.7(d)</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respect to any Loans, Letters of Credit, or Commitments provided to U.S. Borrower, any Taxes withheld under FATCA.</w:t>
      </w:r>
    </w:p>
    <w:p>
      <w:pPr>
        <w:spacing w:after="0" w:line="23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U.K. Companies</w:t>
      </w:r>
      <w:r>
        <w:rPr>
          <w:rFonts w:ascii="Arial" w:cs="Arial" w:eastAsia="Arial" w:hAnsi="Arial"/>
          <w:sz w:val="18"/>
          <w:szCs w:val="18"/>
          <w:color w:val="auto"/>
        </w:rPr>
        <w:t>” means Metal Box Pension Trustees Limited, The CarnaudMetalbox Benevolent Fund Limited and The Can Makers Limited, each a company or trust organized under the laws of England.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that term in the recitals to this Agreement.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Factoring Facilities</w:t>
      </w:r>
      <w:r>
        <w:rPr>
          <w:rFonts w:ascii="Arial" w:cs="Arial" w:eastAsia="Arial" w:hAnsi="Arial"/>
          <w:sz w:val="18"/>
          <w:szCs w:val="18"/>
          <w:color w:val="auto"/>
        </w:rPr>
        <w:t xml:space="preserve">” means the existing factoring or discounting programs as of the Incremental No. 2 and Third Amendment Effective Date and set forth on </w:t>
      </w:r>
      <w:r>
        <w:rPr>
          <w:rFonts w:ascii="Arial" w:cs="Arial" w:eastAsia="Arial" w:hAnsi="Arial"/>
          <w:sz w:val="18"/>
          <w:szCs w:val="18"/>
          <w:u w:val="single" w:color="auto"/>
          <w:color w:val="auto"/>
        </w:rPr>
        <w:t>Schedule 6.5(b)(iii)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Non-U.S. Facilities</w:t>
      </w:r>
      <w:r>
        <w:rPr>
          <w:rFonts w:ascii="Arial" w:cs="Arial" w:eastAsia="Arial" w:hAnsi="Arial"/>
          <w:sz w:val="16"/>
          <w:szCs w:val="16"/>
          <w:color w:val="auto"/>
        </w:rPr>
        <w:t xml:space="preserve">” means the existing working capital facilities of the Non-U.S. Subsidiaries of European Borrower, Canadian Borrower or U.S. Borrower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set forth on </w:t>
      </w:r>
      <w:r>
        <w:rPr>
          <w:rFonts w:ascii="Arial" w:cs="Arial" w:eastAsia="Arial" w:hAnsi="Arial"/>
          <w:sz w:val="16"/>
          <w:szCs w:val="16"/>
          <w:u w:val="single" w:color="auto"/>
          <w:color w:val="auto"/>
        </w:rPr>
        <w:t>Schedule 6.5(b)(ii)</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-40640</wp:posOffset>
            </wp:positionV>
            <wp:extent cx="514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-40640</wp:posOffset>
            </wp:positionV>
            <wp:extent cx="22288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Unsecured Debt</w:t>
      </w:r>
      <w:r>
        <w:rPr>
          <w:rFonts w:ascii="Arial" w:cs="Arial" w:eastAsia="Arial" w:hAnsi="Arial"/>
          <w:sz w:val="17"/>
          <w:szCs w:val="17"/>
          <w:color w:val="auto"/>
        </w:rPr>
        <w:t xml:space="preserve">” means each of the following Indebtedness to the extent outstanding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FF0000"/>
        </w:rPr>
        <w:t xml:space="preserve"> </w:t>
      </w:r>
      <w:r>
        <w:rPr>
          <w:rFonts w:ascii="Arial" w:cs="Arial" w:eastAsia="Arial" w:hAnsi="Arial"/>
          <w:sz w:val="18"/>
          <w:szCs w:val="18"/>
          <w:color w:val="000000"/>
        </w:rPr>
        <w:t>Amendment Effective Date after giving effect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6392545</wp:posOffset>
            </wp:positionH>
            <wp:positionV relativeFrom="paragraph">
              <wp:posOffset>-121920</wp:posOffset>
            </wp:positionV>
            <wp:extent cx="514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14605</wp:posOffset>
            </wp:positionV>
            <wp:extent cx="22288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83" w:lineRule="exact"/>
        <w:rPr>
          <w:sz w:val="20"/>
          <w:szCs w:val="20"/>
          <w:color w:val="auto"/>
        </w:rPr>
      </w:pPr>
    </w:p>
    <w:p>
      <w:pPr>
        <w:ind w:left="1080" w:hanging="221"/>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Debentures;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Facility</w:t>
      </w:r>
      <w:r>
        <w:rPr>
          <w:rFonts w:ascii="Arial" w:cs="Arial" w:eastAsia="Arial" w:hAnsi="Arial"/>
          <w:sz w:val="18"/>
          <w:szCs w:val="18"/>
          <w:color w:val="auto"/>
        </w:rPr>
        <w:t xml:space="preserve">” means any Revolving Facility that is extended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Facility</w:t>
      </w:r>
      <w:r>
        <w:rPr>
          <w:rFonts w:ascii="Arial" w:cs="Arial" w:eastAsia="Arial" w:hAnsi="Arial"/>
          <w:sz w:val="18"/>
          <w:szCs w:val="18"/>
          <w:color w:val="auto"/>
        </w:rPr>
        <w:t xml:space="preserve">” means any Term Facility that is extended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69" w:name="page170"/>
    <w:bookmarkEnd w:id="1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any of the credit facilities established under this Agreement.</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Facing Agent</w:t>
      </w:r>
      <w:r>
        <w:rPr>
          <w:rFonts w:ascii="Arial" w:cs="Arial" w:eastAsia="Arial" w:hAnsi="Arial"/>
          <w:sz w:val="16"/>
          <w:szCs w:val="16"/>
          <w:color w:val="auto"/>
        </w:rPr>
        <w:t xml:space="preserve">” means (a) with respect to Canadian Letters of Credit, the Canadian Facing Agent, (b) with respect to the Dollar Letters of Credit, the Dollar Facing Agent and (c) with respect to Multicurrency Letters of Credit, each of the Multicurrency Revolving Lenders set forth on </w:t>
      </w:r>
      <w:r>
        <w:rPr>
          <w:rFonts w:ascii="Arial" w:cs="Arial" w:eastAsia="Arial" w:hAnsi="Arial"/>
          <w:sz w:val="16"/>
          <w:szCs w:val="16"/>
          <w:u w:val="single" w:color="auto"/>
          <w:color w:val="auto"/>
        </w:rPr>
        <w:t>Schedule</w:t>
      </w:r>
    </w:p>
    <w:p>
      <w:pPr>
        <w:spacing w:after="0" w:line="252" w:lineRule="auto"/>
        <w:rPr>
          <w:sz w:val="20"/>
          <w:szCs w:val="20"/>
          <w:color w:val="auto"/>
        </w:rPr>
      </w:pPr>
      <w:r>
        <w:rPr>
          <w:rFonts w:ascii="Arial" w:cs="Arial" w:eastAsia="Arial" w:hAnsi="Arial"/>
          <w:sz w:val="18"/>
          <w:szCs w:val="18"/>
          <w:u w:val="single" w:color="auto"/>
          <w:color w:val="auto"/>
        </w:rPr>
        <w:t>1.1(g)</w:t>
      </w:r>
      <w:r>
        <w:rPr>
          <w:rFonts w:ascii="Arial" w:cs="Arial" w:eastAsia="Arial" w:hAnsi="Arial"/>
          <w:sz w:val="18"/>
          <w:szCs w:val="18"/>
          <w:color w:val="auto"/>
        </w:rPr>
        <w:t xml:space="preserve">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 Notwithstanding anything herein to the contrary, no Facing Agent shall be required to issue commercial, documentary or trade Letters of Credit unless it agrees in writing to do so in its sole discretion.</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Credit Lender</w:t>
      </w:r>
      <w:r>
        <w:rPr>
          <w:rFonts w:ascii="Arial" w:cs="Arial" w:eastAsia="Arial" w:hAnsi="Arial"/>
          <w:sz w:val="18"/>
          <w:szCs w:val="18"/>
          <w:color w:val="auto"/>
        </w:rPr>
        <w:t>” means a federally-chartered Farm Credit System lending institution organized under the Farm Credit Act of 1971, as the same may be amended or supplemented from time to time.</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on any one day, the rate per annum equal to the weighted average (rounded upwards, if necessary, to the nearest 1/100th of 1%) of the rate on overnight federal funds transactions with members of the Federal Reserve System only, as published as of such day by the Federal Reserve Bank of New York, or, if such rate is not so published, the average of the quotations for such day on such transactions received by the Administrative Agent from three federal funds brokers of recognized standing selected by the Administrative Agent. Notwithstanding the foregoing, the Federal Funds Rate shall not in any event be less than zero.</w:t>
      </w:r>
    </w:p>
    <w:p>
      <w:pPr>
        <w:spacing w:after="0" w:line="18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xml:space="preserve">” means that certain letter agreement or agreements, in each case, between one or more Arrangers and the Borrowers and providing for the payment of certain fees in connection with this Agreement and/or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-40640</wp:posOffset>
            </wp:positionV>
            <wp:extent cx="603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-40640</wp:posOffset>
            </wp:positionV>
            <wp:extent cx="22288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0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corporation, partnership or other entity means the chief financial officer, the principal accounting officer, Treasurer or Controller of such corporation, partnership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225" w:lineRule="exact"/>
        <w:rPr>
          <w:sz w:val="20"/>
          <w:szCs w:val="20"/>
          <w:color w:val="auto"/>
        </w:rPr>
      </w:pPr>
    </w:p>
    <w:p>
      <w:pPr>
        <w:jc w:val="right"/>
        <w:ind w:right="5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Quarter</w:t>
      </w:r>
      <w:r>
        <w:rPr>
          <w:rFonts w:ascii="Arial" w:cs="Arial" w:eastAsia="Arial" w:hAnsi="Arial"/>
          <w:sz w:val="17"/>
          <w:szCs w:val="17"/>
          <w:color w:val="auto"/>
        </w:rPr>
        <w:t xml:space="preserve">” has the meaning assigned to that term in </w:t>
      </w:r>
      <w:r>
        <w:rPr>
          <w:rFonts w:ascii="Arial" w:cs="Arial" w:eastAsia="Arial" w:hAnsi="Arial"/>
          <w:sz w:val="17"/>
          <w:szCs w:val="17"/>
          <w:u w:val="single" w:color="auto"/>
          <w:color w:val="auto"/>
        </w:rPr>
        <w:t>Section 7.15</w:t>
      </w:r>
      <w:r>
        <w:rPr>
          <w:rFonts w:ascii="Arial" w:cs="Arial" w:eastAsia="Arial" w:hAnsi="Arial"/>
          <w:sz w:val="17"/>
          <w:szCs w:val="17"/>
          <w:color w:val="auto"/>
        </w:rPr>
        <w:t>.</w:t>
      </w:r>
    </w:p>
    <w:p>
      <w:pPr>
        <w:spacing w:after="0" w:line="16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170" w:name="page171"/>
    <w:bookmarkEnd w:id="1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“Floor” means a rate of interest equal to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1774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xml:space="preserve">” means the Euro Obligations, the Canadian Obligations, the Subsidiary Borrower Obligations and the Guarantee Obligations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 the Guarantee Agreements in respect of any of the foregoing.</w:t>
      </w:r>
    </w:p>
    <w:p>
      <w:pPr>
        <w:spacing w:after="0" w:line="170"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w:t>
      </w:r>
      <w:r>
        <w:rPr>
          <w:rFonts w:ascii="Arial" w:cs="Arial" w:eastAsia="Arial" w:hAnsi="Arial"/>
          <w:sz w:val="17"/>
          <w:szCs w:val="17"/>
          <w:color w:val="auto"/>
        </w:rPr>
        <w:t>”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dependents, survivors or beneficiaries of any such persons) and, for greater certainty, includes any Canadian Defined Benefit Plan.</w:t>
      </w:r>
    </w:p>
    <w:p>
      <w:pPr>
        <w:spacing w:after="0" w:line="178"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Requirements of Law</w:t>
      </w:r>
      <w:r>
        <w:rPr>
          <w:rFonts w:ascii="Arial" w:cs="Arial" w:eastAsia="Arial" w:hAnsi="Arial"/>
          <w:sz w:val="18"/>
          <w:szCs w:val="18"/>
          <w:color w:val="auto"/>
        </w:rPr>
        <w:t>” means any Requirement of Law of a Governmental Authority in a jurisdiction other than the United States of America or any state thereof or the District of Columbia (including any banking, exchange control, financial assistance, minimum capitalization, fraudulent conveyance, mandatory labor advice or similar rules or regulations).</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Person that is a fund that makes, purchases, holds or otherwise invests in commercial loans or similar extensions of credit in the ordinary course of its existence.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U.S., as in effect from time to time, but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Borrowers</w:t>
      </w:r>
      <w:r>
        <w:rPr>
          <w:rFonts w:ascii="Arial" w:cs="Arial" w:eastAsia="Arial" w:hAnsi="Arial"/>
          <w:sz w:val="18"/>
          <w:szCs w:val="18"/>
          <w:color w:val="auto"/>
        </w:rPr>
        <w:t xml:space="preserve">” means each Subsidiary of European Borrower organized under the laws of the Federal Republic of Germany, and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Subsidiary of European Borrower organized under the laws of the Federal Republic of Germany and requested by European Borrower to be a German Borrower, subject to the approval of Administrative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Acts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2.10(h)</w:t>
      </w:r>
      <w:r>
        <w:rPr>
          <w:rFonts w:ascii="Arial" w:cs="Arial" w:eastAsia="Arial" w:hAnsi="Arial"/>
          <w:sz w:val="18"/>
          <w:szCs w:val="18"/>
          <w:color w:val="auto"/>
        </w:rPr>
        <w:t>.</w:t>
      </w:r>
    </w:p>
    <w:p>
      <w:pPr>
        <w:spacing w:after="0" w:line="225"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xml:space="preserve">” means any federal, state, provincial, territorial, local or foreign court or governmental agency, authority, instrumentality or regulatory body, including any central bank and any supra-national body exercising </w:t>
      </w:r>
      <w:r>
        <w:rPr>
          <w:rFonts w:ascii="Arial" w:cs="Arial" w:eastAsia="Arial" w:hAnsi="Arial"/>
          <w:sz w:val="16"/>
          <w:szCs w:val="16"/>
          <w:color w:val="FF0000"/>
          <w:strike w:val="1"/>
        </w:rPr>
        <w:t>such</w:t>
      </w:r>
      <w:r>
        <w:rPr>
          <w:rFonts w:ascii="Arial" w:cs="Arial" w:eastAsia="Arial" w:hAnsi="Arial"/>
          <w:sz w:val="16"/>
          <w:szCs w:val="16"/>
          <w:u w:val="single" w:color="auto"/>
          <w:color w:val="0000FF"/>
        </w:rPr>
        <w:t>executive, legislative, judicial, taxing,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regulatory or administrative</w:t>
      </w:r>
      <w:r>
        <w:rPr>
          <w:rFonts w:ascii="Arial" w:cs="Arial" w:eastAsia="Arial" w:hAnsi="Arial"/>
          <w:sz w:val="16"/>
          <w:szCs w:val="16"/>
          <w:color w:val="0000FF"/>
        </w:rPr>
        <w:t xml:space="preserve"> </w:t>
      </w:r>
      <w:r>
        <w:rPr>
          <w:rFonts w:ascii="Arial" w:cs="Arial" w:eastAsia="Arial" w:hAnsi="Arial"/>
          <w:sz w:val="16"/>
          <w:szCs w:val="16"/>
          <w:color w:val="000000"/>
        </w:rPr>
        <w:t>powers or functions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pertaining to government</w:t>
      </w:r>
      <w:r>
        <w:rPr>
          <w:rFonts w:ascii="Arial" w:cs="Arial" w:eastAsia="Arial" w:hAnsi="Arial"/>
          <w:sz w:val="16"/>
          <w:szCs w:val="16"/>
          <w:color w:val="000000"/>
        </w:rPr>
        <w:t>, such as the European Union or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-161290</wp:posOffset>
            </wp:positionV>
            <wp:extent cx="17399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27698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-24130</wp:posOffset>
            </wp:positionV>
            <wp:extent cx="118300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Agreements</w:t>
      </w:r>
      <w:r>
        <w:rPr>
          <w:rFonts w:ascii="Arial" w:cs="Arial" w:eastAsia="Arial" w:hAnsi="Arial"/>
          <w:sz w:val="18"/>
          <w:szCs w:val="18"/>
          <w:color w:val="auto"/>
        </w:rPr>
        <w:t>” means the Non-U.S. Guarantee Agreements and the U.S. Guarantee Agreement.</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Obligations</w:t>
      </w:r>
      <w:r>
        <w:rPr>
          <w:rFonts w:ascii="Arial" w:cs="Arial" w:eastAsia="Arial" w:hAnsi="Arial"/>
          <w:sz w:val="17"/>
          <w:szCs w:val="17"/>
          <w:color w:val="auto"/>
        </w:rPr>
        <w:t>” means, as to any Person, without duplication, any direct or indirect contractual obligation of such Person guaranteeing or intended to guarantee any Indebtedness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71" w:name="page172"/>
    <w:bookmarkEnd w:id="17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18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(i) the Credit Parties (other than the Borrowers) and (ii) for purposes of </w:t>
      </w:r>
      <w:r>
        <w:rPr>
          <w:rFonts w:ascii="Arial" w:cs="Arial" w:eastAsia="Arial" w:hAnsi="Arial"/>
          <w:sz w:val="18"/>
          <w:szCs w:val="18"/>
          <w:u w:val="single" w:color="auto"/>
          <w:color w:val="auto"/>
        </w:rPr>
        <w:t>Section 10.1(j)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only, the Parent Guarantors, the U.S. Borrower, Crown Finance and the European Borrower.</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Arial" w:cs="Arial" w:eastAsia="Arial" w:hAnsi="Arial"/>
          <w:sz w:val="18"/>
          <w:szCs w:val="18"/>
          <w:u w:val="single" w:color="auto"/>
          <w:color w:val="auto"/>
        </w:rPr>
        <w:t>PCBs</w:t>
      </w:r>
      <w:r>
        <w:rPr>
          <w:rFonts w:ascii="Arial" w:cs="Arial" w:eastAsia="Arial" w:hAnsi="Arial"/>
          <w:sz w:val="18"/>
          <w:szCs w:val="18"/>
          <w:color w:val="auto"/>
        </w:rPr>
        <w:t>”) or PCB-containing materials or any other substances, wastes or equipment of any nature which can give rise to Environmental Liability under, or are regulated pursuant to, any Environmental Law.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has the meaning assigned to such term in the definition of “Bank Related Debt.”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Agreement</w:t>
      </w:r>
      <w:r>
        <w:rPr>
          <w:rFonts w:ascii="Arial" w:cs="Arial" w:eastAsia="Arial" w:hAnsi="Arial"/>
          <w:sz w:val="17"/>
          <w:szCs w:val="17"/>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Impermissible Qualification</w:t>
      </w:r>
      <w:r>
        <w:rPr>
          <w:rFonts w:ascii="Arial" w:cs="Arial" w:eastAsia="Arial" w:hAnsi="Arial"/>
          <w:sz w:val="16"/>
          <w:szCs w:val="16"/>
          <w:color w:val="auto"/>
        </w:rPr>
        <w:t>” means, relative to the opinion or certification of any independent public accountant as to any financial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any qualification or exception to such opinion or certification:</w:t>
      </w:r>
    </w:p>
    <w:p>
      <w:pPr>
        <w:spacing w:after="0" w:line="103" w:lineRule="exact"/>
        <w:rPr>
          <w:sz w:val="20"/>
          <w:szCs w:val="20"/>
          <w:color w:val="auto"/>
        </w:rPr>
      </w:pPr>
    </w:p>
    <w:p>
      <w:pPr>
        <w:ind w:left="1100" w:hanging="241"/>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which is of a “going concern” or similar nature other than any such qualification or exception with respect to, or resulting from,</w:t>
      </w:r>
    </w:p>
    <w:p>
      <w:pPr>
        <w:spacing w:after="0" w:line="34" w:lineRule="exact"/>
        <w:rPr>
          <w:rFonts w:ascii="Arial" w:cs="Arial" w:eastAsia="Arial" w:hAnsi="Arial"/>
          <w:sz w:val="17"/>
          <w:szCs w:val="17"/>
          <w:color w:val="auto"/>
        </w:rPr>
      </w:pPr>
    </w:p>
    <w:p>
      <w:pPr>
        <w:ind w:left="440" w:right="340" w:hanging="4"/>
        <w:spacing w:after="0" w:line="255"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changes in accounting 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120" w:hanging="261"/>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which relates to the limited scope of examination of matters relevant to such financial statement; or</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which relates to the treatment or classification of any item in such financial statement and which, as a condition to its removal, would require an adjustment to such item the effect of which would be to cause a default under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Period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72" w:name="page173"/>
    <w:bookmarkEnd w:id="172"/>
    <w:p>
      <w:pPr>
        <w:jc w:val="both"/>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means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to this Agreement, dated as of </w:t>
      </w:r>
      <w:r>
        <w:rPr>
          <w:rFonts w:ascii="Arial" w:cs="Arial" w:eastAsia="Arial" w:hAnsi="Arial"/>
          <w:sz w:val="18"/>
          <w:szCs w:val="18"/>
          <w:color w:val="FF0000"/>
          <w:strike w:val="1"/>
        </w:rPr>
        <w:t>December 13</w:t>
      </w:r>
      <w:r>
        <w:rPr>
          <w:rFonts w:ascii="Arial" w:cs="Arial" w:eastAsia="Arial" w:hAnsi="Arial"/>
          <w:sz w:val="18"/>
          <w:szCs w:val="18"/>
          <w:u w:val="single" w:color="auto"/>
          <w:color w:val="0000FF"/>
        </w:rPr>
        <w:t>August 8</w:t>
      </w:r>
      <w:r>
        <w:rPr>
          <w:rFonts w:ascii="Arial" w:cs="Arial" w:eastAsia="Arial" w:hAnsi="Arial"/>
          <w:sz w:val="18"/>
          <w:szCs w:val="18"/>
          <w:color w:val="auto"/>
        </w:rPr>
        <w:t xml:space="preserve">, </w:t>
      </w:r>
      <w:r>
        <w:rPr>
          <w:rFonts w:ascii="Arial" w:cs="Arial" w:eastAsia="Arial" w:hAnsi="Arial"/>
          <w:sz w:val="18"/>
          <w:szCs w:val="18"/>
          <w:color w:val="FF0000"/>
          <w:strike w:val="1"/>
        </w:rPr>
        <w:t>2019</w:t>
      </w:r>
      <w:r>
        <w:rPr>
          <w:rFonts w:ascii="Arial" w:cs="Arial" w:eastAsia="Arial" w:hAnsi="Arial"/>
          <w:sz w:val="18"/>
          <w:szCs w:val="18"/>
          <w:u w:val="single" w:color="auto"/>
          <w:color w:val="0000FF"/>
        </w:rPr>
        <w:t>2022</w:t>
      </w:r>
      <w:r>
        <w:rPr>
          <w:rFonts w:ascii="Arial" w:cs="Arial" w:eastAsia="Arial" w:hAnsi="Arial"/>
          <w:sz w:val="18"/>
          <w:szCs w:val="18"/>
          <w:color w:val="auto"/>
        </w:rPr>
        <w:t xml:space="preserve">, among the Borrowers, the Guarantors, the Administrative Agent, the U.K. Administrative Agent, the Canadian Administrative Agent, the </w:t>
      </w:r>
      <w:r>
        <w:rPr>
          <w:rFonts w:ascii="Arial" w:cs="Arial" w:eastAsia="Arial" w:hAnsi="Arial"/>
          <w:sz w:val="18"/>
          <w:szCs w:val="18"/>
          <w:color w:val="FF0000"/>
          <w:strike w:val="1"/>
        </w:rPr>
        <w:t>2019</w:t>
      </w:r>
      <w:r>
        <w:rPr>
          <w:rFonts w:ascii="Arial" w:cs="Arial" w:eastAsia="Arial" w:hAnsi="Arial"/>
          <w:sz w:val="18"/>
          <w:szCs w:val="18"/>
          <w:u w:val="single" w:color="auto"/>
          <w:color w:val="0000FF"/>
        </w:rPr>
        <w:t>2022</w:t>
      </w:r>
      <w:r>
        <w:rPr>
          <w:rFonts w:ascii="Arial" w:cs="Arial" w:eastAsia="Arial" w:hAnsi="Arial"/>
          <w:sz w:val="18"/>
          <w:szCs w:val="18"/>
          <w:color w:val="auto"/>
        </w:rPr>
        <w:t xml:space="preserve"> Additional Term A Lenders (as defined therein), the Facing Agents, the Swing Line Lender and the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-412115</wp:posOffset>
            </wp:positionV>
            <wp:extent cx="596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-412115</wp:posOffset>
            </wp:positionV>
            <wp:extent cx="22288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-412115</wp:posOffset>
            </wp:positionV>
            <wp:extent cx="596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-412115</wp:posOffset>
            </wp:positionV>
            <wp:extent cx="22288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-274955</wp:posOffset>
            </wp:positionV>
            <wp:extent cx="4197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1973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-274955</wp:posOffset>
            </wp:positionV>
            <wp:extent cx="23177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-137795</wp:posOffset>
            </wp:positionV>
            <wp:extent cx="23177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6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Arrangers</w:t>
      </w:r>
      <w:r>
        <w:rPr>
          <w:rFonts w:ascii="Arial" w:cs="Arial" w:eastAsia="Arial" w:hAnsi="Arial"/>
          <w:sz w:val="18"/>
          <w:szCs w:val="18"/>
          <w:color w:val="auto"/>
        </w:rPr>
        <w:t xml:space="preserve">” means the “Lead Arrangers” as defined in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-147955</wp:posOffset>
            </wp:positionV>
            <wp:extent cx="857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-147955</wp:posOffset>
            </wp:positionV>
            <wp:extent cx="22288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596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-10795</wp:posOffset>
            </wp:positionV>
            <wp:extent cx="2228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Co-Documentation Agents</w:t>
      </w:r>
      <w:r>
        <w:rPr>
          <w:rFonts w:ascii="Arial" w:cs="Arial" w:eastAsia="Arial" w:hAnsi="Arial"/>
          <w:sz w:val="18"/>
          <w:szCs w:val="18"/>
          <w:color w:val="auto"/>
        </w:rPr>
        <w:t xml:space="preserve">” means the “Co-Documentation Agents” as defined in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-147955</wp:posOffset>
            </wp:positionV>
            <wp:extent cx="596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-147955</wp:posOffset>
            </wp:positionV>
            <wp:extent cx="22288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-10795</wp:posOffset>
            </wp:positionV>
            <wp:extent cx="596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63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means </w:t>
      </w:r>
      <w:r>
        <w:rPr>
          <w:rFonts w:ascii="Arial" w:cs="Arial" w:eastAsia="Arial" w:hAnsi="Arial"/>
          <w:sz w:val="18"/>
          <w:szCs w:val="18"/>
          <w:color w:val="FF0000"/>
          <w:strike w:val="1"/>
        </w:rPr>
        <w:t>December 13</w:t>
      </w:r>
      <w:r>
        <w:rPr>
          <w:rFonts w:ascii="Arial" w:cs="Arial" w:eastAsia="Arial" w:hAnsi="Arial"/>
          <w:sz w:val="18"/>
          <w:szCs w:val="18"/>
          <w:u w:val="single" w:color="auto"/>
          <w:color w:val="0000FF"/>
        </w:rPr>
        <w:t>August 8</w:t>
      </w:r>
      <w:r>
        <w:rPr>
          <w:rFonts w:ascii="Arial" w:cs="Arial" w:eastAsia="Arial" w:hAnsi="Arial"/>
          <w:sz w:val="18"/>
          <w:szCs w:val="18"/>
          <w:color w:val="auto"/>
        </w:rPr>
        <w:t xml:space="preserve">, </w:t>
      </w:r>
      <w:r>
        <w:rPr>
          <w:rFonts w:ascii="Arial" w:cs="Arial" w:eastAsia="Arial" w:hAnsi="Arial"/>
          <w:sz w:val="18"/>
          <w:szCs w:val="18"/>
          <w:color w:val="FF0000"/>
          <w:strike w:val="1"/>
        </w:rPr>
        <w:t>2019</w:t>
      </w:r>
      <w:r>
        <w:rPr>
          <w:rFonts w:ascii="Arial" w:cs="Arial" w:eastAsia="Arial" w:hAnsi="Arial"/>
          <w:sz w:val="18"/>
          <w:szCs w:val="18"/>
          <w:u w:val="single" w:color="auto"/>
          <w:color w:val="0000FF"/>
        </w:rPr>
        <w:t>2022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23495</wp:posOffset>
            </wp:positionV>
            <wp:extent cx="596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23495</wp:posOffset>
            </wp:positionV>
            <wp:extent cx="22288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23495</wp:posOffset>
            </wp:positionV>
            <wp:extent cx="4197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23495</wp:posOffset>
            </wp:positionV>
            <wp:extent cx="23114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ind w:firstLine="44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Cap</w:t>
      </w:r>
      <w:r>
        <w:rPr>
          <w:rFonts w:ascii="Arial" w:cs="Arial" w:eastAsia="Arial" w:hAnsi="Arial"/>
          <w:sz w:val="17"/>
          <w:szCs w:val="17"/>
          <w:color w:val="auto"/>
        </w:rPr>
        <w:t>” means, as of any date of determination, an aggregate principal amount equal to the sum of (x)(i) $</w:t>
      </w:r>
      <w:r>
        <w:rPr>
          <w:rFonts w:ascii="Arial" w:cs="Arial" w:eastAsia="Arial" w:hAnsi="Arial"/>
          <w:sz w:val="17"/>
          <w:szCs w:val="17"/>
          <w:color w:val="FF0000"/>
          <w:strike w:val="1"/>
        </w:rPr>
        <w:t>1,500,000,000</w:t>
      </w:r>
      <w:r>
        <w:rPr>
          <w:rFonts w:ascii="Arial" w:cs="Arial" w:eastAsia="Arial" w:hAnsi="Arial"/>
          <w:sz w:val="17"/>
          <w:szCs w:val="17"/>
          <w:u w:val="single" w:color="auto"/>
          <w:color w:val="0000FF"/>
        </w:rPr>
        <w:t>1,750,000,000</w:t>
      </w:r>
      <w:r>
        <w:rPr>
          <w:rFonts w:ascii="Arial" w:cs="Arial" w:eastAsia="Arial" w:hAnsi="Arial"/>
          <w:sz w:val="17"/>
          <w:szCs w:val="17"/>
          <w:color w:val="auto"/>
        </w:rPr>
        <w:t xml:space="preserve"> (or the Dollar Equivalent thereof at the time of the making of an Additional Term Loans or Incremental Equivalent Debt or establishment of an Additional Revolving Credit Commitment or Additional Revolving Facility)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 the aggregate principal amount of all Additional Facilities and Incremental Equivalent Debt incurred or issued in reliance on clause (x)(i) of this definition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(A) the aggregate principal amount of any voluntary prepayment, redemption, repurchase or other retirement of any Loan, including any Loan under any Additional Facility or any Incremental Equivalent Debt (other than, in each case, incurred pursuant to clause (z) below) in accordance with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(accompanied, to the extent such prepayments are of Loans under any Revolving Facility, Additional Revolving Facility and/or any Additional Revolving Credit Commitments, by a commitment reduction in the like amount under such Revolving Facility, Additional Revolving Facility and/or Additional Revolving Credit Commitment) and/or the aggregate principal amount of any permanent reduction of any Revolving Commitment or Additional Facility Commitment so long as, in the case of any voluntary prepayment, redemption, repurchase or other retirement, such prepayment, redemption, repurchase or other retirement was not funded with the proceeds of a contemporaneous refinancing with new long-term funded Indebtedness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(B) the aggregate outstanding principal amount of all Additional Facilities and Incremental Equivalent Debt incurred or issued in reliance on clause (y)(A) of this definition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(z) such additional unlimited principal amounts such that, at the time of the incurrence of the applicable Additional Facility or Incremental Equivalent Debt, solely with respect to any incurrence in reliance on this clause (z) (immediately after giving effect to the full utilization of the applicable Additional Facility or Incremental Equivalent Debt and excluding any cash constituting proceeds of any Additional Facility or Incremental Equivalent Debt, as applicable, in reliance on this clause (z)), the Total First Lien Leverage Ratio of Crown Holdings and its Subsidiaries (calculated as if any Additional Revolving Credit Commitments and/or Additional Revolving Facilities were fully drawn and excluding any cash constituting proceeds of any Additional Facility and any Incremental Equivalent Debt) does not exceed 2.00 to 1.00 (it being acknowledged that each Additional Facility and/or Incremental Equivalent Debt under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shall be incurred under clause (z) if clause (z) is available at the time of such incurrence up to the maximum amount available, and any additional amounts incurred at any time that clause (z) is unavailable shall be incurred under clauses (x) and/or (y), and any substantially concurrent incurrence or series of related incurrences under clauses (x) and/or (y) shall not be given pro forma effect for purposes of determining the Total First Lien Leverage Ratio with respect to any incurrence under clause (z)), calculated on a Pro Forma Basis, after giving effect to the application of the proceeds thereof (but without “netting” the Cash proceeds of the applicable Additional Facility or Incremental Equivalent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Cash proceeds thereof are used to repay Indebtedness, pro forma effect shall be given to such repayment of Indebtedness) and, in the case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-3283585</wp:posOffset>
            </wp:positionV>
            <wp:extent cx="65976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73" w:name="page174"/>
    <w:bookmarkEnd w:id="17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Revolving Credit Commitments, assuming a full drawing under such Additional Revolving Credit Commitments, and determined on the basis of the financial statements for the most recently completed four Fiscal Quarter period of Borrowers that are internally available. For the avoidance of doubt, undrawn 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2.9(d)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applied to any Person (without duplication):</w:t>
      </w:r>
    </w:p>
    <w:p>
      <w:pPr>
        <w:spacing w:after="0" w:line="117" w:lineRule="exact"/>
        <w:rPr>
          <w:sz w:val="20"/>
          <w:szCs w:val="20"/>
          <w:color w:val="auto"/>
        </w:rPr>
      </w:pPr>
    </w:p>
    <w:p>
      <w:pPr>
        <w:ind w:left="1080" w:hanging="221"/>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17" w:lineRule="exact"/>
        <w:rPr>
          <w:rFonts w:ascii="Arial" w:cs="Arial" w:eastAsia="Arial" w:hAnsi="Arial"/>
          <w:sz w:val="18"/>
          <w:szCs w:val="18"/>
          <w:color w:val="auto"/>
        </w:rPr>
      </w:pPr>
    </w:p>
    <w:p>
      <w:pPr>
        <w:ind w:left="440" w:right="180" w:firstLine="419"/>
        <w:spacing w:after="0" w:line="259" w:lineRule="auto"/>
        <w:tabs>
          <w:tab w:leader="none" w:pos="11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non-contingent obligations to pay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78" w:lineRule="exact"/>
        <w:rPr>
          <w:rFonts w:ascii="Arial" w:cs="Arial" w:eastAsia="Arial" w:hAnsi="Arial"/>
          <w:sz w:val="18"/>
          <w:szCs w:val="18"/>
          <w:color w:val="auto"/>
        </w:rPr>
      </w:pPr>
    </w:p>
    <w:p>
      <w:pPr>
        <w:ind w:left="1180" w:hanging="321"/>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Capitalized Lease Obligations;</w:t>
      </w:r>
    </w:p>
    <w:p>
      <w:pPr>
        <w:spacing w:after="0" w:line="117" w:lineRule="exact"/>
        <w:rPr>
          <w:rFonts w:ascii="Arial" w:cs="Arial" w:eastAsia="Arial" w:hAnsi="Arial"/>
          <w:sz w:val="18"/>
          <w:szCs w:val="18"/>
          <w:color w:val="auto"/>
        </w:rPr>
      </w:pPr>
    </w:p>
    <w:p>
      <w:pPr>
        <w:ind w:left="440" w:right="60" w:firstLine="419"/>
        <w:spacing w:after="0" w:line="301"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Indebtedness of the type described in clauses (i) through (iii) above and clauses (v) through (x) below secured by any Lien on any property owned by such Person, whether or not such Indebtedness has been assumed by such Person or is nonrecourse to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or obligations of such Person, in each case, evidenced by bonds, notes or similar written instruments;</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78" w:lineRule="exact"/>
        <w:rPr>
          <w:rFonts w:ascii="Arial" w:cs="Arial" w:eastAsia="Arial" w:hAnsi="Arial"/>
          <w:sz w:val="18"/>
          <w:szCs w:val="18"/>
          <w:color w:val="auto"/>
        </w:rPr>
      </w:pPr>
    </w:p>
    <w:p>
      <w:pPr>
        <w:ind w:left="1260" w:hanging="401"/>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obligations of such Person under Hedging Agreements;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Guarantee Obligations of such Person in respect of Indebtedness described in clauses (i) through (viii) and clause (x) of this definition;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00" w:hanging="241"/>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Attributable Debt of such Person;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40" w:top="274" w:right="519" w:bottom="1440" w:gutter="0" w:footer="0" w:header="0"/>
        </w:sectPr>
      </w:pPr>
    </w:p>
    <w:bookmarkStart w:id="174" w:name="page175"/>
    <w:bookmarkEnd w:id="174"/>
    <w:p>
      <w:pPr>
        <w:jc w:val="both"/>
        <w:ind w:left="4" w:right="70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avoidance of doubt, Excluded Attributable Debt shall not constitute Indebtedness.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 to Remain Outstanding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6.5(b)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12.4(b)</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Borrowing</w:t>
      </w:r>
      <w:r>
        <w:rPr>
          <w:rFonts w:ascii="Arial" w:cs="Arial" w:eastAsia="Arial" w:hAnsi="Arial"/>
          <w:sz w:val="18"/>
          <w:szCs w:val="18"/>
          <w:color w:val="auto"/>
        </w:rPr>
        <w:t>” means the first Borrowing under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w:t>
      </w:r>
      <w:r>
        <w:rPr>
          <w:rFonts w:ascii="Arial" w:cs="Arial" w:eastAsia="Arial" w:hAnsi="Arial"/>
          <w:sz w:val="18"/>
          <w:szCs w:val="18"/>
          <w:color w:val="auto"/>
        </w:rPr>
        <w:t>” means the first Loan made by the Lenders under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Inside Maturity Date Amount</w:t>
      </w:r>
      <w:r>
        <w:rPr>
          <w:rFonts w:ascii="Arial" w:cs="Arial" w:eastAsia="Arial" w:hAnsi="Arial"/>
          <w:sz w:val="16"/>
          <w:szCs w:val="16"/>
          <w:color w:val="auto"/>
        </w:rPr>
        <w:t>” means $</w:t>
      </w:r>
      <w:r>
        <w:rPr>
          <w:rFonts w:ascii="Arial" w:cs="Arial" w:eastAsia="Arial" w:hAnsi="Arial"/>
          <w:sz w:val="16"/>
          <w:szCs w:val="16"/>
          <w:color w:val="FF0000"/>
          <w:strike w:val="1"/>
        </w:rPr>
        <w:t>300,000,000</w:t>
      </w:r>
      <w:r>
        <w:rPr>
          <w:rFonts w:ascii="Arial" w:cs="Arial" w:eastAsia="Arial" w:hAnsi="Arial"/>
          <w:sz w:val="16"/>
          <w:szCs w:val="16"/>
          <w:u w:val="single" w:color="auto"/>
          <w:color w:val="0000FF"/>
        </w:rPr>
        <w:t>400,000,000,</w:t>
      </w:r>
      <w:r>
        <w:rPr>
          <w:rFonts w:ascii="Arial" w:cs="Arial" w:eastAsia="Arial" w:hAnsi="Arial"/>
          <w:sz w:val="16"/>
          <w:szCs w:val="16"/>
          <w:color w:val="auto"/>
        </w:rPr>
        <w:t xml:space="preserve"> to be shared among (a) clause (i) of the definition of “Permitted Ratio Debt”,</w:t>
      </w:r>
    </w:p>
    <w:p>
      <w:pPr>
        <w:spacing w:after="0" w:line="46" w:lineRule="exact"/>
        <w:rPr>
          <w:sz w:val="20"/>
          <w:szCs w:val="20"/>
          <w:color w:val="auto"/>
        </w:rPr>
      </w:pPr>
    </w:p>
    <w:p>
      <w:pPr>
        <w:ind w:left="4" w:right="220" w:hanging="4"/>
        <w:spacing w:after="0" w:line="255"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clause (i) of the definition of “Permitted European Borrower Debt”, (</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auto"/>
        </w:rPr>
        <w:t>) clause (c) of the definition of “Permitted Refinancing Indebtedness”, (</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2.9(a)(ii)</w:t>
      </w:r>
      <w:r>
        <w:rPr>
          <w:rFonts w:ascii="Arial" w:cs="Arial" w:eastAsia="Arial" w:hAnsi="Arial"/>
          <w:sz w:val="18"/>
          <w:szCs w:val="18"/>
          <w:color w:val="auto"/>
        </w:rPr>
        <w:t>, (</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2.9(a)(iii)</w:t>
      </w:r>
      <w:r>
        <w:rPr>
          <w:rFonts w:ascii="Arial" w:cs="Arial" w:eastAsia="Arial" w:hAnsi="Arial"/>
          <w:sz w:val="18"/>
          <w:szCs w:val="18"/>
          <w:color w:val="auto"/>
        </w:rPr>
        <w:t xml:space="preserve"> and (</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use of the Inside Maturity Date Amount shall reduce the Inside Maturity Date Amount under any other such clause or basket.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-409575</wp:posOffset>
            </wp:positionV>
            <wp:extent cx="6254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-272415</wp:posOffset>
            </wp:positionV>
            <wp:extent cx="5143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-272415</wp:posOffset>
            </wp:positionV>
            <wp:extent cx="514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-135255</wp:posOffset>
            </wp:positionV>
            <wp:extent cx="596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2160270</wp:posOffset>
            </wp:positionH>
            <wp:positionV relativeFrom="paragraph">
              <wp:posOffset>-135255</wp:posOffset>
            </wp:positionV>
            <wp:extent cx="514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0"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Proceedings</w:t>
      </w:r>
      <w:r>
        <w:rPr>
          <w:rFonts w:ascii="Arial" w:cs="Arial" w:eastAsia="Arial" w:hAnsi="Arial"/>
          <w:sz w:val="16"/>
          <w:szCs w:val="16"/>
          <w:color w:val="auto"/>
        </w:rPr>
        <w:t>” means, whether voluntary or involuntary (a) any case, proceeding or other action commenced by the Borrowers or any Guarantor (i) under any existing or future law of any 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w:t>
      </w:r>
    </w:p>
    <w:p>
      <w:pPr>
        <w:spacing w:after="0" w:line="2" w:lineRule="exact"/>
        <w:rPr>
          <w:sz w:val="20"/>
          <w:szCs w:val="20"/>
          <w:color w:val="auto"/>
        </w:rPr>
      </w:pPr>
    </w:p>
    <w:p>
      <w:pPr>
        <w:ind w:left="4" w:hanging="4"/>
        <w:spacing w:after="0" w:line="292" w:lineRule="auto"/>
        <w:tabs>
          <w:tab w:leader="none" w:pos="2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shall be commenced against the Borrowers or any Guarantor any such case, proceeding or other action referred to in clause (a) of this definition which results in the entry of an order for relief or any such adjudication or appointment remains undismissed, undischarged and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Subsidiary</w:t>
      </w:r>
      <w:r>
        <w:rPr>
          <w:rFonts w:ascii="Arial" w:cs="Arial" w:eastAsia="Arial" w:hAnsi="Arial"/>
          <w:sz w:val="18"/>
          <w:szCs w:val="18"/>
          <w:color w:val="auto"/>
        </w:rPr>
        <w:t>” means Crownway Insurance Company, a Vermont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225" w:lineRule="exact"/>
        <w:rPr>
          <w:sz w:val="20"/>
          <w:szCs w:val="20"/>
          <w:color w:val="auto"/>
        </w:rPr>
      </w:pPr>
    </w:p>
    <w:p>
      <w:pPr>
        <w:jc w:val="center"/>
        <w:ind w:left="540" w:right="3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means Indebtedness of Crown Holdings or any of its Subsidiaries which is owing to any member of such group. 41</w:t>
      </w:r>
    </w:p>
    <w:p>
      <w:pPr>
        <w:sectPr>
          <w:pgSz w:w="11900" w:h="16838" w:orient="portrait"/>
          <w:cols w:equalWidth="0" w:num="1">
            <w:col w:w="11024"/>
          </w:cols>
          <w:pgMar w:left="436" w:top="274" w:right="439" w:bottom="1440" w:gutter="0" w:footer="0" w:header="0"/>
        </w:sectPr>
      </w:pPr>
    </w:p>
    <w:bookmarkStart w:id="175" w:name="page176"/>
    <w:bookmarkEnd w:id="175"/>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for any period, the ratio of Consolidated EBITDA of Crown Holdings and its Subsidiaries to Consolidated Interest Expense of Crown Holdings and its Subsidiaries for such period.</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Base Rate Loan or Canadian Prime Rate Loan, each Quarterly Payment Date to occur while such Loan is outstanding, (b) as to any Eurocurrency Loan </w:t>
      </w:r>
      <w:r>
        <w:rPr>
          <w:rFonts w:ascii="Arial" w:cs="Arial" w:eastAsia="Arial" w:hAnsi="Arial"/>
          <w:sz w:val="16"/>
          <w:szCs w:val="16"/>
          <w:color w:val="FF0000"/>
          <w:strike w:val="1"/>
        </w:rPr>
        <w:t>(other than a Daily Simple RFR Loan)</w:t>
      </w:r>
      <w:r>
        <w:rPr>
          <w:rFonts w:ascii="Arial" w:cs="Arial" w:eastAsia="Arial" w:hAnsi="Arial"/>
          <w:sz w:val="16"/>
          <w:szCs w:val="16"/>
          <w:color w:val="auto"/>
        </w:rPr>
        <w:t xml:space="preserve"> having an Interest Period of three months or less, the last day of the Interest Period applicable thereto, (c) as to any Eurocurrency Loan </w:t>
      </w:r>
      <w:r>
        <w:rPr>
          <w:rFonts w:ascii="Arial" w:cs="Arial" w:eastAsia="Arial" w:hAnsi="Arial"/>
          <w:sz w:val="16"/>
          <w:szCs w:val="16"/>
          <w:color w:val="FF0000"/>
          <w:strike w:val="1"/>
        </w:rPr>
        <w:t>(other than a Daily Simple RFR Loan)</w:t>
      </w:r>
      <w:r>
        <w:rPr>
          <w:rFonts w:ascii="Arial" w:cs="Arial" w:eastAsia="Arial" w:hAnsi="Arial"/>
          <w:sz w:val="16"/>
          <w:szCs w:val="16"/>
          <w:color w:val="auto"/>
        </w:rPr>
        <w:t xml:space="preserve"> having an Interest Period longer than three months, each day which is a three (3) month anniversary of the first day of the Interest Period applicable thereto and the last day of the Interest Period applicable thereto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(d) </w:t>
      </w:r>
      <w:r>
        <w:rPr>
          <w:rFonts w:ascii="Arial" w:cs="Arial" w:eastAsia="Arial" w:hAnsi="Arial"/>
          <w:sz w:val="16"/>
          <w:szCs w:val="16"/>
          <w:u w:val="single" w:color="auto"/>
          <w:color w:val="0000FF"/>
        </w:rPr>
        <w:t>as to any SOFR Loan having an Interest Period of 3 months or less, the last day of the Interest Period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applicable thereto, (e) as to any SOFR Loan having an Interest Period longer than 3 months, each day that is a 3 month anniversary of the first day of the Interest Period applicable thereto and (f) as to any</w:t>
      </w:r>
      <w:r>
        <w:rPr>
          <w:rFonts w:ascii="Arial" w:cs="Arial" w:eastAsia="Arial" w:hAnsi="Arial"/>
          <w:sz w:val="16"/>
          <w:szCs w:val="16"/>
          <w:color w:val="0000FF"/>
        </w:rPr>
        <w:t xml:space="preserve"> </w:t>
      </w:r>
      <w:r>
        <w:rPr>
          <w:rFonts w:ascii="Arial" w:cs="Arial" w:eastAsia="Arial" w:hAnsi="Arial"/>
          <w:sz w:val="16"/>
          <w:szCs w:val="16"/>
          <w:color w:val="000000"/>
        </w:rPr>
        <w:t>with respect to any Daily Simple RFR Loan, each date that is on the numerically corresponding day in</w:t>
      </w:r>
      <w:r>
        <w:rPr>
          <w:rFonts w:ascii="Arial" w:cs="Arial" w:eastAsia="Arial" w:hAnsi="Arial"/>
          <w:sz w:val="16"/>
          <w:szCs w:val="16"/>
          <w:color w:val="0000FF"/>
        </w:rPr>
        <w:t xml:space="preserve"> </w:t>
      </w:r>
      <w:r>
        <w:rPr>
          <w:rFonts w:ascii="Arial" w:cs="Arial" w:eastAsia="Arial" w:hAnsi="Arial"/>
          <w:sz w:val="16"/>
          <w:szCs w:val="16"/>
          <w:color w:val="000000"/>
        </w:rPr>
        <w:t xml:space="preserve">each calendar month that is one month after the Borrowing of such Loan (or, if there is no such numerically corresponding day in such month, then the last day of such month); provided that, as to any such Daily Simple RFR Loan, (x) if any such date would be a day other than a Business Day, such date shall be extended to the next succeeding Business Day unless such next succeeding Business Day would fall in the next calendar month, in which case such date shall be the next preceding Business Day and (y)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in addition to the foregoing, each of (i) the date upon which both the Revolving Commitments have been terminated and the Revolving Loans have been paid in full (ii) the date upon which both the Canadian Revolving Commitments have been terminated and the Canadian Revolving Loans have been paid in full and (iii) the applicable Term Maturity Date shall be deemed to be an “Interest Payment Date” with respect to any interest which is then accrued hereunder for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-1601470</wp:posOffset>
            </wp:positionV>
            <wp:extent cx="19367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-1515745</wp:posOffset>
            </wp:positionV>
            <wp:extent cx="48431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-1378585</wp:posOffset>
            </wp:positionV>
            <wp:extent cx="69862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228028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8000"/>
        </w:rPr>
        <w:t>Interest Rate Determination Date</w:t>
      </w:r>
      <w:r>
        <w:rPr>
          <w:rFonts w:ascii="Arial" w:cs="Arial" w:eastAsia="Arial" w:hAnsi="Arial"/>
          <w:sz w:val="18"/>
          <w:szCs w:val="18"/>
          <w:color w:val="auto"/>
        </w:rPr>
        <w:t xml:space="preserve">” means the date for calculating the Eurocurrency Rate for an Interest Period, which date shall be </w:t>
      </w:r>
      <w:r>
        <w:rPr>
          <w:rFonts w:ascii="Arial" w:cs="Arial" w:eastAsia="Arial" w:hAnsi="Arial"/>
          <w:sz w:val="18"/>
          <w:szCs w:val="18"/>
          <w:color w:val="FF0000"/>
          <w:strike w:val="1"/>
        </w:rPr>
        <w:t>(i)</w:t>
      </w:r>
      <w:r>
        <w:rPr>
          <w:rFonts w:ascii="Arial" w:cs="Arial" w:eastAsia="Arial" w:hAnsi="Arial"/>
          <w:sz w:val="18"/>
          <w:szCs w:val="18"/>
          <w:color w:val="auto"/>
        </w:rPr>
        <w:t xml:space="preserve"> </w:t>
      </w:r>
      <w:r>
        <w:rPr>
          <w:rFonts w:ascii="Arial" w:cs="Arial" w:eastAsia="Arial" w:hAnsi="Arial"/>
          <w:sz w:val="18"/>
          <w:szCs w:val="18"/>
          <w:color w:val="008000"/>
          <w:strike w:val="1"/>
        </w:rPr>
        <w:t>in the case</w:t>
      </w:r>
      <w:r>
        <w:rPr>
          <w:rFonts w:ascii="Arial" w:cs="Arial" w:eastAsia="Arial" w:hAnsi="Arial"/>
          <w:sz w:val="18"/>
          <w:szCs w:val="18"/>
          <w:color w:val="auto"/>
        </w:rPr>
        <w:t xml:space="preserve"> </w:t>
      </w:r>
      <w:r>
        <w:rPr>
          <w:rFonts w:ascii="Arial" w:cs="Arial" w:eastAsia="Arial" w:hAnsi="Arial"/>
          <w:sz w:val="18"/>
          <w:szCs w:val="18"/>
          <w:color w:val="008000"/>
          <w:strike w:val="1"/>
        </w:rPr>
        <w:t xml:space="preserve">of any Eurocurrency </w:t>
      </w:r>
      <w:r>
        <w:rPr>
          <w:rFonts w:ascii="Arial" w:cs="Arial" w:eastAsia="Arial" w:hAnsi="Arial"/>
          <w:sz w:val="18"/>
          <w:szCs w:val="18"/>
          <w:color w:val="FF0000"/>
          <w:strike w:val="1"/>
        </w:rPr>
        <w:t>Loan in Dollars,</w:t>
      </w:r>
      <w:r>
        <w:rPr>
          <w:rFonts w:ascii="Arial" w:cs="Arial" w:eastAsia="Arial" w:hAnsi="Arial"/>
          <w:sz w:val="18"/>
          <w:szCs w:val="18"/>
          <w:color w:val="008000"/>
          <w:strike w:val="1"/>
        </w:rPr>
        <w:t xml:space="preserve"> the second Business Day prior to first day of the related Interest Period </w:t>
      </w:r>
      <w:r>
        <w:rPr>
          <w:rFonts w:ascii="Arial" w:cs="Arial" w:eastAsia="Arial" w:hAnsi="Arial"/>
          <w:sz w:val="18"/>
          <w:szCs w:val="18"/>
          <w:color w:val="FF0000"/>
          <w:strike w:val="1"/>
        </w:rPr>
        <w:t>for such Loan or (ii) in the case of any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Eurocurrency Loan (other than a Daily Simple RFR Loan) in an Alternative Currency, the</w:t>
      </w:r>
      <w:r>
        <w:rPr>
          <w:rFonts w:ascii="Arial" w:cs="Arial" w:eastAsia="Arial" w:hAnsi="Arial"/>
          <w:sz w:val="18"/>
          <w:szCs w:val="18"/>
          <w:u w:val="single" w:color="auto"/>
          <w:color w:val="0000FF"/>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date on which quotations would ordinarily be given by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prime banks in the relevant interbank market for deposits in the Applicable Currency for value on the first day of the related Interest Period for such Eurocurrency Loan</w:t>
      </w:r>
      <w:r>
        <w:rPr>
          <w:rFonts w:ascii="Arial" w:cs="Arial" w:eastAsia="Arial" w:hAnsi="Arial"/>
          <w:sz w:val="18"/>
          <w:szCs w:val="18"/>
          <w:color w:val="FF0000"/>
          <w:strike w:val="1"/>
        </w:rPr>
        <w:t>; provided, however, that if for any such Interest Period with respect to an Alternative Currency Loan, quotations would ordinarily be</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given on more than one date, the Interest Rate Determination Date shall be the last of those dates. </w:t>
      </w:r>
      <w:r>
        <w:rPr>
          <w:rFonts w:ascii="Arial" w:cs="Arial" w:eastAsia="Arial" w:hAnsi="Arial"/>
          <w:sz w:val="18"/>
          <w:szCs w:val="18"/>
          <w:color w:val="0000FF"/>
          <w:strike w:val="1"/>
        </w:rPr>
        <w:t>but in any event not earlier than</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second Business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Day prior to</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0000FF"/>
          <w:strike w:val="1"/>
        </w:rPr>
        <w:t>the</w:t>
      </w:r>
      <w:r>
        <w:rPr>
          <w:rFonts w:ascii="Arial" w:cs="Arial" w:eastAsia="Arial" w:hAnsi="Arial"/>
          <w:sz w:val="18"/>
          <w:szCs w:val="18"/>
          <w:color w:val="008000"/>
          <w:strike w:val="1"/>
        </w:rPr>
        <w:t xml:space="preserve"> first day of the related Interest Period</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-818515</wp:posOffset>
            </wp:positionV>
            <wp:extent cx="15087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-544195</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-167005</wp:posOffset>
            </wp:positionV>
            <wp:extent cx="2430145" cy="4318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3014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2494280" cy="431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94280" cy="43180"/>
                    </a:xfrm>
                    <a:prstGeom prst="rect">
                      <a:avLst/>
                    </a:prstGeom>
                    <a:noFill/>
                  </pic:spPr>
                </pic:pic>
              </a:graphicData>
            </a:graphic>
          </wp:anchor>
        </w:drawing>
      </w:r>
    </w:p>
    <w:p>
      <w:pPr>
        <w:spacing w:after="0" w:line="17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76" w:name="page177"/>
    <w:bookmarkEnd w:id="176"/>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 or any successor or analogous organization.</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from time to time amended, including the regulations proposed or promulgated thereunder, or any successor statute and the regulations proposed or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ITA-UK</w:t>
      </w:r>
      <w:r>
        <w:rPr>
          <w:rFonts w:ascii="Arial" w:cs="Arial" w:eastAsia="Arial" w:hAnsi="Arial"/>
          <w:sz w:val="18"/>
          <w:szCs w:val="18"/>
          <w:color w:val="auto"/>
        </w:rPr>
        <w:t>” means the Income Tax Act 2007 (United Kingdom).</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an amount equal to the sum of the aggregate Multicurrency LC Obligations, Dollar LC Obligations and Canadian LC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Reserve Account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w:t>
      </w:r>
    </w:p>
    <w:p>
      <w:pPr>
        <w:spacing w:after="0" w:line="117" w:lineRule="exact"/>
        <w:rPr>
          <w:sz w:val="20"/>
          <w:szCs w:val="20"/>
          <w:color w:val="auto"/>
        </w:rPr>
      </w:pPr>
    </w:p>
    <w:p>
      <w:pPr>
        <w:ind w:firstLine="436"/>
        <w:spacing w:after="0" w:line="27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reorganization and other laws generally affecting the rights of creditors;</w:t>
      </w:r>
    </w:p>
    <w:p>
      <w:pPr>
        <w:spacing w:after="0" w:line="62"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similar principles, rights and defenses under the laws of any relevant jurisdiction; and;</w:t>
      </w:r>
    </w:p>
    <w:p>
      <w:pPr>
        <w:spacing w:after="0" w:line="117" w:lineRule="exact"/>
        <w:rPr>
          <w:rFonts w:ascii="Arial" w:cs="Arial" w:eastAsia="Arial" w:hAnsi="Arial"/>
          <w:sz w:val="18"/>
          <w:szCs w:val="18"/>
          <w:color w:val="auto"/>
        </w:rPr>
      </w:pPr>
    </w:p>
    <w:p>
      <w:pPr>
        <w:ind w:right="420" w:firstLine="436"/>
        <w:spacing w:after="0" w:line="308"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matters which are set out as qualifications or reservations as to matters of law of general application in any legal opinion delivered in accordance with Article V (Conditions of Credit) and Section 6 of the Incremental Amendment No.2 and Third Amendment.</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have the respective meanings assigned to those terms in the preamble to this Agreement and shall include any Person that becomes a “Lender” (i) pursuant to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and (ii) in connection with the incurrence of an Additional Facility or Incremental Equivalent Debt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177" w:name="page178"/>
    <w:bookmarkEnd w:id="1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Letter of Credit Amendment Request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means, with respect to a Revolving Lender, such Lender’s Multicurrency Revolver Pro Rata Share, Dollar Revolver Pro Rata Share or Canadian Revolver Pro Rata Share, as the case may be, of the aggregate LC Obligations.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Multicurrency Letters of Credit, the Dollar Letters of Credit and Canadian Letters of Credit, collectively or separately as the context requires, and “</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one of such Letters of Credit.</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encumbrance, charge, assignment, hypothecation, deemed trust,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 or title retention agreement relating to such asset and (c) any other agreement intended to create any of the foregoing; provided that in no event shall an Operating Lease be deemed to constitute a lien.</w:t>
      </w:r>
    </w:p>
    <w:p>
      <w:pPr>
        <w:spacing w:after="0" w:line="178"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means any Acquisition of, or similar third-party Investment by one or more of Crown Holdings and its Subsidiaries in, any assets, business or Person permitted by this Agreement the consummation of which is not conditioned on the availability of, or on obtaining, third-party financing (it being understood that such commitment may be subject to conditions precedent (including diligence and regulatory conditions), which conditions precedent may be amended, satisfied or waived in accordance with the terms of the applicable agreement).</w:t>
      </w:r>
    </w:p>
    <w:p>
      <w:pPr>
        <w:spacing w:after="0" w:line="15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any (a) Limited Condition Acquisition, (b) redemption, repurchase, defeasance, satisfaction, discharge or repayment of Indebtedness requiring irrevocable advance notice of such redemption, repurchase, defeasance, satisfaction, discharge or repayment that is not subject to obtaining financing, or (c) any declaration of a distribution or dividend in respect of, or irrevocable advance notice of, or any irrevocable offer to, purchase, redeem or otherwise acquire or retire for value, any Capital Stock of Crown Holdings that is not subject to obtaining financing.</w:t>
      </w:r>
    </w:p>
    <w:p>
      <w:pPr>
        <w:spacing w:after="0" w:line="15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Term Loan, Dollar Revolving Loan, Multicurrency Revolving Loans, Canadian Revolving Loan or Swing Line Loan, and “Loans” means all such Loans collectively.</w:t>
      </w:r>
    </w:p>
    <w:p>
      <w:pPr>
        <w:spacing w:after="0" w:line="170"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Notes, each Security Document, each Guarantee Agreement, each Receivables Intercreditor Agreement</w:t>
      </w:r>
      <w:r>
        <w:rPr>
          <w:rFonts w:ascii="Arial" w:cs="Arial" w:eastAsia="Arial" w:hAnsi="Arial"/>
          <w:sz w:val="18"/>
          <w:szCs w:val="18"/>
          <w:u w:val="single" w:color="auto"/>
          <w:color w:val="0000FF"/>
        </w:rPr>
        <w:t>, each Fee Letter</w:t>
      </w:r>
      <w:r>
        <w:rPr>
          <w:rFonts w:ascii="Arial" w:cs="Arial" w:eastAsia="Arial" w:hAnsi="Arial"/>
          <w:sz w:val="18"/>
          <w:szCs w:val="18"/>
          <w:color w:val="auto"/>
        </w:rPr>
        <w:t xml:space="preserve"> and all other agreements, instruments and documents executed in connection therewith, in each case as the same may at any time be amended, supplemented, restated or otherwise modified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-139700</wp:posOffset>
            </wp:positionV>
            <wp:extent cx="76263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 to be Converted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w:t>
      </w:r>
      <w:r>
        <w:rPr>
          <w:rFonts w:ascii="Arial" w:cs="Arial" w:eastAsia="Arial" w:hAnsi="Arial"/>
          <w:sz w:val="18"/>
          <w:szCs w:val="18"/>
          <w:color w:val="auto"/>
        </w:rPr>
        <w:t>” means the Grand Duchy of Luxembourg.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“KPIs” has the meaning assigned to that term in Section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8200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178" w:name="page179"/>
    <w:bookmarkEnd w:id="178"/>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Majority Lenders</w:t>
      </w:r>
      <w:r>
        <w:rPr>
          <w:rFonts w:ascii="Arial" w:cs="Arial" w:eastAsia="Arial" w:hAnsi="Arial"/>
          <w:sz w:val="18"/>
          <w:szCs w:val="18"/>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84" w:lineRule="exact"/>
        <w:rPr>
          <w:sz w:val="20"/>
          <w:szCs w:val="20"/>
          <w:color w:val="auto"/>
        </w:rPr>
      </w:pPr>
    </w:p>
    <w:p>
      <w:pPr>
        <w:jc w:val="both"/>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Permitted Acquisition (or a series of related Permitted Acquisitions) that involves an acquisition, the aggregate fair market value of which assets exceeds $150,000,000.</w:t>
      </w:r>
    </w:p>
    <w:p>
      <w:pPr>
        <w:spacing w:after="0" w:line="170"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materially adverse effect on (a) the business, assets, operations or financial condition, of Crown Holdings and its Subsidiaries taken as a whole, (b) the ability of the Credit Parties (taken as a whole) to perform their payment obligations under any Loan Document or (c) the rights of or benefits available to the Lenders taken as a whole under any Loan Document.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or obligations in respect of one or more Hedging</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Agreements, of any one or more of Crown Holdings and its Material Subsidiaries, individually or in an aggregate principal amount exceeding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$250,000,000. For purposes of determining Material Indebtedness, the “principal amount” of the obligations of Crown Holdings or any Subsidiary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 of any Hedging Agreement at any time shall be the maximum aggregate amount (giving effect to any netting agreements) that such Person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would be required to pay if such Hedging Agreement were terminated at such time.</w:t>
      </w:r>
    </w:p>
    <w:p>
      <w:pPr>
        <w:spacing w:after="0" w:line="21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any Subsidiary of Crown Holdings, which either (i) the consolidated total assets of which were more than 8% of Crown Holdings’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w:t>
      </w:r>
    </w:p>
    <w:p>
      <w:pPr>
        <w:ind w:left="4" w:right="200" w:hanging="4"/>
        <w:spacing w:after="0" w:line="295" w:lineRule="auto"/>
        <w:tabs>
          <w:tab w:leader="none" w:pos="2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consolidated total revenues of which were more than 7% of Crown Holdings’ consolidated total revenues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 converted into Dollars at the rates used for purposes of preparing the consolidated balance sheet of Crown Holdings included in such financial statements.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 Extension Request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Commitment</w:t>
      </w:r>
      <w:r>
        <w:rPr>
          <w:rFonts w:ascii="Arial" w:cs="Arial" w:eastAsia="Arial" w:hAnsi="Arial"/>
          <w:sz w:val="17"/>
          <w:szCs w:val="17"/>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or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to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subject to reduction from time to time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-147320</wp:posOffset>
            </wp:positionV>
            <wp:extent cx="603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-147320</wp:posOffset>
            </wp:positionV>
            <wp:extent cx="22288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-147320</wp:posOffset>
            </wp:positionV>
            <wp:extent cx="514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-10160</wp:posOffset>
            </wp:positionV>
            <wp:extent cx="22288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Borrowing Amount</w:t>
      </w:r>
      <w:r>
        <w:rPr>
          <w:rFonts w:ascii="Arial" w:cs="Arial" w:eastAsia="Arial" w:hAnsi="Arial"/>
          <w:sz w:val="17"/>
          <w:szCs w:val="17"/>
          <w:color w:val="auto"/>
        </w:rPr>
        <w:t xml:space="preserve">” means (i) with respect to Base Rate Loans, $1,000,000, (ii) with respect to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$5,000,000 </w:t>
      </w:r>
      <w:r>
        <w:rPr>
          <w:rFonts w:ascii="Arial" w:cs="Arial" w:eastAsia="Arial" w:hAnsi="Arial"/>
          <w:sz w:val="16"/>
          <w:szCs w:val="16"/>
          <w:color w:val="008000"/>
        </w:rPr>
        <w:t>in the case of a Borrowing</w:t>
      </w:r>
      <w:r>
        <w:rPr>
          <w:rFonts w:ascii="Arial" w:cs="Arial" w:eastAsia="Arial" w:hAnsi="Arial"/>
          <w:sz w:val="16"/>
          <w:szCs w:val="16"/>
          <w:color w:val="auto"/>
        </w:rPr>
        <w:t xml:space="preserve"> </w:t>
      </w:r>
      <w:r>
        <w:rPr>
          <w:rFonts w:ascii="Arial" w:cs="Arial" w:eastAsia="Arial" w:hAnsi="Arial"/>
          <w:sz w:val="16"/>
          <w:szCs w:val="16"/>
          <w:color w:val="FF0000"/>
          <w:strike w:val="1"/>
        </w:rPr>
        <w:t>in Dollars, £3,000,000</w:t>
      </w:r>
      <w:r>
        <w:rPr>
          <w:rFonts w:ascii="Arial" w:cs="Arial" w:eastAsia="Arial" w:hAnsi="Arial"/>
          <w:sz w:val="16"/>
          <w:szCs w:val="16"/>
          <w:color w:val="auto"/>
        </w:rPr>
        <w:t xml:space="preserve"> </w:t>
      </w:r>
      <w:r>
        <w:rPr>
          <w:rFonts w:ascii="Arial" w:cs="Arial" w:eastAsia="Arial" w:hAnsi="Arial"/>
          <w:sz w:val="16"/>
          <w:szCs w:val="16"/>
          <w:color w:val="008000"/>
          <w:strike w:val="1"/>
        </w:rPr>
        <w:t>in the case of a</w:t>
      </w:r>
      <w:r>
        <w:rPr>
          <w:rFonts w:ascii="Arial" w:cs="Arial" w:eastAsia="Arial" w:hAnsi="Arial"/>
          <w:sz w:val="16"/>
          <w:szCs w:val="16"/>
          <w:color w:val="auto"/>
        </w:rPr>
        <w:t xml:space="preserve"> </w:t>
      </w:r>
      <w:r>
        <w:rPr>
          <w:rFonts w:ascii="Arial" w:cs="Arial" w:eastAsia="Arial" w:hAnsi="Arial"/>
          <w:sz w:val="16"/>
          <w:szCs w:val="16"/>
          <w:color w:val="FF0000"/>
          <w:strike w:val="1"/>
        </w:rPr>
        <w:t>Borrowing in Sterling and €5,000,000 in the case of a Borrowing in Euros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-107315</wp:posOffset>
            </wp:positionV>
            <wp:extent cx="28257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-55880</wp:posOffset>
            </wp:positionV>
            <wp:extent cx="12661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12" w:lineRule="exact"/>
        <w:rPr>
          <w:sz w:val="20"/>
          <w:szCs w:val="20"/>
          <w:color w:val="auto"/>
        </w:rPr>
      </w:pPr>
    </w:p>
    <w:p>
      <w:pPr>
        <w:ind w:left="324" w:hanging="324"/>
        <w:spacing w:after="0"/>
        <w:tabs>
          <w:tab w:leader="none" w:pos="3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with respect </w:t>
      </w:r>
      <w:r>
        <w:rPr>
          <w:rFonts w:ascii="Arial" w:cs="Arial" w:eastAsia="Arial" w:hAnsi="Arial"/>
          <w:sz w:val="16"/>
          <w:szCs w:val="16"/>
          <w:u w:val="single" w:color="auto"/>
          <w:color w:val="0000FF"/>
        </w:rPr>
        <w:t>to Eurocurrency Loans, €5,000,000, (iv)</w:t>
      </w:r>
      <w:r>
        <w:rPr>
          <w:rFonts w:ascii="Arial" w:cs="Arial" w:eastAsia="Arial" w:hAnsi="Arial"/>
          <w:sz w:val="16"/>
          <w:szCs w:val="16"/>
          <w:color w:val="auto"/>
        </w:rPr>
        <w:t xml:space="preserve"> </w:t>
      </w:r>
      <w:r>
        <w:rPr>
          <w:rFonts w:ascii="Arial" w:cs="Arial" w:eastAsia="Arial" w:hAnsi="Arial"/>
          <w:sz w:val="16"/>
          <w:szCs w:val="16"/>
          <w:u w:val="single" w:color="auto"/>
          <w:color w:val="008000"/>
        </w:rPr>
        <w:t>with respect to Daily Simple RFR Loans</w:t>
      </w:r>
      <w:r>
        <w:rPr>
          <w:rFonts w:ascii="Arial" w:cs="Arial" w:eastAsia="Arial" w:hAnsi="Arial"/>
          <w:sz w:val="16"/>
          <w:szCs w:val="16"/>
          <w:u w:val="single" w:color="auto"/>
          <w:color w:val="0000FF"/>
        </w:rPr>
        <w:t>, £3,000,000, (v) with respect</w:t>
      </w:r>
      <w:r>
        <w:rPr>
          <w:rFonts w:ascii="Arial" w:cs="Arial" w:eastAsia="Arial" w:hAnsi="Arial"/>
          <w:sz w:val="16"/>
          <w:szCs w:val="16"/>
          <w:color w:val="auto"/>
        </w:rPr>
        <w:t xml:space="preserve"> to Swing Line Loans,</w:t>
      </w:r>
    </w:p>
    <w:p>
      <w:pPr>
        <w:spacing w:after="0" w:line="32" w:lineRule="exact"/>
        <w:rPr>
          <w:rFonts w:ascii="Arial" w:cs="Arial" w:eastAsia="Arial" w:hAnsi="Arial"/>
          <w:sz w:val="16"/>
          <w:szCs w:val="16"/>
          <w:color w:val="auto"/>
        </w:rPr>
      </w:pPr>
    </w:p>
    <w:p>
      <w:pPr>
        <w:ind w:left="4" w:right="180" w:hanging="4"/>
        <w:spacing w:after="0" w:line="290" w:lineRule="auto"/>
        <w:tabs>
          <w:tab w:leader="none" w:pos="2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$500,000 in the case of a Borrowing in Dollars, (b) £500,000 in the case of a Borrowing in Sterling and (c) €500,000 in the case of a Borrowing in Euro, (iv) with respect to Canadian Prime Rate Loans, Cdn.$5,000,000, and (v) with respect to B/A Loans Cdn.$5,000,000.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-290830</wp:posOffset>
            </wp:positionV>
            <wp:extent cx="50749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7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4"/>
          </w:cols>
          <w:pgMar w:left="436" w:top="274" w:right="479" w:bottom="1440" w:gutter="0" w:footer="0" w:header="0"/>
        </w:sectPr>
      </w:pPr>
    </w:p>
    <w:bookmarkStart w:id="179" w:name="page180"/>
    <w:bookmarkEnd w:id="179"/>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Minimum Borrowing Multiple</w:t>
      </w:r>
      <w:r>
        <w:rPr>
          <w:rFonts w:ascii="Arial" w:cs="Arial" w:eastAsia="Arial" w:hAnsi="Arial"/>
          <w:sz w:val="18"/>
          <w:szCs w:val="18"/>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Interest</w:t>
      </w:r>
      <w:r>
        <w:rPr>
          <w:rFonts w:ascii="Arial" w:cs="Arial" w:eastAsia="Arial" w:hAnsi="Arial"/>
          <w:sz w:val="18"/>
          <w:szCs w:val="18"/>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Total Leverage Ratio</w:t>
      </w:r>
      <w:r>
        <w:rPr>
          <w:rFonts w:ascii="Arial" w:cs="Arial" w:eastAsia="Arial" w:hAnsi="Arial"/>
          <w:sz w:val="18"/>
          <w:szCs w:val="18"/>
          <w:color w:val="auto"/>
        </w:rPr>
        <w:t xml:space="preserve">” means, at any date, the Total Leverage Ratio for the Test Period ending as of the most recently ended Fiscal Quarter for which financial statements have been delivered to the Lenders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Crown Holdings fails to deliver such financial statements as required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further fails to remedy such default within five Business Days of notice thereof from Administrative Agent, then, without prejudice to any other rights of any Lender hereunder, the Most Recent Total Leverage Ratio shall be deemed to be greater than the Total Leverage Ratio required to be maintained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as of the date such financial statements were required to be delivered under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2.10(g)(ii)</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Obligations</w:t>
      </w:r>
      <w:r>
        <w:rPr>
          <w:rFonts w:ascii="Arial" w:cs="Arial" w:eastAsia="Arial" w:hAnsi="Arial"/>
          <w:sz w:val="18"/>
          <w:szCs w:val="18"/>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The Multicurrency LC Obligation of any Lender at any time shall mean its Multicurrency Revolver Pro Rata Share of the aggregate Multicurrency LC Obligations outstanding at such time.</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 of Credit Exposure</w:t>
      </w:r>
      <w:r>
        <w:rPr>
          <w:rFonts w:ascii="Arial" w:cs="Arial" w:eastAsia="Arial" w:hAnsi="Arial"/>
          <w:sz w:val="18"/>
          <w:szCs w:val="18"/>
          <w:color w:val="auto"/>
        </w:rPr>
        <w:t>” means, with respect to a Revolving Lender, such Lender’s Multicurrency Revolver Pro Rata Share of the aggregate Multicurrency LC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Revolver Pro Rata Share</w:t>
      </w:r>
      <w:r>
        <w:rPr>
          <w:rFonts w:ascii="Arial" w:cs="Arial" w:eastAsia="Arial" w:hAnsi="Arial"/>
          <w:sz w:val="17"/>
          <w:szCs w:val="17"/>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178" w:lineRule="exact"/>
        <w:rPr>
          <w:sz w:val="20"/>
          <w:szCs w:val="20"/>
          <w:color w:val="auto"/>
        </w:rPr>
      </w:pPr>
    </w:p>
    <w:p>
      <w:pPr>
        <w:ind w:right="4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Commitment</w:t>
      </w:r>
      <w:r>
        <w:rPr>
          <w:rFonts w:ascii="Arial" w:cs="Arial" w:eastAsia="Arial" w:hAnsi="Arial"/>
          <w:sz w:val="17"/>
          <w:szCs w:val="17"/>
          <w:color w:val="auto"/>
        </w:rPr>
        <w:t>”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Incremental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180" w:name="page181"/>
    <w:bookmarkEnd w:id="18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is the amount set forth opposite such lender’s name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to Incremental Amendment No. 2 and Third Amendment under the caption “Amount of Multicurrency Revolving Commitment” as the same may be adjusted from time to time pursuant to the terms hereof and “Multicurrency Revolving Commitments” means such commitments collectively, which commitments equal $</w:t>
      </w:r>
      <w:r>
        <w:rPr>
          <w:rFonts w:ascii="Arial" w:cs="Arial" w:eastAsia="Arial" w:hAnsi="Arial"/>
          <w:sz w:val="17"/>
          <w:szCs w:val="17"/>
          <w:color w:val="FF0000"/>
          <w:strike w:val="1"/>
        </w:rPr>
        <w:t>1,000,000,000</w:t>
      </w:r>
      <w:r>
        <w:rPr>
          <w:rFonts w:ascii="Arial" w:cs="Arial" w:eastAsia="Arial" w:hAnsi="Arial"/>
          <w:sz w:val="17"/>
          <w:szCs w:val="17"/>
          <w:u w:val="single" w:color="auto"/>
          <w:color w:val="0000FF"/>
        </w:rPr>
        <w:t>800,000,000</w:t>
      </w:r>
      <w:r>
        <w:rPr>
          <w:rFonts w:ascii="Arial" w:cs="Arial" w:eastAsia="Arial" w:hAnsi="Arial"/>
          <w:sz w:val="17"/>
          <w:szCs w:val="17"/>
          <w:color w:val="auto"/>
        </w:rPr>
        <w:t xml:space="preserve"> in the aggregate as of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-421640</wp:posOffset>
            </wp:positionV>
            <wp:extent cx="596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-421640</wp:posOffset>
            </wp:positionV>
            <wp:extent cx="22288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-10160</wp:posOffset>
            </wp:positionV>
            <wp:extent cx="5740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-10160</wp:posOffset>
            </wp:positionV>
            <wp:extent cx="596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-10160</wp:posOffset>
            </wp:positionV>
            <wp:extent cx="22288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Credit Exposure</w:t>
      </w:r>
      <w:r>
        <w:rPr>
          <w:rFonts w:ascii="Arial" w:cs="Arial" w:eastAsia="Arial" w:hAnsi="Arial"/>
          <w:sz w:val="18"/>
          <w:szCs w:val="18"/>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84" w:lineRule="exact"/>
        <w:rPr>
          <w:sz w:val="20"/>
          <w:szCs w:val="20"/>
          <w:color w:val="auto"/>
        </w:rPr>
      </w:pPr>
    </w:p>
    <w:p>
      <w:pPr>
        <w:jc w:val="both"/>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Facility</w:t>
      </w:r>
      <w:r>
        <w:rPr>
          <w:rFonts w:ascii="Arial" w:cs="Arial" w:eastAsia="Arial" w:hAnsi="Arial"/>
          <w:sz w:val="18"/>
          <w:szCs w:val="18"/>
          <w:color w:val="auto"/>
        </w:rPr>
        <w:t>” means the credit facility under this Agreement evidenced by the Multicurrency Revolving Commitments and the Multicurrency Revolving Loans.</w:t>
      </w:r>
    </w:p>
    <w:p>
      <w:pPr>
        <w:spacing w:after="0" w:line="170" w:lineRule="exact"/>
        <w:rPr>
          <w:sz w:val="20"/>
          <w:szCs w:val="20"/>
          <w:color w:val="auto"/>
        </w:rPr>
      </w:pPr>
    </w:p>
    <w:p>
      <w:pPr>
        <w:jc w:val="both"/>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Lender</w:t>
      </w:r>
      <w:r>
        <w:rPr>
          <w:rFonts w:ascii="Arial" w:cs="Arial" w:eastAsia="Arial" w:hAnsi="Arial"/>
          <w:sz w:val="18"/>
          <w:szCs w:val="18"/>
          <w:color w:val="auto"/>
        </w:rPr>
        <w:t>” means any Lender which has a Multicurrency Revolving Commitment or is owed a Multicurrency Revolving Loan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Loan</w:t>
      </w:r>
      <w:r>
        <w:rPr>
          <w:rFonts w:ascii="Arial" w:cs="Arial" w:eastAsia="Arial" w:hAnsi="Arial"/>
          <w:sz w:val="18"/>
          <w:szCs w:val="18"/>
          <w:color w:val="auto"/>
        </w:rPr>
        <w:t>” and “</w:t>
      </w:r>
      <w:r>
        <w:rPr>
          <w:rFonts w:ascii="Arial" w:cs="Arial" w:eastAsia="Arial" w:hAnsi="Arial"/>
          <w:sz w:val="18"/>
          <w:szCs w:val="18"/>
          <w:u w:val="single" w:color="auto"/>
          <w:color w:val="auto"/>
        </w:rPr>
        <w:t>Multicurrency Revolving Loans</w:t>
      </w:r>
      <w:r>
        <w:rPr>
          <w:rFonts w:ascii="Arial" w:cs="Arial" w:eastAsia="Arial" w:hAnsi="Arial"/>
          <w:sz w:val="18"/>
          <w:szCs w:val="18"/>
          <w:color w:val="auto"/>
        </w:rPr>
        <w:t xml:space="preserve">” have the meanings given in </w:t>
      </w:r>
      <w:r>
        <w:rPr>
          <w:rFonts w:ascii="Arial" w:cs="Arial" w:eastAsia="Arial" w:hAnsi="Arial"/>
          <w:sz w:val="18"/>
          <w:szCs w:val="18"/>
          <w:u w:val="single" w:color="auto"/>
          <w:color w:val="auto"/>
        </w:rPr>
        <w:t>Section 2.1(b)(ii)(B)</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Revolving Sublimit</w:t>
      </w:r>
      <w:r>
        <w:rPr>
          <w:rFonts w:ascii="Arial" w:cs="Arial" w:eastAsia="Arial" w:hAnsi="Arial"/>
          <w:sz w:val="16"/>
          <w:szCs w:val="16"/>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attached hereto.</w:t>
      </w:r>
    </w:p>
    <w:p>
      <w:pPr>
        <w:spacing w:after="0" w:line="14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Pension Plan described in Section 4001(a)(3) of ERISA to which contributions are or have, within the preceding six years, been made, or are or were, within the preceding six years, required to be made, by a Credit Party or any of its Subsidiaries or any of their ERISA Affiliates.</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Indebtedness</w:t>
      </w:r>
      <w:r>
        <w:rPr>
          <w:rFonts w:ascii="Arial" w:cs="Arial" w:eastAsia="Arial" w:hAnsi="Arial"/>
          <w:sz w:val="17"/>
          <w:szCs w:val="17"/>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81" w:name="page182"/>
    <w:bookmarkEnd w:id="181"/>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Asset Disposition, or any Recovery Event, (a) the cash proceeds actually received in respect of such event, including (i) any cash received in respect of any non-cash proceeds, but only as and when received, (ii) in the case of a Recovery Event, insurance proceeds in excess of $</w:t>
      </w:r>
      <w:r>
        <w:rPr>
          <w:rFonts w:ascii="Arial" w:cs="Arial" w:eastAsia="Arial" w:hAnsi="Arial"/>
          <w:sz w:val="16"/>
          <w:szCs w:val="16"/>
          <w:color w:val="FF0000"/>
          <w:strike w:val="1"/>
        </w:rPr>
        <w:t>500,000,000</w:t>
      </w:r>
      <w:r>
        <w:rPr>
          <w:rFonts w:ascii="Arial" w:cs="Arial" w:eastAsia="Arial" w:hAnsi="Arial"/>
          <w:sz w:val="16"/>
          <w:szCs w:val="16"/>
          <w:u w:val="single" w:color="auto"/>
          <w:color w:val="0000FF"/>
        </w:rPr>
        <w:t>750,000,000</w:t>
      </w:r>
      <w:r>
        <w:rPr>
          <w:rFonts w:ascii="Arial" w:cs="Arial" w:eastAsia="Arial" w:hAnsi="Arial"/>
          <w:sz w:val="16"/>
          <w:szCs w:val="16"/>
          <w:color w:val="auto"/>
        </w:rPr>
        <w:t xml:space="preserve"> for all Recovery Events following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condemnation awards and similar payments in excess of $</w:t>
      </w:r>
      <w:r>
        <w:rPr>
          <w:rFonts w:ascii="Arial" w:cs="Arial" w:eastAsia="Arial" w:hAnsi="Arial"/>
          <w:sz w:val="16"/>
          <w:szCs w:val="16"/>
          <w:color w:val="FF0000"/>
          <w:strike w:val="1"/>
        </w:rPr>
        <w:t>500,000,000</w:t>
      </w:r>
      <w:r>
        <w:rPr>
          <w:rFonts w:ascii="Arial" w:cs="Arial" w:eastAsia="Arial" w:hAnsi="Arial"/>
          <w:sz w:val="16"/>
          <w:szCs w:val="16"/>
          <w:u w:val="single" w:color="auto"/>
          <w:color w:val="0000FF"/>
        </w:rPr>
        <w:t>750,000,000</w:t>
      </w:r>
      <w:r>
        <w:rPr>
          <w:rFonts w:ascii="Arial" w:cs="Arial" w:eastAsia="Arial" w:hAnsi="Arial"/>
          <w:sz w:val="16"/>
          <w:szCs w:val="16"/>
          <w:color w:val="auto"/>
        </w:rPr>
        <w:t xml:space="preserve"> for all condemnation awards and similar payments following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net of (b) the sum of (i) all reasonable costs, fees and out-of-pocket expenses incurred by Crown Holdings and its Subsidiaries to third parties (other than Affiliates) in connection with such event (or, if such costs, fees or expenses have not yet then been incurred or invoiced, such Person’s good faith estimate thereof), (ii) the amount of all Taxes paid (or reasonably estimated to be payable or held in reserve in accordance with GAAP or other applicable accounting rules) by Crown Holdings and its Subsidiaries in connection with such event (including any Taxes imposed as a result of the repatriation of any such cash proceeds), (iii) the amount of all payments required to be made by Crown Holdings and its Subsidiaries as a result of such event to repay Indebtedness (other than Loans) secured by a Prior Lien (as defined in the U.S. Security Agreement) and refinancings thereof permitted hereunder or a Lien permitted by </w:t>
      </w:r>
      <w:r>
        <w:rPr>
          <w:rFonts w:ascii="Arial" w:cs="Arial" w:eastAsia="Arial" w:hAnsi="Arial"/>
          <w:sz w:val="16"/>
          <w:szCs w:val="16"/>
          <w:u w:val="single" w:color="auto"/>
          <w:color w:val="auto"/>
        </w:rPr>
        <w:t>Section 8.2(d)</w:t>
      </w:r>
      <w:r>
        <w:rPr>
          <w:rFonts w:ascii="Arial" w:cs="Arial" w:eastAsia="Arial" w:hAnsi="Arial"/>
          <w:sz w:val="16"/>
          <w:szCs w:val="16"/>
          <w:color w:val="auto"/>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by which such reserves are reduced for reasons other than payment of any such contingent liabilities shall be considered “Net Proceeds” upon such reduction, (iv) the amount of 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 any indemnification obligations associated with the transaction, (vi) all distributions and other payments required to be made to minority interest holders in Subsidiaries, Unrestricted Entities or joint ventures as 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-3302635</wp:posOffset>
            </wp:positionV>
            <wp:extent cx="60007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-3302635</wp:posOffset>
            </wp:positionV>
            <wp:extent cx="603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-3302635</wp:posOffset>
            </wp:positionV>
            <wp:extent cx="22288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-3165475</wp:posOffset>
            </wp:positionV>
            <wp:extent cx="57467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-3028315</wp:posOffset>
            </wp:positionV>
            <wp:extent cx="596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-3028315</wp:posOffset>
            </wp:positionV>
            <wp:extent cx="22288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0"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means any Person that becomes a Lender with respect to (a) a tranche of Additional Facilities or Incremental Equivalent Debt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(b) a tranche of Replacement Revolving Loans and Replacement Revolving Commitments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(c) a tranche of Replacement Term Loans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Maturity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means a “non-cooperative state or territory” (</w:t>
      </w:r>
      <w:r>
        <w:rPr>
          <w:rFonts w:ascii="Arial" w:cs="Arial" w:eastAsia="Arial" w:hAnsi="Arial"/>
          <w:sz w:val="18"/>
          <w:szCs w:val="18"/>
          <w:i w:val="1"/>
          <w:iCs w:val="1"/>
          <w:color w:val="auto"/>
        </w:rPr>
        <w:t>État ou territoire non coopératif</w:t>
      </w:r>
      <w:r>
        <w:rPr>
          <w:rFonts w:ascii="Arial" w:cs="Arial" w:eastAsia="Arial" w:hAnsi="Arial"/>
          <w:sz w:val="18"/>
          <w:szCs w:val="18"/>
          <w:color w:val="auto"/>
        </w:rPr>
        <w:t xml:space="preserve">) as set out in the list referred to in article 238-0 A of the French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as of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which is not a Defaulting Lender.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82" w:name="page183"/>
    <w:bookmarkEnd w:id="182"/>
    <w:p>
      <w:pPr>
        <w:jc w:val="both"/>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Non-Stock Collateral Release Event</w:t>
      </w:r>
      <w:r>
        <w:rPr>
          <w:rFonts w:ascii="Arial" w:cs="Arial" w:eastAsia="Arial" w:hAnsi="Arial"/>
          <w:sz w:val="18"/>
          <w:szCs w:val="18"/>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Ba1 and BB+ respectively and (c) the Administrative Agent shall have received a certificate from Crown Holdings certifying to the foregoing in a manner reasonably acceptable to the Administrative Agent.</w:t>
      </w:r>
    </w:p>
    <w:p>
      <w:pPr>
        <w:spacing w:after="0" w:line="187"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Guarantee Agreement</w:t>
      </w:r>
      <w:r>
        <w:rPr>
          <w:rFonts w:ascii="Arial" w:cs="Arial" w:eastAsia="Arial" w:hAnsi="Arial"/>
          <w:sz w:val="18"/>
          <w:szCs w:val="18"/>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Guarantee Subsidiary</w:t>
      </w:r>
      <w:r>
        <w:rPr>
          <w:rFonts w:ascii="Arial" w:cs="Arial" w:eastAsia="Arial" w:hAnsi="Arial"/>
          <w:sz w:val="17"/>
          <w:szCs w:val="17"/>
          <w:color w:val="auto"/>
        </w:rPr>
        <w:t xml:space="preserve">” means (i) any Wholly-Owned Subsidiary organized in England, Canada, France, Germany, Mexico, or Switzerland (other than a Receivables Subsidiary, an SLB Subsidiary, an Excluded U.K. Company, and Butimove), (ii) any Wholly-Owned Subsidiary that is organized under the laws of a jurisdiction other than the United States of America or any state thereof or the District of Columbia or England, Canada, France, Germany, Mexico or Switzerland that executes or has executed a Non-U.S. Guarantee Agreement (or a supplement thereto) and takes or has taken such other actions contemplated by </w:t>
      </w:r>
      <w:r>
        <w:rPr>
          <w:rFonts w:ascii="Arial" w:cs="Arial" w:eastAsia="Arial" w:hAnsi="Arial"/>
          <w:sz w:val="17"/>
          <w:szCs w:val="17"/>
          <w:u w:val="single" w:color="auto"/>
          <w:color w:val="auto"/>
        </w:rPr>
        <w:t>Section 7.14(c)</w:t>
      </w:r>
      <w:r>
        <w:rPr>
          <w:rFonts w:ascii="Arial" w:cs="Arial" w:eastAsia="Arial" w:hAnsi="Arial"/>
          <w:sz w:val="17"/>
          <w:szCs w:val="17"/>
          <w:color w:val="auto"/>
        </w:rPr>
        <w:t xml:space="preserve"> and (iii) all Dutch Borrowers.</w:t>
      </w:r>
    </w:p>
    <w:p>
      <w:pPr>
        <w:spacing w:after="0" w:line="176"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any Lender, Swing Line Lender or Facing Agent that is not a United States person within the meaning of Section 7701(a)(30) of the Code.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Subsidiary</w:t>
      </w:r>
      <w:r>
        <w:rPr>
          <w:rFonts w:ascii="Arial" w:cs="Arial" w:eastAsia="Arial" w:hAnsi="Arial"/>
          <w:sz w:val="18"/>
          <w:szCs w:val="18"/>
          <w:color w:val="auto"/>
        </w:rPr>
        <w:t>” means, with respect to any Person, any Subsidiary of such Person that is organized under the laws of a jurisdiction other than the United States of America or any state thereof or the District of Columbia.</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note substantially in the form of </w:t>
      </w:r>
      <w:r>
        <w:rPr>
          <w:rFonts w:ascii="Arial" w:cs="Arial" w:eastAsia="Arial" w:hAnsi="Arial"/>
          <w:sz w:val="18"/>
          <w:szCs w:val="18"/>
          <w:u w:val="single" w:color="auto"/>
          <w:color w:val="auto"/>
        </w:rPr>
        <w:t>Exhibit 2.2(a)(1)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2.2(a)(2)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2A.2(a)</w:t>
      </w:r>
      <w:r>
        <w:rPr>
          <w:rFonts w:ascii="Arial" w:cs="Arial" w:eastAsia="Arial" w:hAnsi="Arial"/>
          <w:sz w:val="18"/>
          <w:szCs w:val="18"/>
          <w:color w:val="auto"/>
        </w:rPr>
        <w:t xml:space="preserve"> (or, in each case, such other form or mutually agreed by Crown Holdings and the Administrative Agent), and “</w:t>
      </w:r>
      <w:r>
        <w:rPr>
          <w:rFonts w:ascii="Arial" w:cs="Arial" w:eastAsia="Arial" w:hAnsi="Arial"/>
          <w:sz w:val="18"/>
          <w:szCs w:val="18"/>
          <w:u w:val="single" w:color="auto"/>
          <w:color w:val="auto"/>
        </w:rPr>
        <w:t>Notes</w:t>
      </w:r>
      <w:r>
        <w:rPr>
          <w:rFonts w:ascii="Arial" w:cs="Arial" w:eastAsia="Arial" w:hAnsi="Arial"/>
          <w:sz w:val="18"/>
          <w:szCs w:val="18"/>
          <w:color w:val="auto"/>
        </w:rPr>
        <w:t>” means all of such Notes collectively.</w:t>
      </w:r>
    </w:p>
    <w:p>
      <w:pPr>
        <w:spacing w:after="0" w:line="170" w:lineRule="exact"/>
        <w:rPr>
          <w:sz w:val="20"/>
          <w:szCs w:val="20"/>
          <w:color w:val="auto"/>
        </w:rPr>
      </w:pPr>
    </w:p>
    <w:p>
      <w:pPr>
        <w:ind w:right="1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Address</w:t>
      </w:r>
      <w:r>
        <w:rPr>
          <w:rFonts w:ascii="Arial" w:cs="Arial" w:eastAsia="Arial" w:hAnsi="Arial"/>
          <w:sz w:val="17"/>
          <w:szCs w:val="17"/>
          <w:color w:val="auto"/>
        </w:rPr>
        <w:t xml:space="preserve">” means with respect to the Administrative Agent, the office of Administrative Agent located at Deutsche Bank AG New York Branch, </w:t>
      </w:r>
      <w:r>
        <w:rPr>
          <w:rFonts w:ascii="Arial" w:cs="Arial" w:eastAsia="Arial" w:hAnsi="Arial"/>
          <w:sz w:val="17"/>
          <w:szCs w:val="17"/>
          <w:color w:val="FF0000"/>
          <w:strike w:val="1"/>
        </w:rPr>
        <w:t>60 Wall Street</w:t>
      </w:r>
      <w:r>
        <w:rPr>
          <w:rFonts w:ascii="Arial" w:cs="Arial" w:eastAsia="Arial" w:hAnsi="Arial"/>
          <w:sz w:val="17"/>
          <w:szCs w:val="17"/>
          <w:u w:val="single" w:color="auto"/>
          <w:color w:val="0000FF"/>
        </w:rPr>
        <w:t>1 Columbus Circle</w:t>
      </w:r>
      <w:r>
        <w:rPr>
          <w:rFonts w:ascii="Arial" w:cs="Arial" w:eastAsia="Arial" w:hAnsi="Arial"/>
          <w:sz w:val="17"/>
          <w:szCs w:val="17"/>
          <w:color w:val="auto"/>
        </w:rPr>
        <w:t xml:space="preserve">, New York, New York </w:t>
      </w:r>
      <w:r>
        <w:rPr>
          <w:rFonts w:ascii="Arial" w:cs="Arial" w:eastAsia="Arial" w:hAnsi="Arial"/>
          <w:sz w:val="17"/>
          <w:szCs w:val="17"/>
          <w:color w:val="FF0000"/>
          <w:strike w:val="1"/>
        </w:rPr>
        <w:t>10005</w:t>
      </w:r>
      <w:r>
        <w:rPr>
          <w:rFonts w:ascii="Arial" w:cs="Arial" w:eastAsia="Arial" w:hAnsi="Arial"/>
          <w:sz w:val="17"/>
          <w:szCs w:val="17"/>
          <w:u w:val="single" w:color="auto"/>
          <w:color w:val="0000FF"/>
        </w:rPr>
        <w:t>10019,</w:t>
      </w:r>
      <w:r>
        <w:rPr>
          <w:rFonts w:ascii="Arial" w:cs="Arial" w:eastAsia="Arial" w:hAnsi="Arial"/>
          <w:sz w:val="17"/>
          <w:szCs w:val="17"/>
          <w:color w:val="auto"/>
        </w:rPr>
        <w:t xml:space="preserve"> or with respect to the U.K. Administrative Agent, the office of the U.K. Administrative Agent located at Deutsche Bank AG London Branch, </w:t>
      </w:r>
      <w:r>
        <w:rPr>
          <w:rFonts w:ascii="Arial" w:cs="Arial" w:eastAsia="Arial" w:hAnsi="Arial"/>
          <w:sz w:val="17"/>
          <w:szCs w:val="17"/>
          <w:color w:val="FF0000"/>
          <w:strike w:val="1"/>
        </w:rPr>
        <w:t>GBS Loans and LEMG, 175 Bishopsgate</w:t>
      </w:r>
      <w:r>
        <w:rPr>
          <w:rFonts w:ascii="Arial" w:cs="Arial" w:eastAsia="Arial" w:hAnsi="Arial"/>
          <w:sz w:val="17"/>
          <w:szCs w:val="17"/>
          <w:u w:val="single" w:color="auto"/>
          <w:color w:val="0000FF"/>
        </w:rPr>
        <w:t>Winchester House, 1 Great Winchester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Street</w:t>
      </w:r>
      <w:r>
        <w:rPr>
          <w:rFonts w:ascii="Arial" w:cs="Arial" w:eastAsia="Arial" w:hAnsi="Arial"/>
          <w:sz w:val="17"/>
          <w:szCs w:val="17"/>
          <w:color w:val="000000"/>
        </w:rPr>
        <w:t>, EC2</w:t>
      </w:r>
      <w:r>
        <w:rPr>
          <w:rFonts w:ascii="Arial" w:cs="Arial" w:eastAsia="Arial" w:hAnsi="Arial"/>
          <w:sz w:val="17"/>
          <w:szCs w:val="17"/>
          <w:color w:val="FF0000"/>
          <w:strike w:val="1"/>
        </w:rPr>
        <w:t>A</w:t>
      </w:r>
      <w:r>
        <w:rPr>
          <w:rFonts w:ascii="Arial" w:cs="Arial" w:eastAsia="Arial" w:hAnsi="Arial"/>
          <w:sz w:val="17"/>
          <w:szCs w:val="17"/>
          <w:u w:val="single" w:color="auto"/>
          <w:color w:val="0000FF"/>
        </w:rPr>
        <w:t>N</w:t>
      </w:r>
      <w:r>
        <w:rPr>
          <w:rFonts w:ascii="Arial" w:cs="Arial" w:eastAsia="Arial" w:hAnsi="Arial"/>
          <w:sz w:val="17"/>
          <w:szCs w:val="17"/>
          <w:color w:val="0000FF"/>
        </w:rPr>
        <w:t xml:space="preserve"> </w:t>
      </w:r>
      <w:r>
        <w:rPr>
          <w:rFonts w:ascii="Arial" w:cs="Arial" w:eastAsia="Arial" w:hAnsi="Arial"/>
          <w:sz w:val="17"/>
          <w:szCs w:val="17"/>
          <w:color w:val="000000"/>
        </w:rPr>
        <w:t>2</w:t>
      </w:r>
      <w:r>
        <w:rPr>
          <w:rFonts w:ascii="Arial" w:cs="Arial" w:eastAsia="Arial" w:hAnsi="Arial"/>
          <w:sz w:val="17"/>
          <w:szCs w:val="17"/>
          <w:color w:val="FF0000"/>
          <w:strike w:val="1"/>
        </w:rPr>
        <w:t>JN</w:t>
      </w:r>
      <w:r>
        <w:rPr>
          <w:rFonts w:ascii="Arial" w:cs="Arial" w:eastAsia="Arial" w:hAnsi="Arial"/>
          <w:sz w:val="17"/>
          <w:szCs w:val="17"/>
          <w:u w:val="single" w:color="auto"/>
          <w:color w:val="0000FF"/>
        </w:rPr>
        <w:t>DB</w:t>
      </w:r>
      <w:r>
        <w:rPr>
          <w:rFonts w:ascii="Arial" w:cs="Arial" w:eastAsia="Arial" w:hAnsi="Arial"/>
          <w:sz w:val="17"/>
          <w:szCs w:val="17"/>
          <w:color w:val="0000FF"/>
        </w:rPr>
        <w:t xml:space="preserve"> </w:t>
      </w:r>
      <w:r>
        <w:rPr>
          <w:rFonts w:ascii="Arial" w:cs="Arial" w:eastAsia="Arial" w:hAnsi="Arial"/>
          <w:sz w:val="17"/>
          <w:szCs w:val="17"/>
          <w:color w:val="000000"/>
        </w:rPr>
        <w:t>, London, United Kingdom or such other office as the Administrative Agent may hereafter designate in writing as such to the</w:t>
      </w:r>
      <w:r>
        <w:rPr>
          <w:rFonts w:ascii="Arial" w:cs="Arial" w:eastAsia="Arial" w:hAnsi="Arial"/>
          <w:sz w:val="17"/>
          <w:szCs w:val="17"/>
          <w:color w:val="0000FF"/>
        </w:rPr>
        <w:t xml:space="preserve"> </w:t>
      </w:r>
      <w:r>
        <w:rPr>
          <w:rFonts w:ascii="Arial" w:cs="Arial" w:eastAsia="Arial" w:hAnsi="Arial"/>
          <w:sz w:val="17"/>
          <w:szCs w:val="17"/>
          <w:color w:val="000000"/>
        </w:rPr>
        <w:t>other parties hereto, with respect to Swing Line Lender for Swing Line Loans issued in Alternative Currencies or under the Multicurrency Revolving Facility, the office located at Deutsche Bank AG London Branch, GBS Loans and LEMG, 175 Bishopsgate, EC2A 2JN, London, United Kingdom, or such other office as Swing Line Lender may designate to Borrowers from time to time (which shall be in Europe unless consented to by European Borrower), and with respect to Canadian 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-1098550</wp:posOffset>
            </wp:positionV>
            <wp:extent cx="86550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-1098550</wp:posOffset>
            </wp:positionV>
            <wp:extent cx="30861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-961390</wp:posOffset>
            </wp:positionV>
            <wp:extent cx="17741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-824230</wp:posOffset>
            </wp:positionV>
            <wp:extent cx="26543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-824230</wp:posOffset>
            </wp:positionV>
            <wp:extent cx="8572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-824230</wp:posOffset>
            </wp:positionV>
            <wp:extent cx="16319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Canadian Borrowing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2A.5</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83" w:name="page184"/>
    <w:bookmarkEnd w:id="1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Notice of Canadian Conversion or Continuation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 or Continuation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the U.S. Obligations, the Euro Obligations, the Canadian Obligations, the Subsidiary Borrower Obligations and the Guarantee Obligations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 the Guarantee Agreements. Notwithstanding the foregoing, the “Obligations” exclude Excluded Swap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Organic Documents</w:t>
      </w:r>
      <w:r>
        <w:rPr>
          <w:rFonts w:ascii="Arial" w:cs="Arial" w:eastAsia="Arial" w:hAnsi="Arial"/>
          <w:sz w:val="18"/>
          <w:szCs w:val="18"/>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December 19,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8"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Euro Rate</w:t>
      </w:r>
      <w:r>
        <w:rPr>
          <w:rFonts w:ascii="Arial" w:cs="Arial" w:eastAsia="Arial" w:hAnsi="Arial"/>
          <w:sz w:val="16"/>
          <w:szCs w:val="16"/>
          <w:color w:val="auto"/>
        </w:rPr>
        <w:t xml:space="preserve">” on any date means the offered quotation to first-class banks in the London interbank market by Swing Line Lender for Euro overnight deposits of amounts in immediately available funds comparable to the outstanding principal amount of the Swing Line Loan of Swing Line Lender as of 11:00 a.m. (London time)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Administrative Agent has made any determination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Loans denominated in Euros, or in the circumstances described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w:t>
      </w:r>
      <w:r>
        <w:rPr>
          <w:rFonts w:ascii="Arial" w:cs="Arial" w:eastAsia="Arial" w:hAnsi="Arial"/>
          <w:sz w:val="16"/>
          <w:szCs w:val="16"/>
          <w:color w:val="FF0000"/>
        </w:rPr>
        <w:t>for Multicurrency</w:t>
      </w:r>
      <w:r>
        <w:rPr>
          <w:rFonts w:ascii="Arial" w:cs="Arial" w:eastAsia="Arial" w:hAnsi="Arial"/>
          <w:sz w:val="16"/>
          <w:szCs w:val="16"/>
          <w:color w:val="auto"/>
        </w:rPr>
        <w:t xml:space="preserve"> </w:t>
      </w:r>
      <w:r>
        <w:rPr>
          <w:rFonts w:ascii="Arial" w:cs="Arial" w:eastAsia="Arial" w:hAnsi="Arial"/>
          <w:sz w:val="16"/>
          <w:szCs w:val="16"/>
          <w:color w:val="FF0000"/>
          <w:strike w:val="1"/>
        </w:rPr>
        <w:t>Revolving Loans</w:t>
      </w:r>
      <w:r>
        <w:rPr>
          <w:rFonts w:ascii="Arial" w:cs="Arial" w:eastAsia="Arial" w:hAnsi="Arial"/>
          <w:sz w:val="16"/>
          <w:szCs w:val="16"/>
          <w:color w:val="000000"/>
        </w:rPr>
        <w:t>. Notwithstanding the foregoing, the Overnight Euro Rate shall not in any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-236220</wp:posOffset>
            </wp:positionV>
            <wp:extent cx="84391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84" w:name="page185"/>
    <w:bookmarkEnd w:id="184"/>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Overnight</w:t>
      </w:r>
      <w:r>
        <w:rPr>
          <w:rFonts w:ascii="Arial" w:cs="Arial" w:eastAsia="Arial" w:hAnsi="Arial"/>
          <w:sz w:val="18"/>
          <w:szCs w:val="18"/>
          <w:color w:val="auto"/>
        </w:rPr>
        <w:t xml:space="preserve"> </w:t>
      </w:r>
      <w:r>
        <w:rPr>
          <w:rFonts w:ascii="Arial" w:cs="Arial" w:eastAsia="Arial" w:hAnsi="Arial"/>
          <w:sz w:val="18"/>
          <w:szCs w:val="18"/>
          <w:u w:val="single" w:color="auto"/>
          <w:color w:val="FF0000"/>
        </w:rPr>
        <w:t>LIBOR Rate</w:t>
      </w:r>
      <w:r>
        <w:rPr>
          <w:rFonts w:ascii="Arial" w:cs="Arial" w:eastAsia="Arial" w:hAnsi="Arial"/>
          <w:sz w:val="18"/>
          <w:szCs w:val="18"/>
          <w:color w:val="FF0000"/>
        </w:rPr>
        <w:t>” on any date means the offered quotation to first-class banks in the London interbank market by Swing Line Lender for</w:t>
      </w:r>
      <w:r>
        <w:rPr>
          <w:rFonts w:ascii="Arial" w:cs="Arial" w:eastAsia="Arial" w:hAnsi="Arial"/>
          <w:sz w:val="18"/>
          <w:szCs w:val="18"/>
          <w:color w:val="auto"/>
        </w:rPr>
        <w:t xml:space="preserve"> </w:t>
      </w:r>
      <w:r>
        <w:rPr>
          <w:rFonts w:ascii="Arial" w:cs="Arial" w:eastAsia="Arial" w:hAnsi="Arial"/>
          <w:sz w:val="18"/>
          <w:szCs w:val="18"/>
          <w:color w:val="FF0000"/>
          <w:strike w:val="1"/>
        </w:rPr>
        <w:t>Sterling overnight deposits of amounts in immediately available funds comparable to the outstanding principal amount of the Swing Line Loan denominated in Sterling of Swing Line Lender as of 11:00 a.m. (London time) on such date,</w:t>
      </w:r>
      <w:r>
        <w:rPr>
          <w:rFonts w:ascii="Arial" w:cs="Arial" w:eastAsia="Arial" w:hAnsi="Arial"/>
          <w:sz w:val="18"/>
          <w:szCs w:val="18"/>
          <w:u w:val="single" w:color="auto"/>
          <w:color w:val="0000FF"/>
          <w:strike w:val="1"/>
        </w:rPr>
        <w:t>Sterling Rate” means Daily Simple RFR;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provided</w:t>
      </w:r>
      <w:r>
        <w:rPr>
          <w:rFonts w:ascii="Arial" w:cs="Arial" w:eastAsia="Arial" w:hAnsi="Arial"/>
          <w:sz w:val="18"/>
          <w:szCs w:val="18"/>
          <w:color w:val="000000"/>
          <w:strike w:val="1"/>
        </w:rPr>
        <w:t>, that in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the event </w:t>
      </w:r>
      <w:r>
        <w:rPr>
          <w:rFonts w:ascii="Arial" w:cs="Arial" w:eastAsia="Arial" w:hAnsi="Arial"/>
          <w:sz w:val="18"/>
          <w:szCs w:val="18"/>
          <w:u w:val="single" w:color="auto"/>
          <w:color w:val="0000FF"/>
          <w:strike w:val="1"/>
        </w:rPr>
        <w:t>the</w:t>
      </w:r>
      <w:r>
        <w:rPr>
          <w:rFonts w:ascii="Arial" w:cs="Arial" w:eastAsia="Arial" w:hAnsi="Arial"/>
          <w:sz w:val="18"/>
          <w:szCs w:val="18"/>
          <w:color w:val="000000"/>
          <w:strike w:val="1"/>
        </w:rPr>
        <w:t xml:space="preserve"> Administrative Agent has made any determination pursuant to </w:t>
      </w:r>
      <w:r>
        <w:rPr>
          <w:rFonts w:ascii="Arial" w:cs="Arial" w:eastAsia="Arial" w:hAnsi="Arial"/>
          <w:sz w:val="18"/>
          <w:szCs w:val="18"/>
          <w:u w:val="single" w:color="auto"/>
          <w:color w:val="000000"/>
          <w:strike w:val="1"/>
        </w:rPr>
        <w:t>Section 3.6</w:t>
      </w:r>
      <w:r>
        <w:rPr>
          <w:rFonts w:ascii="Arial" w:cs="Arial" w:eastAsia="Arial" w:hAnsi="Arial"/>
          <w:sz w:val="18"/>
          <w:szCs w:val="18"/>
          <w:color w:val="000000"/>
          <w:strike w:val="1"/>
        </w:rPr>
        <w:t xml:space="preserve"> in respect of Swing Line Loans denominated in Sterling, or in the circumstances described in </w:t>
      </w:r>
      <w:r>
        <w:rPr>
          <w:rFonts w:ascii="Arial" w:cs="Arial" w:eastAsia="Arial" w:hAnsi="Arial"/>
          <w:sz w:val="18"/>
          <w:szCs w:val="18"/>
          <w:u w:val="single" w:color="auto"/>
          <w:color w:val="000000"/>
          <w:strike w:val="1"/>
        </w:rPr>
        <w:t>Section 3.6</w:t>
      </w:r>
      <w:r>
        <w:rPr>
          <w:rFonts w:ascii="Arial" w:cs="Arial" w:eastAsia="Arial" w:hAnsi="Arial"/>
          <w:sz w:val="18"/>
          <w:szCs w:val="18"/>
          <w:color w:val="000000"/>
          <w:strike w:val="1"/>
        </w:rPr>
        <w:t xml:space="preserve"> in respect of Swing Line Loan, the Overnight </w:t>
      </w:r>
      <w:r>
        <w:rPr>
          <w:rFonts w:ascii="Arial" w:cs="Arial" w:eastAsia="Arial" w:hAnsi="Arial"/>
          <w:sz w:val="18"/>
          <w:szCs w:val="18"/>
          <w:color w:val="FF0000"/>
          <w:strike w:val="1"/>
        </w:rPr>
        <w:t>LIBOR</w:t>
      </w:r>
      <w:r>
        <w:rPr>
          <w:rFonts w:ascii="Arial" w:cs="Arial" w:eastAsia="Arial" w:hAnsi="Arial"/>
          <w:sz w:val="18"/>
          <w:szCs w:val="18"/>
          <w:u w:val="single" w:color="auto"/>
          <w:color w:val="0000FF"/>
          <w:strike w:val="1"/>
        </w:rPr>
        <w:t>Sterling</w:t>
      </w:r>
      <w:r>
        <w:rPr>
          <w:rFonts w:ascii="Arial" w:cs="Arial" w:eastAsia="Arial" w:hAnsi="Arial"/>
          <w:sz w:val="18"/>
          <w:szCs w:val="18"/>
          <w:color w:val="000000"/>
          <w:strike w:val="1"/>
        </w:rPr>
        <w:t xml:space="preserve"> Rate determined pursuant to this definition shall instead be the rate determined by Swing Line Lender as the all-in-cost of funds for Swing Line Lender to fund such Swing Line Loan, in each case, plus the Applicable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RFR</w:t>
      </w:r>
      <w:r>
        <w:rPr>
          <w:rFonts w:ascii="Arial" w:cs="Arial" w:eastAsia="Arial" w:hAnsi="Arial"/>
          <w:sz w:val="18"/>
          <w:szCs w:val="18"/>
          <w:color w:val="000000"/>
          <w:strike w:val="1"/>
        </w:rPr>
        <w:t xml:space="preserve"> Margin for Multicurrency Revolving Loans. Notwithstanding the foregoing, the Overnight </w:t>
      </w:r>
      <w:r>
        <w:rPr>
          <w:rFonts w:ascii="Arial" w:cs="Arial" w:eastAsia="Arial" w:hAnsi="Arial"/>
          <w:sz w:val="18"/>
          <w:szCs w:val="18"/>
          <w:color w:val="FF0000"/>
          <w:strike w:val="1"/>
        </w:rPr>
        <w:t>LIBOR</w:t>
      </w:r>
      <w:r>
        <w:rPr>
          <w:rFonts w:ascii="Arial" w:cs="Arial" w:eastAsia="Arial" w:hAnsi="Arial"/>
          <w:sz w:val="18"/>
          <w:szCs w:val="18"/>
          <w:u w:val="single" w:color="auto"/>
          <w:color w:val="0000FF"/>
          <w:strike w:val="1"/>
        </w:rPr>
        <w:t>Sterling</w:t>
      </w:r>
      <w:r>
        <w:rPr>
          <w:rFonts w:ascii="Arial" w:cs="Arial" w:eastAsia="Arial" w:hAnsi="Arial"/>
          <w:sz w:val="18"/>
          <w:szCs w:val="18"/>
          <w:color w:val="000000"/>
          <w:strike w:val="1"/>
        </w:rPr>
        <w:t xml:space="preserve"> Rate shall not in any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-1043305</wp:posOffset>
            </wp:positionV>
            <wp:extent cx="60674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06742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-683260</wp:posOffset>
            </wp:positionV>
            <wp:extent cx="188595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-546100</wp:posOffset>
            </wp:positionV>
            <wp:extent cx="137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-408940</wp:posOffset>
            </wp:positionV>
            <wp:extent cx="3600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-134620</wp:posOffset>
            </wp:positionV>
            <wp:extent cx="24003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-134620</wp:posOffset>
            </wp:positionV>
            <wp:extent cx="36830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7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 Loan</w:t>
      </w:r>
      <w:r>
        <w:rPr>
          <w:rFonts w:ascii="Arial" w:cs="Arial" w:eastAsia="Arial" w:hAnsi="Arial"/>
          <w:sz w:val="18"/>
          <w:szCs w:val="18"/>
          <w:color w:val="auto"/>
        </w:rPr>
        <w:t xml:space="preserve">” means each Swing Line Loan which bears interest at a rate determined with reference to the Overnight Euro Rate or the Overnight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Sterling</w:t>
      </w:r>
      <w:r>
        <w:rPr>
          <w:rFonts w:ascii="Arial" w:cs="Arial" w:eastAsia="Arial" w:hAnsi="Arial"/>
          <w:sz w:val="18"/>
          <w:szCs w:val="18"/>
          <w:color w:val="auto"/>
        </w:rPr>
        <w:t xml:space="preserve"> Rate, as applicable based on the Alternative Currency 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-10795</wp:posOffset>
            </wp:positionV>
            <wp:extent cx="3683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50"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Guarantor</w:t>
      </w:r>
      <w:r>
        <w:rPr>
          <w:rFonts w:ascii="Arial" w:cs="Arial" w:eastAsia="Arial" w:hAnsi="Arial"/>
          <w:sz w:val="18"/>
          <w:szCs w:val="18"/>
          <w:color w:val="auto"/>
        </w:rPr>
        <w:t xml:space="preserve">” means each of Crown Holdings, CCSC and Crown International and any other Subsidiary of Crown Holdings that is a parent company (directly or indirectly) of either U.S. Borrower or European Borrower (other than Crown Développement) under their respective guaranties in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Crown Développement under the Non-U.S. Guarantee Agreement. For purposes of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hereof only, “Parent Guarantor” shall not include Crown Développement.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6.22</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Office</w:t>
      </w:r>
      <w:r>
        <w:rPr>
          <w:rFonts w:ascii="Arial" w:cs="Arial" w:eastAsia="Arial" w:hAnsi="Arial"/>
          <w:sz w:val="17"/>
          <w:szCs w:val="17"/>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(b) with respect to Administrative Agent or Swing Line Lender, for payments in any Alternative Currency, such account at such bank or office in London or such other place as Administrative Agent or Swing Line Lender, as the case may be, shall designate by notice to the Person required to make the relevant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“Payment Recipient” has the meaning assigned to it in Section 11.14(a).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29184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created by Section 4002(a) of ERISA.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85" w:name="page186"/>
    <w:bookmarkEnd w:id="185"/>
    <w:p>
      <w:pPr>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that certain perfection certificate delivered pursuant to the U.S. Security Agreement as amended, restated, amended and restated or otherwise modified from time to time.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 the Signode Acquisition and (B)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any Acquisition by Crown Holdings or any of its Subsidiaries if, solely with respect to this clause (B), all of the following conditions are met on the date such Acquisition is consummated (or on the date specified in the applicable condition below):</w:t>
      </w:r>
    </w:p>
    <w:p>
      <w:pPr>
        <w:spacing w:after="0" w:line="76" w:lineRule="exact"/>
        <w:rPr>
          <w:sz w:val="20"/>
          <w:szCs w:val="20"/>
          <w:color w:val="auto"/>
        </w:rPr>
      </w:pPr>
    </w:p>
    <w:p>
      <w:pPr>
        <w:ind w:left="440" w:right="400" w:firstLine="419"/>
        <w:spacing w:after="0" w:line="342" w:lineRule="auto"/>
        <w:tabs>
          <w:tab w:leader="none" w:pos="11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on the date of execution of the definitive agreement in respect of such Acquisition, immediately after giving effect thereto on a Pro Forma Basis, no Event of Default under </w:t>
      </w:r>
      <w:r>
        <w:rPr>
          <w:rFonts w:ascii="Arial" w:cs="Arial" w:eastAsia="Arial" w:hAnsi="Arial"/>
          <w:sz w:val="16"/>
          <w:szCs w:val="16"/>
          <w:u w:val="single" w:color="auto"/>
          <w:color w:val="auto"/>
        </w:rPr>
        <w:t>Sections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have occurred and be continuing or would immediately result therefrom;</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transactions related thereto are consummated in compliance, in all material respects, with applicable Requirements of Law;</w:t>
      </w:r>
    </w:p>
    <w:p>
      <w:pPr>
        <w:spacing w:after="0" w:line="128" w:lineRule="exact"/>
        <w:rPr>
          <w:rFonts w:ascii="Arial" w:cs="Arial" w:eastAsia="Arial" w:hAnsi="Arial"/>
          <w:sz w:val="17"/>
          <w:szCs w:val="17"/>
          <w:color w:val="auto"/>
        </w:rPr>
      </w:pPr>
    </w:p>
    <w:p>
      <w:pPr>
        <w:ind w:left="1100" w:hanging="241"/>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60" w:firstLine="419"/>
        <w:spacing w:after="0" w:line="263"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all actions, if any, required to be taken under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(subject to any grace periods set forth therein) with respect to any newly formed Subsidiary or Person that becomes a Subsidiary as a result of such Permitted Acquisition and its property are taken as and when required under </w:t>
      </w:r>
      <w:r>
        <w:rPr>
          <w:rFonts w:ascii="Arial" w:cs="Arial" w:eastAsia="Arial" w:hAnsi="Arial"/>
          <w:sz w:val="18"/>
          <w:szCs w:val="18"/>
          <w:u w:val="single" w:color="auto"/>
          <w:color w:val="auto"/>
        </w:rPr>
        <w:t>Section 7.14</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0" w:right="20" w:firstLine="419"/>
        <w:spacing w:after="0" w:line="269" w:lineRule="auto"/>
        <w:tabs>
          <w:tab w:leader="none" w:pos="1108"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 respect to any transaction involving Acquisition Consideration of more than the greater of (x) $</w:t>
      </w:r>
      <w:r>
        <w:rPr>
          <w:rFonts w:ascii="Arial" w:cs="Arial" w:eastAsia="Arial" w:hAnsi="Arial"/>
          <w:sz w:val="17"/>
          <w:szCs w:val="17"/>
          <w:color w:val="FF0000"/>
          <w:strike w:val="1"/>
        </w:rPr>
        <w:t>300,000,000</w:t>
      </w:r>
      <w:r>
        <w:rPr>
          <w:rFonts w:ascii="Arial" w:cs="Arial" w:eastAsia="Arial" w:hAnsi="Arial"/>
          <w:sz w:val="17"/>
          <w:szCs w:val="17"/>
          <w:u w:val="single" w:color="auto"/>
          <w:color w:val="0000FF"/>
        </w:rPr>
        <w:t>290,000,000</w:t>
      </w:r>
      <w:r>
        <w:rPr>
          <w:rFonts w:ascii="Arial" w:cs="Arial" w:eastAsia="Arial" w:hAnsi="Arial"/>
          <w:sz w:val="17"/>
          <w:szCs w:val="17"/>
          <w:color w:val="auto"/>
        </w:rPr>
        <w:t xml:space="preserve"> and (y) 2% of Consolidated Total Assets set forth in the financial statements last delivered by Crown Holdings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(excluding the maximum value of earn out obligations, if any) in assets that are not (or do not become) owned by a Credit Party or in Capital Stock of Persons that do not become Credit Parties, unless Administrative Agent shall otherwise agree, (A) (i) immediately after giving effect thereto, the aggregate principal amount of unutilized Revolving Commitments shall be equal to or greater than $150,000,000 and (ii) on or before 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(B) an officer’s certificate executed by a Responsible Officer of Crown Holdings certifying to his or her knowledge that such transaction complies with clause (e)(A)(i) of this definition (which shall have attached thereto reasonably detailed backup data and calculations showing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-1235710</wp:posOffset>
            </wp:positionV>
            <wp:extent cx="57404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6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Covenant</w:t>
      </w:r>
      <w:r>
        <w:rPr>
          <w:rFonts w:ascii="Arial" w:cs="Arial" w:eastAsia="Arial" w:hAnsi="Arial"/>
          <w:sz w:val="18"/>
          <w:szCs w:val="18"/>
          <w:color w:val="auto"/>
        </w:rPr>
        <w:t>”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materially adversely affect the interests of the Lenders (as reasonably determined by Administrative Agent).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86" w:name="page187"/>
    <w:bookmarkEnd w:id="18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Cross Chain Transactions</w:t>
      </w:r>
      <w:r>
        <w:rPr>
          <w:rFonts w:ascii="Arial" w:cs="Arial" w:eastAsia="Arial" w:hAnsi="Arial"/>
          <w:sz w:val="18"/>
          <w:szCs w:val="18"/>
          <w:color w:val="auto"/>
        </w:rPr>
        <w:t>” means:</w:t>
      </w:r>
    </w:p>
    <w:p>
      <w:pPr>
        <w:spacing w:after="0" w:line="117" w:lineRule="exact"/>
        <w:rPr>
          <w:sz w:val="20"/>
          <w:szCs w:val="20"/>
          <w:color w:val="auto"/>
        </w:rPr>
      </w:pPr>
    </w:p>
    <w:p>
      <w:pPr>
        <w:ind w:left="444" w:right="40" w:firstLine="419"/>
        <w:spacing w:after="0" w:line="263" w:lineRule="auto"/>
        <w:tabs>
          <w:tab w:leader="none" w:pos="10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of any Wholly-Owned Subsidiary of U.S. Borrower or European Borrower into any other Subsidiary of U.S. Borrower or European Borrower in a transaction in which the surviving entity is a Wholly-Owned Subsidiary of U.S. Borrower or European Borrower and (if any party to such merger is a Subsidiary Credit Party) is a Subsidiary Credit Party; and</w:t>
      </w:r>
    </w:p>
    <w:p>
      <w:pPr>
        <w:spacing w:after="0" w:line="75" w:lineRule="exact"/>
        <w:rPr>
          <w:rFonts w:ascii="Arial" w:cs="Arial" w:eastAsia="Arial" w:hAnsi="Arial"/>
          <w:sz w:val="18"/>
          <w:szCs w:val="18"/>
          <w:color w:val="auto"/>
        </w:rPr>
      </w:pPr>
    </w:p>
    <w:p>
      <w:pPr>
        <w:ind w:left="444" w:right="60" w:firstLine="419"/>
        <w:spacing w:after="0" w:line="263" w:lineRule="auto"/>
        <w:tabs>
          <w:tab w:leader="none" w:pos="11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or transfer by any Subsidiary Credit Party of all or substantially all of its assets or all of the stock of a Subsidiary that it owns to any other Subsidiary Credit Party or any such sale between Subsidiaries that are not Credit Parties (whether or not such Subsidiaries are both Subsidiaries of the same Borrower);</w:t>
      </w:r>
    </w:p>
    <w:p>
      <w:pPr>
        <w:spacing w:after="0" w:line="184" w:lineRule="exact"/>
        <w:rPr>
          <w:sz w:val="20"/>
          <w:szCs w:val="20"/>
          <w:color w:val="auto"/>
        </w:rPr>
      </w:pPr>
    </w:p>
    <w:p>
      <w:pPr>
        <w:ind w:left="4"/>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one or more of the Subsidiaries that are the subject of the merger or sale of assets or sale of stock, or the seller of the stock is a Credit Party, the Liens under the Security Documents on the assets or such stock and the Guarantee Obligations of such Credit Parties under the Loan Documents will (and Administrative Agent will be satisfied that such Lien and Guarantee Obligations will) remain valid, enforceable and shall not be impaired as a result of such transactions and that the Lien on such assets or such stock continues to secure at least all Obligations secured prior to such transactions and Administrative Agent shall have received legal opinions from counsel to Borrowers and reasonably acceptable to Administrative Agent in form and substance reasonably satisfactory to Administrative Agent with respect to the continued validity and enforceability and non-impairment of such Guarantee Obligations and Liens and the continued perfection of such Liens, (b) if the surviving entity of any such merger in clause (i) is not a Credit Party or any such sale in clause (ii) is to a Subsidiary that is not a Credit Party, the parent companies of the non-surviving entity or the seller, as applicable, received fair consideration in connection with such transaction in the form of either cash or an intercompany note secured by substantially all of the assets of the obligor and (c) Crown Holdings shall have delivered an officers’ certificate to Administrative Agent confirming compliance with clauses (a) and (b).</w:t>
      </w:r>
    </w:p>
    <w:p>
      <w:pPr>
        <w:spacing w:after="0" w:line="18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European Borrower Debt</w:t>
      </w:r>
      <w:r>
        <w:rPr>
          <w:rFonts w:ascii="Arial" w:cs="Arial" w:eastAsia="Arial" w:hAnsi="Arial"/>
          <w:sz w:val="16"/>
          <w:szCs w:val="16"/>
          <w:color w:val="auto"/>
        </w:rPr>
        <w:t>”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(provided that the limitations set forth in this clause</w:t>
      </w:r>
    </w:p>
    <w:p>
      <w:pPr>
        <w:spacing w:after="0" w:line="1" w:lineRule="exact"/>
        <w:rPr>
          <w:sz w:val="20"/>
          <w:szCs w:val="20"/>
          <w:color w:val="auto"/>
        </w:rPr>
      </w:pPr>
    </w:p>
    <w:p>
      <w:pPr>
        <w:jc w:val="both"/>
        <w:ind w:left="4" w:right="200" w:hanging="4"/>
        <w:spacing w:after="0" w:line="281" w:lineRule="auto"/>
        <w:tabs>
          <w:tab w:leader="none" w:pos="2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shall not apply to Permitted European Borrower Debt in an aggregate principal amount not to exceed the Inside Maturity Date Amount), (ii) do not restrict, limit or adversely affect the ability of any Credit Party or any of its Subsidiaries to perform its obligations under any of the Loan Documents,</w:t>
      </w:r>
    </w:p>
    <w:p>
      <w:pPr>
        <w:spacing w:after="0" w:line="1" w:lineRule="exact"/>
        <w:rPr>
          <w:rFonts w:ascii="Arial" w:cs="Arial" w:eastAsia="Arial" w:hAnsi="Arial"/>
          <w:sz w:val="16"/>
          <w:szCs w:val="16"/>
          <w:color w:val="auto"/>
        </w:rPr>
      </w:pPr>
    </w:p>
    <w:p>
      <w:pPr>
        <w:jc w:val="both"/>
        <w:ind w:left="4" w:right="120" w:hanging="4"/>
        <w:spacing w:after="0" w:line="295" w:lineRule="auto"/>
        <w:tabs>
          <w:tab w:leader="none" w:pos="3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161" w:lineRule="exact"/>
        <w:rPr>
          <w:sz w:val="20"/>
          <w:szCs w:val="20"/>
          <w:color w:val="auto"/>
        </w:rPr>
      </w:pPr>
    </w:p>
    <w:p>
      <w:pPr>
        <w:ind w:left="4" w:right="3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Guarantee Obligations</w:t>
      </w:r>
      <w:r>
        <w:rPr>
          <w:rFonts w:ascii="Arial" w:cs="Arial" w:eastAsia="Arial" w:hAnsi="Arial"/>
          <w:sz w:val="18"/>
          <w:szCs w:val="18"/>
          <w:color w:val="auto"/>
        </w:rPr>
        <w:t>” means (i) Guarantee Obligations of Crown Holdings or any of its Subsidiaries of obligations of any Person under leases, subleases, licenses, sublicenses,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187" w:name="page188"/>
    <w:bookmarkEnd w:id="187"/>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Indebtedness permitted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of any Credit Party (other than </w:t>
      </w:r>
      <w:r>
        <w:rPr>
          <w:rFonts w:ascii="Arial" w:cs="Arial" w:eastAsia="Arial" w:hAnsi="Arial"/>
          <w:sz w:val="16"/>
          <w:szCs w:val="16"/>
          <w:u w:val="single" w:color="auto"/>
          <w:color w:val="auto"/>
        </w:rPr>
        <w:t>clauses (a)(xiv)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(a)(xix)</w:t>
      </w:r>
      <w:r>
        <w:rPr>
          <w:rFonts w:ascii="Arial" w:cs="Arial" w:eastAsia="Arial" w:hAnsi="Arial"/>
          <w:sz w:val="16"/>
          <w:szCs w:val="16"/>
          <w:color w:val="auto"/>
        </w:rPr>
        <w:t xml:space="preserve"> (unless such Person becomes a Credit Party as a result of such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Indebtedness is contractually subordinated to the Obligations, such Guarantee Obligation shall also be contractually subordinated to the Obligations on similar subordination terms or otherwise on terms reasonably acceptable to the Administrative Agent, (iii) Guarantee Obligations of any Subsidiary that is not a Credit Party with respect to Indebtedness permitted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of Crown Holdings or any Subsidiary (except that a Subsidiary that is not a Credit Party may not, by virtue of this</w:t>
      </w:r>
    </w:p>
    <w:p>
      <w:pPr>
        <w:spacing w:after="0" w:line="2"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 xml:space="preserve">clause (iii), guarantee Indebtedness that such Subsidiary could not otherwise incur under </w:t>
      </w:r>
      <w:r>
        <w:rPr>
          <w:rFonts w:ascii="Arial" w:cs="Arial" w:eastAsia="Arial" w:hAnsi="Arial"/>
          <w:sz w:val="16"/>
          <w:szCs w:val="16"/>
          <w:u w:val="single" w:color="auto"/>
          <w:color w:val="auto"/>
        </w:rPr>
        <w:t>Section 8.1</w:t>
      </w:r>
      <w:r>
        <w:rPr>
          <w:rFonts w:ascii="Arial" w:cs="Arial" w:eastAsia="Arial" w:hAnsi="Arial"/>
          <w:sz w:val="16"/>
          <w:szCs w:val="16"/>
          <w:color w:val="auto"/>
        </w:rPr>
        <w:t>), (iv) Guarantee Obligations with respect to surety, appeal, performance bonds and similar bonds or statutory obligations incurred by Crown Holdings or any of its Subsidiaries in the ordinary course,</w:t>
      </w:r>
    </w:p>
    <w:p>
      <w:pPr>
        <w:spacing w:after="0" w:line="1" w:lineRule="exact"/>
        <w:rPr>
          <w:sz w:val="20"/>
          <w:szCs w:val="20"/>
          <w:color w:val="auto"/>
        </w:rPr>
      </w:pPr>
    </w:p>
    <w:p>
      <w:pPr>
        <w:ind w:left="4" w:right="60" w:hanging="4"/>
        <w:spacing w:after="0" w:line="252"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Guarantee Obligations of Crown Holdings and any of its Subsidiaries with respect to Indebtedness permitted under </w:t>
      </w:r>
      <w:r>
        <w:rPr>
          <w:rFonts w:ascii="Arial" w:cs="Arial" w:eastAsia="Arial" w:hAnsi="Arial"/>
          <w:sz w:val="18"/>
          <w:szCs w:val="18"/>
          <w:u w:val="single" w:color="auto"/>
          <w:color w:val="auto"/>
        </w:rPr>
        <w:t>Sections 8.1(a)(xiv)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(a)(xix)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Guarantee Obligations shall rank no higher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Obligations, (vi) Guarantee Obligations incurred in the ordinary course of business or consistent with industry practice in respect of obligations of Crown Holdings or any Subsidiary to vendors, suppliers, customers, franchisees, lessors, licensees, sub-licensees and distribution partners and (vii) additional Guarantee Obligations which (other than Guarantee Obligations of Indebtedness permitted under </w:t>
      </w:r>
      <w:r>
        <w:rPr>
          <w:rFonts w:ascii="Arial" w:cs="Arial" w:eastAsia="Arial" w:hAnsi="Arial"/>
          <w:sz w:val="18"/>
          <w:szCs w:val="18"/>
          <w:u w:val="single" w:color="auto"/>
          <w:color w:val="auto"/>
        </w:rPr>
        <w:t>Section 8.1(a)(vii))</w:t>
      </w:r>
      <w:r>
        <w:rPr>
          <w:rFonts w:ascii="Arial" w:cs="Arial" w:eastAsia="Arial" w:hAnsi="Arial"/>
          <w:sz w:val="18"/>
          <w:szCs w:val="18"/>
          <w:color w:val="auto"/>
        </w:rPr>
        <w:t xml:space="preserve"> do not exceed in the aggregate at any time the greater of (x) the Dollar Equivalent of $500,000,000 and (y) 3.5% of Consolidated Total Assets as set forth in the financial statement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Holding Company Transaction</w:t>
      </w:r>
      <w:r>
        <w:rPr>
          <w:rFonts w:ascii="Arial" w:cs="Arial" w:eastAsia="Arial" w:hAnsi="Arial"/>
          <w:sz w:val="18"/>
          <w:szCs w:val="18"/>
          <w:color w:val="auto"/>
        </w:rPr>
        <w:t>” means:</w:t>
      </w:r>
    </w:p>
    <w:p>
      <w:pPr>
        <w:spacing w:after="0" w:line="117" w:lineRule="exact"/>
        <w:rPr>
          <w:sz w:val="20"/>
          <w:szCs w:val="20"/>
          <w:color w:val="auto"/>
        </w:rPr>
      </w:pPr>
    </w:p>
    <w:p>
      <w:pPr>
        <w:ind w:left="444" w:right="300" w:firstLine="419"/>
        <w:spacing w:after="0" w:line="342" w:lineRule="auto"/>
        <w:tabs>
          <w:tab w:leader="none" w:pos="10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merger or consolidation of any Subsidiary with or into a Wholly-Owned Subsidiary of Crown Holdings that is a Parent Guarantor (other than CCSC) and, if such merger or consolidation includes a Borrower, with the applicable Borrower as the surviving corporation; or</w:t>
      </w:r>
    </w:p>
    <w:p>
      <w:pPr>
        <w:spacing w:after="0" w:line="15" w:lineRule="exact"/>
        <w:rPr>
          <w:rFonts w:ascii="Arial" w:cs="Arial" w:eastAsia="Arial" w:hAnsi="Arial"/>
          <w:sz w:val="16"/>
          <w:szCs w:val="16"/>
          <w:color w:val="auto"/>
        </w:rPr>
      </w:pPr>
    </w:p>
    <w:p>
      <w:pPr>
        <w:ind w:left="444" w:right="100" w:firstLine="419"/>
        <w:spacing w:after="0" w:line="277" w:lineRule="auto"/>
        <w:tabs>
          <w:tab w:leader="none" w:pos="11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sale of the Capital Stock of any Subsidiary or any distribution or dividend or other transfer of the Capital Stock of any Subsidiary to Crown Holdings or any of its Wholly-Owned Subsidiaries that is a Parent Guarantor (other than CCSC);</w:t>
      </w:r>
    </w:p>
    <w:p>
      <w:pPr>
        <w:spacing w:after="0" w:line="170" w:lineRule="exact"/>
        <w:rPr>
          <w:sz w:val="20"/>
          <w:szCs w:val="20"/>
          <w:color w:val="auto"/>
        </w:rPr>
      </w:pPr>
    </w:p>
    <w:p>
      <w:pPr>
        <w:ind w:left="4"/>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if the Subsidiary that is the subject of the merger or consolidation or the sale or dividend 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(b) Crown Holdings shall have delivered an officers’ certificate to Administrative Agent confirming compliance with </w:t>
      </w:r>
      <w:r>
        <w:rPr>
          <w:rFonts w:ascii="Arial" w:cs="Arial" w:eastAsia="Arial" w:hAnsi="Arial"/>
          <w:sz w:val="17"/>
          <w:szCs w:val="17"/>
          <w:u w:val="single" w:color="auto"/>
          <w:color w:val="auto"/>
        </w:rPr>
        <w:t>clause (a)</w:t>
      </w:r>
      <w:r>
        <w:rPr>
          <w:rFonts w:ascii="Arial" w:cs="Arial" w:eastAsia="Arial" w:hAnsi="Arial"/>
          <w:sz w:val="17"/>
          <w:szCs w:val="17"/>
          <w:color w:val="auto"/>
        </w:rPr>
        <w:t>, and (c)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185" w:lineRule="exact"/>
        <w:rPr>
          <w:sz w:val="20"/>
          <w:szCs w:val="20"/>
          <w:color w:val="auto"/>
        </w:rPr>
      </w:pPr>
    </w:p>
    <w:p>
      <w:pPr>
        <w:jc w:val="right"/>
        <w:ind w:right="5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has the meaning assigned to that term in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169"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74" w:right="439" w:bottom="1440" w:gutter="0" w:footer="0" w:header="0"/>
        </w:sectPr>
      </w:pPr>
    </w:p>
    <w:bookmarkStart w:id="188" w:name="page189"/>
    <w:bookmarkEnd w:id="188"/>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Preferred Stock</w:t>
      </w:r>
      <w:r>
        <w:rPr>
          <w:rFonts w:ascii="Arial" w:cs="Arial" w:eastAsia="Arial" w:hAnsi="Arial"/>
          <w:sz w:val="17"/>
          <w:szCs w:val="17"/>
          <w:color w:val="auto"/>
        </w:rPr>
        <w:t>”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 other similar provision occurring before the eighth anniversary of the Incremental Amendment No. 2 and Third Amendment, (iv) do not require the cash payment of dividends or interest, (v) do not contain any 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Ratio Debt</w:t>
      </w:r>
      <w:r>
        <w:rPr>
          <w:rFonts w:ascii="Arial" w:cs="Arial" w:eastAsia="Arial" w:hAnsi="Arial"/>
          <w:sz w:val="16"/>
          <w:szCs w:val="16"/>
          <w:color w:val="auto"/>
        </w:rPr>
        <w:t>” means Indebtedness of Crown Holdings, the U.S. Borrower, the Canadian Borrower, the European Borrower or any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respective Subsidiaries, the terms of which Indebtedness (i) do not provide for any scheduled repayment, mandatory redemption or sinking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prior to the then latest Term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final maturity limitations set forth in this clause (i) shall not apply to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Ratio Debt in an aggregate principal amount not to exceed the Inside Maturity Date Amount), (ii) do not materially restrict, limit or adversely affect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ability of any Credit Party or any of its Subsidiaries to perform its obligations under any of the Loan Documents, (iii) provide that no Subsidiary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Crown Holdings is a guarantor under such Indebtedness that is not a Credit Party (unless such Person shall substantially concurrently become a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hereunder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(iv) provide that no assets secure such Indebtedness that does not secure the Obligations (unless such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substantially concurrently become a part of the Collateral) and (v) taken as a whole, shall be no more restrictive than those applicable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existing Term Facilities (other than as to pricing, interest rate margins, interest rate floors, discounts, fees, premiums, other economic terms,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prepayment or redemption terms (provided that such Permitted Ratio Debt shall not include more favorable prepayment treatment than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tranches of Term Loans)), except for covenants and other provisions applicable only to periods after the earlier to occur of the date that all other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are paid in full (other than Unasserted Contingent Obligations) and the latest Term Maturity Date at the time such Indebtedness are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(without regard to the maturity date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to the extent the terms and conditions of such Indebtedness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consistent with one or more of the existing Term Facilities (except to the extent permitted pursuant to the immediately preceding proviso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clause (Y) below), such terms and conditions may differ if reasonably satisfactory to Crown Holdings and the Administrative Agent or </w:t>
      </w:r>
      <w:r>
        <w:rPr>
          <w:rFonts w:ascii="Arial" w:cs="Arial" w:eastAsia="Arial" w:hAnsi="Arial"/>
          <w:sz w:val="16"/>
          <w:szCs w:val="16"/>
          <w:u w:val="single" w:color="auto"/>
          <w:color w:val="0000FF"/>
        </w:rPr>
        <w:t>are on customary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market terms for Indebtedness of such type or</w:t>
      </w:r>
      <w:r>
        <w:rPr>
          <w:rFonts w:ascii="Arial" w:cs="Arial" w:eastAsia="Arial" w:hAnsi="Arial"/>
          <w:sz w:val="17"/>
          <w:szCs w:val="17"/>
          <w:color w:val="0000FF"/>
        </w:rPr>
        <w:t xml:space="preserve"> </w:t>
      </w:r>
      <w:r>
        <w:rPr>
          <w:rFonts w:ascii="Arial" w:cs="Arial" w:eastAsia="Arial" w:hAnsi="Arial"/>
          <w:sz w:val="17"/>
          <w:szCs w:val="17"/>
          <w:color w:val="000000"/>
        </w:rPr>
        <w:t>(Y) in the event such terms are more favorable (taken as a whole) to the Lenders providing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-114935</wp:posOffset>
            </wp:positionV>
            <wp:extent cx="7886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Indebtedness, (A) the applicable Borrowers shall have the right to unilaterally provide the existing Term Lenders with additional rights and benefits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209994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“no more restrictive than” requirement of the preceding proviso and compliance therewith shall be determined after giving effect to such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and benefits and (B) to the extent any financial maintenance covenant is added for the benefit of the Lenders under such Indebtedness, no consent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required from the Administrative Agent or any Lender to the extent that such financial maintenance covenant is also added for the benefit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Loans that remain outstanding after the issuance or incurrence of such Indebtedness (to the extent not already benefitting from any similar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maintenance covenant and to the extent that such financial maintenance covenant would be effective prior to the latest Term Maturity Date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 Facilities) (it being understood and agreed that Crown Holdings may, at its option, deliver a certificate to the Administrative Agent certifying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requirements of the provisos to this clause (v) have been satisfied at least 5 Business Days prior to the incurrence of such Indebtedness, and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shall be conclusive evidence that such requirements have been satisfied unless the Administrative Agent provides notice to Crown Holdings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its objection during such 5 Business Day period (including a reasonable description of the basis upon which it objects)).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89" w:name="page190"/>
    <w:bookmarkEnd w:id="189"/>
    <w:p>
      <w:pPr>
        <w:ind w:right="6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Real Property Encumbrances</w:t>
      </w:r>
      <w:r>
        <w:rPr>
          <w:rFonts w:ascii="Arial" w:cs="Arial" w:eastAsia="Arial" w:hAnsi="Arial"/>
          <w:sz w:val="17"/>
          <w:szCs w:val="17"/>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 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or as to which the grace period has not yet expired (not to exceed 30 days) or the amount or validity of which are being contested in good faith by proper proceedings diligently conducted and for which adequate reserves 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 delivered by a Borrower to the Administrative Agent, and (vii) such other items to which the Administrative Agent may consent in its reasonable discretion.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or Factoring Financings</w:t>
      </w:r>
      <w:r>
        <w:rPr>
          <w:rFonts w:ascii="Arial" w:cs="Arial" w:eastAsia="Arial" w:hAnsi="Arial"/>
          <w:sz w:val="18"/>
          <w:szCs w:val="18"/>
          <w:color w:val="auto"/>
        </w:rPr>
        <w:t>” means:</w:t>
      </w:r>
    </w:p>
    <w:p>
      <w:pPr>
        <w:spacing w:after="0" w:line="117" w:lineRule="exact"/>
        <w:rPr>
          <w:sz w:val="20"/>
          <w:szCs w:val="20"/>
          <w:color w:val="auto"/>
        </w:rPr>
      </w:pPr>
    </w:p>
    <w:p>
      <w:pPr>
        <w:ind w:left="440" w:right="280" w:firstLine="419"/>
        <w:spacing w:after="0" w:line="308" w:lineRule="auto"/>
        <w:tabs>
          <w:tab w:leader="none" w:pos="1078" w:val="left"/>
        </w:tabs>
        <w:numPr>
          <w:ilvl w:val="0"/>
          <w:numId w:val="54"/>
        </w:numPr>
        <w:rPr>
          <w:rFonts w:ascii="Arial" w:cs="Arial" w:eastAsia="Arial" w:hAnsi="Arial"/>
          <w:sz w:val="17"/>
          <w:szCs w:val="17"/>
          <w:color w:val="auto"/>
        </w:rPr>
      </w:pPr>
      <w:r>
        <w:rPr>
          <w:rFonts w:ascii="Arial" w:cs="Arial" w:eastAsia="Arial" w:hAnsi="Arial"/>
          <w:sz w:val="17"/>
          <w:szCs w:val="17"/>
          <w:color w:val="auto"/>
        </w:rPr>
        <w:t>(x) the transactions under the Receivables Purchase Agreement and under the “Transaction Documents” as defined therein and (y) the transactions under the Receivables Purchase Agreement II and under the “Transaction Documents” as defined therein,</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transactions under the European Receivables Purchase Agreement and under the “Transaction Documents” as defined therein,</w:t>
      </w:r>
    </w:p>
    <w:p>
      <w:pPr>
        <w:spacing w:after="0" w:line="128" w:lineRule="exact"/>
        <w:rPr>
          <w:rFonts w:ascii="Arial" w:cs="Arial" w:eastAsia="Arial" w:hAnsi="Arial"/>
          <w:sz w:val="17"/>
          <w:szCs w:val="17"/>
          <w:color w:val="auto"/>
        </w:rPr>
      </w:pPr>
    </w:p>
    <w:p>
      <w:pPr>
        <w:ind w:left="1180" w:hanging="321"/>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Existing Factoring Facilities, and</w:t>
      </w:r>
    </w:p>
    <w:p>
      <w:pPr>
        <w:spacing w:after="0" w:line="117" w:lineRule="exact"/>
        <w:rPr>
          <w:rFonts w:ascii="Arial" w:cs="Arial" w:eastAsia="Arial" w:hAnsi="Arial"/>
          <w:sz w:val="18"/>
          <w:szCs w:val="18"/>
          <w:color w:val="auto"/>
        </w:rPr>
      </w:pPr>
    </w:p>
    <w:p>
      <w:pPr>
        <w:ind w:left="440" w:right="220" w:firstLine="419"/>
        <w:spacing w:after="0" w:line="271"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refinancings of the program under the Receivables Purchase Agreement, the European Receivables Purchase Agreement, the 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$1,950,000,000, in each case pursuant to a structured receivables financing consisting of a securitization or factoring of Receivables Assets the material terms of which are (x) substantially similar to the receivables or factoring programs described in clauses (i) through (iii) or (y) on market terms for companies having a credit profile similar to Crown Holdings and its Subsidiaries at the time of such refinancing or financing.</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xml:space="preserve">” means any extension, renewal, refinancing, refunding, defeasance, restructuring or replacement of any Indebtedness incurred by a Credit Party that (a) does not increase the principal amount outstanding thereunder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plus, (i) in the case of a revolving facility or other undrawn letter of credit or term loan, the unutilized commitments thereunder (as determined as of the date of the incurrence of the Indebtedness in accordance with GAAP) does not exceed the Dollar Equivalent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6924040</wp:posOffset>
            </wp:positionH>
            <wp:positionV relativeFrom="paragraph">
              <wp:posOffset>-410845</wp:posOffset>
            </wp:positionV>
            <wp:extent cx="596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-273685</wp:posOffset>
            </wp:positionV>
            <wp:extent cx="22288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90" w:name="page191"/>
    <w:bookmarkEnd w:id="190"/>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if applicable, secured under </w:t>
      </w:r>
      <w:r>
        <w:rPr>
          <w:rFonts w:ascii="Arial" w:cs="Arial" w:eastAsia="Arial" w:hAnsi="Arial"/>
          <w:sz w:val="16"/>
          <w:szCs w:val="16"/>
          <w:u w:val="single" w:color="auto"/>
          <w:color w:val="auto"/>
        </w:rPr>
        <w:t>Section 8.2</w:t>
      </w:r>
      <w:r>
        <w:rPr>
          <w:rFonts w:ascii="Arial" w:cs="Arial" w:eastAsia="Arial" w:hAnsi="Arial"/>
          <w:sz w:val="16"/>
          <w:szCs w:val="16"/>
          <w:color w:val="auto"/>
        </w:rPr>
        <w:t>); (b) the final maturity date of such Indebtedness shall be no earlier than the final maturity date of the Indebtedness being replaced, renewed, refinanced, extended, defeased, restructured, or refunded; (c) the Weighted Average Life to Maturity of such Indebtedness is not less than the Weighted Average Life to Maturity of the Indebtedness being replaced, renewed, refinanced, extended, defeased, restructured, or refunded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w:t>
      </w:r>
    </w:p>
    <w:p>
      <w:pPr>
        <w:spacing w:after="0" w:line="6" w:lineRule="exact"/>
        <w:rPr>
          <w:sz w:val="20"/>
          <w:szCs w:val="20"/>
          <w:color w:val="auto"/>
        </w:rPr>
      </w:pPr>
    </w:p>
    <w:p>
      <w:pPr>
        <w:ind w:left="224" w:hanging="224"/>
        <w:spacing w:after="0"/>
        <w:tabs>
          <w:tab w:leader="none" w:pos="2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the extent such Person guaranteed or was the borrower or issuer of such Indebtedness being replaced, renewed, refinanced, extended, defeased,</w:t>
      </w:r>
    </w:p>
    <w:p>
      <w:pPr>
        <w:spacing w:after="0" w:line="32"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restructured, or refunded or (ii) to the extent such Person is or becomes a Credit Party within 5 Business Days (or within such longer period of time that the Collateral Agent may agree in its sole discretion) after the date such Permitted Refinancing Indebtedness is incurred; (e) such Indebtedness is not secured by any assets other than those required to secure such Indebtedness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if later, the date such Indebtedness was incurred, assumed or acquired); (f) in the case of other such Indebtedness the Dollar Equivalent amount which is in excess of the greater of (x) $</w:t>
      </w:r>
      <w:r>
        <w:rPr>
          <w:rFonts w:ascii="Arial" w:cs="Arial" w:eastAsia="Arial" w:hAnsi="Arial"/>
          <w:sz w:val="16"/>
          <w:szCs w:val="16"/>
          <w:color w:val="FF0000"/>
          <w:strike w:val="1"/>
        </w:rPr>
        <w:t>300,000,000</w:t>
      </w:r>
      <w:r>
        <w:rPr>
          <w:rFonts w:ascii="Arial" w:cs="Arial" w:eastAsia="Arial" w:hAnsi="Arial"/>
          <w:sz w:val="16"/>
          <w:szCs w:val="16"/>
          <w:u w:val="single" w:color="auto"/>
          <w:color w:val="0000FF"/>
        </w:rPr>
        <w:t>435,000,000</w:t>
      </w:r>
      <w:r>
        <w:rPr>
          <w:rFonts w:ascii="Arial" w:cs="Arial" w:eastAsia="Arial" w:hAnsi="Arial"/>
          <w:sz w:val="16"/>
          <w:szCs w:val="16"/>
          <w:color w:val="auto"/>
        </w:rPr>
        <w:t xml:space="preserve"> and (y) 3% </w:t>
      </w:r>
      <w:r>
        <w:rPr>
          <w:rFonts w:ascii="Arial" w:cs="Arial" w:eastAsia="Arial" w:hAnsi="Arial"/>
          <w:sz w:val="16"/>
          <w:szCs w:val="16"/>
          <w:u w:val="single" w:color="auto"/>
          <w:color w:val="0000FF"/>
        </w:rPr>
        <w:t>of</w:t>
      </w:r>
      <w:r>
        <w:rPr>
          <w:rFonts w:ascii="Arial" w:cs="Arial" w:eastAsia="Arial" w:hAnsi="Arial"/>
          <w:sz w:val="16"/>
          <w:szCs w:val="16"/>
          <w:color w:val="auto"/>
        </w:rPr>
        <w:t xml:space="preserve"> Consolidated Total Assets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w:t>
      </w:r>
    </w:p>
    <w:p>
      <w:pPr>
        <w:spacing w:after="0" w:line="6"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on customary market terms for Indebtedness of such type </w:t>
      </w:r>
      <w:r>
        <w:rPr>
          <w:rFonts w:ascii="Arial" w:cs="Arial" w:eastAsia="Arial" w:hAnsi="Arial"/>
          <w:sz w:val="16"/>
          <w:szCs w:val="16"/>
          <w:color w:val="FF0000"/>
        </w:rPr>
        <w:t>and so long as Crown Holdings has determined in good faith that such covenants, defaults</w:t>
      </w:r>
      <w:r>
        <w:rPr>
          <w:rFonts w:ascii="Arial" w:cs="Arial" w:eastAsia="Arial" w:hAnsi="Arial"/>
          <w:sz w:val="16"/>
          <w:szCs w:val="16"/>
          <w:color w:val="auto"/>
        </w:rPr>
        <w:t xml:space="preserve"> </w:t>
      </w:r>
      <w:r>
        <w:rPr>
          <w:rFonts w:ascii="Arial" w:cs="Arial" w:eastAsia="Arial" w:hAnsi="Arial"/>
          <w:sz w:val="16"/>
          <w:szCs w:val="16"/>
          <w:color w:val="FF0000"/>
          <w:strike w:val="1"/>
        </w:rPr>
        <w:t>and similar non-economic provisions, taken as a whole, would not reasonably be expected to impair in any material respect the ability of the Credit Parties to perform their obligations under the Loan Documents</w:t>
      </w:r>
      <w:r>
        <w:rPr>
          <w:rFonts w:ascii="Arial" w:cs="Arial" w:eastAsia="Arial" w:hAnsi="Arial"/>
          <w:sz w:val="16"/>
          <w:szCs w:val="16"/>
          <w:color w:val="000000"/>
          <w:strike w:val="1"/>
        </w:rPr>
        <w:t>, and, in either case, do not contravene in any material respect the provisions of this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Agreement and such Indebtedness is at the then prevailing market rates (it being understood and agreed that Crown Holdings may, at its option, deliver a certificate to the Administrative Agent at least 5 Business Days prior to the incurrence of such Indebtedness certifying that the requirements of either clause (A) or (B) of this clause (f) 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w:t>
      </w:r>
    </w:p>
    <w:p>
      <w:pPr>
        <w:spacing w:after="0" w:line="5" w:lineRule="exact"/>
        <w:rPr>
          <w:rFonts w:ascii="Arial" w:cs="Arial" w:eastAsia="Arial" w:hAnsi="Arial"/>
          <w:sz w:val="16"/>
          <w:szCs w:val="16"/>
          <w:color w:val="auto"/>
        </w:rPr>
      </w:pPr>
    </w:p>
    <w:p>
      <w:pPr>
        <w:ind w:left="4" w:right="20" w:hanging="4"/>
        <w:spacing w:after="0" w:line="252"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-3150870</wp:posOffset>
            </wp:positionV>
            <wp:extent cx="603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-3150870</wp:posOffset>
            </wp:positionV>
            <wp:extent cx="22288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874395</wp:posOffset>
            </wp:positionH>
            <wp:positionV relativeFrom="paragraph">
              <wp:posOffset>-2601595</wp:posOffset>
            </wp:positionV>
            <wp:extent cx="596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-2601595</wp:posOffset>
            </wp:positionV>
            <wp:extent cx="22288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5297805</wp:posOffset>
            </wp:positionH>
            <wp:positionV relativeFrom="paragraph">
              <wp:posOffset>-2465070</wp:posOffset>
            </wp:positionV>
            <wp:extent cx="6000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-2465070</wp:posOffset>
            </wp:positionV>
            <wp:extent cx="939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-2001520</wp:posOffset>
            </wp:positionV>
            <wp:extent cx="414401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144010" cy="8255"/>
                    </a:xfrm>
                    <a:prstGeom prst="rect">
                      <a:avLst/>
                    </a:prstGeom>
                    <a:noFill/>
                  </pic:spPr>
                </pic:pic>
              </a:graphicData>
            </a:graphic>
          </wp:anchor>
        </w:drawing>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191" w:name="page192"/>
    <w:bookmarkEnd w:id="19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CCSC 2026 Debentures or CCSC 2096 Debentures, if the Indebtedness under this Agreement is rated Ba2 or lower by Moody’s and BB- or lower by S&amp;P, Crown Holdings shall provide written confirmation from each of Moody’s and S&amp;P that the rating of such Indebtedness will not be downgraded by either Moody’s or S&amp;P as a result of the incurrence of such Permitted Refinancing Indebtedness. For the avoidance of doubt, it is understood that a Permitted Refinancing Indebtedness may constitute a portion of an issuance of Indebtedness in excess of the amount of such Permitted Refinancing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excess amount is otherwise permitted to be incurred under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18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Pension Plan or Welfare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xml:space="preserve">” means any of the </w:t>
      </w:r>
      <w:r>
        <w:rPr>
          <w:rFonts w:ascii="Arial" w:cs="Arial" w:eastAsia="Arial" w:hAnsi="Arial"/>
          <w:sz w:val="18"/>
          <w:szCs w:val="18"/>
          <w:color w:val="FF0000"/>
          <w:strike w:val="1"/>
        </w:rPr>
        <w:t>Securities</w:t>
      </w:r>
      <w:r>
        <w:rPr>
          <w:rFonts w:ascii="Arial" w:cs="Arial" w:eastAsia="Arial" w:hAnsi="Arial"/>
          <w:sz w:val="18"/>
          <w:szCs w:val="18"/>
          <w:color w:val="auto"/>
        </w:rPr>
        <w:t xml:space="preserve"> pledged </w:t>
      </w:r>
      <w:r>
        <w:rPr>
          <w:rFonts w:ascii="Arial" w:cs="Arial" w:eastAsia="Arial" w:hAnsi="Arial"/>
          <w:sz w:val="18"/>
          <w:szCs w:val="18"/>
          <w:u w:val="single" w:color="auto"/>
          <w:color w:val="0000FF"/>
        </w:rPr>
        <w:t>Capital Stock</w:t>
      </w:r>
      <w:r>
        <w:rPr>
          <w:rFonts w:ascii="Arial" w:cs="Arial" w:eastAsia="Arial" w:hAnsi="Arial"/>
          <w:sz w:val="18"/>
          <w:szCs w:val="18"/>
          <w:color w:val="auto"/>
        </w:rPr>
        <w:t xml:space="preserve"> pursuant to any Security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23495</wp:posOffset>
            </wp:positionV>
            <wp:extent cx="61722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has the meaning given to such term under the indentures, agreements and instruments governing the Debentures, as such indentures, agreements and instruments are in effect on the Effective Date.</w:t>
      </w:r>
    </w:p>
    <w:p>
      <w:pPr>
        <w:spacing w:after="0" w:line="170"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192" w:name="page193"/>
    <w:bookmarkEnd w:id="19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184"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Cost Savings</w:t>
      </w:r>
      <w:r>
        <w:rPr>
          <w:rFonts w:ascii="Arial" w:cs="Arial" w:eastAsia="Arial" w:hAnsi="Arial"/>
          <w:sz w:val="16"/>
          <w:szCs w:val="16"/>
          <w:color w:val="auto"/>
        </w:rPr>
        <w:t xml:space="preserve">”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Crown Holdings) from such Subject Transaction (calculated on a pro forma basis by reference to the Borrowers’ most 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 (viii) of the definition of Consolidated EBITDA, 30% of Consolidated EBITDA in any four-Fiscal Quarter period (calculated after giving effect to any such add-backs and adjustments) and (e) if any calculation of Pro Forma Cost Savings is determined by reference to Borrowers’ internal financial statements, the effect of this provision shall not apply for purposes of calculating any financial ratio or test for purposes of (i) calculating the “Applicable </w:t>
      </w:r>
      <w:r>
        <w:rPr>
          <w:rFonts w:ascii="Arial" w:cs="Arial" w:eastAsia="Arial" w:hAnsi="Arial"/>
          <w:sz w:val="16"/>
          <w:szCs w:val="16"/>
          <w:u w:val="single" w:color="auto"/>
          <w:color w:val="0000FF"/>
        </w:rPr>
        <w:t>Adjusted Term SOFR Margin”, “Applicable</w:t>
      </w:r>
      <w:r>
        <w:rPr>
          <w:rFonts w:ascii="Arial" w:cs="Arial" w:eastAsia="Arial" w:hAnsi="Arial"/>
          <w:sz w:val="16"/>
          <w:szCs w:val="16"/>
          <w:color w:val="auto"/>
        </w:rPr>
        <w:t xml:space="preserve"> Base Rate Margin</w:t>
      </w:r>
      <w:r>
        <w:rPr>
          <w:rFonts w:ascii="Arial" w:cs="Arial" w:eastAsia="Arial" w:hAnsi="Arial"/>
          <w:sz w:val="16"/>
          <w:szCs w:val="16"/>
          <w:color w:val="FF0000"/>
          <w:strike w:val="1"/>
        </w:rPr>
        <w:t>,</w:t>
      </w:r>
      <w:r>
        <w:rPr>
          <w:rFonts w:ascii="Arial" w:cs="Arial" w:eastAsia="Arial" w:hAnsi="Arial"/>
          <w:sz w:val="16"/>
          <w:szCs w:val="16"/>
          <w:color w:val="auto"/>
        </w:rPr>
        <w: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“Applicable B/A Margin</w:t>
      </w:r>
      <w:r>
        <w:rPr>
          <w:rFonts w:ascii="Arial" w:cs="Arial" w:eastAsia="Arial" w:hAnsi="Arial"/>
          <w:sz w:val="16"/>
          <w:szCs w:val="16"/>
          <w:color w:val="FF0000"/>
          <w:strike w:val="1"/>
        </w:rPr>
        <w:t>,</w:t>
      </w:r>
      <w:r>
        <w:rPr>
          <w:rFonts w:ascii="Arial" w:cs="Arial" w:eastAsia="Arial" w:hAnsi="Arial"/>
          <w:sz w:val="16"/>
          <w:szCs w:val="16"/>
          <w:color w:val="auto"/>
        </w:rPr>
        <w: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“Applicable Canadian Prime Rate Margin</w:t>
      </w:r>
      <w:r>
        <w:rPr>
          <w:rFonts w:ascii="Arial" w:cs="Arial" w:eastAsia="Arial" w:hAnsi="Arial"/>
          <w:sz w:val="16"/>
          <w:szCs w:val="16"/>
          <w:color w:val="FF0000"/>
          <w:strike w:val="1"/>
        </w:rPr>
        <w:t>,</w:t>
      </w:r>
      <w:r>
        <w:rPr>
          <w:rFonts w:ascii="Arial" w:cs="Arial" w:eastAsia="Arial" w:hAnsi="Arial"/>
          <w:sz w:val="16"/>
          <w:szCs w:val="16"/>
          <w:color w:val="auto"/>
        </w:rPr>
        <w: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“Applicable Eurocurrency </w:t>
      </w:r>
      <w:r>
        <w:rPr>
          <w:rFonts w:ascii="Arial" w:cs="Arial" w:eastAsia="Arial" w:hAnsi="Arial"/>
          <w:sz w:val="16"/>
          <w:szCs w:val="16"/>
          <w:u w:val="single" w:color="auto"/>
          <w:color w:val="0000FF"/>
        </w:rPr>
        <w:t>Margin”, “Applicable RFR</w:t>
      </w:r>
      <w:r>
        <w:rPr>
          <w:rFonts w:ascii="Arial" w:cs="Arial" w:eastAsia="Arial" w:hAnsi="Arial"/>
          <w:sz w:val="16"/>
          <w:szCs w:val="16"/>
          <w:color w:val="auto"/>
        </w:rPr>
        <w:t xml:space="preserve">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w:t>
      </w:r>
      <w:r>
        <w:rPr>
          <w:rFonts w:ascii="Arial" w:cs="Arial" w:eastAsia="Arial" w:hAnsi="Arial"/>
          <w:sz w:val="16"/>
          <w:szCs w:val="16"/>
          <w:u w:val="single" w:color="auto"/>
          <w:color w:val="0000FF"/>
        </w:rPr>
        <w:t>Adjusted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Term SOFR Margin”, “Applicable</w:t>
      </w:r>
      <w:r>
        <w:rPr>
          <w:rFonts w:ascii="Arial" w:cs="Arial" w:eastAsia="Arial" w:hAnsi="Arial"/>
          <w:sz w:val="16"/>
          <w:szCs w:val="16"/>
          <w:color w:val="0000FF"/>
        </w:rPr>
        <w:t xml:space="preserve"> </w:t>
      </w:r>
      <w:r>
        <w:rPr>
          <w:rFonts w:ascii="Arial" w:cs="Arial" w:eastAsia="Arial" w:hAnsi="Arial"/>
          <w:sz w:val="16"/>
          <w:szCs w:val="16"/>
          <w:color w:val="000000"/>
        </w:rPr>
        <w:t>Base Rate Margin</w:t>
      </w:r>
      <w:r>
        <w:rPr>
          <w:rFonts w:ascii="Arial" w:cs="Arial" w:eastAsia="Arial" w:hAnsi="Arial"/>
          <w:sz w:val="16"/>
          <w:szCs w:val="16"/>
          <w:color w:val="FF0000"/>
          <w:strike w:val="1"/>
        </w:rPr>
        <w:t>,</w:t>
      </w:r>
      <w:r>
        <w:rPr>
          <w:rFonts w:ascii="Arial" w:cs="Arial" w:eastAsia="Arial" w:hAnsi="Arial"/>
          <w:sz w:val="16"/>
          <w:szCs w:val="16"/>
          <w:color w:val="000000"/>
        </w:rPr>
        <w:t>”</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“Applicable Eurocurrency Margin</w:t>
      </w:r>
      <w:r>
        <w:rPr>
          <w:rFonts w:ascii="Arial" w:cs="Arial" w:eastAsia="Arial" w:hAnsi="Arial"/>
          <w:sz w:val="16"/>
          <w:szCs w:val="16"/>
          <w:color w:val="FF0000"/>
          <w:strike w:val="1"/>
        </w:rPr>
        <w:t>,</w:t>
      </w:r>
      <w:r>
        <w:rPr>
          <w:rFonts w:ascii="Arial" w:cs="Arial" w:eastAsia="Arial" w:hAnsi="Arial"/>
          <w:sz w:val="16"/>
          <w:szCs w:val="16"/>
          <w:color w:val="000000"/>
        </w:rPr>
        <w:t>”</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“Applicable B/A Margin</w:t>
      </w:r>
      <w:r>
        <w:rPr>
          <w:rFonts w:ascii="Arial" w:cs="Arial" w:eastAsia="Arial" w:hAnsi="Arial"/>
          <w:sz w:val="16"/>
          <w:szCs w:val="16"/>
          <w:color w:val="FF0000"/>
          <w:strike w:val="1"/>
        </w:rPr>
        <w:t>,</w:t>
      </w:r>
      <w:r>
        <w:rPr>
          <w:rFonts w:ascii="Arial" w:cs="Arial" w:eastAsia="Arial" w:hAnsi="Arial"/>
          <w:sz w:val="16"/>
          <w:szCs w:val="16"/>
          <w:color w:val="000000"/>
        </w:rPr>
        <w:t>”</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“Applicable Canadian Prime</w:t>
      </w:r>
      <w:r>
        <w:rPr>
          <w:rFonts w:ascii="Arial" w:cs="Arial" w:eastAsia="Arial" w:hAnsi="Arial"/>
          <w:sz w:val="16"/>
          <w:szCs w:val="16"/>
          <w:color w:val="0000FF"/>
        </w:rPr>
        <w:t xml:space="preserve"> </w:t>
      </w:r>
      <w:r>
        <w:rPr>
          <w:rFonts w:ascii="Arial" w:cs="Arial" w:eastAsia="Arial" w:hAnsi="Arial"/>
          <w:sz w:val="16"/>
          <w:szCs w:val="16"/>
          <w:color w:val="000000"/>
        </w:rPr>
        <w:t>Rate Margin</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“Applicable RFR Margin</w:t>
      </w:r>
      <w:r>
        <w:rPr>
          <w:rFonts w:ascii="Arial" w:cs="Arial" w:eastAsia="Arial" w:hAnsi="Arial"/>
          <w:sz w:val="16"/>
          <w:szCs w:val="16"/>
          <w:color w:val="000000"/>
        </w:rPr>
        <w:t>”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-1097915</wp:posOffset>
            </wp:positionV>
            <wp:extent cx="201422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-1097915</wp:posOffset>
            </wp:positionV>
            <wp:extent cx="6032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-960755</wp:posOffset>
            </wp:positionV>
            <wp:extent cx="342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-960755</wp:posOffset>
            </wp:positionV>
            <wp:extent cx="596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-960755</wp:posOffset>
            </wp:positionV>
            <wp:extent cx="123444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-412115</wp:posOffset>
            </wp:positionV>
            <wp:extent cx="42037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157734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-274955</wp:posOffset>
            </wp:positionV>
            <wp:extent cx="596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-274955</wp:posOffset>
            </wp:positionV>
            <wp:extent cx="596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-274955</wp:posOffset>
            </wp:positionV>
            <wp:extent cx="2603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-137795</wp:posOffset>
            </wp:positionV>
            <wp:extent cx="126873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193" w:name="page194"/>
    <w:bookmarkEnd w:id="193"/>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Debt Documents</w:t>
      </w:r>
      <w:r>
        <w:rPr>
          <w:rFonts w:ascii="Arial" w:cs="Arial" w:eastAsia="Arial" w:hAnsi="Arial"/>
          <w:sz w:val="18"/>
          <w:szCs w:val="18"/>
          <w:color w:val="auto"/>
        </w:rPr>
        <w:t>” means, collectively, the Debentures, the Senior Notes Documents and any other documents evidencing, guaranteeing or otherwise governing any Permitted European Borrower Debt and Permitted Ratio Debt.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xml:space="preserve">” means the last Business Day of each March, June, September and December of each year following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(commencing on </w:t>
      </w:r>
      <w:r>
        <w:rPr>
          <w:rFonts w:ascii="Arial" w:cs="Arial" w:eastAsia="Arial" w:hAnsi="Arial"/>
          <w:sz w:val="18"/>
          <w:szCs w:val="18"/>
          <w:color w:val="FF0000"/>
          <w:strike w:val="1"/>
        </w:rPr>
        <w:t>March</w:t>
      </w:r>
      <w:r>
        <w:rPr>
          <w:rFonts w:ascii="Arial" w:cs="Arial" w:eastAsia="Arial" w:hAnsi="Arial"/>
          <w:sz w:val="18"/>
          <w:szCs w:val="18"/>
          <w:u w:val="single" w:color="auto"/>
          <w:color w:val="0000FF"/>
        </w:rPr>
        <w:t>December</w:t>
      </w:r>
      <w:r>
        <w:rPr>
          <w:rFonts w:ascii="Arial" w:cs="Arial" w:eastAsia="Arial" w:hAnsi="Arial"/>
          <w:sz w:val="18"/>
          <w:szCs w:val="18"/>
          <w:color w:val="auto"/>
        </w:rPr>
        <w:t xml:space="preserve"> 31, </w:t>
      </w:r>
      <w:r>
        <w:rPr>
          <w:rFonts w:ascii="Arial" w:cs="Arial" w:eastAsia="Arial" w:hAnsi="Arial"/>
          <w:sz w:val="18"/>
          <w:szCs w:val="18"/>
          <w:color w:val="FF0000"/>
          <w:strike w:val="1"/>
        </w:rPr>
        <w:t>2020</w:t>
      </w:r>
      <w:r>
        <w:rPr>
          <w:rFonts w:ascii="Arial" w:cs="Arial" w:eastAsia="Arial" w:hAnsi="Arial"/>
          <w:sz w:val="18"/>
          <w:szCs w:val="18"/>
          <w:u w:val="single" w:color="auto"/>
          <w:color w:val="0000FF"/>
        </w:rPr>
        <w:t>2022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-10795</wp:posOffset>
            </wp:positionV>
            <wp:extent cx="514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-10795</wp:posOffset>
            </wp:positionV>
            <wp:extent cx="22288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-10795</wp:posOffset>
            </wp:positionV>
            <wp:extent cx="47180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-10795</wp:posOffset>
            </wp:positionV>
            <wp:extent cx="22288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 means that certain Reaffirmation Agreement, dated as of the Effective Date, by and among the Credit Parties party thereto.</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88"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any security therefor, collections thereof, bank accounts holding payments in respect of accounts receivable, and related assets and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94" w:name="page195"/>
    <w:bookmarkEnd w:id="194"/>
    <w:p>
      <w:pPr>
        <w:ind w:right="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Receivables Intercreditor Agreement</w:t>
      </w:r>
      <w:r>
        <w:rPr>
          <w:rFonts w:ascii="Arial" w:cs="Arial" w:eastAsia="Arial" w:hAnsi="Arial"/>
          <w:sz w:val="16"/>
          <w:szCs w:val="16"/>
          <w:color w:val="auto"/>
        </w:rPr>
        <w:t>” means, (a) in connection with the Receivables Purchase Agreement, the Intercreditor Agreement, dated as of July 27, 2018 (and as amended from time to time) among Crown Holdings, Crown International, CCSC, Crown Receivables III LLC, Crown Cork &amp; Seal USA, Inc., Crown Metal Packaging Canada LP, Coöperative Rabobank, U.A., New York Branch, as Program Agent (as defined therein) and Administrative Agent, Canadian Administrative Agent and U.K. Administrative Agent, as Bank Agents (as defined therein), and (b) in connection with any amendment to or refinancing of the Receivables Purchase Agreement or any other Permitted Receivables or Factoring Financing, if applicable, an intercreditor agreement (or amendment thereto or amendment and restatement thereof) substantially similar to the intercreditor agreement referred to above with such changes as may be reasonably acceptable to the Administrative Agent or otherwise on market terms for companies having a credit profile similar to Crown Holdings and its Subsidiaries as determined in good faith by Crown Holdings and agreed to by the Administrative Agent.</w:t>
      </w:r>
    </w:p>
    <w:p>
      <w:pPr>
        <w:spacing w:after="0" w:line="16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Net Investment</w:t>
      </w:r>
      <w:r>
        <w:rPr>
          <w:rFonts w:ascii="Arial" w:cs="Arial" w:eastAsia="Arial" w:hAnsi="Arial"/>
          <w:sz w:val="17"/>
          <w:szCs w:val="17"/>
          <w:color w:val="auto"/>
        </w:rPr>
        <w:t xml:space="preserve">” means at any date of determination thereof, the aggregate Dollar Equivalent of the net cash amount paid by a funding source to a Receivables Subsidiary (including, without limitation, the lenders or purchasers under any Permitted Receivables or Factoring Financings or in connection with sales by Crown Holdings or any Subsidiary permitted pursuant to </w:t>
      </w:r>
      <w:r>
        <w:rPr>
          <w:rFonts w:ascii="Arial" w:cs="Arial" w:eastAsia="Arial" w:hAnsi="Arial"/>
          <w:sz w:val="17"/>
          <w:szCs w:val="17"/>
          <w:u w:val="single" w:color="auto"/>
          <w:color w:val="auto"/>
        </w:rPr>
        <w:t>Section 8.7(b)(ii)</w:t>
      </w:r>
      <w:r>
        <w:rPr>
          <w:rFonts w:ascii="Arial" w:cs="Arial" w:eastAsia="Arial" w:hAnsi="Arial"/>
          <w:sz w:val="17"/>
          <w:szCs w:val="17"/>
          <w:color w:val="auto"/>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 means that certain Receivables Purchase Agreement dated as of July 27, 2018, among Crown Receivables III LLC, as the seller, Crown Cork &amp; Seal USA, Inc., as the servicer, Coöperatieve Rabobank, U.A., New York Branch, as administrative agent, and the conduit purchasers, alternate purchasers, facility agents party thereto from time to time, as amended, amended and restated, supplemented or otherwise modified from time to time in accordance with the terms hereof.</w:t>
      </w:r>
    </w:p>
    <w:p>
      <w:pPr>
        <w:spacing w:after="0" w:line="18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Agreement II</w:t>
      </w:r>
      <w:r>
        <w:rPr>
          <w:rFonts w:ascii="Arial" w:cs="Arial" w:eastAsia="Arial" w:hAnsi="Arial"/>
          <w:sz w:val="18"/>
          <w:szCs w:val="18"/>
          <w:color w:val="auto"/>
        </w:rPr>
        <w:t>” means that certain Second Amended and Restated Receivables Purchase Agreement, dated as of December 20, 2017, among Crown Cork and Seal Receivables II LLC, as the seller, Fábricas Monterrey, S.A. de C.V., as the initial master servicer, the servicers party thereto, the purchasers party thereto from time to time, and Coöperatieve Rabobank U.A., New York Branch, as administrative agent, as the same has been amended by that certain First Amendment to Second Amended and Restated Receivables Purchase Agreement, dated as of December 19, 2019, and may thereafter be amended, amended and restated, supplemented or otherwise modified from time to time in accordance with the terms hereof.</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xml:space="preserve">” means, initially, Crown Cork and Seal Receivables II LLC, Crown Receivables III LLC and any other special purpose subsidiary which exists solely to purchase and sell Receivables Assets or to otherwise raise financing in connection with a Permitted Receivables or Factoring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Receiver</w:t>
      </w:r>
      <w:r>
        <w:rPr>
          <w:rFonts w:ascii="Arial" w:cs="Arial" w:eastAsia="Arial" w:hAnsi="Arial"/>
          <w:sz w:val="18"/>
          <w:szCs w:val="18"/>
          <w:color w:val="auto"/>
        </w:rPr>
        <w:t>” means a receiver, interim receiver, receiver and manager, liquidator, trustee in bankruptcy or similar person.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195" w:name="page196"/>
    <w:bookmarkEnd w:id="1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Agent, any Facing Agent, any Lender or any Swing Line Lender, as applicable.</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Recovery Event</w:t>
      </w:r>
      <w:r>
        <w:rPr>
          <w:rFonts w:ascii="Arial" w:cs="Arial" w:eastAsia="Arial" w:hAnsi="Arial"/>
          <w:sz w:val="17"/>
          <w:szCs w:val="17"/>
          <w:color w:val="auto"/>
        </w:rPr>
        <w:t xml:space="preserve">” means the receipt by Crown Holdings (or any of its Subsidiaries) of any insurance or condemnation proceeds payable (i) by reason of any theft, physical destruction or damage or any other similar event with respect to any properties or assets of Crown Holdings or any of its Subsidiaries, (ii) by reason of any condemnation, taking, seizing or similar event with respect to any properties or assets of Crown Holdings or any of its Subsidiaries or (iii) under any policy of insurance required to be maintained under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payments made under business interruption insurance or rent insurance constitute a Recovery Event.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Revolving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Revolving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2.1(c)(iii)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from time to time in effect and any successor provision to all or a portion thereof establishing reserve requirements.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with respect to any Lender which is a Fund, any other Fund that is administered or managed by the same investment advisor of such Lender or by an Affiliate of such investment advisor.</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4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196" w:name="page197"/>
    <w:bookmarkEnd w:id="1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Replacement Facility</w:t>
      </w:r>
      <w:r>
        <w:rPr>
          <w:rFonts w:ascii="Arial" w:cs="Arial" w:eastAsia="Arial" w:hAnsi="Arial"/>
          <w:sz w:val="18"/>
          <w:szCs w:val="18"/>
          <w:color w:val="auto"/>
        </w:rPr>
        <w:t>” means a Replacement Revolving Facility and/or a Replacement Term Facility,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Facility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 “reportable event” described in Section 4043(c) of ERISA or in the regulations thereunder with respect to a Plan, excluding any event for which the thirty (30) day notice requirement has been waived.</w:t>
      </w:r>
    </w:p>
    <w:p>
      <w:pPr>
        <w:spacing w:after="0" w:line="170"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and Dollar Revolver Pro Rata Share of the Dollar LC Obligations, Multicurrency Revolving Loans and Multicurrency Revolver Pro Rata Share of outstanding Swing Line Loans 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 Dollar LC Obligations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17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440" w:top="274" w:right="539" w:bottom="1440" w:gutter="0" w:footer="0" w:header="0"/>
        </w:sectPr>
      </w:pPr>
    </w:p>
    <w:bookmarkStart w:id="197" w:name="page198"/>
    <w:bookmarkEnd w:id="197"/>
    <w:p>
      <w:pPr>
        <w:ind w:left="440"/>
        <w:spacing w:after="0"/>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Authority” means the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30480</wp:posOffset>
            </wp:positionV>
            <wp:extent cx="630936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Financial Officer</w:t>
      </w:r>
      <w:r>
        <w:rPr>
          <w:rFonts w:ascii="Arial" w:cs="Arial" w:eastAsia="Arial" w:hAnsi="Arial"/>
          <w:sz w:val="18"/>
          <w:szCs w:val="18"/>
          <w:color w:val="auto"/>
        </w:rPr>
        <w:t>” means the Chief Financial Officer, Principal Accounting Officer, Controller or Treasurer of Crown Holdings, or, if being applied to a Subsidiary, of the applicable Subsidiary.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England and Belgium shall include any director).</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means any shares of capital stock or evidences of indebtedness for borrowed money issued by any Restricted Subsidiary and owned by CCSC or any Restricted Subsidiary.</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means any subsidiary of CCSC that would be considered a “Restricted Subsidiary” under (and as defined in) any indenture, agreement or instrument governing or evidencing any Debenture as such indenture, agreement or instrument is in effect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-2540</wp:posOffset>
            </wp:positionV>
            <wp:extent cx="596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-2540</wp:posOffset>
            </wp:positionV>
            <wp:extent cx="22288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Pro Rata Share</w:t>
      </w:r>
      <w:r>
        <w:rPr>
          <w:rFonts w:ascii="Arial" w:cs="Arial" w:eastAsia="Arial" w:hAnsi="Arial"/>
          <w:sz w:val="17"/>
          <w:szCs w:val="17"/>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w:t>
      </w:r>
    </w:p>
    <w:p>
      <w:pPr>
        <w:spacing w:after="0" w:line="17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Termination Date</w:t>
      </w:r>
      <w:r>
        <w:rPr>
          <w:rFonts w:ascii="Arial" w:cs="Arial" w:eastAsia="Arial" w:hAnsi="Arial"/>
          <w:sz w:val="17"/>
          <w:szCs w:val="17"/>
          <w:color w:val="auto"/>
        </w:rPr>
        <w:t xml:space="preserve">” means, (a) with respect to each Revolving Facility other than the Canadian Revolving Facility, the five year anniversary of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(or such later termination date for such Facility to the extent extended or replaced as permitted by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such earlier date as the Revolving Commitments shall have been terminated or otherwise reduced to $0 pursuant to this Agreement and (b) with respect to the Canadian Revolving Facility, the Canadian Revolver Termination Date (or such later termination date for such Facility to the extent extended or replaced as permitted by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-418465</wp:posOffset>
            </wp:positionV>
            <wp:extent cx="514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-418465</wp:posOffset>
            </wp:positionV>
            <wp:extent cx="22288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any Revolving Lender, such Lender’s Dollar Revolving Commitment, Replacement Revolving Commitment and/or Multicurrency Revolving Commitment and, with respect to </w:t>
      </w:r>
      <w:r>
        <w:rPr>
          <w:rFonts w:ascii="Arial" w:cs="Arial" w:eastAsia="Arial" w:hAnsi="Arial"/>
          <w:sz w:val="18"/>
          <w:szCs w:val="18"/>
          <w:u w:val="single" w:color="auto"/>
          <w:color w:val="auto"/>
        </w:rPr>
        <w:t>Section 2.12</w:t>
      </w:r>
      <w:r>
        <w:rPr>
          <w:rFonts w:ascii="Arial" w:cs="Arial" w:eastAsia="Arial" w:hAnsi="Arial"/>
          <w:sz w:val="18"/>
          <w:szCs w:val="18"/>
          <w:color w:val="auto"/>
        </w:rPr>
        <w:t>, including such Lender’s Canadian Revolving Commitment, and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means such commitments collectively.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198" w:name="page199"/>
    <w:bookmarkEnd w:id="198"/>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w:t>
      </w:r>
      <w:r>
        <w:rPr>
          <w:rFonts w:ascii="Arial" w:cs="Arial" w:eastAsia="Arial" w:hAnsi="Arial"/>
          <w:sz w:val="18"/>
          <w:szCs w:val="18"/>
          <w:color w:val="auto"/>
        </w:rPr>
        <w:t>” means the Dollar Revolving Facility, the Multicurrency Revolving Facility, the Replacement Revolving Facility and the Canadian Revolving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Lender which has a Revolving Commitment or is owed a Revolving Loan (or a portion thereof).</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Dollar Revolving Loan, a Replacement Revolving Loan or a Multicurrency Revolving Loan as the case may be and “</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such Loans collectively.</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any day except for (i) a Saturday, (ii) a Sunday or (iii) a day on which banks are closed for general business in London.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“RFR Determination Day” has the meaning assigned to such term in the definition of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90347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“RFR Rate Day” has the meaning assigned to such term in the definition of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44881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a division of the McGraw-Hill Companies, Inc., or any successor to the rating agency business thereof.</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means, at any time, a country, region or territory which is the subject or target of any comprehensive Sanctions (which,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includes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Crimea </w:t>
      </w:r>
      <w:r>
        <w:rPr>
          <w:rFonts w:ascii="Arial" w:cs="Arial" w:eastAsia="Arial" w:hAnsi="Arial"/>
          <w:sz w:val="18"/>
          <w:szCs w:val="18"/>
          <w:u w:val="single" w:color="auto"/>
          <w:color w:val="0000FF"/>
        </w:rPr>
        <w:t>region of Ukraine, the so-called Donetsk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People’s Republic and the so-called Luhansk People’s Republic</w:t>
      </w:r>
      <w:r>
        <w:rPr>
          <w:rFonts w:ascii="Arial" w:cs="Arial" w:eastAsia="Arial" w:hAnsi="Arial"/>
          <w:sz w:val="18"/>
          <w:szCs w:val="18"/>
          <w:color w:val="000000"/>
        </w:rPr>
        <w:t>, Cuba, Iran, North Korea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-139700</wp:posOffset>
            </wp:positionV>
            <wp:extent cx="596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-139700</wp:posOffset>
            </wp:positionV>
            <wp:extent cx="22288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-139700</wp:posOffset>
            </wp:positionV>
            <wp:extent cx="239141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90576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Her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 Bank</w:t>
      </w:r>
      <w:r>
        <w:rPr>
          <w:rFonts w:ascii="Arial" w:cs="Arial" w:eastAsia="Arial" w:hAnsi="Arial"/>
          <w:sz w:val="18"/>
          <w:szCs w:val="18"/>
          <w:color w:val="auto"/>
        </w:rPr>
        <w:t>” means a bank that is a Canadian chartered bank listed on Schedule I under the Bank Act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II Bank</w:t>
      </w:r>
      <w:r>
        <w:rPr>
          <w:rFonts w:ascii="Arial" w:cs="Arial" w:eastAsia="Arial" w:hAnsi="Arial"/>
          <w:sz w:val="18"/>
          <w:szCs w:val="18"/>
          <w:color w:val="auto"/>
        </w:rPr>
        <w:t>” means a bank that is a Canadian chartered bank listed on Schedule II under the Bank Act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III Bank</w:t>
      </w:r>
      <w:r>
        <w:rPr>
          <w:rFonts w:ascii="Arial" w:cs="Arial" w:eastAsia="Arial" w:hAnsi="Arial"/>
          <w:sz w:val="18"/>
          <w:szCs w:val="18"/>
          <w:color w:val="auto"/>
        </w:rPr>
        <w:t>” means an authorized foreign bank listed on Schedule III under the Bank Act (Canada).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440" w:top="274" w:right="519" w:bottom="1440" w:gutter="0" w:footer="0" w:header="0"/>
        </w:sectPr>
      </w:pPr>
    </w:p>
    <w:bookmarkStart w:id="199" w:name="page200"/>
    <w:bookmarkEnd w:id="199"/>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Scheduled Term Euro Loan Repayments</w:t>
      </w:r>
      <w:r>
        <w:rPr>
          <w:rFonts w:ascii="Arial" w:cs="Arial" w:eastAsia="Arial" w:hAnsi="Arial"/>
          <w:sz w:val="18"/>
          <w:szCs w:val="18"/>
          <w:color w:val="auto"/>
        </w:rPr>
        <w:t xml:space="preserve">” means, with respect to the principal payments on the Term Euro Loan, on the last Business Day of each March, June, September and December ending on or prior to each date set forth below (commencing on </w:t>
      </w:r>
      <w:r>
        <w:rPr>
          <w:rFonts w:ascii="Arial" w:cs="Arial" w:eastAsia="Arial" w:hAnsi="Arial"/>
          <w:sz w:val="18"/>
          <w:szCs w:val="18"/>
          <w:color w:val="FF0000"/>
          <w:strike w:val="1"/>
        </w:rPr>
        <w:t>March</w:t>
      </w:r>
      <w:r>
        <w:rPr>
          <w:rFonts w:ascii="Arial" w:cs="Arial" w:eastAsia="Arial" w:hAnsi="Arial"/>
          <w:sz w:val="18"/>
          <w:szCs w:val="18"/>
          <w:u w:val="single" w:color="auto"/>
          <w:color w:val="0000FF"/>
        </w:rPr>
        <w:t>December</w:t>
      </w:r>
      <w:r>
        <w:rPr>
          <w:rFonts w:ascii="Arial" w:cs="Arial" w:eastAsia="Arial" w:hAnsi="Arial"/>
          <w:sz w:val="18"/>
          <w:szCs w:val="18"/>
          <w:color w:val="auto"/>
        </w:rPr>
        <w:t xml:space="preserve"> 31, </w:t>
      </w:r>
      <w:r>
        <w:rPr>
          <w:rFonts w:ascii="Arial" w:cs="Arial" w:eastAsia="Arial" w:hAnsi="Arial"/>
          <w:sz w:val="18"/>
          <w:szCs w:val="18"/>
          <w:color w:val="FF0000"/>
          <w:strike w:val="1"/>
        </w:rPr>
        <w:t>2020</w:t>
      </w:r>
      <w:r>
        <w:rPr>
          <w:rFonts w:ascii="Arial" w:cs="Arial" w:eastAsia="Arial" w:hAnsi="Arial"/>
          <w:sz w:val="18"/>
          <w:szCs w:val="18"/>
          <w:u w:val="single" w:color="auto"/>
          <w:color w:val="0000FF"/>
        </w:rPr>
        <w:t>2022</w:t>
      </w:r>
      <w:r>
        <w:rPr>
          <w:rFonts w:ascii="Arial" w:cs="Arial" w:eastAsia="Arial" w:hAnsi="Arial"/>
          <w:sz w:val="18"/>
          <w:szCs w:val="18"/>
          <w:color w:val="auto"/>
        </w:rPr>
        <w:t xml:space="preserve"> ), 0.25 times the percentage of the original aggregate principal amount of Term Euro Loans made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set forth opposite thereto, as reduced from time to time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and on the Term Euro Loan Maturity Date, the remaining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-410845</wp:posOffset>
            </wp:positionV>
            <wp:extent cx="47180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-410845</wp:posOffset>
            </wp:positionV>
            <wp:extent cx="22288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-273685</wp:posOffset>
            </wp:positionV>
            <wp:extent cx="6032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-273685</wp:posOffset>
            </wp:positionV>
            <wp:extent cx="22288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7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Scheduled Term</w:t>
            </w:r>
          </w:p>
        </w:tc>
        <w:tc>
          <w:tcPr>
            <w:tcW w:w="0" w:type="dxa"/>
            <w:vAlign w:val="bottom"/>
          </w:tcPr>
          <w:p>
            <w:pPr>
              <w:spacing w:after="0"/>
              <w:rPr>
                <w:sz w:val="1"/>
                <w:szCs w:val="1"/>
                <w:color w:val="auto"/>
              </w:rPr>
            </w:pPr>
          </w:p>
        </w:tc>
      </w:tr>
      <w:tr>
        <w:trPr>
          <w:trHeight w:val="148"/>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5560" w:type="dxa"/>
            <w:vAlign w:val="bottom"/>
            <w:gridSpan w:val="20"/>
            <w:vMerge w:val="restart"/>
          </w:tcPr>
          <w:p>
            <w:pPr>
              <w:spacing w:after="0"/>
              <w:rPr>
                <w:sz w:val="12"/>
                <w:szCs w:val="12"/>
                <w:color w:val="auto"/>
              </w:rPr>
            </w:pP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Euro Loan Repayment</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5560" w:type="dxa"/>
            <w:vAlign w:val="bottom"/>
            <w:gridSpan w:val="20"/>
            <w:vMerge w:val="continue"/>
          </w:tcPr>
          <w:p>
            <w:pPr>
              <w:spacing w:after="0"/>
              <w:rPr>
                <w:sz w:val="15"/>
                <w:szCs w:val="15"/>
                <w:color w:val="auto"/>
              </w:rPr>
            </w:pPr>
          </w:p>
        </w:tc>
        <w:tc>
          <w:tcPr>
            <w:tcW w:w="1620" w:type="dxa"/>
            <w:vAlign w:val="bottom"/>
            <w:gridSpan w:val="4"/>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6"/>
            <w:shd w:val="clear" w:color="auto" w:fill="CCEEFF"/>
          </w:tcPr>
          <w:p>
            <w:pPr>
              <w:spacing w:after="0" w:line="149" w:lineRule="exact"/>
              <w:rPr>
                <w:sz w:val="20"/>
                <w:szCs w:val="20"/>
                <w:color w:val="auto"/>
              </w:rPr>
            </w:pPr>
            <w:r>
              <w:rPr>
                <w:rFonts w:ascii="Arial" w:cs="Arial" w:eastAsia="Arial" w:hAnsi="Arial"/>
                <w:sz w:val="17"/>
                <w:szCs w:val="17"/>
                <w:color w:val="auto"/>
                <w:w w:val="97"/>
              </w:rPr>
              <w:t>First anniversary of the Incremental Amendment No.</w:t>
            </w:r>
          </w:p>
        </w:tc>
        <w:tc>
          <w:tcPr>
            <w:tcW w:w="80" w:type="dxa"/>
            <w:vAlign w:val="bottom"/>
            <w:tcBorders>
              <w:top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2</w:t>
            </w:r>
          </w:p>
        </w:tc>
        <w:tc>
          <w:tcPr>
            <w:tcW w:w="1900" w:type="dxa"/>
            <w:vAlign w:val="bottom"/>
            <w:tcBorders>
              <w:top w:val="single" w:sz="8" w:color="CCEEFF"/>
            </w:tcBorders>
            <w:gridSpan w:val="13"/>
            <w:shd w:val="clear" w:color="auto" w:fill="CCEEFF"/>
          </w:tcPr>
          <w:p>
            <w:pPr>
              <w:spacing w:after="0" w:line="149" w:lineRule="exact"/>
              <w:rPr>
                <w:sz w:val="20"/>
                <w:szCs w:val="20"/>
                <w:color w:val="auto"/>
              </w:rPr>
            </w:pPr>
            <w:r>
              <w:rPr>
                <w:rFonts w:ascii="Arial" w:cs="Arial" w:eastAsia="Arial" w:hAnsi="Arial"/>
                <w:sz w:val="17"/>
                <w:szCs w:val="17"/>
                <w:color w:val="0000FF"/>
              </w:rPr>
              <w:t xml:space="preserve">3 </w:t>
            </w:r>
            <w:r>
              <w:rPr>
                <w:rFonts w:ascii="Arial" w:cs="Arial" w:eastAsia="Arial" w:hAnsi="Arial"/>
                <w:sz w:val="17"/>
                <w:szCs w:val="17"/>
                <w:color w:val="000000"/>
              </w:rPr>
              <w:t>and</w:t>
            </w: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6"/>
                <w:szCs w:val="16"/>
                <w:color w:val="FF0000"/>
                <w:strike w:val="1"/>
              </w:rPr>
              <w:t>Third</w:t>
            </w:r>
          </w:p>
        </w:tc>
        <w:tc>
          <w:tcPr>
            <w:tcW w:w="338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6"/>
                <w:szCs w:val="16"/>
                <w:color w:val="0000FF"/>
              </w:rPr>
              <w:t xml:space="preserve">Fifth </w:t>
            </w:r>
            <w:r>
              <w:rPr>
                <w:rFonts w:ascii="Arial" w:cs="Arial" w:eastAsia="Arial" w:hAnsi="Arial"/>
                <w:sz w:val="16"/>
                <w:szCs w:val="16"/>
                <w:color w:val="000000"/>
              </w:rPr>
              <w:t>Amendment Effective Date</w:t>
            </w: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w w:val="89"/>
              </w:rPr>
              <w:t>2.5</w:t>
            </w:r>
          </w:p>
        </w:tc>
        <w:tc>
          <w:tcPr>
            <w:tcW w:w="42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6"/>
                <w:szCs w:val="16"/>
                <w:color w:val="0000FF"/>
                <w:w w:val="98"/>
              </w:rPr>
              <w:t>0.0</w:t>
            </w:r>
            <w:r>
              <w:rPr>
                <w:rFonts w:ascii="Arial" w:cs="Arial" w:eastAsia="Arial" w:hAnsi="Arial"/>
                <w:sz w:val="16"/>
                <w:szCs w:val="16"/>
                <w:color w:val="000000"/>
                <w:w w:val="98"/>
              </w:rPr>
              <w:t>%</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w w:val="91"/>
              </w:rPr>
              <w:t>Second</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9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480" w:type="dxa"/>
            <w:vAlign w:val="bottom"/>
            <w:gridSpan w:val="10"/>
          </w:tcPr>
          <w:p>
            <w:pPr>
              <w:spacing w:after="0" w:line="136" w:lineRule="exact"/>
              <w:rPr>
                <w:sz w:val="20"/>
                <w:szCs w:val="20"/>
                <w:color w:val="auto"/>
              </w:rPr>
            </w:pPr>
            <w:r>
              <w:rPr>
                <w:rFonts w:ascii="Arial" w:cs="Arial" w:eastAsia="Arial" w:hAnsi="Arial"/>
                <w:sz w:val="15"/>
                <w:szCs w:val="15"/>
                <w:color w:val="auto"/>
              </w:rPr>
              <w:t>anniversary of the Incremental Amendment No.</w:t>
            </w:r>
          </w:p>
        </w:tc>
        <w:tc>
          <w:tcPr>
            <w:tcW w:w="80" w:type="dxa"/>
            <w:vAlign w:val="bottom"/>
            <w:gridSpan w:val="3"/>
          </w:tcPr>
          <w:p>
            <w:pPr>
              <w:jc w:val="right"/>
              <w:spacing w:after="0" w:line="136" w:lineRule="exact"/>
              <w:rPr>
                <w:sz w:val="20"/>
                <w:szCs w:val="20"/>
                <w:color w:val="auto"/>
              </w:rPr>
            </w:pPr>
            <w:r>
              <w:rPr>
                <w:rFonts w:ascii="Arial" w:cs="Arial" w:eastAsia="Arial" w:hAnsi="Arial"/>
                <w:sz w:val="15"/>
                <w:szCs w:val="15"/>
                <w:color w:val="FF0000"/>
                <w:strike w:val="1"/>
                <w:w w:val="71"/>
              </w:rPr>
              <w:t>2</w:t>
            </w:r>
          </w:p>
        </w:tc>
        <w:tc>
          <w:tcPr>
            <w:tcW w:w="1700" w:type="dxa"/>
            <w:vAlign w:val="bottom"/>
            <w:gridSpan w:val="5"/>
          </w:tcPr>
          <w:p>
            <w:pPr>
              <w:spacing w:after="0" w:line="136" w:lineRule="exact"/>
              <w:rPr>
                <w:sz w:val="20"/>
                <w:szCs w:val="20"/>
                <w:color w:val="auto"/>
              </w:rPr>
            </w:pPr>
            <w:r>
              <w:rPr>
                <w:rFonts w:ascii="Arial" w:cs="Arial" w:eastAsia="Arial" w:hAnsi="Arial"/>
                <w:sz w:val="15"/>
                <w:szCs w:val="15"/>
                <w:color w:val="0000FF"/>
              </w:rPr>
              <w:t xml:space="preserve">3 </w:t>
            </w:r>
            <w:r>
              <w:rPr>
                <w:rFonts w:ascii="Arial" w:cs="Arial" w:eastAsia="Arial" w:hAnsi="Arial"/>
                <w:sz w:val="15"/>
                <w:szCs w:val="15"/>
                <w:color w:val="000000"/>
              </w:rPr>
              <w:t>and</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0" w:type="dxa"/>
            <w:vAlign w:val="bottom"/>
            <w:vMerge w:val="restart"/>
          </w:tcPr>
          <w:p>
            <w:pPr>
              <w:spacing w:after="0"/>
              <w:rPr>
                <w:sz w:val="2"/>
                <w:szCs w:val="2"/>
                <w:color w:val="auto"/>
              </w:rPr>
            </w:pPr>
          </w:p>
        </w:tc>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92"/>
              </w:rPr>
              <w:t>Third</w:t>
            </w:r>
          </w:p>
        </w:tc>
        <w:tc>
          <w:tcPr>
            <w:tcW w:w="3580" w:type="dxa"/>
            <w:vAlign w:val="bottom"/>
            <w:gridSpan w:val="14"/>
            <w:vMerge w:val="restart"/>
          </w:tcPr>
          <w:p>
            <w:pPr>
              <w:spacing w:after="0" w:line="19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1620" w:type="dxa"/>
            <w:vAlign w:val="bottom"/>
            <w:gridSpan w:val="4"/>
            <w:vMerge w:val="restart"/>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42"/>
        </w:trPr>
        <w:tc>
          <w:tcPr>
            <w:tcW w:w="18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3580" w:type="dxa"/>
            <w:vAlign w:val="bottom"/>
            <w:gridSpan w:val="1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rPr>
              <w:t>Third</w:t>
            </w:r>
          </w:p>
        </w:tc>
        <w:tc>
          <w:tcPr>
            <w:tcW w:w="334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w w:val="93"/>
              </w:rPr>
              <w:t>anniversary of the Incremental Amendment No.</w:t>
            </w:r>
          </w:p>
        </w:tc>
        <w:tc>
          <w:tcPr>
            <w:tcW w:w="10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FF0000"/>
                <w:strike w:val="1"/>
                <w:w w:val="84"/>
              </w:rPr>
              <w:t>2</w:t>
            </w:r>
          </w:p>
        </w:tc>
        <w:tc>
          <w:tcPr>
            <w:tcW w:w="1820" w:type="dxa"/>
            <w:vAlign w:val="bottom"/>
            <w:gridSpan w:val="9"/>
            <w:shd w:val="clear" w:color="auto" w:fill="CCEEFF"/>
          </w:tcPr>
          <w:p>
            <w:pPr>
              <w:spacing w:after="0" w:line="149" w:lineRule="exact"/>
              <w:rPr>
                <w:sz w:val="20"/>
                <w:szCs w:val="20"/>
                <w:color w:val="auto"/>
              </w:rPr>
            </w:pPr>
            <w:r>
              <w:rPr>
                <w:rFonts w:ascii="Arial" w:cs="Arial" w:eastAsia="Arial" w:hAnsi="Arial"/>
                <w:sz w:val="17"/>
                <w:szCs w:val="17"/>
                <w:color w:val="0000FF"/>
              </w:rPr>
              <w:t xml:space="preserve">3 </w:t>
            </w:r>
            <w:r>
              <w:rPr>
                <w:rFonts w:ascii="Arial" w:cs="Arial" w:eastAsia="Arial" w:hAnsi="Arial"/>
                <w:sz w:val="17"/>
                <w:szCs w:val="17"/>
                <w:color w:val="000000"/>
              </w:rPr>
              <w:t>and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6"/>
                <w:szCs w:val="16"/>
                <w:color w:val="FF0000"/>
                <w:strike w:val="1"/>
              </w:rPr>
              <w:t>Third</w:t>
            </w:r>
          </w:p>
        </w:tc>
        <w:tc>
          <w:tcPr>
            <w:tcW w:w="3440" w:type="dxa"/>
            <w:vAlign w:val="bottom"/>
            <w:tcBorders>
              <w:top w:val="single" w:sz="8" w:color="CCEEFF"/>
            </w:tcBorders>
            <w:gridSpan w:val="9"/>
            <w:shd w:val="clear" w:color="auto" w:fill="CCEEFF"/>
          </w:tcPr>
          <w:p>
            <w:pPr>
              <w:spacing w:after="0" w:line="142" w:lineRule="exact"/>
              <w:rPr>
                <w:sz w:val="20"/>
                <w:szCs w:val="20"/>
                <w:color w:val="auto"/>
              </w:rPr>
            </w:pPr>
            <w:r>
              <w:rPr>
                <w:rFonts w:ascii="Arial" w:cs="Arial" w:eastAsia="Arial" w:hAnsi="Arial"/>
                <w:sz w:val="16"/>
                <w:szCs w:val="16"/>
                <w:color w:val="0000FF"/>
              </w:rPr>
              <w:t xml:space="preserve">Fifth </w:t>
            </w:r>
            <w:r>
              <w:rPr>
                <w:rFonts w:ascii="Arial" w:cs="Arial" w:eastAsia="Arial" w:hAnsi="Arial"/>
                <w:sz w:val="16"/>
                <w:szCs w:val="16"/>
                <w:color w:val="000000"/>
              </w:rPr>
              <w:t>Amendment Effective Date</w:t>
            </w: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5</w:t>
            </w:r>
          </w:p>
        </w:tc>
        <w:tc>
          <w:tcPr>
            <w:tcW w:w="42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6"/>
                <w:szCs w:val="16"/>
                <w:color w:val="0000FF"/>
                <w:w w:val="98"/>
              </w:rPr>
              <w:t>2.5</w:t>
            </w:r>
            <w:r>
              <w:rPr>
                <w:rFonts w:ascii="Arial" w:cs="Arial" w:eastAsia="Arial" w:hAnsi="Arial"/>
                <w:sz w:val="16"/>
                <w:szCs w:val="16"/>
                <w:color w:val="000000"/>
                <w:w w:val="98"/>
              </w:rPr>
              <w:t>%</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rPr>
              <w:t>Fourth</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4"/>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420" w:type="dxa"/>
            <w:vAlign w:val="bottom"/>
            <w:gridSpan w:val="8"/>
          </w:tcPr>
          <w:p>
            <w:pPr>
              <w:spacing w:after="0" w:line="136" w:lineRule="exact"/>
              <w:rPr>
                <w:sz w:val="20"/>
                <w:szCs w:val="20"/>
                <w:color w:val="auto"/>
              </w:rPr>
            </w:pPr>
            <w:r>
              <w:rPr>
                <w:rFonts w:ascii="Arial" w:cs="Arial" w:eastAsia="Arial" w:hAnsi="Arial"/>
                <w:sz w:val="15"/>
                <w:szCs w:val="15"/>
                <w:color w:val="auto"/>
              </w:rPr>
              <w:t>anniversary of the Incremental Amendment No.</w:t>
            </w:r>
          </w:p>
        </w:tc>
        <w:tc>
          <w:tcPr>
            <w:tcW w:w="100" w:type="dxa"/>
            <w:vAlign w:val="bottom"/>
            <w:gridSpan w:val="4"/>
          </w:tcPr>
          <w:p>
            <w:pPr>
              <w:spacing w:after="0" w:line="136" w:lineRule="exact"/>
              <w:rPr>
                <w:sz w:val="20"/>
                <w:szCs w:val="20"/>
                <w:color w:val="auto"/>
              </w:rPr>
            </w:pPr>
            <w:r>
              <w:rPr>
                <w:rFonts w:ascii="Arial" w:cs="Arial" w:eastAsia="Arial" w:hAnsi="Arial"/>
                <w:sz w:val="15"/>
                <w:szCs w:val="15"/>
                <w:color w:val="FF0000"/>
                <w:strike w:val="1"/>
                <w:w w:val="95"/>
              </w:rPr>
              <w:t>2</w:t>
            </w:r>
          </w:p>
        </w:tc>
        <w:tc>
          <w:tcPr>
            <w:tcW w:w="1740" w:type="dxa"/>
            <w:vAlign w:val="bottom"/>
            <w:gridSpan w:val="6"/>
          </w:tcPr>
          <w:p>
            <w:pPr>
              <w:spacing w:after="0" w:line="136" w:lineRule="exact"/>
              <w:rPr>
                <w:sz w:val="20"/>
                <w:szCs w:val="20"/>
                <w:color w:val="auto"/>
              </w:rPr>
            </w:pPr>
            <w:r>
              <w:rPr>
                <w:rFonts w:ascii="Arial" w:cs="Arial" w:eastAsia="Arial" w:hAnsi="Arial"/>
                <w:sz w:val="15"/>
                <w:szCs w:val="15"/>
                <w:color w:val="0000FF"/>
              </w:rPr>
              <w:t xml:space="preserve">3 </w:t>
            </w:r>
            <w:r>
              <w:rPr>
                <w:rFonts w:ascii="Arial" w:cs="Arial" w:eastAsia="Arial" w:hAnsi="Arial"/>
                <w:sz w:val="15"/>
                <w:szCs w:val="15"/>
                <w:color w:val="000000"/>
              </w:rPr>
              <w:t>and</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0" w:type="dxa"/>
            <w:vAlign w:val="bottom"/>
            <w:vMerge w:val="restart"/>
          </w:tcPr>
          <w:p>
            <w:pPr>
              <w:spacing w:after="0"/>
              <w:rPr>
                <w:sz w:val="2"/>
                <w:szCs w:val="2"/>
                <w:color w:val="auto"/>
              </w:rPr>
            </w:pPr>
          </w:p>
        </w:tc>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92"/>
              </w:rPr>
              <w:t>Third</w:t>
            </w:r>
          </w:p>
        </w:tc>
        <w:tc>
          <w:tcPr>
            <w:tcW w:w="3520" w:type="dxa"/>
            <w:vAlign w:val="bottom"/>
            <w:gridSpan w:val="12"/>
            <w:vMerge w:val="restart"/>
          </w:tcPr>
          <w:p>
            <w:pPr>
              <w:spacing w:after="0" w:line="19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4"/>
            <w:vMerge w:val="restart"/>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42"/>
        </w:trPr>
        <w:tc>
          <w:tcPr>
            <w:tcW w:w="18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3520" w:type="dxa"/>
            <w:vAlign w:val="bottom"/>
            <w:gridSpan w:val="1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rPr>
              <w:t>Fifth</w:t>
            </w:r>
          </w:p>
        </w:tc>
        <w:tc>
          <w:tcPr>
            <w:tcW w:w="330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anniversary of the Incremental Amendment No.</w:t>
            </w:r>
          </w:p>
        </w:tc>
        <w:tc>
          <w:tcPr>
            <w:tcW w:w="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2</w:t>
            </w:r>
          </w:p>
        </w:tc>
        <w:tc>
          <w:tcPr>
            <w:tcW w:w="1880" w:type="dxa"/>
            <w:vAlign w:val="bottom"/>
            <w:gridSpan w:val="12"/>
            <w:shd w:val="clear" w:color="auto" w:fill="CCEEFF"/>
          </w:tcPr>
          <w:p>
            <w:pPr>
              <w:spacing w:after="0" w:line="149" w:lineRule="exact"/>
              <w:rPr>
                <w:sz w:val="20"/>
                <w:szCs w:val="20"/>
                <w:color w:val="auto"/>
              </w:rPr>
            </w:pPr>
            <w:r>
              <w:rPr>
                <w:rFonts w:ascii="Arial" w:cs="Arial" w:eastAsia="Arial" w:hAnsi="Arial"/>
                <w:sz w:val="17"/>
                <w:szCs w:val="17"/>
                <w:color w:val="0000FF"/>
              </w:rPr>
              <w:t xml:space="preserve">3 </w:t>
            </w:r>
            <w:r>
              <w:rPr>
                <w:rFonts w:ascii="Arial" w:cs="Arial" w:eastAsia="Arial" w:hAnsi="Arial"/>
                <w:sz w:val="17"/>
                <w:szCs w:val="17"/>
                <w:color w:val="000000"/>
              </w:rPr>
              <w:t>and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6"/>
                <w:szCs w:val="16"/>
                <w:color w:val="FF0000"/>
                <w:strike w:val="1"/>
              </w:rPr>
              <w:t>Third</w:t>
            </w:r>
          </w:p>
        </w:tc>
        <w:tc>
          <w:tcPr>
            <w:tcW w:w="3400" w:type="dxa"/>
            <w:vAlign w:val="bottom"/>
            <w:tcBorders>
              <w:top w:val="single" w:sz="8" w:color="CCEEFF"/>
            </w:tcBorders>
            <w:gridSpan w:val="7"/>
            <w:shd w:val="clear" w:color="auto" w:fill="CCEEFF"/>
          </w:tcPr>
          <w:p>
            <w:pPr>
              <w:spacing w:after="0" w:line="142" w:lineRule="exact"/>
              <w:rPr>
                <w:sz w:val="20"/>
                <w:szCs w:val="20"/>
                <w:color w:val="auto"/>
              </w:rPr>
            </w:pPr>
            <w:r>
              <w:rPr>
                <w:rFonts w:ascii="Arial" w:cs="Arial" w:eastAsia="Arial" w:hAnsi="Arial"/>
                <w:sz w:val="16"/>
                <w:szCs w:val="16"/>
                <w:color w:val="0000FF"/>
              </w:rPr>
              <w:t xml:space="preserve">Fifth </w:t>
            </w:r>
            <w:r>
              <w:rPr>
                <w:rFonts w:ascii="Arial" w:cs="Arial" w:eastAsia="Arial" w:hAnsi="Arial"/>
                <w:sz w:val="16"/>
                <w:szCs w:val="16"/>
                <w:color w:val="000000"/>
              </w:rPr>
              <w:t>Amendment Effective Date</w:t>
            </w: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gridSpan w:val="4"/>
            <w:shd w:val="clear" w:color="auto" w:fill="CCEEFF"/>
          </w:tcPr>
          <w:p>
            <w:pPr>
              <w:jc w:val="right"/>
              <w:ind w:right="40"/>
              <w:spacing w:after="0" w:line="14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Loan A Repayments</w:t>
      </w:r>
      <w:r>
        <w:rPr>
          <w:rFonts w:ascii="Arial" w:cs="Arial" w:eastAsia="Arial" w:hAnsi="Arial"/>
          <w:sz w:val="18"/>
          <w:szCs w:val="18"/>
          <w:color w:val="auto"/>
        </w:rPr>
        <w:t xml:space="preserve">” means, with respect to the principal payments on the Term A Loan, on the last Business Day of each March, June, September and December ending on or prior to each date set forth below (commencing on </w:t>
      </w:r>
      <w:r>
        <w:rPr>
          <w:rFonts w:ascii="Arial" w:cs="Arial" w:eastAsia="Arial" w:hAnsi="Arial"/>
          <w:sz w:val="18"/>
          <w:szCs w:val="18"/>
          <w:color w:val="FF0000"/>
          <w:strike w:val="1"/>
        </w:rPr>
        <w:t>March</w:t>
      </w:r>
      <w:r>
        <w:rPr>
          <w:rFonts w:ascii="Arial" w:cs="Arial" w:eastAsia="Arial" w:hAnsi="Arial"/>
          <w:sz w:val="18"/>
          <w:szCs w:val="18"/>
          <w:u w:val="single" w:color="auto"/>
          <w:color w:val="0000FF"/>
        </w:rPr>
        <w:t>December</w:t>
      </w:r>
      <w:r>
        <w:rPr>
          <w:rFonts w:ascii="Arial" w:cs="Arial" w:eastAsia="Arial" w:hAnsi="Arial"/>
          <w:sz w:val="18"/>
          <w:szCs w:val="18"/>
          <w:color w:val="auto"/>
        </w:rPr>
        <w:t xml:space="preserve"> 31, </w:t>
      </w:r>
      <w:r>
        <w:rPr>
          <w:rFonts w:ascii="Arial" w:cs="Arial" w:eastAsia="Arial" w:hAnsi="Arial"/>
          <w:sz w:val="18"/>
          <w:szCs w:val="18"/>
          <w:color w:val="FF0000"/>
          <w:strike w:val="1"/>
        </w:rPr>
        <w:t>2020</w:t>
      </w:r>
      <w:r>
        <w:rPr>
          <w:rFonts w:ascii="Arial" w:cs="Arial" w:eastAsia="Arial" w:hAnsi="Arial"/>
          <w:sz w:val="18"/>
          <w:szCs w:val="18"/>
          <w:u w:val="single" w:color="auto"/>
          <w:color w:val="0000FF"/>
        </w:rPr>
        <w:t>2022</w:t>
      </w:r>
      <w:r>
        <w:rPr>
          <w:rFonts w:ascii="Arial" w:cs="Arial" w:eastAsia="Arial" w:hAnsi="Arial"/>
          <w:sz w:val="18"/>
          <w:szCs w:val="18"/>
          <w:color w:val="auto"/>
        </w:rPr>
        <w:t xml:space="preserve"> ), 0.25 times the percentage of the original aggregate principal amount of Term A Loans made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set forth opposite thereto, as reduced from time to time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and on the Term Loan A Maturity Date, the remaining outstanding principal amount thereof:</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Scheduled Term</w:t>
            </w:r>
          </w:p>
        </w:tc>
        <w:tc>
          <w:tcPr>
            <w:tcW w:w="0" w:type="dxa"/>
            <w:vAlign w:val="bottom"/>
          </w:tcPr>
          <w:p>
            <w:pPr>
              <w:spacing w:after="0"/>
              <w:rPr>
                <w:sz w:val="1"/>
                <w:szCs w:val="1"/>
                <w:color w:val="auto"/>
              </w:rPr>
            </w:pPr>
          </w:p>
        </w:tc>
      </w:tr>
      <w:tr>
        <w:trPr>
          <w:trHeight w:val="148"/>
        </w:trPr>
        <w:tc>
          <w:tcPr>
            <w:tcW w:w="610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Date</w:t>
            </w:r>
          </w:p>
        </w:tc>
        <w:tc>
          <w:tcPr>
            <w:tcW w:w="13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Loan A Repayment</w:t>
            </w:r>
          </w:p>
        </w:tc>
        <w:tc>
          <w:tcPr>
            <w:tcW w:w="0" w:type="dxa"/>
            <w:vAlign w:val="bottom"/>
          </w:tcPr>
          <w:p>
            <w:pPr>
              <w:spacing w:after="0"/>
              <w:rPr>
                <w:sz w:val="1"/>
                <w:szCs w:val="1"/>
                <w:color w:val="auto"/>
              </w:rPr>
            </w:pPr>
          </w:p>
        </w:tc>
      </w:tr>
      <w:tr>
        <w:trPr>
          <w:trHeight w:val="158"/>
        </w:trPr>
        <w:tc>
          <w:tcPr>
            <w:tcW w:w="6100" w:type="dxa"/>
            <w:vAlign w:val="bottom"/>
            <w:gridSpan w:val="23"/>
            <w:vMerge w:val="continue"/>
          </w:tcPr>
          <w:p>
            <w:pPr>
              <w:spacing w:after="0"/>
              <w:rPr>
                <w:sz w:val="13"/>
                <w:szCs w:val="13"/>
                <w:color w:val="auto"/>
              </w:rPr>
            </w:pPr>
          </w:p>
        </w:tc>
        <w:tc>
          <w:tcPr>
            <w:tcW w:w="138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gridSpan w:val="6"/>
            <w:shd w:val="clear" w:color="auto" w:fill="CCEEFF"/>
          </w:tcPr>
          <w:p>
            <w:pPr>
              <w:spacing w:after="0" w:line="149" w:lineRule="exact"/>
              <w:rPr>
                <w:sz w:val="20"/>
                <w:szCs w:val="20"/>
                <w:color w:val="auto"/>
              </w:rPr>
            </w:pPr>
            <w:r>
              <w:rPr>
                <w:rFonts w:ascii="Arial" w:cs="Arial" w:eastAsia="Arial" w:hAnsi="Arial"/>
                <w:sz w:val="17"/>
                <w:szCs w:val="17"/>
                <w:color w:val="auto"/>
                <w:w w:val="97"/>
              </w:rPr>
              <w:t>First anniversary of the Incremental Amendment No.</w:t>
            </w:r>
          </w:p>
        </w:tc>
        <w:tc>
          <w:tcPr>
            <w:tcW w:w="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2</w:t>
            </w:r>
          </w:p>
        </w:tc>
        <w:tc>
          <w:tcPr>
            <w:tcW w:w="2140" w:type="dxa"/>
            <w:vAlign w:val="bottom"/>
            <w:gridSpan w:val="13"/>
            <w:shd w:val="clear" w:color="auto" w:fill="CCEEFF"/>
          </w:tcPr>
          <w:p>
            <w:pPr>
              <w:spacing w:after="0" w:line="149" w:lineRule="exact"/>
              <w:rPr>
                <w:sz w:val="20"/>
                <w:szCs w:val="20"/>
                <w:color w:val="auto"/>
              </w:rPr>
            </w:pPr>
            <w:r>
              <w:rPr>
                <w:rFonts w:ascii="Arial" w:cs="Arial" w:eastAsia="Arial" w:hAnsi="Arial"/>
                <w:sz w:val="17"/>
                <w:szCs w:val="17"/>
                <w:color w:val="0000FF"/>
              </w:rPr>
              <w:t xml:space="preserve">3 </w:t>
            </w:r>
            <w:r>
              <w:rPr>
                <w:rFonts w:ascii="Arial" w:cs="Arial" w:eastAsia="Arial" w:hAnsi="Arial"/>
                <w:sz w:val="17"/>
                <w:szCs w:val="17"/>
                <w:color w:val="000000"/>
              </w:rPr>
              <w:t>and</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FF0000"/>
                <w:strike w:val="1"/>
                <w:w w:val="92"/>
              </w:rPr>
              <w:t>Third</w:t>
            </w:r>
          </w:p>
        </w:tc>
        <w:tc>
          <w:tcPr>
            <w:tcW w:w="338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2.5</w:t>
            </w:r>
          </w:p>
        </w:tc>
        <w:tc>
          <w:tcPr>
            <w:tcW w:w="420" w:type="dxa"/>
            <w:vAlign w:val="bottom"/>
            <w:tcBorders>
              <w:top w:val="single" w:sz="8" w:color="CCEEFF"/>
            </w:tcBorders>
            <w:gridSpan w:val="2"/>
            <w:shd w:val="clear" w:color="auto" w:fill="CCEEFF"/>
          </w:tcPr>
          <w:p>
            <w:pPr>
              <w:jc w:val="right"/>
              <w:ind w:right="40"/>
              <w:spacing w:after="0" w:line="156" w:lineRule="exact"/>
              <w:rPr>
                <w:sz w:val="20"/>
                <w:szCs w:val="20"/>
                <w:color w:val="auto"/>
              </w:rPr>
            </w:pPr>
            <w:r>
              <w:rPr>
                <w:rFonts w:ascii="Arial" w:cs="Arial" w:eastAsia="Arial" w:hAnsi="Arial"/>
                <w:sz w:val="18"/>
                <w:szCs w:val="18"/>
                <w:color w:val="0000FF"/>
                <w:w w:val="87"/>
              </w:rPr>
              <w:t>0.0</w:t>
            </w:r>
            <w:r>
              <w:rPr>
                <w:rFonts w:ascii="Arial" w:cs="Arial" w:eastAsia="Arial" w:hAnsi="Arial"/>
                <w:sz w:val="18"/>
                <w:szCs w:val="18"/>
                <w:color w:val="000000"/>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w w:val="88"/>
              </w:rPr>
              <w:t>Second</w:t>
            </w:r>
          </w:p>
        </w:tc>
        <w:tc>
          <w:tcPr>
            <w:tcW w:w="20" w:type="dxa"/>
            <w:vAlign w:val="bottom"/>
            <w:tcBorders>
              <w:top w:val="single" w:sz="8" w:color="0000FF"/>
            </w:tcBorders>
            <w:vMerge w:val="restart"/>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29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80" w:type="dxa"/>
            <w:vAlign w:val="bottom"/>
            <w:gridSpan w:val="10"/>
          </w:tcPr>
          <w:p>
            <w:pPr>
              <w:spacing w:after="0" w:line="156" w:lineRule="exact"/>
              <w:rPr>
                <w:sz w:val="20"/>
                <w:szCs w:val="20"/>
                <w:color w:val="auto"/>
              </w:rPr>
            </w:pPr>
            <w:r>
              <w:rPr>
                <w:rFonts w:ascii="Arial" w:cs="Arial" w:eastAsia="Arial" w:hAnsi="Arial"/>
                <w:sz w:val="18"/>
                <w:szCs w:val="18"/>
                <w:color w:val="auto"/>
                <w:w w:val="91"/>
              </w:rPr>
              <w:t>anniversary of the Incremental Amendment No.</w:t>
            </w:r>
          </w:p>
        </w:tc>
        <w:tc>
          <w:tcPr>
            <w:tcW w:w="80" w:type="dxa"/>
            <w:vAlign w:val="bottom"/>
            <w:gridSpan w:val="3"/>
          </w:tcPr>
          <w:p>
            <w:pPr>
              <w:jc w:val="right"/>
              <w:spacing w:after="0" w:line="156" w:lineRule="exact"/>
              <w:rPr>
                <w:sz w:val="20"/>
                <w:szCs w:val="20"/>
                <w:color w:val="auto"/>
              </w:rPr>
            </w:pPr>
            <w:r>
              <w:rPr>
                <w:rFonts w:ascii="Arial" w:cs="Arial" w:eastAsia="Arial" w:hAnsi="Arial"/>
                <w:sz w:val="15"/>
                <w:szCs w:val="15"/>
                <w:color w:val="FF0000"/>
                <w:strike w:val="1"/>
                <w:w w:val="71"/>
              </w:rPr>
              <w:t>2</w:t>
            </w:r>
          </w:p>
        </w:tc>
        <w:tc>
          <w:tcPr>
            <w:tcW w:w="1940" w:type="dxa"/>
            <w:vAlign w:val="bottom"/>
            <w:gridSpan w:val="5"/>
          </w:tcPr>
          <w:p>
            <w:pPr>
              <w:spacing w:after="0" w:line="156" w:lineRule="exact"/>
              <w:rPr>
                <w:sz w:val="20"/>
                <w:szCs w:val="20"/>
                <w:color w:val="auto"/>
              </w:rPr>
            </w:pPr>
            <w:r>
              <w:rPr>
                <w:rFonts w:ascii="Arial" w:cs="Arial" w:eastAsia="Arial" w:hAnsi="Arial"/>
                <w:sz w:val="18"/>
                <w:szCs w:val="18"/>
                <w:color w:val="0000FF"/>
              </w:rPr>
              <w:t xml:space="preserve">3 </w:t>
            </w:r>
            <w:r>
              <w:rPr>
                <w:rFonts w:ascii="Arial" w:cs="Arial" w:eastAsia="Arial" w:hAnsi="Arial"/>
                <w:sz w:val="18"/>
                <w:szCs w:val="18"/>
                <w:color w:val="000000"/>
              </w:rPr>
              <w:t>and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92"/>
              </w:rPr>
              <w:t>Third</w:t>
            </w:r>
          </w:p>
        </w:tc>
        <w:tc>
          <w:tcPr>
            <w:tcW w:w="3580" w:type="dxa"/>
            <w:vAlign w:val="bottom"/>
            <w:gridSpan w:val="14"/>
            <w:vMerge w:val="restart"/>
          </w:tcPr>
          <w:p>
            <w:pPr>
              <w:spacing w:after="0" w:line="19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gridSpan w:val="4"/>
            <w:vMerge w:val="restart"/>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3580" w:type="dxa"/>
            <w:vAlign w:val="bottom"/>
            <w:gridSpan w:val="1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Third</w:t>
            </w:r>
          </w:p>
        </w:tc>
        <w:tc>
          <w:tcPr>
            <w:tcW w:w="33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88"/>
              </w:rPr>
              <w:t>anniversary of the Incremental Amendment No.</w:t>
            </w:r>
          </w:p>
        </w:tc>
        <w:tc>
          <w:tcPr>
            <w:tcW w:w="10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2</w:t>
            </w:r>
          </w:p>
        </w:tc>
        <w:tc>
          <w:tcPr>
            <w:tcW w:w="2060" w:type="dxa"/>
            <w:vAlign w:val="bottom"/>
            <w:gridSpan w:val="9"/>
            <w:shd w:val="clear" w:color="auto" w:fill="CCEEFF"/>
          </w:tcPr>
          <w:p>
            <w:pPr>
              <w:spacing w:after="0" w:line="156" w:lineRule="exact"/>
              <w:rPr>
                <w:sz w:val="20"/>
                <w:szCs w:val="20"/>
                <w:color w:val="auto"/>
              </w:rPr>
            </w:pPr>
            <w:r>
              <w:rPr>
                <w:rFonts w:ascii="Arial" w:cs="Arial" w:eastAsia="Arial" w:hAnsi="Arial"/>
                <w:sz w:val="18"/>
                <w:szCs w:val="18"/>
                <w:color w:val="0000FF"/>
              </w:rPr>
              <w:t xml:space="preserve">3 </w:t>
            </w:r>
            <w:r>
              <w:rPr>
                <w:rFonts w:ascii="Arial" w:cs="Arial" w:eastAsia="Arial" w:hAnsi="Arial"/>
                <w:sz w:val="18"/>
                <w:szCs w:val="18"/>
                <w:color w:val="000000"/>
              </w:rPr>
              <w:t>and</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FF0000"/>
                <w:strike w:val="1"/>
                <w:w w:val="92"/>
              </w:rPr>
              <w:t>Third</w:t>
            </w:r>
          </w:p>
        </w:tc>
        <w:tc>
          <w:tcPr>
            <w:tcW w:w="3440" w:type="dxa"/>
            <w:vAlign w:val="bottom"/>
            <w:tcBorders>
              <w:top w:val="single" w:sz="8" w:color="CCEE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5</w:t>
            </w:r>
          </w:p>
        </w:tc>
        <w:tc>
          <w:tcPr>
            <w:tcW w:w="420" w:type="dxa"/>
            <w:vAlign w:val="bottom"/>
            <w:tcBorders>
              <w:top w:val="single" w:sz="8" w:color="CCEEFF"/>
            </w:tcBorders>
            <w:gridSpan w:val="2"/>
            <w:shd w:val="clear" w:color="auto" w:fill="CCEEFF"/>
          </w:tcPr>
          <w:p>
            <w:pPr>
              <w:jc w:val="right"/>
              <w:ind w:right="40"/>
              <w:spacing w:after="0" w:line="156" w:lineRule="exact"/>
              <w:rPr>
                <w:sz w:val="20"/>
                <w:szCs w:val="20"/>
                <w:color w:val="auto"/>
              </w:rPr>
            </w:pPr>
            <w:r>
              <w:rPr>
                <w:rFonts w:ascii="Arial" w:cs="Arial" w:eastAsia="Arial" w:hAnsi="Arial"/>
                <w:sz w:val="18"/>
                <w:szCs w:val="18"/>
                <w:color w:val="0000FF"/>
                <w:w w:val="87"/>
              </w:rPr>
              <w:t>2.5</w:t>
            </w:r>
            <w:r>
              <w:rPr>
                <w:rFonts w:ascii="Arial" w:cs="Arial" w:eastAsia="Arial" w:hAnsi="Arial"/>
                <w:sz w:val="18"/>
                <w:szCs w:val="18"/>
                <w:color w:val="000000"/>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rPr>
              <w:t>Fourth</w:t>
            </w:r>
          </w:p>
        </w:tc>
        <w:tc>
          <w:tcPr>
            <w:tcW w:w="20" w:type="dxa"/>
            <w:vAlign w:val="bottom"/>
            <w:tcBorders>
              <w:top w:val="single" w:sz="8" w:color="0000FF"/>
            </w:tcBorders>
            <w:vMerge w:val="restart"/>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2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4"/>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20" w:type="dxa"/>
            <w:vAlign w:val="bottom"/>
            <w:gridSpan w:val="8"/>
          </w:tcPr>
          <w:p>
            <w:pPr>
              <w:spacing w:after="0" w:line="156" w:lineRule="exact"/>
              <w:rPr>
                <w:sz w:val="20"/>
                <w:szCs w:val="20"/>
                <w:color w:val="auto"/>
              </w:rPr>
            </w:pPr>
            <w:r>
              <w:rPr>
                <w:rFonts w:ascii="Arial" w:cs="Arial" w:eastAsia="Arial" w:hAnsi="Arial"/>
                <w:sz w:val="18"/>
                <w:szCs w:val="18"/>
                <w:color w:val="auto"/>
                <w:w w:val="90"/>
              </w:rPr>
              <w:t>anniversary of the Incremental Amendment No.</w:t>
            </w:r>
          </w:p>
        </w:tc>
        <w:tc>
          <w:tcPr>
            <w:tcW w:w="100" w:type="dxa"/>
            <w:vAlign w:val="bottom"/>
            <w:gridSpan w:val="4"/>
          </w:tcPr>
          <w:p>
            <w:pPr>
              <w:spacing w:after="0" w:line="156" w:lineRule="exact"/>
              <w:rPr>
                <w:sz w:val="20"/>
                <w:szCs w:val="20"/>
                <w:color w:val="auto"/>
              </w:rPr>
            </w:pPr>
            <w:r>
              <w:rPr>
                <w:rFonts w:ascii="Arial" w:cs="Arial" w:eastAsia="Arial" w:hAnsi="Arial"/>
                <w:sz w:val="18"/>
                <w:szCs w:val="18"/>
                <w:color w:val="FF0000"/>
                <w:strike w:val="1"/>
                <w:w w:val="79"/>
              </w:rPr>
              <w:t>2</w:t>
            </w:r>
          </w:p>
        </w:tc>
        <w:tc>
          <w:tcPr>
            <w:tcW w:w="1980" w:type="dxa"/>
            <w:vAlign w:val="bottom"/>
            <w:gridSpan w:val="6"/>
          </w:tcPr>
          <w:p>
            <w:pPr>
              <w:spacing w:after="0" w:line="156" w:lineRule="exact"/>
              <w:rPr>
                <w:sz w:val="20"/>
                <w:szCs w:val="20"/>
                <w:color w:val="auto"/>
              </w:rPr>
            </w:pPr>
            <w:r>
              <w:rPr>
                <w:rFonts w:ascii="Arial" w:cs="Arial" w:eastAsia="Arial" w:hAnsi="Arial"/>
                <w:sz w:val="18"/>
                <w:szCs w:val="18"/>
                <w:color w:val="0000FF"/>
              </w:rPr>
              <w:t xml:space="preserve">3 </w:t>
            </w:r>
            <w:r>
              <w:rPr>
                <w:rFonts w:ascii="Arial" w:cs="Arial" w:eastAsia="Arial" w:hAnsi="Arial"/>
                <w:sz w:val="18"/>
                <w:szCs w:val="18"/>
                <w:color w:val="000000"/>
              </w:rPr>
              <w:t>and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92"/>
              </w:rPr>
              <w:t>Third</w:t>
            </w:r>
          </w:p>
        </w:tc>
        <w:tc>
          <w:tcPr>
            <w:tcW w:w="3520" w:type="dxa"/>
            <w:vAlign w:val="bottom"/>
            <w:gridSpan w:val="12"/>
            <w:vMerge w:val="restart"/>
          </w:tcPr>
          <w:p>
            <w:pPr>
              <w:spacing w:after="0" w:line="19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gridSpan w:val="4"/>
            <w:vMerge w:val="restart"/>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Fifth</w:t>
            </w:r>
          </w:p>
        </w:tc>
        <w:tc>
          <w:tcPr>
            <w:tcW w:w="33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w w:val="86"/>
              </w:rPr>
              <w:t>anniversary of the Incremental Amendment No.</w:t>
            </w:r>
          </w:p>
        </w:tc>
        <w:tc>
          <w:tcPr>
            <w:tcW w:w="8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2</w:t>
            </w:r>
          </w:p>
        </w:tc>
        <w:tc>
          <w:tcPr>
            <w:tcW w:w="2120" w:type="dxa"/>
            <w:vAlign w:val="bottom"/>
            <w:gridSpan w:val="12"/>
            <w:shd w:val="clear" w:color="auto" w:fill="CCEEFF"/>
          </w:tcPr>
          <w:p>
            <w:pPr>
              <w:spacing w:after="0" w:line="156" w:lineRule="exact"/>
              <w:rPr>
                <w:sz w:val="20"/>
                <w:szCs w:val="20"/>
                <w:color w:val="auto"/>
              </w:rPr>
            </w:pPr>
            <w:r>
              <w:rPr>
                <w:rFonts w:ascii="Arial" w:cs="Arial" w:eastAsia="Arial" w:hAnsi="Arial"/>
                <w:sz w:val="18"/>
                <w:szCs w:val="18"/>
                <w:color w:val="0000FF"/>
              </w:rPr>
              <w:t xml:space="preserve">3 </w:t>
            </w:r>
            <w:r>
              <w:rPr>
                <w:rFonts w:ascii="Arial" w:cs="Arial" w:eastAsia="Arial" w:hAnsi="Arial"/>
                <w:sz w:val="18"/>
                <w:szCs w:val="18"/>
                <w:color w:val="000000"/>
              </w:rPr>
              <w:t>and</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FF0000"/>
                <w:strike w:val="1"/>
                <w:w w:val="92"/>
              </w:rPr>
              <w:t>Third</w:t>
            </w:r>
          </w:p>
        </w:tc>
        <w:tc>
          <w:tcPr>
            <w:tcW w:w="3400" w:type="dxa"/>
            <w:vAlign w:val="bottom"/>
            <w:tcBorders>
              <w:top w:val="single" w:sz="8" w:color="CCEEFF"/>
            </w:tcBorders>
            <w:gridSpan w:val="7"/>
            <w:shd w:val="clear" w:color="auto" w:fill="CCEEFF"/>
          </w:tcPr>
          <w:p>
            <w:pPr>
              <w:spacing w:after="0" w:line="156" w:lineRule="exact"/>
              <w:rPr>
                <w:sz w:val="20"/>
                <w:szCs w:val="20"/>
                <w:color w:val="auto"/>
              </w:rPr>
            </w:pPr>
            <w:r>
              <w:rPr>
                <w:rFonts w:ascii="Arial" w:cs="Arial" w:eastAsia="Arial" w:hAnsi="Arial"/>
                <w:sz w:val="18"/>
                <w:szCs w:val="18"/>
                <w:color w:val="0000FF"/>
              </w:rPr>
              <w:t xml:space="preserve">Fifth </w:t>
            </w:r>
            <w:r>
              <w:rPr>
                <w:rFonts w:ascii="Arial" w:cs="Arial" w:eastAsia="Arial" w:hAnsi="Arial"/>
                <w:sz w:val="18"/>
                <w:szCs w:val="18"/>
                <w:color w:val="000000"/>
              </w:rPr>
              <w:t>Amendment Effective Date</w:t>
            </w: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4"/>
            <w:shd w:val="clear" w:color="auto" w:fill="CCEEFF"/>
          </w:tcPr>
          <w:p>
            <w:pPr>
              <w:jc w:val="right"/>
              <w:ind w:right="40"/>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0" w:type="dxa"/>
            <w:vAlign w:val="bottom"/>
            <w:tcBorders>
              <w:top w:val="single" w:sz="8" w:color="CCEEFF"/>
            </w:tcBorders>
            <w:gridSpan w:val="3"/>
          </w:tcPr>
          <w:p>
            <w:pPr>
              <w:spacing w:after="0"/>
              <w:rPr>
                <w:sz w:val="24"/>
                <w:szCs w:val="24"/>
                <w:color w:val="auto"/>
              </w:rPr>
            </w:pPr>
          </w:p>
        </w:tc>
        <w:tc>
          <w:tcPr>
            <w:tcW w:w="360" w:type="dxa"/>
            <w:vAlign w:val="bottom"/>
            <w:tcBorders>
              <w:top w:val="single" w:sz="8" w:color="0000FF"/>
            </w:tcBorders>
            <w:gridSpan w:val="2"/>
          </w:tcPr>
          <w:p>
            <w:pPr>
              <w:spacing w:after="0"/>
              <w:rPr>
                <w:sz w:val="24"/>
                <w:szCs w:val="24"/>
                <w:color w:val="auto"/>
              </w:rPr>
            </w:pPr>
          </w:p>
        </w:tc>
        <w:tc>
          <w:tcPr>
            <w:tcW w:w="2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200" w:name="page201"/>
    <w:bookmarkEnd w:id="200"/>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Scheduled Term Repayments</w:t>
      </w:r>
      <w:r>
        <w:rPr>
          <w:rFonts w:ascii="Arial" w:cs="Arial" w:eastAsia="Arial" w:hAnsi="Arial"/>
          <w:sz w:val="18"/>
          <w:szCs w:val="18"/>
          <w:color w:val="auto"/>
        </w:rPr>
        <w:t>” means, for any Term Facility, the scheduled principal repayments set forth in the “Scheduled Term Repayments” definition applicable to such Term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12.4(c)</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Creditors</w:t>
      </w:r>
      <w:r>
        <w:rPr>
          <w:rFonts w:ascii="Arial" w:cs="Arial" w:eastAsia="Arial" w:hAnsi="Arial"/>
          <w:sz w:val="18"/>
          <w:szCs w:val="18"/>
          <w:color w:val="auto"/>
        </w:rPr>
        <w:t>” has the meaning provided in the respective Security Documents to the extent defined therein and shall include any Person who is granted a Lien or security interest pursuant to any Loan Document.</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SEMs</w:t>
      </w:r>
      <w:r>
        <w:rPr>
          <w:rFonts w:ascii="Arial" w:cs="Arial" w:eastAsia="Arial" w:hAnsi="Arial"/>
          <w:sz w:val="18"/>
          <w:szCs w:val="18"/>
          <w:color w:val="auto"/>
        </w:rPr>
        <w:t>” means the US Environmental Protection Agency Superfund Enterprise Management System (SEMS) database.</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w:t>
      </w:r>
      <w:r>
        <w:rPr>
          <w:rFonts w:ascii="Arial" w:cs="Arial" w:eastAsia="Arial" w:hAnsi="Arial"/>
          <w:sz w:val="17"/>
          <w:szCs w:val="17"/>
          <w:color w:val="auto"/>
        </w:rPr>
        <w:t xml:space="preserve">” means each of the following: (i) the Senior Notes </w:t>
      </w:r>
      <w:r>
        <w:rPr>
          <w:rFonts w:ascii="Arial" w:cs="Arial" w:eastAsia="Arial" w:hAnsi="Arial"/>
          <w:sz w:val="17"/>
          <w:szCs w:val="17"/>
          <w:color w:val="FF0000"/>
          <w:strike w:val="1"/>
        </w:rPr>
        <w:t>2022</w:t>
      </w:r>
      <w:r>
        <w:rPr>
          <w:rFonts w:ascii="Arial" w:cs="Arial" w:eastAsia="Arial" w:hAnsi="Arial"/>
          <w:sz w:val="17"/>
          <w:szCs w:val="17"/>
          <w:u w:val="single" w:color="auto"/>
          <w:color w:val="0000FF"/>
        </w:rPr>
        <w:t>2023</w:t>
      </w:r>
      <w:r>
        <w:rPr>
          <w:rFonts w:ascii="Arial" w:cs="Arial" w:eastAsia="Arial" w:hAnsi="Arial"/>
          <w:sz w:val="17"/>
          <w:szCs w:val="17"/>
          <w:color w:val="auto"/>
        </w:rPr>
        <w:t>, (ii) the Senior Notes 2023</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(iii) the Senior Notes 2024, (iv) the Senior Notes 2025, (v) the Senior Notes 2026, (vi) the Senior Notes </w:t>
      </w:r>
      <w:r>
        <w:rPr>
          <w:rFonts w:ascii="Arial" w:cs="Arial" w:eastAsia="Arial" w:hAnsi="Arial"/>
          <w:sz w:val="17"/>
          <w:szCs w:val="17"/>
          <w:color w:val="FF0000"/>
          <w:strike w:val="1"/>
        </w:rPr>
        <w:t>2023</w:t>
      </w:r>
      <w:r>
        <w:rPr>
          <w:rFonts w:ascii="Arial" w:cs="Arial" w:eastAsia="Arial" w:hAnsi="Arial"/>
          <w:sz w:val="17"/>
          <w:szCs w:val="17"/>
          <w:u w:val="single" w:color="auto"/>
          <w:color w:val="0000FF"/>
        </w:rPr>
        <w:t>2026</w:t>
      </w:r>
      <w:r>
        <w:rPr>
          <w:rFonts w:ascii="Arial" w:cs="Arial" w:eastAsia="Arial" w:hAnsi="Arial"/>
          <w:sz w:val="17"/>
          <w:szCs w:val="17"/>
          <w:color w:val="auto"/>
        </w:rPr>
        <w:t xml:space="preserve"> -2, (vii) the Senior Notes </w:t>
      </w:r>
      <w:r>
        <w:rPr>
          <w:rFonts w:ascii="Arial" w:cs="Arial" w:eastAsia="Arial" w:hAnsi="Arial"/>
          <w:sz w:val="17"/>
          <w:szCs w:val="17"/>
          <w:color w:val="FF0000"/>
          <w:strike w:val="1"/>
        </w:rPr>
        <w:t>2023-3, (viii) the Senior Notes 2026-2, (ix) the</w:t>
      </w:r>
      <w:r>
        <w:rPr>
          <w:rFonts w:ascii="Arial" w:cs="Arial" w:eastAsia="Arial" w:hAnsi="Arial"/>
          <w:sz w:val="17"/>
          <w:szCs w:val="17"/>
          <w:color w:val="auto"/>
        </w:rPr>
        <w:t xml:space="preserve"> </w:t>
      </w:r>
      <w:r>
        <w:rPr>
          <w:rFonts w:ascii="Arial" w:cs="Arial" w:eastAsia="Arial" w:hAnsi="Arial"/>
          <w:sz w:val="17"/>
          <w:szCs w:val="17"/>
          <w:color w:val="FF0000"/>
          <w:strike w:val="1"/>
        </w:rPr>
        <w:t>Senior Notes</w:t>
      </w:r>
      <w:r>
        <w:rPr>
          <w:rFonts w:ascii="Arial" w:cs="Arial" w:eastAsia="Arial" w:hAnsi="Arial"/>
          <w:sz w:val="17"/>
          <w:szCs w:val="17"/>
          <w:color w:val="FF0000"/>
        </w:rPr>
        <w:t xml:space="preserve"> </w:t>
      </w:r>
      <w:r>
        <w:rPr>
          <w:rFonts w:ascii="Arial" w:cs="Arial" w:eastAsia="Arial" w:hAnsi="Arial"/>
          <w:sz w:val="17"/>
          <w:szCs w:val="17"/>
          <w:color w:val="000000"/>
        </w:rPr>
        <w:t>2026-3 and (</w:t>
      </w:r>
      <w:r>
        <w:rPr>
          <w:rFonts w:ascii="Arial" w:cs="Arial" w:eastAsia="Arial" w:hAnsi="Arial"/>
          <w:sz w:val="17"/>
          <w:szCs w:val="17"/>
          <w:color w:val="FF0000"/>
          <w:strike w:val="1"/>
        </w:rPr>
        <w:t>x</w:t>
      </w:r>
      <w:r>
        <w:rPr>
          <w:rFonts w:ascii="Arial" w:cs="Arial" w:eastAsia="Arial" w:hAnsi="Arial"/>
          <w:sz w:val="17"/>
          <w:szCs w:val="17"/>
          <w:u w:val="single" w:color="auto"/>
          <w:color w:val="0000FF"/>
        </w:rPr>
        <w:t>viii</w:t>
      </w:r>
      <w:r>
        <w:rPr>
          <w:rFonts w:ascii="Arial" w:cs="Arial" w:eastAsia="Arial" w:hAnsi="Arial"/>
          <w:sz w:val="17"/>
          <w:szCs w:val="17"/>
          <w:color w:val="000000"/>
        </w:rPr>
        <w:t>) any exchange notes which are issued in a registered exchange offer for any of such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-288290</wp:posOffset>
            </wp:positionV>
            <wp:extent cx="22288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-288290</wp:posOffset>
            </wp:positionV>
            <wp:extent cx="939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-151130</wp:posOffset>
            </wp:positionV>
            <wp:extent cx="22288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-13970</wp:posOffset>
            </wp:positionV>
            <wp:extent cx="15430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Senior Notes 2022</w:t>
      </w:r>
      <w:r>
        <w:rPr>
          <w:rFonts w:ascii="Arial" w:cs="Arial" w:eastAsia="Arial" w:hAnsi="Arial"/>
          <w:sz w:val="18"/>
          <w:szCs w:val="18"/>
          <w:color w:val="FF0000"/>
          <w:strike w:val="1"/>
        </w:rPr>
        <w:t>” means the €650,000,000 in aggregate principal amount of 4.00% senior notes due 2022 of European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Senior Notes 2022 Indenture</w:t>
      </w:r>
      <w:r>
        <w:rPr>
          <w:rFonts w:ascii="Arial" w:cs="Arial" w:eastAsia="Arial" w:hAnsi="Arial"/>
          <w:sz w:val="18"/>
          <w:szCs w:val="18"/>
          <w:color w:val="FF0000"/>
          <w:strike w:val="1"/>
        </w:rPr>
        <w:t>” means the Indenture governing the Senior Notes 2022.</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Senior Notes 2023</w:t>
      </w:r>
      <w:r>
        <w:rPr>
          <w:rFonts w:ascii="Arial" w:cs="Arial" w:eastAsia="Arial" w:hAnsi="Arial"/>
          <w:sz w:val="18"/>
          <w:szCs w:val="18"/>
          <w:color w:val="FF0000"/>
          <w:strike w:val="1"/>
        </w:rPr>
        <w:t>” means the $1,000,000,000 in aggregate principal amount of 4.50% senior notes due 2023 of U.S. Borrower and Crown Americas Capital Corp. IV.</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Senior Notes 2023 Indenture</w:t>
      </w:r>
      <w:r>
        <w:rPr>
          <w:rFonts w:ascii="Arial" w:cs="Arial" w:eastAsia="Arial" w:hAnsi="Arial"/>
          <w:sz w:val="18"/>
          <w:szCs w:val="18"/>
          <w:color w:val="FF0000"/>
          <w:strike w:val="1"/>
        </w:rPr>
        <w:t>” means the Indenture governing the Senior Notes 2023.</w:t>
      </w:r>
    </w:p>
    <w:p>
      <w:pPr>
        <w:spacing w:after="0" w:line="225"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2023</w:t>
      </w:r>
      <w:r>
        <w:rPr>
          <w:rFonts w:ascii="Arial" w:cs="Arial" w:eastAsia="Arial" w:hAnsi="Arial"/>
          <w:sz w:val="18"/>
          <w:szCs w:val="18"/>
          <w:color w:val="FF0000"/>
          <w:strike w:val="1"/>
        </w:rPr>
        <w:t>-2</w:t>
      </w:r>
      <w:r>
        <w:rPr>
          <w:rFonts w:ascii="Arial" w:cs="Arial" w:eastAsia="Arial" w:hAnsi="Arial"/>
          <w:sz w:val="18"/>
          <w:szCs w:val="18"/>
          <w:color w:val="auto"/>
        </w:rPr>
        <w:t>” means the €335,000,000 in aggregate principal amount of 2.250% senior notes due 2023 of European Borrower. 67</w:t>
      </w:r>
    </w:p>
    <w:p>
      <w:pPr>
        <w:sectPr>
          <w:pgSz w:w="11900" w:h="16838" w:orient="portrait"/>
          <w:cols w:equalWidth="0" w:num="1">
            <w:col w:w="11000"/>
          </w:cols>
          <w:pgMar w:left="440" w:top="274" w:right="459" w:bottom="1440" w:gutter="0" w:footer="0" w:header="0"/>
        </w:sectPr>
      </w:pPr>
    </w:p>
    <w:bookmarkStart w:id="201" w:name="page202"/>
    <w:bookmarkEnd w:id="2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Senior Notes 2023</w:t>
      </w:r>
      <w:r>
        <w:rPr>
          <w:rFonts w:ascii="Arial" w:cs="Arial" w:eastAsia="Arial" w:hAnsi="Arial"/>
          <w:sz w:val="18"/>
          <w:szCs w:val="18"/>
          <w:color w:val="FF0000"/>
          <w:strike w:val="1"/>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means the Indenture governing the Senior Notes 2023</w:t>
      </w:r>
      <w:r>
        <w:rPr>
          <w:rFonts w:ascii="Arial" w:cs="Arial" w:eastAsia="Arial" w:hAnsi="Arial"/>
          <w:sz w:val="18"/>
          <w:szCs w:val="18"/>
          <w:color w:val="FF0000"/>
          <w:strike w:val="1"/>
        </w:rPr>
        <w:t>-2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2023-</w:t>
      </w:r>
      <w:r>
        <w:rPr>
          <w:rFonts w:ascii="Arial" w:cs="Arial" w:eastAsia="Arial" w:hAnsi="Arial"/>
          <w:sz w:val="17"/>
          <w:szCs w:val="17"/>
          <w:color w:val="FF0000"/>
          <w:strike w:val="1"/>
        </w:rPr>
        <w:t>3</w:t>
      </w:r>
      <w:r>
        <w:rPr>
          <w:rFonts w:ascii="Arial" w:cs="Arial" w:eastAsia="Arial" w:hAnsi="Arial"/>
          <w:sz w:val="17"/>
          <w:szCs w:val="17"/>
          <w:u w:val="single" w:color="auto"/>
          <w:color w:val="0000FF"/>
        </w:rPr>
        <w:t>2</w:t>
      </w:r>
      <w:r>
        <w:rPr>
          <w:rFonts w:ascii="Arial" w:cs="Arial" w:eastAsia="Arial" w:hAnsi="Arial"/>
          <w:sz w:val="17"/>
          <w:szCs w:val="17"/>
          <w:color w:val="auto"/>
        </w:rPr>
        <w:t>” means the €550,000,000 in aggregate principal amount of 0.750% senior notes due 2023 of European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30480</wp:posOffset>
            </wp:positionV>
            <wp:extent cx="5143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2023-</w:t>
      </w:r>
      <w:r>
        <w:rPr>
          <w:rFonts w:ascii="Arial" w:cs="Arial" w:eastAsia="Arial" w:hAnsi="Arial"/>
          <w:sz w:val="18"/>
          <w:szCs w:val="18"/>
          <w:color w:val="FF0000"/>
          <w:strike w:val="1"/>
        </w:rPr>
        <w:t>3</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means the Indenture governing the Senior Notes 2023-</w:t>
      </w:r>
      <w:r>
        <w:rPr>
          <w:rFonts w:ascii="Arial" w:cs="Arial" w:eastAsia="Arial" w:hAnsi="Arial"/>
          <w:sz w:val="18"/>
          <w:szCs w:val="18"/>
          <w:color w:val="FF0000"/>
          <w:strike w:val="1"/>
        </w:rPr>
        <w:t>3</w:t>
      </w:r>
      <w:r>
        <w:rPr>
          <w:rFonts w:ascii="Arial" w:cs="Arial" w:eastAsia="Arial" w:hAnsi="Arial"/>
          <w:sz w:val="18"/>
          <w:szCs w:val="18"/>
          <w:u w:val="single" w:color="auto"/>
          <w:color w:val="0000FF"/>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23495</wp:posOffset>
            </wp:positionV>
            <wp:extent cx="5143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23495</wp:posOffset>
            </wp:positionV>
            <wp:extent cx="514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2024</w:t>
      </w:r>
      <w:r>
        <w:rPr>
          <w:rFonts w:ascii="Arial" w:cs="Arial" w:eastAsia="Arial" w:hAnsi="Arial"/>
          <w:sz w:val="17"/>
          <w:szCs w:val="17"/>
          <w:color w:val="auto"/>
        </w:rPr>
        <w:t>” means the €600,000,000 in aggregate principal amount of 2.625% senior notes due 2024 of European Borrower.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2024 Indenture</w:t>
      </w:r>
      <w:r>
        <w:rPr>
          <w:rFonts w:ascii="Arial" w:cs="Arial" w:eastAsia="Arial" w:hAnsi="Arial"/>
          <w:sz w:val="18"/>
          <w:szCs w:val="18"/>
          <w:color w:val="auto"/>
        </w:rPr>
        <w:t>” means the Indenture governing the Senior Notes 2024.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2025</w:t>
      </w:r>
      <w:r>
        <w:rPr>
          <w:rFonts w:ascii="Arial" w:cs="Arial" w:eastAsia="Arial" w:hAnsi="Arial"/>
          <w:sz w:val="17"/>
          <w:szCs w:val="17"/>
          <w:color w:val="auto"/>
        </w:rPr>
        <w:t>” means the €600,000,000 in aggregate principal amount of 3.375% senior notes due 2025 of European Borrower.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2025 Indenture</w:t>
      </w:r>
      <w:r>
        <w:rPr>
          <w:rFonts w:ascii="Arial" w:cs="Arial" w:eastAsia="Arial" w:hAnsi="Arial"/>
          <w:sz w:val="18"/>
          <w:szCs w:val="18"/>
          <w:color w:val="auto"/>
        </w:rPr>
        <w:t>” means the Indenture governing the Senior Notes 2025.</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w:t>
      </w:r>
      <w:r>
        <w:rPr>
          <w:rFonts w:ascii="Arial" w:cs="Arial" w:eastAsia="Arial" w:hAnsi="Arial"/>
          <w:sz w:val="18"/>
          <w:szCs w:val="18"/>
          <w:color w:val="auto"/>
        </w:rPr>
        <w:t>” means the $400,000,000 in aggregate principal amount of 4.25% senior notes due 2026 of U.S. Borrower and Crown Americas Capital Corp. V.</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 Indenture</w:t>
      </w:r>
      <w:r>
        <w:rPr>
          <w:rFonts w:ascii="Arial" w:cs="Arial" w:eastAsia="Arial" w:hAnsi="Arial"/>
          <w:sz w:val="18"/>
          <w:szCs w:val="18"/>
          <w:color w:val="auto"/>
        </w:rPr>
        <w:t>” means the Indenture governing the Senior Notes 2026.</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2026-2</w:t>
      </w:r>
      <w:r>
        <w:rPr>
          <w:rFonts w:ascii="Arial" w:cs="Arial" w:eastAsia="Arial" w:hAnsi="Arial"/>
          <w:sz w:val="18"/>
          <w:szCs w:val="18"/>
          <w:color w:val="auto"/>
        </w:rPr>
        <w:t>” means the $875,000,000 in aggregate principal amount of 4.750% senior notes due 2026 of U.S. Borrower and Crown Americas Capital Corp. VI.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2026-2 Indenture</w:t>
      </w:r>
      <w:r>
        <w:rPr>
          <w:rFonts w:ascii="Arial" w:cs="Arial" w:eastAsia="Arial" w:hAnsi="Arial"/>
          <w:sz w:val="18"/>
          <w:szCs w:val="18"/>
          <w:color w:val="auto"/>
        </w:rPr>
        <w:t>” means the Indenture governing the Senior Notes 2026-2.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2026-3</w:t>
      </w:r>
      <w:r>
        <w:rPr>
          <w:rFonts w:ascii="Arial" w:cs="Arial" w:eastAsia="Arial" w:hAnsi="Arial"/>
          <w:sz w:val="17"/>
          <w:szCs w:val="17"/>
          <w:color w:val="auto"/>
        </w:rPr>
        <w:t>” means the €500,000,000 in aggregate principal amount of 2.875% senior notes due 2026 of European Borrower.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2026-3 Indenture</w:t>
      </w:r>
      <w:r>
        <w:rPr>
          <w:rFonts w:ascii="Arial" w:cs="Arial" w:eastAsia="Arial" w:hAnsi="Arial"/>
          <w:sz w:val="18"/>
          <w:szCs w:val="18"/>
          <w:color w:val="auto"/>
        </w:rPr>
        <w:t>” means the Indenture governing the Senior Notes 2026-3.</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Documents</w:t>
      </w:r>
      <w:r>
        <w:rPr>
          <w:rFonts w:ascii="Arial" w:cs="Arial" w:eastAsia="Arial" w:hAnsi="Arial"/>
          <w:sz w:val="18"/>
          <w:szCs w:val="18"/>
          <w:color w:val="auto"/>
        </w:rPr>
        <w:t>” means the Senior Notes, the Senior Notes Indentures and all other documents evidencing, guaranteeing or otherwise governing the terms of any of the Senior Notes.</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Indentures</w:t>
      </w:r>
      <w:r>
        <w:rPr>
          <w:rFonts w:ascii="Arial" w:cs="Arial" w:eastAsia="Arial" w:hAnsi="Arial"/>
          <w:sz w:val="18"/>
          <w:szCs w:val="18"/>
          <w:color w:val="auto"/>
        </w:rPr>
        <w:t xml:space="preserve">” means the Senior Notes </w:t>
      </w:r>
      <w:r>
        <w:rPr>
          <w:rFonts w:ascii="Arial" w:cs="Arial" w:eastAsia="Arial" w:hAnsi="Arial"/>
          <w:sz w:val="18"/>
          <w:szCs w:val="18"/>
          <w:color w:val="FF0000"/>
          <w:strike w:val="1"/>
        </w:rPr>
        <w:t>2022 Indenture, the Senior Notes</w:t>
      </w:r>
      <w:r>
        <w:rPr>
          <w:rFonts w:ascii="Arial" w:cs="Arial" w:eastAsia="Arial" w:hAnsi="Arial"/>
          <w:sz w:val="18"/>
          <w:szCs w:val="18"/>
          <w:color w:val="auto"/>
        </w:rPr>
        <w:t xml:space="preserve"> 2023 Indenture, the Senior Notes 2023-2 Indenture, the Senior Notes </w:t>
      </w:r>
      <w:r>
        <w:rPr>
          <w:rFonts w:ascii="Arial" w:cs="Arial" w:eastAsia="Arial" w:hAnsi="Arial"/>
          <w:sz w:val="18"/>
          <w:szCs w:val="18"/>
          <w:color w:val="FF0000"/>
          <w:strike w:val="1"/>
        </w:rPr>
        <w:t>2023-3 Indenture, the Senior Notes</w:t>
      </w:r>
      <w:r>
        <w:rPr>
          <w:rFonts w:ascii="Arial" w:cs="Arial" w:eastAsia="Arial" w:hAnsi="Arial"/>
          <w:sz w:val="18"/>
          <w:szCs w:val="18"/>
          <w:color w:val="auto"/>
        </w:rPr>
        <w:t xml:space="preserve"> 2024 Indenture, the Senior Notes 2025 Indenture, the Senior Notes 2026 Indenture, the Senior Notes 2026-2 Indenture and the Senior Notes 2026-3 Indenture.</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Signode Acquisition</w:t>
      </w:r>
      <w:r>
        <w:rPr>
          <w:rFonts w:ascii="Arial" w:cs="Arial" w:eastAsia="Arial" w:hAnsi="Arial"/>
          <w:sz w:val="18"/>
          <w:szCs w:val="18"/>
          <w:color w:val="auto"/>
        </w:rPr>
        <w:t>” means the acquisition by Crown Holdings and/or one or more of its subsidiaries of Signode Industrial Group Holdings (Bermuda) Ltd., pursuant to the Signode Acquisition Agreement.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Signode Acquisition Agreement</w:t>
      </w:r>
      <w:r>
        <w:rPr>
          <w:rFonts w:ascii="Arial" w:cs="Arial" w:eastAsia="Arial" w:hAnsi="Arial"/>
          <w:sz w:val="18"/>
          <w:szCs w:val="18"/>
          <w:color w:val="auto"/>
        </w:rPr>
        <w:t>” means the Agreement and Plan of Merger, dated as of December 19, 2017 (as amended, amended and restated, supplemented or otherwise modified from time to time), by and among Crown Holdings, Cobra Merger Sub, Ltd., Signode Industrial Group Holdings (Bermuda) Ltd. and TC Group VI, L.P.</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SLB Subsidiary</w:t>
      </w:r>
      <w:r>
        <w:rPr>
          <w:rFonts w:ascii="Arial" w:cs="Arial" w:eastAsia="Arial" w:hAnsi="Arial"/>
          <w:sz w:val="18"/>
          <w:szCs w:val="18"/>
          <w:color w:val="auto"/>
        </w:rPr>
        <w:t>” means, any special purpose subsidiary which is created solely to enter into a sale and leaseback transaction otherwise permitted under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40" w:top="274" w:right="499" w:bottom="1440" w:gutter="0" w:footer="0" w:header="0"/>
        </w:sectPr>
      </w:pPr>
    </w:p>
    <w:bookmarkStart w:id="202" w:name="page203"/>
    <w:bookmarkEnd w:id="202"/>
    <w:p>
      <w:pPr>
        <w:ind w:right="120" w:firstLine="44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“SOFR”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63511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1797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4942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“SOFR Administrator” means the Federal Reserve Bank of New York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30480</wp:posOffset>
            </wp:positionV>
            <wp:extent cx="640334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1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u w:val="single" w:color="auto"/>
          <w:color w:val="0000FF"/>
        </w:rPr>
        <w:t>“SOFR Administrator’s Website” means the website of the Federal Reserve Bank of New York, currently at http://www.newyorkfed.org, or any successor source for the secured overnight financing rate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55764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55803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“SOFR Borrowing” means, as to any Borrowing, the SOFR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36308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u w:val="single" w:color="auto"/>
          <w:color w:val="0000FF"/>
        </w:rPr>
        <w:t>“SOFR Loan” means a Loan that bears interest at a rate based on Adjusted Term SOFR, other than pursuant to clause (iii) of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4652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9118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5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RFR Business Day, a rate per annum equal to the Sterling Overnight Index Average for such RFR Business Day published by the SONIA Administrator on the SONIA Administrator’s Website on the immediately succeeding RFR Business Day.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Spanish Obligor</w:t>
      </w:r>
      <w:r>
        <w:rPr>
          <w:rFonts w:ascii="Arial" w:cs="Arial" w:eastAsia="Arial" w:hAnsi="Arial"/>
          <w:sz w:val="18"/>
          <w:szCs w:val="18"/>
          <w:color w:val="auto"/>
        </w:rPr>
        <w:t>” means any Subsidiary Credit Party incorporated under the Laws of Spain.</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Spanish Public Document</w:t>
      </w:r>
      <w:r>
        <w:rPr>
          <w:rFonts w:ascii="Arial" w:cs="Arial" w:eastAsia="Arial" w:hAnsi="Arial"/>
          <w:sz w:val="18"/>
          <w:szCs w:val="18"/>
          <w:color w:val="auto"/>
        </w:rPr>
        <w:t>” means a public document (</w:t>
      </w:r>
      <w:r>
        <w:rPr>
          <w:rFonts w:ascii="Arial" w:cs="Arial" w:eastAsia="Arial" w:hAnsi="Arial"/>
          <w:sz w:val="18"/>
          <w:szCs w:val="18"/>
          <w:i w:val="1"/>
          <w:iCs w:val="1"/>
          <w:color w:val="auto"/>
        </w:rPr>
        <w:t>documento público</w:t>
      </w:r>
      <w:r>
        <w:rPr>
          <w:rFonts w:ascii="Arial" w:cs="Arial" w:eastAsia="Arial" w:hAnsi="Arial"/>
          <w:sz w:val="18"/>
          <w:szCs w:val="18"/>
          <w:color w:val="auto"/>
        </w:rPr>
        <w:t xml:space="preserve">), being either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a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an </w:t>
      </w:r>
      <w:r>
        <w:rPr>
          <w:rFonts w:ascii="Arial" w:cs="Arial" w:eastAsia="Arial" w:hAnsi="Arial"/>
          <w:sz w:val="18"/>
          <w:szCs w:val="18"/>
          <w:i w:val="1"/>
          <w:iCs w:val="1"/>
          <w:color w:val="auto"/>
        </w:rPr>
        <w:t>efecto intervenido</w:t>
      </w:r>
      <w:r>
        <w:rPr>
          <w:rFonts w:ascii="Arial" w:cs="Arial" w:eastAsia="Arial" w:hAnsi="Arial"/>
          <w:sz w:val="18"/>
          <w:szCs w:val="18"/>
          <w:color w:val="auto"/>
        </w:rPr>
        <w:t xml:space="preserve"> </w:t>
      </w:r>
      <w:r>
        <w:rPr>
          <w:rFonts w:ascii="Arial" w:cs="Arial" w:eastAsia="Arial" w:hAnsi="Arial"/>
          <w:sz w:val="18"/>
          <w:szCs w:val="18"/>
          <w:i w:val="1"/>
          <w:iCs w:val="1"/>
          <w:color w:val="auto"/>
        </w:rPr>
        <w:t>por fedatario público.</w:t>
      </w:r>
    </w:p>
    <w:p>
      <w:pPr>
        <w:spacing w:after="0" w:line="170"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Credit Party</w:t>
      </w:r>
      <w:r>
        <w:rPr>
          <w:rFonts w:ascii="Arial" w:cs="Arial" w:eastAsia="Arial" w:hAnsi="Arial"/>
          <w:sz w:val="18"/>
          <w:szCs w:val="18"/>
          <w:color w:val="auto"/>
        </w:rPr>
        <w:t xml:space="preserve">” means any Credit Party incorporated in the United States that is not an “eligible contract participant” under the Commodity Exchange Act (determined prior to giving effect to </w:t>
      </w: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Foreign Credit Party</w:t>
      </w:r>
      <w:r>
        <w:rPr>
          <w:rFonts w:ascii="Arial" w:cs="Arial" w:eastAsia="Arial" w:hAnsi="Arial"/>
          <w:sz w:val="16"/>
          <w:szCs w:val="16"/>
          <w:color w:val="auto"/>
        </w:rPr>
        <w:t>” means each Credit Party of Crown Holdings that is incorporated or formed in the United Kingdom or Canada.</w:t>
      </w:r>
    </w:p>
    <w:p>
      <w:pPr>
        <w:spacing w:after="0" w:line="24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made by the Borrower and Guarantors, in or pursuant to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(solely as relates to entering into and performance of the relevant credit documentation by Crown Holdings and each other Credit Party),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(solely with respect to each Credit Party’s Organic Documents), </w:t>
      </w:r>
      <w:r>
        <w:rPr>
          <w:rFonts w:ascii="Arial" w:cs="Arial" w:eastAsia="Arial" w:hAnsi="Arial"/>
          <w:sz w:val="17"/>
          <w:szCs w:val="17"/>
          <w:u w:val="single" w:color="auto"/>
          <w:color w:val="auto"/>
        </w:rPr>
        <w:t>6.8(c)</w:t>
      </w:r>
      <w:r>
        <w:rPr>
          <w:rFonts w:ascii="Arial" w:cs="Arial" w:eastAsia="Arial" w:hAnsi="Arial"/>
          <w:sz w:val="17"/>
          <w:szCs w:val="17"/>
          <w:color w:val="auto"/>
        </w:rPr>
        <w:t xml:space="preserve">, </w:t>
      </w:r>
      <w:r>
        <w:rPr>
          <w:rFonts w:ascii="Arial" w:cs="Arial" w:eastAsia="Arial" w:hAnsi="Arial"/>
          <w:sz w:val="17"/>
          <w:szCs w:val="17"/>
          <w:u w:val="single" w:color="auto"/>
          <w:color w:val="auto"/>
        </w:rPr>
        <w:t>6.16</w:t>
      </w:r>
      <w:r>
        <w:rPr>
          <w:rFonts w:ascii="Arial" w:cs="Arial" w:eastAsia="Arial" w:hAnsi="Arial"/>
          <w:sz w:val="17"/>
          <w:szCs w:val="17"/>
          <w:color w:val="auto"/>
        </w:rPr>
        <w:t xml:space="preserve">, </w:t>
      </w:r>
      <w:r>
        <w:rPr>
          <w:rFonts w:ascii="Arial" w:cs="Arial" w:eastAsia="Arial" w:hAnsi="Arial"/>
          <w:sz w:val="17"/>
          <w:szCs w:val="17"/>
          <w:u w:val="single" w:color="auto"/>
          <w:color w:val="auto"/>
        </w:rPr>
        <w:t>6.21</w:t>
      </w:r>
      <w:r>
        <w:rPr>
          <w:rFonts w:ascii="Arial" w:cs="Arial" w:eastAsia="Arial" w:hAnsi="Arial"/>
          <w:sz w:val="17"/>
          <w:szCs w:val="17"/>
          <w:color w:val="auto"/>
        </w:rPr>
        <w:t xml:space="preserve">, </w:t>
      </w:r>
      <w:r>
        <w:rPr>
          <w:rFonts w:ascii="Arial" w:cs="Arial" w:eastAsia="Arial" w:hAnsi="Arial"/>
          <w:sz w:val="17"/>
          <w:szCs w:val="17"/>
          <w:u w:val="single" w:color="auto"/>
          <w:color w:val="auto"/>
        </w:rPr>
        <w:t>6.22</w:t>
      </w:r>
      <w:r>
        <w:rPr>
          <w:rFonts w:ascii="Arial" w:cs="Arial" w:eastAsia="Arial" w:hAnsi="Arial"/>
          <w:sz w:val="17"/>
          <w:szCs w:val="17"/>
          <w:color w:val="auto"/>
        </w:rPr>
        <w:t xml:space="preserve"> (solely as relates to use of proceeds) and </w:t>
      </w:r>
      <w:r>
        <w:rPr>
          <w:rFonts w:ascii="Arial" w:cs="Arial" w:eastAsia="Arial" w:hAnsi="Arial"/>
          <w:sz w:val="17"/>
          <w:szCs w:val="17"/>
          <w:u w:val="single" w:color="auto"/>
          <w:color w:val="auto"/>
        </w:rPr>
        <w:t>6.23</w:t>
      </w:r>
      <w:r>
        <w:rPr>
          <w:rFonts w:ascii="Arial" w:cs="Arial" w:eastAsia="Arial" w:hAnsi="Arial"/>
          <w:sz w:val="17"/>
          <w:szCs w:val="17"/>
          <w:color w:val="auto"/>
        </w:rPr>
        <w:t>.</w:t>
      </w:r>
    </w:p>
    <w:p>
      <w:pPr>
        <w:spacing w:after="0" w:line="16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u w:val="single" w:color="auto"/>
          <w:color w:val="0000FF"/>
        </w:rPr>
        <w:t>“Spot Rate” for a currency means the rate determined by the Administrative Agent or Facing Agent, as applicable, to be the rate quoted by the Person acting in such capacity as the spot rate for the purchase by such Person of such currency with another currency through its principal foreign exchange trading office at approximately 11:00 a.m. on the date 2 Business Days prior to the date as of which the foreign exchange computation is made; provided that the Administrative Agent or Facing Agent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979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1195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70369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10324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03" w:name="page204"/>
    <w:bookmarkEnd w:id="203"/>
    <w:p>
      <w:pPr>
        <w:ind w:right="180"/>
        <w:spacing w:after="0" w:line="31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 such spot rate from another financial institution designated by the Administrative Agent or Facing Agent if the Person acting in such capacity does not have as of the date of determination a spot buying rate for any such currency; and provided, further, that Facing Agent may use such spot rate quoted on the date as of which the foreign exchange computation is made in the case of any Letter of Credit denominated in an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78053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87514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682371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Spot Rate</w:t>
      </w:r>
      <w:r>
        <w:rPr>
          <w:rFonts w:ascii="Arial" w:cs="Arial" w:eastAsia="Arial" w:hAnsi="Arial"/>
          <w:sz w:val="18"/>
          <w:szCs w:val="18"/>
          <w:color w:val="FF0000"/>
          <w:strike w:val="1"/>
        </w:rPr>
        <w:t>” means on any day</w:t>
      </w:r>
      <w:r>
        <w:rPr>
          <w:rFonts w:ascii="Arial" w:cs="Arial" w:eastAsia="Arial" w:hAnsi="Arial"/>
          <w:sz w:val="18"/>
          <w:szCs w:val="18"/>
          <w:color w:val="008000"/>
          <w:strike w:val="1"/>
        </w:rPr>
        <w:t>, with respect to any Alternative Currency</w:t>
      </w:r>
      <w:r>
        <w:rPr>
          <w:rFonts w:ascii="Arial" w:cs="Arial" w:eastAsia="Arial" w:hAnsi="Arial"/>
          <w:sz w:val="18"/>
          <w:szCs w:val="18"/>
          <w:color w:val="FF0000"/>
          <w:strike w:val="1"/>
        </w:rPr>
        <w:t xml:space="preserve">, the rate at which such Alternative Currency may be exchanged into Dollars based on the exchange rate on the immediately prior Business Day as determined by OANDA Corporation and made available on its website at </w:t>
      </w:r>
      <w:r>
        <w:rPr>
          <w:rFonts w:ascii="Arial" w:cs="Arial" w:eastAsia="Arial" w:hAnsi="Arial"/>
          <w:sz w:val="18"/>
          <w:szCs w:val="18"/>
          <w:u w:val="single" w:color="auto"/>
          <w:color w:val="FF0000"/>
          <w:strike w:val="1"/>
        </w:rPr>
        <w:t>http://www.oanda.com/convert/fxhistory.</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Spread</w:t>
      </w:r>
      <w:r>
        <w:rPr>
          <w:rFonts w:ascii="Arial" w:cs="Arial" w:eastAsia="Arial" w:hAnsi="Arial"/>
          <w:sz w:val="18"/>
          <w:szCs w:val="18"/>
          <w:color w:val="FF0000"/>
          <w:strike w:val="1"/>
        </w:rPr>
        <w:t>” means each of the Applicable B/A Margin and Applicable Eurocurrency Margin, as applicable, in each case, immediately prior to any adjustment pursuant to the Sustainability Rating Adjustment.</w:t>
      </w:r>
    </w:p>
    <w:p>
      <w:pPr>
        <w:spacing w:after="0" w:line="170"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Amount</w:t>
      </w:r>
      <w:r>
        <w:rPr>
          <w:rFonts w:ascii="Arial" w:cs="Arial" w:eastAsia="Arial" w:hAnsi="Arial"/>
          <w:sz w:val="16"/>
          <w:szCs w:val="16"/>
          <w:color w:val="auto"/>
        </w:rPr>
        <w:t>” or “</w:t>
      </w:r>
      <w:r>
        <w:rPr>
          <w:rFonts w:ascii="Arial" w:cs="Arial" w:eastAsia="Arial" w:hAnsi="Arial"/>
          <w:sz w:val="16"/>
          <w:szCs w:val="16"/>
          <w:u w:val="single" w:color="auto"/>
          <w:color w:val="auto"/>
        </w:rPr>
        <w:t>Stated Amounts</w:t>
      </w:r>
      <w:r>
        <w:rPr>
          <w:rFonts w:ascii="Arial" w:cs="Arial" w:eastAsia="Arial" w:hAnsi="Arial"/>
          <w:sz w:val="16"/>
          <w:szCs w:val="16"/>
          <w:color w:val="auto"/>
        </w:rPr>
        <w:t>” means (i) with respect to any Multicurrency Letter of Credit issued in Dollars, the stated or face amount of such Letter of Credit (to the extent) available at the 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53" w:lineRule="exact"/>
        <w:rPr>
          <w:sz w:val="20"/>
          <w:szCs w:val="20"/>
          <w:color w:val="auto"/>
        </w:rPr>
      </w:pPr>
    </w:p>
    <w:p>
      <w:pPr>
        <w:ind w:left="440" w:firstLine="419"/>
        <w:spacing w:after="0" w:line="296" w:lineRule="auto"/>
        <w:tabs>
          <w:tab w:leader="none" w:pos="10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increase in the Stated Amount of any Letter of Credit by reason of any amendment to any Letter of Credit shall be deemed 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53" w:lineRule="exact"/>
        <w:rPr>
          <w:rFonts w:ascii="Arial" w:cs="Arial" w:eastAsia="Arial" w:hAnsi="Arial"/>
          <w:sz w:val="16"/>
          <w:szCs w:val="16"/>
          <w:color w:val="auto"/>
        </w:rPr>
      </w:pPr>
    </w:p>
    <w:p>
      <w:pPr>
        <w:ind w:left="440" w:firstLine="419"/>
        <w:spacing w:after="0" w:line="273" w:lineRule="auto"/>
        <w:tabs>
          <w:tab w:leader="none" w:pos="1128"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reduction in the Stated Amount of any Letter of Credit by reason of any amendment to any Letter of Credit shall be deemed 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Step-Up</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Equivalent</w:t>
      </w:r>
      <w:r>
        <w:rPr>
          <w:rFonts w:ascii="Arial" w:cs="Arial" w:eastAsia="Arial" w:hAnsi="Arial"/>
          <w:sz w:val="18"/>
          <w:szCs w:val="18"/>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04" w:name="page205"/>
    <w:bookmarkEnd w:id="204"/>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Subject Transaction</w:t>
      </w:r>
      <w:r>
        <w:rPr>
          <w:rFonts w:ascii="Arial" w:cs="Arial" w:eastAsia="Arial" w:hAnsi="Arial"/>
          <w:sz w:val="18"/>
          <w:szCs w:val="18"/>
          <w:color w:val="auto"/>
        </w:rPr>
        <w:t xml:space="preserve">”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 Revolving Credit Commitments, Additional Revolving Facilities or Incremental Equivalent Debt, (g) the designation of a Subsidiary as an Unrestricted Entity or an Unrestricted Entity as a Subsidiary in accordance with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and (h) any other event that by the terms of the Loan Documents requires pro forma compliance with a test or covenant hereunder or requires such test or covenant to be calculated on a Pro Forma Basis.</w:t>
      </w:r>
    </w:p>
    <w:p>
      <w:pPr>
        <w:spacing w:after="0" w:line="19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Crown Holdings or any of its Subsidiaries that is expressly subordinated in right of payment to the Obligations.</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 (irrespective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16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xml:space="preserve">” means each Non-U.S. Subsidiary listed as a Subsidiary Borrower on </w:t>
      </w:r>
      <w:r>
        <w:rPr>
          <w:rFonts w:ascii="Arial" w:cs="Arial" w:eastAsia="Arial" w:hAnsi="Arial"/>
          <w:sz w:val="17"/>
          <w:szCs w:val="17"/>
          <w:u w:val="single" w:color="auto"/>
          <w:color w:val="auto"/>
        </w:rPr>
        <w:t>Schedule 1.1(d)</w:t>
      </w:r>
      <w:r>
        <w:rPr>
          <w:rFonts w:ascii="Arial" w:cs="Arial" w:eastAsia="Arial" w:hAnsi="Arial"/>
          <w:sz w:val="17"/>
          <w:szCs w:val="17"/>
          <w:color w:val="auto"/>
        </w:rPr>
        <w:t xml:space="preserve">, as amended from time to time in accordance with </w:t>
      </w:r>
      <w:r>
        <w:rPr>
          <w:rFonts w:ascii="Arial" w:cs="Arial" w:eastAsia="Arial" w:hAnsi="Arial"/>
          <w:sz w:val="17"/>
          <w:szCs w:val="17"/>
          <w:u w:val="single" w:color="auto"/>
          <w:color w:val="auto"/>
        </w:rPr>
        <w:t>Section 12.1(c)</w:t>
      </w:r>
      <w:r>
        <w:rPr>
          <w:rFonts w:ascii="Arial" w:cs="Arial" w:eastAsia="Arial" w:hAnsi="Arial"/>
          <w:sz w:val="17"/>
          <w:szCs w:val="17"/>
          <w:color w:val="auto"/>
        </w:rPr>
        <w:t xml:space="preserve">, including each Dutch Borrower, each German Borrower and each U.K.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commencing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each such new Subsidiary Borrower must be incorporated (or similarly organized) in a jurisdiction as to which all applicable Lenders have confirmed to the Administrative Agent their ability and willingness to make Loans into such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Lender confirmation shall be required with respect to new Subsidiary Borrowers organized in a jurisdiction in which any Credit Party exists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-417195</wp:posOffset>
            </wp:positionV>
            <wp:extent cx="514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-417195</wp:posOffset>
            </wp:positionV>
            <wp:extent cx="22288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-5715</wp:posOffset>
            </wp:positionV>
            <wp:extent cx="603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-5715</wp:posOffset>
            </wp:positionV>
            <wp:extent cx="21463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 Obligations</w:t>
      </w:r>
      <w:r>
        <w:rPr>
          <w:rFonts w:ascii="Arial" w:cs="Arial" w:eastAsia="Arial" w:hAnsi="Arial"/>
          <w:sz w:val="17"/>
          <w:szCs w:val="17"/>
          <w:color w:val="auto"/>
        </w:rPr>
        <w:t>”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or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05" w:name="page206"/>
    <w:bookmarkEnd w:id="205"/>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principal, interest, fees, indemnities, costs or expenses (including, without limitation, all fees, charges and disbursements of counsel (including the allocated costs of internal counsel) that are to be paid by such Subsidiary Borrower or any of its Subsidiaries to any Agent, any Lender or any Hedge Bank pursuant to any Loan Document or any Bank Related Debt) or otherwise.</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Credit Parties</w:t>
      </w:r>
      <w:r>
        <w:rPr>
          <w:rFonts w:ascii="Arial" w:cs="Arial" w:eastAsia="Arial" w:hAnsi="Arial"/>
          <w:sz w:val="18"/>
          <w:szCs w:val="18"/>
          <w:color w:val="auto"/>
        </w:rPr>
        <w:t xml:space="preserve">” means (i) each of U.S. Borrower’s U.S. Subsidiaries (other than any Excluded Subsidiary), (ii) each Subsidiary Borrower and (iii) each Subsidiary of European Borrower, and each other Subsidiary, designated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as a subsidiary guarantor or which becomes a subsidiary guarantor pursuant to the provisions of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84" w:lineRule="exact"/>
        <w:rPr>
          <w:sz w:val="20"/>
          <w:szCs w:val="20"/>
          <w:color w:val="auto"/>
        </w:rPr>
      </w:pPr>
    </w:p>
    <w:p>
      <w:pPr>
        <w:jc w:val="both"/>
        <w:ind w:right="360" w:firstLine="440"/>
        <w:spacing w:after="0" w:line="259" w:lineRule="auto"/>
        <w:rPr>
          <w:sz w:val="20"/>
          <w:szCs w:val="20"/>
          <w:color w:val="auto"/>
        </w:rPr>
      </w:pPr>
      <w:r>
        <w:rPr>
          <w:rFonts w:ascii="Arial" w:cs="Arial" w:eastAsia="Arial" w:hAnsi="Arial"/>
          <w:sz w:val="18"/>
          <w:szCs w:val="18"/>
          <w:u w:val="single" w:color="auto"/>
          <w:color w:val="0000FF"/>
        </w:rPr>
        <w:t>“Sustainability Assurance Provider” means (a) a qualified external reviewer, independent of Crown Holdings and its Affiliates, with relevant expertise with respect to evaluating KPIs with respect to ESG targets and ESG Ratings targets, such as an auditor, environmental consultant and/or independent ratings agency of recognized national standing, or (b) another Person designated by the Crown Holdings and approved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3763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1195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76338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9433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00FF"/>
        </w:rPr>
        <w:t>“Sustainability Coordinators” means each of Deutsche Bank Securities Inc., BNP Paribas, Coöperatieve Rabobank U.A., New York Branch, Credit Agricole Corporate and Investment Bank, ING Capital LLC and UniCredit Bank AG, or any of their respective affiliates, each in their capacity as a Sustainability Coordinator.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40334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862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31127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Sustainability Rating</w:t>
      </w:r>
      <w:r>
        <w:rPr>
          <w:rFonts w:ascii="Arial" w:cs="Arial" w:eastAsia="Arial" w:hAnsi="Arial"/>
          <w:sz w:val="18"/>
          <w:szCs w:val="18"/>
          <w:color w:val="FF0000"/>
          <w:strike w:val="1"/>
        </w:rPr>
        <w:t xml:space="preserve">” means the “Management Score” in respect of environment, social and governance factors (the ESG Score), as calculated and assigned to Crown Holdings from time to time by Sustainalytics B.V. and published in the most recently released ESG Score report thereof, which ESG Score has been </w:t>
      </w:r>
      <w:r>
        <w:rPr>
          <w:rFonts w:ascii="Arial" w:cs="Arial" w:eastAsia="Arial" w:hAnsi="Arial"/>
          <w:sz w:val="18"/>
          <w:szCs w:val="18"/>
          <w:color w:val="008000"/>
          <w:strike w:val="1"/>
        </w:rPr>
        <w:t>received by the Administrative Agent</w:t>
      </w:r>
      <w:r>
        <w:rPr>
          <w:rFonts w:ascii="Arial" w:cs="Arial" w:eastAsia="Arial" w:hAnsi="Arial"/>
          <w:sz w:val="18"/>
          <w:szCs w:val="18"/>
          <w:color w:val="FF0000"/>
          <w:strike w:val="1"/>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Sustainability Rating</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Adjustment</w:t>
      </w:r>
      <w:r>
        <w:rPr>
          <w:rFonts w:ascii="Arial" w:cs="Arial" w:eastAsia="Arial" w:hAnsi="Arial"/>
          <w:sz w:val="18"/>
          <w:szCs w:val="18"/>
          <w:color w:val="008000"/>
          <w:strike w:val="1"/>
        </w:rPr>
        <w:t>” means, with respect to</w:t>
      </w:r>
      <w:r>
        <w:rPr>
          <w:rFonts w:ascii="Arial" w:cs="Arial" w:eastAsia="Arial" w:hAnsi="Arial"/>
          <w:sz w:val="18"/>
          <w:szCs w:val="18"/>
          <w:color w:val="FF0000"/>
          <w:strike w:val="1"/>
        </w:rPr>
        <w:t xml:space="preserve"> the applicable Spread, an adjustment as follows:</w:t>
      </w:r>
    </w:p>
    <w:p>
      <w:pPr>
        <w:spacing w:after="0" w:line="117" w:lineRule="exact"/>
        <w:rPr>
          <w:sz w:val="20"/>
          <w:szCs w:val="20"/>
          <w:color w:val="auto"/>
        </w:rPr>
      </w:pPr>
    </w:p>
    <w:p>
      <w:pPr>
        <w:ind w:left="440" w:right="60" w:firstLine="419"/>
        <w:spacing w:after="0" w:line="277" w:lineRule="auto"/>
        <w:tabs>
          <w:tab w:leader="none" w:pos="1078"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At any time the most recently published Sustainability Rating is 45 or higher (subject to clause (ii) below), the Spread will be reduced by 0.025% at each </w:t>
      </w:r>
      <w:r>
        <w:rPr>
          <w:rFonts w:ascii="Arial" w:cs="Arial" w:eastAsia="Arial" w:hAnsi="Arial"/>
          <w:sz w:val="18"/>
          <w:szCs w:val="18"/>
          <w:color w:val="008000"/>
          <w:strike w:val="1"/>
        </w:rPr>
        <w:t>Most Recent Total Leverage Ratio</w:t>
      </w:r>
      <w:r>
        <w:rPr>
          <w:rFonts w:ascii="Arial" w:cs="Arial" w:eastAsia="Arial" w:hAnsi="Arial"/>
          <w:sz w:val="18"/>
          <w:szCs w:val="18"/>
          <w:color w:val="FF0000"/>
          <w:strike w:val="1"/>
        </w:rPr>
        <w:t xml:space="preserve"> level;</w:t>
      </w:r>
    </w:p>
    <w:p>
      <w:pPr>
        <w:spacing w:after="0" w:line="62" w:lineRule="exact"/>
        <w:rPr>
          <w:rFonts w:ascii="Arial" w:cs="Arial" w:eastAsia="Arial" w:hAnsi="Arial"/>
          <w:sz w:val="18"/>
          <w:szCs w:val="18"/>
          <w:color w:val="FF0000"/>
          <w:strike w:val="1"/>
        </w:rPr>
      </w:pPr>
    </w:p>
    <w:p>
      <w:pPr>
        <w:ind w:left="440" w:right="100" w:firstLine="419"/>
        <w:spacing w:after="0" w:line="277" w:lineRule="auto"/>
        <w:tabs>
          <w:tab w:leader="none" w:pos="1128"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At any time the most recently published Sustainability Rating is 50 or higher, the Spread will be reduced by 0.05% at each </w:t>
      </w:r>
      <w:r>
        <w:rPr>
          <w:rFonts w:ascii="Arial" w:cs="Arial" w:eastAsia="Arial" w:hAnsi="Arial"/>
          <w:sz w:val="18"/>
          <w:szCs w:val="18"/>
          <w:color w:val="008000"/>
          <w:strike w:val="1"/>
        </w:rPr>
        <w:t>Most Recent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Total Leverage Ratio </w:t>
      </w:r>
      <w:r>
        <w:rPr>
          <w:rFonts w:ascii="Arial" w:cs="Arial" w:eastAsia="Arial" w:hAnsi="Arial"/>
          <w:sz w:val="18"/>
          <w:szCs w:val="18"/>
          <w:color w:val="FF0000"/>
          <w:strike w:val="1"/>
        </w:rPr>
        <w:t>level;</w:t>
      </w:r>
    </w:p>
    <w:p>
      <w:pPr>
        <w:spacing w:after="0" w:line="62" w:lineRule="exact"/>
        <w:rPr>
          <w:rFonts w:ascii="Arial" w:cs="Arial" w:eastAsia="Arial" w:hAnsi="Arial"/>
          <w:sz w:val="18"/>
          <w:szCs w:val="18"/>
          <w:color w:val="FF0000"/>
          <w:strike w:val="1"/>
        </w:rPr>
      </w:pPr>
    </w:p>
    <w:p>
      <w:pPr>
        <w:ind w:left="440" w:right="660" w:firstLine="419"/>
        <w:spacing w:after="0" w:line="277" w:lineRule="auto"/>
        <w:tabs>
          <w:tab w:leader="none" w:pos="1178"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FF0000"/>
          <w:strike w:val="1"/>
        </w:rPr>
        <w:t>At any time the most recently published Sustainability Rating is lower than 30 (subject to clause (iv) below), the Spread will be increased by 0.025% at each Most Recent Total Leverage Ratio level; and</w:t>
      </w:r>
    </w:p>
    <w:p>
      <w:pPr>
        <w:spacing w:after="0" w:line="62" w:lineRule="exact"/>
        <w:rPr>
          <w:rFonts w:ascii="Arial" w:cs="Arial" w:eastAsia="Arial" w:hAnsi="Arial"/>
          <w:sz w:val="18"/>
          <w:szCs w:val="18"/>
          <w:color w:val="FF0000"/>
          <w:strike w:val="1"/>
        </w:rPr>
      </w:pPr>
    </w:p>
    <w:p>
      <w:pPr>
        <w:ind w:left="440" w:firstLine="419"/>
        <w:spacing w:after="0" w:line="277" w:lineRule="auto"/>
        <w:tabs>
          <w:tab w:leader="none" w:pos="1168"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FF0000"/>
          <w:strike w:val="1"/>
        </w:rPr>
        <w:t>At any time the most recently published Sustainability Rating is 25 or lower, the Spread will be increased by 0.05% at each Most Recent Total Leverage Ratio level;</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no adjustment shall be made to the Spread (x</w:t>
      </w:r>
      <w:r>
        <w:rPr>
          <w:rFonts w:ascii="Arial" w:cs="Arial" w:eastAsia="Arial" w:hAnsi="Arial"/>
          <w:sz w:val="18"/>
          <w:szCs w:val="18"/>
          <w:color w:val="008000"/>
          <w:strike w:val="1"/>
        </w:rPr>
        <w:t>) from the Incremental Amendment No.</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2 and Third Amendment Effective Date until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first </w:t>
      </w:r>
      <w:r>
        <w:rPr>
          <w:rFonts w:ascii="Arial" w:cs="Arial" w:eastAsia="Arial" w:hAnsi="Arial"/>
          <w:sz w:val="18"/>
          <w:szCs w:val="18"/>
          <w:color w:val="008000"/>
          <w:strike w:val="1"/>
        </w:rPr>
        <w:t>date upon which the Administrative Agent receives the</w:t>
      </w:r>
      <w:r>
        <w:rPr>
          <w:rFonts w:ascii="Arial" w:cs="Arial" w:eastAsia="Arial" w:hAnsi="Arial"/>
          <w:sz w:val="18"/>
          <w:szCs w:val="18"/>
          <w:color w:val="FF0000"/>
          <w:strike w:val="1"/>
        </w:rPr>
        <w:t xml:space="preserve"> first Sustainability Rating published after the Incremental Amendment No. 2 and Third Amendment Effective Date, (y) if the Sustainability Rating is 30 or higher but lower than 45 or (z) if no Sustainability Rating is assigned to Crown Holdings.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206" w:name="page207"/>
    <w:bookmarkEnd w:id="206"/>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xml:space="preserve">” means, at any date, the obligation of the Swing Line Lender to make Swing Line Loans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in the amount referred to therein.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Exposure</w:t>
      </w:r>
      <w:r>
        <w:rPr>
          <w:rFonts w:ascii="Arial" w:cs="Arial" w:eastAsia="Arial" w:hAnsi="Arial"/>
          <w:sz w:val="18"/>
          <w:szCs w:val="18"/>
          <w:color w:val="auto"/>
        </w:rPr>
        <w:t>” means, with respect to a Revolving Lender, such Lender’s Multicurrency Revolver Pro Rata Share of the then outstanding Swing Line Loans.</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Facility</w:t>
      </w:r>
      <w:r>
        <w:rPr>
          <w:rFonts w:ascii="Arial" w:cs="Arial" w:eastAsia="Arial" w:hAnsi="Arial"/>
          <w:sz w:val="18"/>
          <w:szCs w:val="18"/>
          <w:color w:val="auto"/>
        </w:rPr>
        <w:t>” means the sub-credit facility of the Revolving Facility under this Agreement evidenced by the Swing Line Commitment and the Swing Line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DB, or an Affiliate of DB, as applicable.</w:t>
      </w:r>
    </w:p>
    <w:p>
      <w:pPr>
        <w:spacing w:after="0" w:line="225"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Participation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2.1(c)</w:t>
      </w:r>
      <w:r>
        <w:rPr>
          <w:rFonts w:ascii="Arial" w:cs="Arial" w:eastAsia="Arial" w:hAnsi="Arial"/>
          <w:sz w:val="18"/>
          <w:szCs w:val="18"/>
          <w:color w:val="auto"/>
        </w:rPr>
        <w:t xml:space="preserve"> (or such other form as mutually agreed by Crown Holdings and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2.1(c)(ii)</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184" w:lineRule="exact"/>
        <w:rPr>
          <w:sz w:val="20"/>
          <w:szCs w:val="20"/>
          <w:color w:val="auto"/>
        </w:rPr>
      </w:pPr>
    </w:p>
    <w:p>
      <w:pPr>
        <w:jc w:val="both"/>
        <w:ind w:right="3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(i) with respect to any Lender and the Term Euro Facility, the Term Euro Commitment, (ii) with respect to any Lender and the Term Loan A Facility, the Term Loan A Commitment and (iii) with respect to any Lender and any other Term Facility, the principal amount set forth opposite such Lender’s name in the Register or in any Assignment and Assumption Agreement under the caption for the amount of commitment to such Term Facility, as such commitments may be adjusted from time to time pursuant to this Agreement, and “</w:t>
      </w:r>
      <w:r>
        <w:rPr>
          <w:rFonts w:ascii="Arial" w:cs="Arial" w:eastAsia="Arial" w:hAnsi="Arial"/>
          <w:sz w:val="18"/>
          <w:szCs w:val="18"/>
          <w:u w:val="single" w:color="auto"/>
          <w:color w:val="auto"/>
        </w:rPr>
        <w:t>Term Commitments</w:t>
      </w:r>
      <w:r>
        <w:rPr>
          <w:rFonts w:ascii="Arial" w:cs="Arial" w:eastAsia="Arial" w:hAnsi="Arial"/>
          <w:sz w:val="18"/>
          <w:szCs w:val="18"/>
          <w:color w:val="auto"/>
        </w:rPr>
        <w:t>” means such commitments collectively.</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Euro Commitment</w:t>
      </w:r>
      <w:r>
        <w:rPr>
          <w:rFonts w:ascii="Arial" w:cs="Arial" w:eastAsia="Arial" w:hAnsi="Arial"/>
          <w:sz w:val="17"/>
          <w:szCs w:val="17"/>
          <w:color w:val="auto"/>
        </w:rPr>
        <w:t xml:space="preserve">” means, with respect to any Lender, the principal amount set forth opposite such Lender’s name in the Register or in any Assignment and Assumption Agreement under the caption “Amount of Term Euro Commitment,” which commitment as of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is the amount set forth opposite such lender’s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Incremental Amendment No. 2 and Third Amendment under the caption “Amount of Additional Term Euro Commitment” as the same may be adjusted from time to time pursuant to the terms hereof, and “</w:t>
      </w:r>
      <w:r>
        <w:rPr>
          <w:rFonts w:ascii="Arial" w:cs="Arial" w:eastAsia="Arial" w:hAnsi="Arial"/>
          <w:sz w:val="17"/>
          <w:szCs w:val="17"/>
          <w:u w:val="single" w:color="auto"/>
          <w:color w:val="auto"/>
        </w:rPr>
        <w:t>Term Euro Commitments</w:t>
      </w:r>
      <w:r>
        <w:rPr>
          <w:rFonts w:ascii="Arial" w:cs="Arial" w:eastAsia="Arial" w:hAnsi="Arial"/>
          <w:sz w:val="17"/>
          <w:szCs w:val="17"/>
          <w:color w:val="auto"/>
        </w:rPr>
        <w:t>” means such commitments collectively, which commitments equal €</w:t>
      </w:r>
      <w:r>
        <w:rPr>
          <w:rFonts w:ascii="Arial" w:cs="Arial" w:eastAsia="Arial" w:hAnsi="Arial"/>
          <w:sz w:val="17"/>
          <w:szCs w:val="17"/>
          <w:color w:val="FF0000"/>
          <w:strike w:val="1"/>
        </w:rPr>
        <w:t>450,000,000</w:t>
      </w:r>
      <w:r>
        <w:rPr>
          <w:rFonts w:ascii="Arial" w:cs="Arial" w:eastAsia="Arial" w:hAnsi="Arial"/>
          <w:sz w:val="17"/>
          <w:szCs w:val="17"/>
          <w:u w:val="single" w:color="auto"/>
          <w:color w:val="0000FF"/>
        </w:rPr>
        <w:t>540,000,000</w:t>
      </w:r>
      <w:r>
        <w:rPr>
          <w:rFonts w:ascii="Arial" w:cs="Arial" w:eastAsia="Arial" w:hAnsi="Arial"/>
          <w:sz w:val="17"/>
          <w:szCs w:val="17"/>
          <w:color w:val="auto"/>
        </w:rPr>
        <w:t xml:space="preserve"> in the aggregate as of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-417195</wp:posOffset>
            </wp:positionV>
            <wp:extent cx="5143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-417195</wp:posOffset>
            </wp:positionV>
            <wp:extent cx="22288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-142875</wp:posOffset>
            </wp:positionV>
            <wp:extent cx="57404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-5715</wp:posOffset>
            </wp:positionV>
            <wp:extent cx="596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-5715</wp:posOffset>
            </wp:positionV>
            <wp:extent cx="21399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Euro Facility</w:t>
      </w:r>
      <w:r>
        <w:rPr>
          <w:rFonts w:ascii="Arial" w:cs="Arial" w:eastAsia="Arial" w:hAnsi="Arial"/>
          <w:sz w:val="17"/>
          <w:szCs w:val="17"/>
          <w:color w:val="auto"/>
        </w:rPr>
        <w:t>” means the credit facility under this Agreement evidenced by the Term Euro Commitments and the Term Euro Loans.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Lender</w:t>
      </w:r>
      <w:r>
        <w:rPr>
          <w:rFonts w:ascii="Arial" w:cs="Arial" w:eastAsia="Arial" w:hAnsi="Arial"/>
          <w:sz w:val="18"/>
          <w:szCs w:val="18"/>
          <w:color w:val="auto"/>
        </w:rPr>
        <w:t>” means any Lender which has a Term Euro Commitment or is owed a Term Euro Loan (or a portion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207" w:name="page208"/>
    <w:bookmarkEnd w:id="207"/>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Term Euro Loan Maturity Date</w:t>
      </w:r>
      <w:r>
        <w:rPr>
          <w:rFonts w:ascii="Arial" w:cs="Arial" w:eastAsia="Arial" w:hAnsi="Arial"/>
          <w:sz w:val="18"/>
          <w:szCs w:val="18"/>
          <w:color w:val="auto"/>
        </w:rPr>
        <w:t xml:space="preserve">” means the date that is the fifth anniversary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-147955</wp:posOffset>
            </wp:positionV>
            <wp:extent cx="5143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-147955</wp:posOffset>
            </wp:positionV>
            <wp:extent cx="22288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Facilities</w:t>
      </w:r>
      <w:r>
        <w:rPr>
          <w:rFonts w:ascii="Arial" w:cs="Arial" w:eastAsia="Arial" w:hAnsi="Arial"/>
          <w:sz w:val="17"/>
          <w:szCs w:val="17"/>
          <w:color w:val="auto"/>
        </w:rPr>
        <w:t>” means the Facilities under the Agreement other than the Revolving Facilities and the Swing Line Facility, collectively.</w:t>
      </w:r>
    </w:p>
    <w:p>
      <w:pPr>
        <w:spacing w:after="0" w:line="23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with respect to any Term Facility, any Lender which has a Term Commitment for such Term Facility or is owed a Term Loan (or portion thereof) under such Term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w:t>
      </w:r>
      <w:r>
        <w:rPr>
          <w:rFonts w:ascii="Arial" w:cs="Arial" w:eastAsia="Arial" w:hAnsi="Arial"/>
          <w:sz w:val="18"/>
          <w:szCs w:val="18"/>
          <w:color w:val="auto"/>
        </w:rPr>
        <w:t>” and “</w:t>
      </w:r>
      <w:r>
        <w:rPr>
          <w:rFonts w:ascii="Arial" w:cs="Arial" w:eastAsia="Arial" w:hAnsi="Arial"/>
          <w:sz w:val="18"/>
          <w:szCs w:val="18"/>
          <w:u w:val="single" w:color="auto"/>
          <w:color w:val="auto"/>
        </w:rPr>
        <w:t>Term A Loans</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A Commitment</w:t>
      </w:r>
      <w:r>
        <w:rPr>
          <w:rFonts w:ascii="Arial" w:cs="Arial" w:eastAsia="Arial" w:hAnsi="Arial"/>
          <w:sz w:val="16"/>
          <w:szCs w:val="16"/>
          <w:color w:val="auto"/>
        </w:rPr>
        <w:t xml:space="preserve">” means, with respect to any Lender, the principal amount set forth opposite such Lender’s name in the Register or in any Assignment and Assumption Agreement under the caption “Amount of Term Loan A Commitment,” which commitment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is the amount set forth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Incremental Amendment No. 2 and Third Amendment under the caption “Amount of Additional Term Loan A Commitment” as the same may be adjusted from time to time pursuant to the terms hereof, and “</w:t>
      </w:r>
      <w:r>
        <w:rPr>
          <w:rFonts w:ascii="Arial" w:cs="Arial" w:eastAsia="Arial" w:hAnsi="Arial"/>
          <w:sz w:val="16"/>
          <w:szCs w:val="16"/>
          <w:u w:val="single" w:color="auto"/>
          <w:color w:val="auto"/>
        </w:rPr>
        <w:t>Term Loan A Commitments</w:t>
      </w:r>
      <w:r>
        <w:rPr>
          <w:rFonts w:ascii="Arial" w:cs="Arial" w:eastAsia="Arial" w:hAnsi="Arial"/>
          <w:sz w:val="16"/>
          <w:szCs w:val="16"/>
          <w:color w:val="auto"/>
        </w:rPr>
        <w:t>” means all such commitments collectively, which commitments equal $</w:t>
      </w:r>
      <w:r>
        <w:rPr>
          <w:rFonts w:ascii="Arial" w:cs="Arial" w:eastAsia="Arial" w:hAnsi="Arial"/>
          <w:sz w:val="16"/>
          <w:szCs w:val="16"/>
          <w:color w:val="FF0000"/>
          <w:strike w:val="1"/>
        </w:rPr>
        <w:t>1,100,000,000</w:t>
      </w:r>
      <w:r>
        <w:rPr>
          <w:rFonts w:ascii="Arial" w:cs="Arial" w:eastAsia="Arial" w:hAnsi="Arial"/>
          <w:sz w:val="16"/>
          <w:szCs w:val="16"/>
          <w:u w:val="single" w:color="auto"/>
          <w:color w:val="0000FF"/>
        </w:rPr>
        <w:t>1,800,000,000</w:t>
      </w:r>
      <w:r>
        <w:rPr>
          <w:rFonts w:ascii="Arial" w:cs="Arial" w:eastAsia="Arial" w:hAnsi="Arial"/>
          <w:sz w:val="16"/>
          <w:szCs w:val="16"/>
          <w:color w:val="auto"/>
        </w:rPr>
        <w:t xml:space="preserve"> in the aggregate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-426085</wp:posOffset>
            </wp:positionV>
            <wp:extent cx="5143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-426085</wp:posOffset>
            </wp:positionV>
            <wp:extent cx="22288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65976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-14605</wp:posOffset>
            </wp:positionV>
            <wp:extent cx="596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-14605</wp:posOffset>
            </wp:positionV>
            <wp:extent cx="22288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 Facility</w:t>
      </w:r>
      <w:r>
        <w:rPr>
          <w:rFonts w:ascii="Arial" w:cs="Arial" w:eastAsia="Arial" w:hAnsi="Arial"/>
          <w:sz w:val="17"/>
          <w:szCs w:val="17"/>
          <w:color w:val="auto"/>
        </w:rPr>
        <w:t>” means the credit facility under this Agreement evidenced by the Term Loan A Commitments and the Term A Loans.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Lender</w:t>
      </w:r>
      <w:r>
        <w:rPr>
          <w:rFonts w:ascii="Arial" w:cs="Arial" w:eastAsia="Arial" w:hAnsi="Arial"/>
          <w:sz w:val="18"/>
          <w:szCs w:val="18"/>
          <w:color w:val="auto"/>
        </w:rPr>
        <w:t>” means any Lender which has a Term Loan A Commitment or is owed a Term A Loan (or a portion thereof).</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Maturity Date</w:t>
      </w:r>
      <w:r>
        <w:rPr>
          <w:rFonts w:ascii="Arial" w:cs="Arial" w:eastAsia="Arial" w:hAnsi="Arial"/>
          <w:sz w:val="18"/>
          <w:szCs w:val="18"/>
          <w:color w:val="auto"/>
        </w:rPr>
        <w:t xml:space="preserve">” means the date that is the fifth anniversary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-147955</wp:posOffset>
            </wp:positionV>
            <wp:extent cx="603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-147955</wp:posOffset>
            </wp:positionV>
            <wp:extent cx="21463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Loans under the Term Facilities, collectively.</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Maturity Date</w:t>
      </w:r>
      <w:r>
        <w:rPr>
          <w:rFonts w:ascii="Arial" w:cs="Arial" w:eastAsia="Arial" w:hAnsi="Arial"/>
          <w:sz w:val="16"/>
          <w:szCs w:val="16"/>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pacing w:after="0" w:line="149"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Percentage</w:t>
      </w:r>
      <w:r>
        <w:rPr>
          <w:rFonts w:ascii="Arial" w:cs="Arial" w:eastAsia="Arial" w:hAnsi="Arial"/>
          <w:sz w:val="18"/>
          <w:szCs w:val="18"/>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184"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Pro Rata Share</w:t>
      </w:r>
      <w:r>
        <w:rPr>
          <w:rFonts w:ascii="Arial" w:cs="Arial" w:eastAsia="Arial" w:hAnsi="Arial"/>
          <w:sz w:val="18"/>
          <w:szCs w:val="18"/>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08" w:name="page209"/>
    <w:bookmarkEnd w:id="208"/>
    <w:p>
      <w:pPr>
        <w:ind w:left="444"/>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SOFR”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100266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97" w:lineRule="exact"/>
        <w:rPr>
          <w:sz w:val="20"/>
          <w:szCs w:val="20"/>
          <w:color w:val="auto"/>
        </w:rPr>
      </w:pPr>
    </w:p>
    <w:p>
      <w:pPr>
        <w:ind w:left="444" w:right="20" w:firstLine="419"/>
        <w:spacing w:after="0" w:line="270" w:lineRule="auto"/>
        <w:tabs>
          <w:tab w:leader="none" w:pos="1112" w:val="left"/>
        </w:tabs>
        <w:numPr>
          <w:ilvl w:val="0"/>
          <w:numId w:val="5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w:t>
      </w:r>
      <w:r>
        <w:rPr>
          <w:rFonts w:ascii="Arial" w:cs="Arial" w:eastAsia="Arial" w:hAnsi="Arial"/>
          <w:sz w:val="17"/>
          <w:szCs w:val="17"/>
          <w:color w:val="0000FF"/>
        </w:rPr>
        <w:t xml:space="preserve"> </w:t>
      </w:r>
      <w:r>
        <w:rPr>
          <w:rFonts w:ascii="Arial" w:cs="Arial" w:eastAsia="Arial" w:hAnsi="Arial"/>
          <w:sz w:val="17"/>
          <w:szCs w:val="17"/>
          <w:color w:val="008000"/>
        </w:rPr>
        <w:t>the first</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day of such Interest Period</w:t>
      </w:r>
      <w:r>
        <w:rPr>
          <w:rFonts w:ascii="Arial" w:cs="Arial" w:eastAsia="Arial" w:hAnsi="Arial"/>
          <w:sz w:val="17"/>
          <w:szCs w:val="17"/>
          <w:u w:val="single" w:color="auto"/>
          <w:color w:val="0000FF"/>
        </w:rPr>
        <w:t>, as such rate is published by the Term SOFR Administrator; provided, however, that if as of 5:00 p.m. (New York City</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72" w:lineRule="exact"/>
        <w:rPr>
          <w:rFonts w:ascii="Arial" w:cs="Arial" w:eastAsia="Arial" w:hAnsi="Arial"/>
          <w:sz w:val="17"/>
          <w:szCs w:val="17"/>
          <w:u w:val="single" w:color="auto"/>
          <w:color w:val="0000FF"/>
        </w:rPr>
      </w:pPr>
    </w:p>
    <w:p>
      <w:pPr>
        <w:ind w:left="444" w:right="20" w:firstLine="419"/>
        <w:spacing w:after="0" w:line="253" w:lineRule="auto"/>
        <w:tabs>
          <w:tab w:leader="none" w:pos="1122" w:val="left"/>
        </w:tabs>
        <w:numPr>
          <w:ilvl w:val="0"/>
          <w:numId w:val="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any calculation with respect to an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-2394585</wp:posOffset>
            </wp:positionV>
            <wp:extent cx="642937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-2257425</wp:posOffset>
            </wp:positionV>
            <wp:extent cx="659193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6496050</wp:posOffset>
            </wp:positionH>
            <wp:positionV relativeFrom="paragraph">
              <wp:posOffset>-2291715</wp:posOffset>
            </wp:positionV>
            <wp:extent cx="38036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036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-2120265</wp:posOffset>
            </wp:positionV>
            <wp:extent cx="666051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-1983105</wp:posOffset>
            </wp:positionV>
            <wp:extent cx="669480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-1845945</wp:posOffset>
            </wp:positionV>
            <wp:extent cx="666051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-1708785</wp:posOffset>
            </wp:positionV>
            <wp:extent cx="62407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-1571625</wp:posOffset>
            </wp:positionV>
            <wp:extent cx="650621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-1434465</wp:posOffset>
            </wp:positionV>
            <wp:extent cx="666051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-1297305</wp:posOffset>
            </wp:positionV>
            <wp:extent cx="208280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-1091565</wp:posOffset>
            </wp:positionV>
            <wp:extent cx="628332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-954405</wp:posOffset>
            </wp:positionV>
            <wp:extent cx="660082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-817245</wp:posOffset>
            </wp:positionV>
            <wp:extent cx="669480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-680085</wp:posOffset>
            </wp:positionV>
            <wp:extent cx="635190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-542925</wp:posOffset>
            </wp:positionV>
            <wp:extent cx="628332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-405765</wp:posOffset>
            </wp:positionV>
            <wp:extent cx="665226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-268605</wp:posOffset>
            </wp:positionV>
            <wp:extent cx="637794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-131445</wp:posOffset>
            </wp:positionV>
            <wp:extent cx="630936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5080</wp:posOffset>
            </wp:positionV>
            <wp:extent cx="89979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“Term SOFR Adjustment” means a percentage equal to 0.10%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339471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46366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74586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u w:val="single" w:color="auto"/>
          <w:color w:val="0000FF"/>
        </w:rPr>
        <w:t>“Term SOFR Reference Rate” means</w:t>
      </w:r>
      <w:r>
        <w:rPr>
          <w:rFonts w:ascii="Arial" w:cs="Arial" w:eastAsia="Arial" w:hAnsi="Arial"/>
          <w:sz w:val="18"/>
          <w:szCs w:val="18"/>
          <w:color w:val="0000FF"/>
        </w:rPr>
        <w:t xml:space="preserve"> </w:t>
      </w:r>
      <w:r>
        <w:rPr>
          <w:rFonts w:ascii="Arial" w:cs="Arial" w:eastAsia="Arial" w:hAnsi="Arial"/>
          <w:sz w:val="18"/>
          <w:szCs w:val="18"/>
          <w:color w:val="008000"/>
        </w:rPr>
        <w:t>the rate per annum determined by the Administrative Agent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as the forward-looking term rate based 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-182245</wp:posOffset>
            </wp:positionV>
            <wp:extent cx="6395085" cy="4318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3950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1686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other than in respect of a Canadian Defined Benefit Plan, (i) a Reportable Event with respect to any Pension Plan;</w:t>
      </w:r>
    </w:p>
    <w:p>
      <w:pPr>
        <w:spacing w:after="0" w:line="46" w:lineRule="exact"/>
        <w:rPr>
          <w:sz w:val="20"/>
          <w:szCs w:val="20"/>
          <w:color w:val="auto"/>
        </w:rPr>
      </w:pPr>
    </w:p>
    <w:p>
      <w:pPr>
        <w:ind w:left="4" w:hanging="4"/>
        <w:spacing w:after="0" w:line="268" w:lineRule="auto"/>
        <w:tabs>
          <w:tab w:leader="none" w:pos="26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withdrawal of any Credit Party, any of its Subsidiaries or any of their ERISA Affiliates from a Pension Plan during a plan year in which such Credit Party, Subsidiary or ERISA Affiliate was a “substantial employer” as defined in Section 4001(a)(2) of ERISA; (iii) 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reorganization or</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209" w:name="page210"/>
    <w:bookmarkEnd w:id="20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insolvency with respect to a Multiemployer Plan pursuant to Section 4242 or 4245 of ERISA; (ix) 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 (xi) the filing pursuant to Section 412 of the Code or Section 302 of 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or in reorganization (within the meaning of Section 4245 or Section 4241 of ERISA) or in endangered or critical status (within the meaning of Section 432 of the Code or Section 305 of ERISA).</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four consecutive Fiscal Quarters of Crown Holdings then last ended.</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Canadian Revolving Commitment</w:t>
      </w:r>
      <w:r>
        <w:rPr>
          <w:rFonts w:ascii="Arial" w:cs="Arial" w:eastAsia="Arial" w:hAnsi="Arial"/>
          <w:sz w:val="18"/>
          <w:szCs w:val="18"/>
          <w:color w:val="auto"/>
        </w:rPr>
        <w:t>” means, at the time any determination thereof is made, the sum of the respective Available Canadian Revolving Commitments of the Lenders at such time.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Dollar Revolving Commitment</w:t>
      </w:r>
      <w:r>
        <w:rPr>
          <w:rFonts w:ascii="Arial" w:cs="Arial" w:eastAsia="Arial" w:hAnsi="Arial"/>
          <w:sz w:val="18"/>
          <w:szCs w:val="18"/>
          <w:color w:val="auto"/>
        </w:rPr>
        <w:t>” means, at the time any determination thereof is made, the sum of the respective Available Dollar Revolving Commitments of the Lenders at such time.</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Revolving Commitment</w:t>
      </w:r>
      <w:r>
        <w:rPr>
          <w:rFonts w:ascii="Arial" w:cs="Arial" w:eastAsia="Arial" w:hAnsi="Arial"/>
          <w:sz w:val="18"/>
          <w:szCs w:val="18"/>
          <w:color w:val="auto"/>
        </w:rPr>
        <w:t>” means, at the time any determination thereof is made, the sum of the respective Available Multicurrency Revolving Commitments of the Lenders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Canadian Revolving Commitment</w:t>
      </w:r>
      <w:r>
        <w:rPr>
          <w:rFonts w:ascii="Arial" w:cs="Arial" w:eastAsia="Arial" w:hAnsi="Arial"/>
          <w:sz w:val="16"/>
          <w:szCs w:val="16"/>
          <w:color w:val="auto"/>
        </w:rPr>
        <w:t>” means, at any time, the sum of the Canadian Revolving Commitments of each of the Lenders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0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means, at the time any determination thereof is made, the sum of the Term Commitments, Canadian Revolving Commitments and the Revolving Commitments of each of the Lenders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Dollar Revolving Commitment</w:t>
      </w:r>
      <w:r>
        <w:rPr>
          <w:rFonts w:ascii="Arial" w:cs="Arial" w:eastAsia="Arial" w:hAnsi="Arial"/>
          <w:sz w:val="16"/>
          <w:szCs w:val="16"/>
          <w:color w:val="auto"/>
        </w:rPr>
        <w:t>” means, at any time, the sum of the Dollar Revolving Commitments of each of the Lenders at such time.</w:t>
      </w:r>
    </w:p>
    <w:p>
      <w:pPr>
        <w:spacing w:after="0" w:line="24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First Lien Leverage Ratio</w:t>
      </w:r>
      <w:r>
        <w:rPr>
          <w:rFonts w:ascii="Arial" w:cs="Arial" w:eastAsia="Arial" w:hAnsi="Arial"/>
          <w:sz w:val="18"/>
          <w:szCs w:val="18"/>
          <w:color w:val="auto"/>
        </w:rPr>
        <w:t>” means, for any Test Period, the ratio of (a) Net Indebtedness of Crown Holdings and its Subsidiaries (exclusive of Indebtedness under any Permitted Receivables or Factoring Financing) as of the last day of such Test Period less (x) 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18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210" w:name="page211"/>
    <w:bookmarkEnd w:id="210"/>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Total Multicurrency Revolving Commitment</w:t>
      </w:r>
      <w:r>
        <w:rPr>
          <w:rFonts w:ascii="Arial" w:cs="Arial" w:eastAsia="Arial" w:hAnsi="Arial"/>
          <w:sz w:val="18"/>
          <w:szCs w:val="18"/>
          <w:color w:val="auto"/>
        </w:rPr>
        <w:t>” means, at any time, the sum of the Multicurrency Revolving Commitment of each of the Lenders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means, at any time, the sum of the Revolving Commitments of each of the Lenders at such time.</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Secured Leverage Ratio</w:t>
      </w:r>
      <w:r>
        <w:rPr>
          <w:rFonts w:ascii="Arial" w:cs="Arial" w:eastAsia="Arial" w:hAnsi="Arial"/>
          <w:sz w:val="18"/>
          <w:szCs w:val="18"/>
          <w:color w:val="auto"/>
        </w:rPr>
        <w:t>” means, for any Test Period, the ratio of (a) Net Indebtedness that is secured by a Lien on any asset or property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and includes (i) each of the Credit Events occurring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and (ii) the payment of fees and expenses in connection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-147955</wp:posOffset>
            </wp:positionV>
            <wp:extent cx="5143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-147955</wp:posOffset>
            </wp:positionV>
            <wp:extent cx="22288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means any type of Loan, namely, a </w:t>
      </w:r>
      <w:r>
        <w:rPr>
          <w:rFonts w:ascii="Arial" w:cs="Arial" w:eastAsia="Arial" w:hAnsi="Arial"/>
          <w:sz w:val="18"/>
          <w:szCs w:val="18"/>
          <w:u w:val="single" w:color="auto"/>
          <w:color w:val="0000FF"/>
        </w:rPr>
        <w:t>SOFR Loan,</w:t>
      </w:r>
      <w:r>
        <w:rPr>
          <w:rFonts w:ascii="Arial" w:cs="Arial" w:eastAsia="Arial" w:hAnsi="Arial"/>
          <w:sz w:val="18"/>
          <w:szCs w:val="18"/>
          <w:color w:val="auto"/>
        </w:rPr>
        <w:t xml:space="preserve"> Base Rate Loan, Canadian Prime Rate Loan, B/A Loan</w:t>
      </w:r>
      <w:r>
        <w:rPr>
          <w:rFonts w:ascii="Arial" w:cs="Arial" w:eastAsia="Arial" w:hAnsi="Arial"/>
          <w:sz w:val="18"/>
          <w:szCs w:val="18"/>
          <w:u w:val="single" w:color="auto"/>
          <w:color w:val="0000FF"/>
        </w:rPr>
        <w:t>, Daily Simple RFR Loan</w:t>
      </w:r>
      <w:r>
        <w:rPr>
          <w:rFonts w:ascii="Arial" w:cs="Arial" w:eastAsia="Arial" w:hAnsi="Arial"/>
          <w:sz w:val="18"/>
          <w:szCs w:val="18"/>
          <w:color w:val="auto"/>
        </w:rPr>
        <w:t xml:space="preserve"> or Eurocurrency Loan. For purposes hereof, the term “Rate” shall include </w:t>
      </w:r>
      <w:r>
        <w:rPr>
          <w:rFonts w:ascii="Arial" w:cs="Arial" w:eastAsia="Arial" w:hAnsi="Arial"/>
          <w:sz w:val="18"/>
          <w:szCs w:val="18"/>
          <w:u w:val="single" w:color="auto"/>
          <w:color w:val="0000FF"/>
        </w:rPr>
        <w:t>Adjusted Term SOFR,</w:t>
      </w:r>
      <w:r>
        <w:rPr>
          <w:rFonts w:ascii="Arial" w:cs="Arial" w:eastAsia="Arial" w:hAnsi="Arial"/>
          <w:sz w:val="18"/>
          <w:szCs w:val="18"/>
          <w:color w:val="auto"/>
        </w:rPr>
        <w:t xml:space="preserve"> the Eurocurrency Rate, the Base Rate, the Canadian Prime Rate, and the Discount Rate applicable to B/A and B/A Equivalent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-276860</wp:posOffset>
            </wp:positionV>
            <wp:extent cx="58293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-276860</wp:posOffset>
            </wp:positionV>
            <wp:extent cx="116586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-139700</wp:posOffset>
            </wp:positionV>
            <wp:extent cx="102870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6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xml:space="preserve">” means the Uniform Commercial Code as in effect from time to time in the relevant jurisdictions;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17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u w:val="single" w:color="auto"/>
          <w:color w:val="0000FF"/>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3763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5513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2371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0689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9480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14871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15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Administrative Agent</w:t>
      </w:r>
      <w:r>
        <w:rPr>
          <w:rFonts w:ascii="Arial" w:cs="Arial" w:eastAsia="Arial" w:hAnsi="Arial"/>
          <w:sz w:val="18"/>
          <w:szCs w:val="18"/>
          <w:color w:val="auto"/>
        </w:rPr>
        <w:t>” has the meaning assigned to that term in the preamble to this Agreement and any successor U.K. Administrative Agent in such capacity and shall include, where the context requires, the Euro Collateral Agent.</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Borrowers</w:t>
      </w:r>
      <w:r>
        <w:rPr>
          <w:rFonts w:ascii="Arial" w:cs="Arial" w:eastAsia="Arial" w:hAnsi="Arial"/>
          <w:sz w:val="17"/>
          <w:szCs w:val="17"/>
          <w:color w:val="auto"/>
        </w:rPr>
        <w:t xml:space="preserve">” means each Non-U.S. Subsidiary of Crown Holdings organized under the laws of England, as designated as such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1.1(d)</w:t>
      </w:r>
      <w:r>
        <w:rPr>
          <w:rFonts w:ascii="Arial" w:cs="Arial" w:eastAsia="Arial" w:hAnsi="Arial"/>
          <w:sz w:val="17"/>
          <w:szCs w:val="17"/>
          <w:color w:val="auto"/>
        </w:rPr>
        <w:t>, and each other Non-U.S. Subsidiary of Crown Holdings organized under the laws of England and requested by Crown Holdings to be a U.K. Borrower, subject to the approval of Administrative Agent which shall not be unreasonably withheld or delayed.</w:t>
      </w:r>
    </w:p>
    <w:p>
      <w:pPr>
        <w:spacing w:after="0" w:line="16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Unasserted Contingent Obligations</w:t>
      </w:r>
      <w:r>
        <w:rPr>
          <w:rFonts w:ascii="Arial" w:cs="Arial" w:eastAsia="Arial" w:hAnsi="Arial"/>
          <w:sz w:val="18"/>
          <w:szCs w:val="18"/>
          <w:color w:val="auto"/>
        </w:rPr>
        <w:t>” means all (i) unasserted contingent indemnification obligations not then due and payable and (ii) unasserted expense reimbursement obligations not then due and payable.</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Uncommitted Short Term Lines of Credit</w:t>
      </w:r>
      <w:r>
        <w:rPr>
          <w:rFonts w:ascii="Arial" w:cs="Arial" w:eastAsia="Arial" w:hAnsi="Arial"/>
          <w:sz w:val="18"/>
          <w:szCs w:val="18"/>
          <w:color w:val="auto"/>
        </w:rPr>
        <w: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211" w:name="page212"/>
    <w:bookmarkEnd w:id="211"/>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Unmatured Event of Default</w:t>
      </w:r>
      <w:r>
        <w:rPr>
          <w:rFonts w:ascii="Arial" w:cs="Arial" w:eastAsia="Arial" w:hAnsi="Arial"/>
          <w:sz w:val="18"/>
          <w:szCs w:val="18"/>
          <w:color w:val="auto"/>
        </w:rPr>
        <w:t>” means an event, act or occurrence which with the giving of notice or the lapse of time (or both) would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2.12(a)(ii)</w:t>
      </w:r>
      <w:r>
        <w:rPr>
          <w:rFonts w:ascii="Arial" w:cs="Arial" w:eastAsia="Arial" w:hAnsi="Arial"/>
          <w:sz w:val="18"/>
          <w:szCs w:val="18"/>
          <w:color w:val="auto"/>
        </w:rPr>
        <w:t>.</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Entity</w:t>
      </w:r>
      <w:r>
        <w:rPr>
          <w:rFonts w:ascii="Arial" w:cs="Arial" w:eastAsia="Arial" w:hAnsi="Arial"/>
          <w:sz w:val="17"/>
          <w:szCs w:val="17"/>
          <w:color w:val="auto"/>
        </w:rPr>
        <w:t xml:space="preserve">” means (i) prior to a redesignation by Crown Holdings pursuant to </w:t>
      </w:r>
      <w:r>
        <w:rPr>
          <w:rFonts w:ascii="Arial" w:cs="Arial" w:eastAsia="Arial" w:hAnsi="Arial"/>
          <w:sz w:val="17"/>
          <w:szCs w:val="17"/>
          <w:u w:val="single" w:color="auto"/>
          <w:color w:val="auto"/>
        </w:rPr>
        <w:t>Section 12.21</w:t>
      </w:r>
      <w:r>
        <w:rPr>
          <w:rFonts w:ascii="Arial" w:cs="Arial" w:eastAsia="Arial" w:hAnsi="Arial"/>
          <w:sz w:val="17"/>
          <w:szCs w:val="17"/>
          <w:color w:val="auto"/>
        </w:rPr>
        <w:t xml:space="preserve">, each Person set forth on </w:t>
      </w:r>
      <w:r>
        <w:rPr>
          <w:rFonts w:ascii="Arial" w:cs="Arial" w:eastAsia="Arial" w:hAnsi="Arial"/>
          <w:sz w:val="17"/>
          <w:szCs w:val="17"/>
          <w:u w:val="single" w:color="auto"/>
          <w:color w:val="auto"/>
        </w:rPr>
        <w:t>Schedule</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u w:val="single" w:color="auto"/>
          <w:color w:val="auto"/>
        </w:rPr>
        <w:t>1.1(e)</w:t>
      </w:r>
      <w:r>
        <w:rPr>
          <w:rFonts w:ascii="Arial" w:cs="Arial" w:eastAsia="Arial" w:hAnsi="Arial"/>
          <w:sz w:val="16"/>
          <w:szCs w:val="16"/>
          <w:color w:val="auto"/>
        </w:rPr>
        <w:t xml:space="preserve"> hereto, (ii) prior to a redesignation by Crown Holdings pursuant to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each Person from time to time designated as an Unrestricted Entity by Crown Holdings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after giving effect to such redesignation, Crown Holdings shall be in compliance with the financial covenant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(calculated on a Pro Forma Basis) as of the end of the most recent Test Period and (iii) each successor of the foregoing.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Borrower</w:t>
      </w:r>
      <w:r>
        <w:rPr>
          <w:rFonts w:ascii="Arial" w:cs="Arial" w:eastAsia="Arial" w:hAnsi="Arial"/>
          <w:sz w:val="17"/>
          <w:szCs w:val="17"/>
          <w:color w:val="auto"/>
        </w:rPr>
        <w:t xml:space="preserve">” means collectively and individually, as the context may require, each of Crown Americas LLC and any additional U.S. Subsidiary that (A) executes a U.S. Borrower Joinder Agreement substantially in the form of </w:t>
      </w:r>
      <w:r>
        <w:rPr>
          <w:rFonts w:ascii="Arial" w:cs="Arial" w:eastAsia="Arial" w:hAnsi="Arial"/>
          <w:sz w:val="17"/>
          <w:szCs w:val="17"/>
          <w:u w:val="single" w:color="auto"/>
          <w:color w:val="auto"/>
        </w:rPr>
        <w:t>Exhibit 13</w:t>
      </w:r>
      <w:r>
        <w:rPr>
          <w:rFonts w:ascii="Arial" w:cs="Arial" w:eastAsia="Arial" w:hAnsi="Arial"/>
          <w:sz w:val="17"/>
          <w:szCs w:val="17"/>
          <w:color w:val="auto"/>
        </w:rPr>
        <w:t xml:space="preserve"> (or such other form as mutually agreed by Crown Holdings and the Administrative Agent) and (B) delivers to the Administrative Agent, to the extent not previously delivered, (1) the Additional Security Documents required pursuant to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7"/>
          <w:szCs w:val="17"/>
          <w:u w:val="single" w:color="auto"/>
          <w:color w:val="auto"/>
        </w:rPr>
        <w:t>Section 5.1(f)(ii)</w:t>
      </w:r>
      <w:r>
        <w:rPr>
          <w:rFonts w:ascii="Arial" w:cs="Arial" w:eastAsia="Arial" w:hAnsi="Arial"/>
          <w:sz w:val="17"/>
          <w:szCs w:val="17"/>
          <w:color w:val="auto"/>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of the Credit Agreement, if applicable. For purposes of the definition of “Existing Non-U.S. Facilities”, the definition of “Parent Guarantor”, the definition of “Senior Notes 2023”, the definition of “Senior Notes 2026”, the definition of “Senior Notes 2026-2”, </w:t>
      </w:r>
      <w:r>
        <w:rPr>
          <w:rFonts w:ascii="Arial" w:cs="Arial" w:eastAsia="Arial" w:hAnsi="Arial"/>
          <w:sz w:val="17"/>
          <w:szCs w:val="17"/>
          <w:u w:val="single" w:color="auto"/>
          <w:color w:val="auto"/>
        </w:rPr>
        <w:t>Section 2.1(a)(i)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8.1(a)(iii)</w:t>
      </w:r>
      <w:r>
        <w:rPr>
          <w:rFonts w:ascii="Arial" w:cs="Arial" w:eastAsia="Arial" w:hAnsi="Arial"/>
          <w:sz w:val="17"/>
          <w:szCs w:val="17"/>
          <w:color w:val="auto"/>
        </w:rPr>
        <w:t>, “U.S. Borrower” shall be defined to include only Crown Americas LLC and no other entity. Each reference to the “U.S. Borrower” in the Loan Documents shall be deemed to refer to this definition.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w:t>
      </w:r>
      <w:r>
        <w:rPr>
          <w:rFonts w:ascii="Arial" w:cs="Arial" w:eastAsia="Arial" w:hAnsi="Arial"/>
          <w:sz w:val="18"/>
          <w:szCs w:val="18"/>
          <w:color w:val="auto"/>
        </w:rPr>
        <w:t>” means all Collateral securing the U.S. Obligations, the Canadian Obligations and the Euro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 Agent</w:t>
      </w:r>
      <w:r>
        <w:rPr>
          <w:rFonts w:ascii="Arial" w:cs="Arial" w:eastAsia="Arial" w:hAnsi="Arial"/>
          <w:sz w:val="18"/>
          <w:szCs w:val="18"/>
          <w:color w:val="auto"/>
        </w:rPr>
        <w:t>” means DB, in its capacity as collateral agent under the U.S. Security Documents.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Parties</w:t>
      </w:r>
      <w:r>
        <w:rPr>
          <w:rFonts w:ascii="Arial" w:cs="Arial" w:eastAsia="Arial" w:hAnsi="Arial"/>
          <w:sz w:val="18"/>
          <w:szCs w:val="18"/>
          <w:color w:val="auto"/>
        </w:rPr>
        <w:t>” means Crown Holdings and its U.S. Subsidiaries (other than any Excluded Subsidiary).</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u w:val="single" w:color="auto"/>
          <w:color w:val="0000FF"/>
        </w:rPr>
        <w:t>“U.S. Government Securities Business Day”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59193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0943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6713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212" w:name="page213"/>
    <w:bookmarkEnd w:id="212"/>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 Guarantee Agreement</w:t>
      </w:r>
      <w:r>
        <w:rPr>
          <w:rFonts w:ascii="Arial" w:cs="Arial" w:eastAsia="Arial" w:hAnsi="Arial"/>
          <w:sz w:val="18"/>
          <w:szCs w:val="18"/>
          <w:color w:val="auto"/>
        </w:rPr>
        <w:t>” means that certain U.S. Guarantee Agreement, dated as of December 19, 2013 as amended, restated, amended and restated, supplemented or otherwise modified from time to time, among the Guarantors party thereto, U.S. Collateral Agent and the Administrative Agent.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Indemnity, Subrogation and Contribution Agreement</w:t>
      </w:r>
      <w:r>
        <w:rPr>
          <w:rFonts w:ascii="Arial" w:cs="Arial" w:eastAsia="Arial" w:hAnsi="Arial"/>
          <w:sz w:val="18"/>
          <w:szCs w:val="18"/>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Obligations</w:t>
      </w:r>
      <w:r>
        <w:rPr>
          <w:rFonts w:ascii="Arial" w:cs="Arial" w:eastAsia="Arial" w:hAnsi="Arial"/>
          <w:sz w:val="17"/>
          <w:szCs w:val="17"/>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and all other obligations and liabilities of U.S. Borrower or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185"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Pledge Agreement</w:t>
      </w:r>
      <w:r>
        <w:rPr>
          <w:rFonts w:ascii="Arial" w:cs="Arial" w:eastAsia="Arial" w:hAnsi="Arial"/>
          <w:sz w:val="18"/>
          <w:szCs w:val="18"/>
          <w:color w:val="auto"/>
        </w:rPr>
        <w:t>” means the U.S. Pledge Agreement, dated as of December 19, 2013, as amended, restated, amended and restated or otherwise modified from time to time, among the U.S. Credit Parties and the U.S. Collateral Agent for the benefit of the Secured Creditors named therein.</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means the U.S. Security Agreement, dated as of December 19, 2013, as amended, restated, amended and restated or otherwise modified from time to time, among the U.S. Credit Parties and the U.S. Collateral Agent for the benefit of the Secured Creditors named therein.</w:t>
      </w:r>
    </w:p>
    <w:p>
      <w:pPr>
        <w:spacing w:after="0" w:line="184"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Security Documents</w:t>
      </w:r>
      <w:r>
        <w:rPr>
          <w:rFonts w:ascii="Arial" w:cs="Arial" w:eastAsia="Arial" w:hAnsi="Arial"/>
          <w:sz w:val="17"/>
          <w:szCs w:val="17"/>
          <w:color w:val="auto"/>
        </w:rPr>
        <w:t xml:space="preserve">” means the U.S. Security Agreement, the U.S. Pledge Agreement, each Receivables Intercreditor Agreement governed by U.S. law, the Perfection Certificate executed by the U.S. Credit Parties and each other security agreement or other instrument or document executed and delivered by any U.S. Borrower or U.S. Subsidiary pursuant to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to secure any of the Obligations.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of Crown Holdings that is not a Non-U.S. Subsidiary of Crown Holdings.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4.7(d)(ii)(B)(III)</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213" w:name="page214"/>
    <w:bookmarkEnd w:id="2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Voting 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Participant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12.8(c)</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w:t>
      </w:r>
      <w:r>
        <w:rPr>
          <w:rFonts w:ascii="Arial" w:cs="Arial" w:eastAsia="Arial" w:hAnsi="Arial"/>
          <w:sz w:val="18"/>
          <w:szCs w:val="18"/>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(b) with respect to the United Kingdom, any powers of the applicable Resolution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-836295</wp:posOffset>
            </wp:positionV>
            <wp:extent cx="12890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-561975</wp:posOffset>
            </wp:positionV>
            <wp:extent cx="394335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76338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92658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83196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51777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w:t>
      </w:r>
      <w:r>
        <w:rPr>
          <w:rFonts w:ascii="Arial" w:cs="Arial" w:eastAsia="Arial" w:hAnsi="Arial"/>
          <w:sz w:val="18"/>
          <w:szCs w:val="18"/>
          <w:color w:val="auto"/>
        </w:rPr>
        <w:t>” or “</w:t>
      </w:r>
      <w:r>
        <w:rPr>
          <w:rFonts w:ascii="Arial" w:cs="Arial" w:eastAsia="Arial" w:hAnsi="Arial"/>
          <w:sz w:val="18"/>
          <w:szCs w:val="18"/>
          <w:u w:val="single" w:color="auto"/>
          <w:color w:val="auto"/>
        </w:rPr>
        <w:t>in writing</w:t>
      </w:r>
      <w:r>
        <w:rPr>
          <w:rFonts w:ascii="Arial" w:cs="Arial" w:eastAsia="Arial" w:hAnsi="Arial"/>
          <w:sz w:val="18"/>
          <w:szCs w:val="18"/>
          <w:color w:val="auto"/>
        </w:rPr>
        <w:t>” means any form of written communication or a communication by means of facsimile device or other electronic image scan transmission (e.g., “pdf” via email).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WURA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Winding-Up and Restructuring Act</w:t>
      </w:r>
      <w:r>
        <w:rPr>
          <w:rFonts w:ascii="Arial" w:cs="Arial" w:eastAsia="Arial" w:hAnsi="Arial"/>
          <w:sz w:val="18"/>
          <w:szCs w:val="18"/>
          <w:color w:val="auto"/>
        </w:rPr>
        <w:t xml:space="preserve"> (Canada), as amended.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40"/>
          </w:cols>
          <w:pgMar w:left="440" w:top="274" w:right="519" w:bottom="1440" w:gutter="0" w:footer="0" w:header="0"/>
        </w:sectPr>
      </w:pPr>
    </w:p>
    <w:bookmarkStart w:id="214" w:name="page215"/>
    <w:bookmarkEnd w:id="21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Generally; Financial Statements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4"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Except as expressly provided herein, the financial statements required to be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whenever a reference is made to a determination which is required to be made on a consolidated basis (whether in accordance with GAAP or otherwise) for Crown Holdings and its Subsidiaries, such determination shall be made as if all Unrestricted Entities were wholly-owned by a Person not an Affiliate of Crown Holdings. In the event that any changes in generally accepted accounting principles in the U.S. occur after the Effective Date or the application thereof from that used in the preparation of the financial statements referred to in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hereof occur after the Effective Date and such changes or such application result in a material variation in the method of calculation of financial covenants or other terms of this Agreement, then Crown Holdings, 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to the contrary above or in the definitions of Capitalized Lease, Capitalized Lease Obligations, Consolidated Interest Expense or any other term or provision in this Agreement or any other Loan Document, in the event of a change under GAAP (or the application thereof) requiring all or certain Operating Leases to be capitalized, only those leases that would result in a Capitalized Lease or Capitalized Lease Obligation on December 15, 2018 (assuming for purposes hereof that they were in existence on December 15, 2018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287" w:lineRule="exact"/>
        <w:rPr>
          <w:rFonts w:ascii="Arial" w:cs="Arial" w:eastAsia="Arial" w:hAnsi="Arial"/>
          <w:sz w:val="16"/>
          <w:szCs w:val="16"/>
          <w:color w:val="auto"/>
        </w:rPr>
      </w:pPr>
    </w:p>
    <w:p>
      <w:pPr>
        <w:ind w:right="80" w:firstLine="436"/>
        <w:spacing w:after="0" w:line="257"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For purposes of computing ratios in the financial covenant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as of the end of any Test Period, all components of such ratios for the applicable Test Period shall include or exclude, as the case may be, without duplication, such components of such ratios attributable to any business or assets 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215" w:name="page216"/>
    <w:bookmarkEnd w:id="215"/>
    <w:p>
      <w:pPr>
        <w:ind w:left="-20" w:right="280" w:firstLine="436"/>
        <w:spacing w:after="0" w:line="342"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the limitations, levels and baskets in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stated in Dollars, non-Dollar currencies will be converted into Dollars at the time of incurrence or receipt, as the case may be, using the methodology set forth in the definition of “Dollar Equivalent”.</w:t>
      </w:r>
    </w:p>
    <w:p>
      <w:pPr>
        <w:spacing w:after="0" w:line="15" w:lineRule="exact"/>
        <w:rPr>
          <w:rFonts w:ascii="Arial" w:cs="Arial" w:eastAsia="Arial" w:hAnsi="Arial"/>
          <w:sz w:val="16"/>
          <w:szCs w:val="16"/>
          <w:color w:val="auto"/>
        </w:rPr>
      </w:pPr>
    </w:p>
    <w:p>
      <w:pPr>
        <w:ind w:left="-20" w:right="60" w:firstLine="436"/>
        <w:spacing w:after="0" w:line="301" w:lineRule="auto"/>
        <w:tabs>
          <w:tab w:leader="none" w:pos="6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reference in this Agreement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the Cross-Border Mergers Directive (2005/56/EC) (as codified) as implemented in the United Kingdom and Ireland.</w:t>
      </w:r>
    </w:p>
    <w:p>
      <w:pPr>
        <w:spacing w:after="0" w:line="49" w:lineRule="exact"/>
        <w:rPr>
          <w:rFonts w:ascii="Arial" w:cs="Arial" w:eastAsia="Arial" w:hAnsi="Arial"/>
          <w:sz w:val="16"/>
          <w:szCs w:val="16"/>
          <w:color w:val="auto"/>
        </w:rPr>
      </w:pPr>
    </w:p>
    <w:p>
      <w:pPr>
        <w:ind w:left="-20" w:right="160" w:firstLine="436"/>
        <w:spacing w:after="0" w:line="301"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for purposes of the limitations, levels and baskets in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49" w:lineRule="exact"/>
        <w:rPr>
          <w:rFonts w:ascii="Arial" w:cs="Arial" w:eastAsia="Arial" w:hAnsi="Arial"/>
          <w:sz w:val="16"/>
          <w:szCs w:val="16"/>
          <w:color w:val="auto"/>
        </w:rPr>
      </w:pPr>
    </w:p>
    <w:p>
      <w:pPr>
        <w:ind w:left="-20" w:right="60" w:firstLine="436"/>
        <w:spacing w:after="0" w:line="289" w:lineRule="auto"/>
        <w:tabs>
          <w:tab w:leader="none" w:pos="645" w:val="left"/>
        </w:tabs>
        <w:numPr>
          <w:ilvl w:val="0"/>
          <w:numId w:val="6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 default or Event of Default, an “</w:t>
      </w:r>
      <w:r>
        <w:rPr>
          <w:rFonts w:ascii="Arial" w:cs="Arial" w:eastAsia="Arial" w:hAnsi="Arial"/>
          <w:sz w:val="16"/>
          <w:szCs w:val="16"/>
          <w:b w:val="1"/>
          <w:bCs w:val="1"/>
          <w:u w:val="single" w:color="auto"/>
          <w:color w:val="0000FF"/>
        </w:rPr>
        <w:t>Initial Default</w:t>
      </w:r>
      <w:r>
        <w:rPr>
          <w:rFonts w:ascii="Arial" w:cs="Arial" w:eastAsia="Arial" w:hAnsi="Arial"/>
          <w:sz w:val="16"/>
          <w:szCs w:val="16"/>
          <w:u w:val="single" w:color="auto"/>
          <w:color w:val="0000FF"/>
        </w:rPr>
        <w:t>”) and is subsequently cured or waived (a “</w:t>
      </w:r>
      <w:r>
        <w:rPr>
          <w:rFonts w:ascii="Arial" w:cs="Arial" w:eastAsia="Arial" w:hAnsi="Arial"/>
          <w:sz w:val="16"/>
          <w:szCs w:val="16"/>
          <w:b w:val="1"/>
          <w:bCs w:val="1"/>
          <w:u w:val="single" w:color="auto"/>
          <w:color w:val="0000FF"/>
        </w:rPr>
        <w:t>Cured Default</w:t>
      </w:r>
      <w:r>
        <w:rPr>
          <w:rFonts w:ascii="Arial" w:cs="Arial" w:eastAsia="Arial" w:hAnsi="Arial"/>
          <w:sz w:val="16"/>
          <w:szCs w:val="16"/>
          <w:u w:val="single" w:color="auto"/>
          <w:color w:val="0000FF"/>
        </w:rPr>
        <w:t>”), any other default or Event of Default that resulted from (i) the making or deemed making of any representation or warranty by any Credit Party or (ii) 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Responsible Officer of the Borrowers had knowledge of any such Initial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-1110615</wp:posOffset>
            </wp:positionV>
            <wp:extent cx="661797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-973455</wp:posOffset>
            </wp:positionV>
            <wp:extent cx="695198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-836295</wp:posOffset>
            </wp:positionV>
            <wp:extent cx="6866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-699135</wp:posOffset>
            </wp:positionV>
            <wp:extent cx="693483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-561975</wp:posOffset>
            </wp:positionV>
            <wp:extent cx="679767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-424815</wp:posOffset>
            </wp:positionV>
            <wp:extent cx="668655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-287655</wp:posOffset>
            </wp:positionV>
            <wp:extent cx="680656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-150495</wp:posOffset>
            </wp:positionV>
            <wp:extent cx="672084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-13335</wp:posOffset>
            </wp:positionV>
            <wp:extent cx="55632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Luxembourg terms</w:t>
      </w:r>
      <w:r>
        <w:rPr>
          <w:rFonts w:ascii="Arial" w:cs="Arial" w:eastAsia="Arial" w:hAnsi="Arial"/>
          <w:sz w:val="18"/>
          <w:szCs w:val="18"/>
          <w:color w:val="auto"/>
        </w:rPr>
        <w:t>. In this Agreement, where it relates to a company incorporated under the laws of Luxembourg, a reference to:</w:t>
      </w:r>
    </w:p>
    <w:p>
      <w:pPr>
        <w:spacing w:after="0" w:line="113" w:lineRule="exact"/>
        <w:rPr>
          <w:sz w:val="20"/>
          <w:szCs w:val="20"/>
          <w:color w:val="auto"/>
        </w:rPr>
      </w:pPr>
    </w:p>
    <w:p>
      <w:pPr>
        <w:ind w:left="420" w:right="180" w:firstLine="952"/>
        <w:spacing w:after="0" w:line="26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winding-up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insolvency, voluntary or judicial liquidation (</w:t>
      </w:r>
      <w:r>
        <w:rPr>
          <w:rFonts w:ascii="Arial" w:cs="Arial" w:eastAsia="Arial" w:hAnsi="Arial"/>
          <w:sz w:val="18"/>
          <w:szCs w:val="18"/>
          <w:i w:val="1"/>
          <w:iCs w:val="1"/>
          <w:color w:val="auto"/>
        </w:rPr>
        <w:t>liquidation volontaire ou judiciaire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general settlement with creditors, reorganisation or similar laws affecting the rights of creditors generally;</w:t>
      </w:r>
    </w:p>
    <w:p>
      <w:pPr>
        <w:spacing w:after="0" w:line="72" w:lineRule="exact"/>
        <w:rPr>
          <w:sz w:val="20"/>
          <w:szCs w:val="20"/>
          <w:color w:val="auto"/>
        </w:rPr>
      </w:pPr>
    </w:p>
    <w:p>
      <w:pPr>
        <w:ind w:left="420" w:right="20" w:firstLine="952"/>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liquidator</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or the like includes, without limitation, a </w:t>
      </w:r>
      <w:r>
        <w:rPr>
          <w:rFonts w:ascii="Arial" w:cs="Arial" w:eastAsia="Arial" w:hAnsi="Arial"/>
          <w:sz w:val="18"/>
          <w:szCs w:val="18"/>
          <w:i w:val="1"/>
          <w:iCs w:val="1"/>
          <w:color w:val="auto"/>
        </w:rPr>
        <w:t>juge délégué</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commissaire</w:t>
      </w:r>
      <w:r>
        <w:rPr>
          <w:rFonts w:ascii="Arial" w:cs="Arial" w:eastAsia="Arial" w:hAnsi="Arial"/>
          <w:sz w:val="18"/>
          <w:szCs w:val="18"/>
          <w:color w:val="auto"/>
        </w:rPr>
        <w:t xml:space="preserve">, </w:t>
      </w:r>
      <w:r>
        <w:rPr>
          <w:rFonts w:ascii="Arial" w:cs="Arial" w:eastAsia="Arial" w:hAnsi="Arial"/>
          <w:sz w:val="18"/>
          <w:szCs w:val="18"/>
          <w:i w:val="1"/>
          <w:iCs w:val="1"/>
          <w:color w:val="auto"/>
        </w:rPr>
        <w:t>juge-commissaire</w:t>
      </w:r>
      <w:r>
        <w:rPr>
          <w:rFonts w:ascii="Arial" w:cs="Arial" w:eastAsia="Arial" w:hAnsi="Arial"/>
          <w:sz w:val="18"/>
          <w:szCs w:val="18"/>
          <w:color w:val="auto"/>
        </w:rPr>
        <w:t>,</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or</w:t>
      </w:r>
      <w:r>
        <w:rPr>
          <w:rFonts w:ascii="Arial" w:cs="Arial" w:eastAsia="Arial" w:hAnsi="Arial"/>
          <w:sz w:val="18"/>
          <w:szCs w:val="18"/>
          <w:i w:val="1"/>
          <w:iCs w:val="1"/>
          <w:color w:val="auto"/>
        </w:rPr>
        <w:t xml:space="preserve"> curateur</w:t>
      </w:r>
      <w:r>
        <w:rPr>
          <w:rFonts w:ascii="Arial" w:cs="Arial" w:eastAsia="Arial" w:hAnsi="Arial"/>
          <w:sz w:val="18"/>
          <w:szCs w:val="18"/>
          <w:color w:val="auto"/>
        </w:rPr>
        <w:t>;</w:t>
      </w:r>
    </w:p>
    <w:p>
      <w:pPr>
        <w:spacing w:after="0" w:line="54" w:lineRule="exact"/>
        <w:rPr>
          <w:sz w:val="20"/>
          <w:szCs w:val="20"/>
          <w:color w:val="auto"/>
        </w:rPr>
      </w:pPr>
    </w:p>
    <w:p>
      <w:pPr>
        <w:ind w:left="420" w:firstLine="952"/>
        <w:spacing w:after="0" w:line="34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security interest</w:t>
      </w:r>
      <w:r>
        <w:rPr>
          <w:rFonts w:ascii="Arial" w:cs="Arial" w:eastAsia="Arial" w:hAnsi="Arial"/>
          <w:sz w:val="16"/>
          <w:szCs w:val="16"/>
          <w:color w:val="auto"/>
        </w:rPr>
        <w:t xml:space="preserve"> includes any </w:t>
      </w:r>
      <w:r>
        <w:rPr>
          <w:rFonts w:ascii="Arial" w:cs="Arial" w:eastAsia="Arial" w:hAnsi="Arial"/>
          <w:sz w:val="16"/>
          <w:szCs w:val="16"/>
          <w:i w:val="1"/>
          <w:iCs w:val="1"/>
          <w:color w:val="auto"/>
        </w:rPr>
        <w:t>hypothèque</w:t>
      </w:r>
      <w:r>
        <w:rPr>
          <w:rFonts w:ascii="Arial" w:cs="Arial" w:eastAsia="Arial" w:hAnsi="Arial"/>
          <w:sz w:val="16"/>
          <w:szCs w:val="16"/>
          <w:color w:val="auto"/>
        </w:rPr>
        <w:t xml:space="preserve">, </w:t>
      </w:r>
      <w:r>
        <w:rPr>
          <w:rFonts w:ascii="Arial" w:cs="Arial" w:eastAsia="Arial" w:hAnsi="Arial"/>
          <w:sz w:val="16"/>
          <w:szCs w:val="16"/>
          <w:i w:val="1"/>
          <w:iCs w:val="1"/>
          <w:color w:val="auto"/>
        </w:rPr>
        <w:t>nantissement</w:t>
      </w:r>
      <w:r>
        <w:rPr>
          <w:rFonts w:ascii="Arial" w:cs="Arial" w:eastAsia="Arial" w:hAnsi="Arial"/>
          <w:sz w:val="16"/>
          <w:szCs w:val="16"/>
          <w:color w:val="auto"/>
        </w:rPr>
        <w:t xml:space="preserve">, </w:t>
      </w:r>
      <w:r>
        <w:rPr>
          <w:rFonts w:ascii="Arial" w:cs="Arial" w:eastAsia="Arial" w:hAnsi="Arial"/>
          <w:sz w:val="16"/>
          <w:szCs w:val="16"/>
          <w:i w:val="1"/>
          <w:iCs w:val="1"/>
          <w:color w:val="auto"/>
        </w:rPr>
        <w:t>gage</w:t>
      </w:r>
      <w:r>
        <w:rPr>
          <w:rFonts w:ascii="Arial" w:cs="Arial" w:eastAsia="Arial" w:hAnsi="Arial"/>
          <w:sz w:val="16"/>
          <w:szCs w:val="16"/>
          <w:color w:val="auto"/>
        </w:rPr>
        <w:t xml:space="preserve">, </w:t>
      </w:r>
      <w:r>
        <w:rPr>
          <w:rFonts w:ascii="Arial" w:cs="Arial" w:eastAsia="Arial" w:hAnsi="Arial"/>
          <w:sz w:val="16"/>
          <w:szCs w:val="16"/>
          <w:i w:val="1"/>
          <w:iCs w:val="1"/>
          <w:color w:val="auto"/>
        </w:rPr>
        <w:t>privilège</w:t>
      </w:r>
      <w:r>
        <w:rPr>
          <w:rFonts w:ascii="Arial" w:cs="Arial" w:eastAsia="Arial" w:hAnsi="Arial"/>
          <w:sz w:val="16"/>
          <w:szCs w:val="16"/>
          <w:color w:val="auto"/>
        </w:rPr>
        <w:t xml:space="preserve">, </w:t>
      </w:r>
      <w:r>
        <w:rPr>
          <w:rFonts w:ascii="Arial" w:cs="Arial" w:eastAsia="Arial" w:hAnsi="Arial"/>
          <w:sz w:val="16"/>
          <w:szCs w:val="16"/>
          <w:i w:val="1"/>
          <w:iCs w:val="1"/>
          <w:color w:val="auto"/>
        </w:rPr>
        <w:t>sûreté réelle</w:t>
      </w:r>
      <w:r>
        <w:rPr>
          <w:rFonts w:ascii="Arial" w:cs="Arial" w:eastAsia="Arial" w:hAnsi="Arial"/>
          <w:sz w:val="16"/>
          <w:szCs w:val="16"/>
          <w:color w:val="auto"/>
        </w:rPr>
        <w:t xml:space="preserve">, </w:t>
      </w:r>
      <w:r>
        <w:rPr>
          <w:rFonts w:ascii="Arial" w:cs="Arial" w:eastAsia="Arial" w:hAnsi="Arial"/>
          <w:sz w:val="16"/>
          <w:szCs w:val="16"/>
          <w:i w:val="1"/>
          <w:iCs w:val="1"/>
          <w:color w:val="auto"/>
        </w:rPr>
        <w:t>droit de rétention</w:t>
      </w:r>
      <w:r>
        <w:rPr>
          <w:rFonts w:ascii="Arial" w:cs="Arial" w:eastAsia="Arial" w:hAnsi="Arial"/>
          <w:sz w:val="16"/>
          <w:szCs w:val="16"/>
          <w:color w:val="auto"/>
        </w:rPr>
        <w:t xml:space="preserve"> and any type of real security or agreement or arrangement having a similar effect and any transfer of title by way of security (</w:t>
      </w:r>
      <w:r>
        <w:rPr>
          <w:rFonts w:ascii="Arial" w:cs="Arial" w:eastAsia="Arial" w:hAnsi="Arial"/>
          <w:sz w:val="16"/>
          <w:szCs w:val="16"/>
          <w:i w:val="1"/>
          <w:iCs w:val="1"/>
          <w:color w:val="auto"/>
        </w:rPr>
        <w:t>transfert de propriété à titre de garantie</w:t>
      </w:r>
      <w:r>
        <w:rPr>
          <w:rFonts w:ascii="Arial" w:cs="Arial" w:eastAsia="Arial" w:hAnsi="Arial"/>
          <w:sz w:val="16"/>
          <w:szCs w:val="16"/>
          <w:color w:val="auto"/>
        </w:rPr>
        <w: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60" w:top="274" w:right="459" w:bottom="1440" w:gutter="0" w:footer="0" w:header="0"/>
        </w:sectPr>
      </w:pPr>
    </w:p>
    <w:bookmarkStart w:id="216" w:name="page217"/>
    <w:bookmarkEnd w:id="216"/>
    <w:p>
      <w:pPr>
        <w:ind w:left="440" w:right="140" w:firstLine="952"/>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so far as a guarantee is given by a Credit Party incorporated under the laws of Luxembourg under this Agreement, a first demand independent guarantee and does not constitute a suretyship (</w:t>
      </w:r>
      <w:r>
        <w:rPr>
          <w:rFonts w:ascii="Arial" w:cs="Arial" w:eastAsia="Arial" w:hAnsi="Arial"/>
          <w:sz w:val="18"/>
          <w:szCs w:val="18"/>
          <w:i w:val="1"/>
          <w:iCs w:val="1"/>
          <w:color w:val="auto"/>
        </w:rPr>
        <w:t>cautionnement</w:t>
      </w:r>
      <w:r>
        <w:rPr>
          <w:rFonts w:ascii="Arial" w:cs="Arial" w:eastAsia="Arial" w:hAnsi="Arial"/>
          <w:sz w:val="18"/>
          <w:szCs w:val="18"/>
          <w:color w:val="auto"/>
        </w:rPr>
        <w:t xml:space="preserve">) in the sense of articles 2011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Luxembourg civil code; and</w:t>
      </w:r>
    </w:p>
    <w:p>
      <w:pPr>
        <w:spacing w:after="0" w:line="68" w:lineRule="exact"/>
        <w:rPr>
          <w:sz w:val="20"/>
          <w:szCs w:val="20"/>
          <w:color w:val="auto"/>
        </w:rPr>
      </w:pPr>
    </w:p>
    <w:p>
      <w:pPr>
        <w:ind w:left="440" w:right="520" w:firstLine="952"/>
        <w:spacing w:after="0" w:line="282" w:lineRule="auto"/>
        <w:rPr>
          <w:sz w:val="20"/>
          <w:szCs w:val="20"/>
          <w:color w:val="auto"/>
        </w:rPr>
      </w:pPr>
      <w:r>
        <w:rPr>
          <w:rFonts w:ascii="Arial" w:cs="Arial" w:eastAsia="Arial" w:hAnsi="Arial"/>
          <w:sz w:val="18"/>
          <w:szCs w:val="18"/>
          <w:color w:val="auto"/>
        </w:rPr>
        <w:t xml:space="preserve">a person </w:t>
      </w:r>
      <w:r>
        <w:rPr>
          <w:rFonts w:ascii="Arial" w:cs="Arial" w:eastAsia="Arial" w:hAnsi="Arial"/>
          <w:sz w:val="18"/>
          <w:szCs w:val="18"/>
          <w:b w:val="1"/>
          <w:bCs w:val="1"/>
          <w:color w:val="auto"/>
        </w:rPr>
        <w:t>being unable, or admitting inability, to pay its debts</w:t>
      </w:r>
      <w:r>
        <w:rPr>
          <w:rFonts w:ascii="Arial" w:cs="Arial" w:eastAsia="Arial" w:hAnsi="Arial"/>
          <w:sz w:val="18"/>
          <w:szCs w:val="18"/>
          <w:color w:val="auto"/>
        </w:rPr>
        <w:t xml:space="preserve"> includes that person being in a state of cessation of payments (</w:t>
      </w:r>
      <w:r>
        <w:rPr>
          <w:rFonts w:ascii="Arial" w:cs="Arial" w:eastAsia="Arial" w:hAnsi="Arial"/>
          <w:sz w:val="18"/>
          <w:szCs w:val="18"/>
          <w:i w:val="1"/>
          <w:iCs w:val="1"/>
          <w:color w:val="auto"/>
        </w:rPr>
        <w:t>cessation de paiements</w:t>
      </w:r>
      <w:r>
        <w:rPr>
          <w:rFonts w:ascii="Arial" w:cs="Arial" w:eastAsia="Arial" w:hAnsi="Arial"/>
          <w:sz w:val="18"/>
          <w:szCs w:val="18"/>
          <w:color w:val="auto"/>
        </w:rPr>
        <w: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French terms</w:t>
      </w:r>
      <w:r>
        <w:rPr>
          <w:rFonts w:ascii="Arial" w:cs="Arial" w:eastAsia="Arial" w:hAnsi="Arial"/>
          <w:sz w:val="18"/>
          <w:szCs w:val="18"/>
          <w:color w:val="auto"/>
        </w:rPr>
        <w:t>. In this Agreement, where it relates to a company incorporated under the laws of France, a reference to:</w:t>
      </w:r>
    </w:p>
    <w:p>
      <w:pPr>
        <w:spacing w:after="0" w:line="113" w:lineRule="exact"/>
        <w:rPr>
          <w:sz w:val="20"/>
          <w:szCs w:val="20"/>
          <w:color w:val="auto"/>
        </w:rPr>
      </w:pPr>
    </w:p>
    <w:p>
      <w:pPr>
        <w:ind w:left="440" w:right="480" w:firstLine="952"/>
        <w:spacing w:after="0" w:line="26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winding-up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includes a redressement judiciaire, a </w:t>
      </w:r>
      <w:r>
        <w:rPr>
          <w:rFonts w:ascii="Arial" w:cs="Arial" w:eastAsia="Arial" w:hAnsi="Arial"/>
          <w:sz w:val="18"/>
          <w:szCs w:val="18"/>
          <w:i w:val="1"/>
          <w:iCs w:val="1"/>
          <w:color w:val="auto"/>
        </w:rPr>
        <w:t>cession totale de l’entreprise</w:t>
      </w:r>
      <w:r>
        <w:rPr>
          <w:rFonts w:ascii="Arial" w:cs="Arial" w:eastAsia="Arial" w:hAnsi="Arial"/>
          <w:sz w:val="18"/>
          <w:szCs w:val="18"/>
          <w:color w:val="auto"/>
        </w:rPr>
        <w:t xml:space="preserve">, a </w:t>
      </w:r>
      <w:r>
        <w:rPr>
          <w:rFonts w:ascii="Arial" w:cs="Arial" w:eastAsia="Arial" w:hAnsi="Arial"/>
          <w:sz w:val="18"/>
          <w:szCs w:val="18"/>
          <w:i w:val="1"/>
          <w:iCs w:val="1"/>
          <w:color w:val="auto"/>
        </w:rPr>
        <w:t>liquidation</w:t>
      </w:r>
      <w:r>
        <w:rPr>
          <w:rFonts w:ascii="Arial" w:cs="Arial" w:eastAsia="Arial" w:hAnsi="Arial"/>
          <w:sz w:val="18"/>
          <w:szCs w:val="18"/>
          <w:color w:val="auto"/>
        </w:rPr>
        <w:t xml:space="preserve"> </w:t>
      </w:r>
      <w:r>
        <w:rPr>
          <w:rFonts w:ascii="Arial" w:cs="Arial" w:eastAsia="Arial" w:hAnsi="Arial"/>
          <w:sz w:val="18"/>
          <w:szCs w:val="18"/>
          <w:i w:val="1"/>
          <w:iCs w:val="1"/>
          <w:color w:val="auto"/>
        </w:rPr>
        <w:t>judiciaire</w:t>
      </w:r>
      <w:r>
        <w:rPr>
          <w:rFonts w:ascii="Arial" w:cs="Arial" w:eastAsia="Arial" w:hAnsi="Arial"/>
          <w:sz w:val="18"/>
          <w:szCs w:val="18"/>
          <w:color w:val="auto"/>
        </w:rPr>
        <w:t>,</w:t>
      </w:r>
      <w:r>
        <w:rPr>
          <w:rFonts w:ascii="Arial" w:cs="Arial" w:eastAsia="Arial" w:hAnsi="Arial"/>
          <w:sz w:val="18"/>
          <w:szCs w:val="18"/>
          <w:i w:val="1"/>
          <w:iCs w:val="1"/>
          <w:color w:val="auto"/>
        </w:rPr>
        <w:t xml:space="preserve"> a sauvegarde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8"/>
          <w:szCs w:val="18"/>
          <w:i w:val="1"/>
          <w:iCs w:val="1"/>
          <w:color w:val="auto"/>
        </w:rPr>
        <w:t xml:space="preserve"> sauvegarde accélérée </w:t>
      </w:r>
      <w:r>
        <w:rPr>
          <w:rFonts w:ascii="Arial" w:cs="Arial" w:eastAsia="Arial" w:hAnsi="Arial"/>
          <w:sz w:val="18"/>
          <w:szCs w:val="18"/>
          <w:color w:val="FF0000"/>
        </w:rPr>
        <w:t>or</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FF0000"/>
        </w:rPr>
        <w:t>a sauvegarde financière accélérée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articles L. 620-1 to L. 670-8 of the French</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-141605</wp:posOffset>
            </wp:positionV>
            <wp:extent cx="9461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2630805</wp:posOffset>
            </wp:positionH>
            <wp:positionV relativeFrom="paragraph">
              <wp:posOffset>-227330</wp:posOffset>
            </wp:positionV>
            <wp:extent cx="171386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48" w:lineRule="exact"/>
        <w:rPr>
          <w:sz w:val="20"/>
          <w:szCs w:val="20"/>
          <w:color w:val="auto"/>
        </w:rPr>
      </w:pPr>
    </w:p>
    <w:p>
      <w:pPr>
        <w:ind w:left="440" w:right="140" w:firstLine="952"/>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composition</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or </w:t>
      </w:r>
      <w:r>
        <w:rPr>
          <w:rFonts w:ascii="Arial" w:cs="Arial" w:eastAsia="Arial" w:hAnsi="Arial"/>
          <w:sz w:val="18"/>
          <w:szCs w:val="18"/>
          <w:b w:val="1"/>
          <w:bCs w:val="1"/>
          <w:color w:val="auto"/>
        </w:rPr>
        <w:t>similar arrangement</w:t>
      </w:r>
      <w:r>
        <w:rPr>
          <w:rFonts w:ascii="Arial" w:cs="Arial" w:eastAsia="Arial" w:hAnsi="Arial"/>
          <w:sz w:val="18"/>
          <w:szCs w:val="18"/>
          <w:color w:val="auto"/>
        </w:rPr>
        <w:t xml:space="preserve"> with any creditor includes a </w:t>
      </w:r>
      <w:r>
        <w:rPr>
          <w:rFonts w:ascii="Arial" w:cs="Arial" w:eastAsia="Arial" w:hAnsi="Arial"/>
          <w:sz w:val="18"/>
          <w:szCs w:val="18"/>
          <w:i w:val="1"/>
          <w:iCs w:val="1"/>
          <w:color w:val="auto"/>
        </w:rPr>
        <w:t>conciliation</w:t>
      </w:r>
      <w:r>
        <w:rPr>
          <w:rFonts w:ascii="Arial" w:cs="Arial" w:eastAsia="Arial" w:hAnsi="Arial"/>
          <w:sz w:val="18"/>
          <w:szCs w:val="18"/>
          <w:color w:val="auto"/>
        </w:rPr>
        <w:t xml:space="preserve"> or a </w:t>
      </w:r>
      <w:r>
        <w:rPr>
          <w:rFonts w:ascii="Arial" w:cs="Arial" w:eastAsia="Arial" w:hAnsi="Arial"/>
          <w:sz w:val="18"/>
          <w:szCs w:val="18"/>
          <w:i w:val="1"/>
          <w:iCs w:val="1"/>
          <w:color w:val="auto"/>
        </w:rPr>
        <w:t>mandat ad hoc</w:t>
      </w:r>
      <w:r>
        <w:rPr>
          <w:rFonts w:ascii="Arial" w:cs="Arial" w:eastAsia="Arial" w:hAnsi="Arial"/>
          <w:sz w:val="18"/>
          <w:szCs w:val="18"/>
          <w:color w:val="auto"/>
        </w:rPr>
        <w:t xml:space="preserve"> under articles L. 611-3 to L. 611-16 of the French Commercial Code;</w:t>
      </w:r>
    </w:p>
    <w:p>
      <w:pPr>
        <w:spacing w:after="0" w:line="54" w:lineRule="exact"/>
        <w:rPr>
          <w:sz w:val="20"/>
          <w:szCs w:val="20"/>
          <w:color w:val="auto"/>
        </w:rPr>
      </w:pPr>
    </w:p>
    <w:p>
      <w:pPr>
        <w:ind w:left="440" w:right="280" w:firstLine="952"/>
        <w:spacing w:after="0" w:line="34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compulsory manager</w:t>
      </w:r>
      <w:r>
        <w:rPr>
          <w:rFonts w:ascii="Arial" w:cs="Arial" w:eastAsia="Arial" w:hAnsi="Arial"/>
          <w:sz w:val="16"/>
          <w:szCs w:val="16"/>
          <w:color w:val="auto"/>
        </w:rPr>
        <w:t xml:space="preserve">, </w:t>
      </w:r>
      <w:r>
        <w:rPr>
          <w:rFonts w:ascii="Arial" w:cs="Arial" w:eastAsia="Arial" w:hAnsi="Arial"/>
          <w:sz w:val="16"/>
          <w:szCs w:val="16"/>
          <w:b w:val="1"/>
          <w:bCs w:val="1"/>
          <w:color w:val="auto"/>
        </w:rPr>
        <w:t>receiver</w:t>
      </w:r>
      <w:r>
        <w:rPr>
          <w:rFonts w:ascii="Arial" w:cs="Arial" w:eastAsia="Arial" w:hAnsi="Arial"/>
          <w:sz w:val="16"/>
          <w:szCs w:val="16"/>
          <w:color w:val="auto"/>
        </w:rPr>
        <w:t xml:space="preserve"> or </w:t>
      </w:r>
      <w:r>
        <w:rPr>
          <w:rFonts w:ascii="Arial" w:cs="Arial" w:eastAsia="Arial" w:hAnsi="Arial"/>
          <w:sz w:val="16"/>
          <w:szCs w:val="16"/>
          <w:b w:val="1"/>
          <w:bCs w:val="1"/>
          <w:color w:val="auto"/>
        </w:rPr>
        <w:t>administrator</w:t>
      </w:r>
      <w:r>
        <w:rPr>
          <w:rFonts w:ascii="Arial" w:cs="Arial" w:eastAsia="Arial" w:hAnsi="Arial"/>
          <w:sz w:val="16"/>
          <w:szCs w:val="16"/>
          <w:color w:val="auto"/>
        </w:rPr>
        <w:t xml:space="preserve"> includes an </w:t>
      </w:r>
      <w:r>
        <w:rPr>
          <w:rFonts w:ascii="Arial" w:cs="Arial" w:eastAsia="Arial" w:hAnsi="Arial"/>
          <w:sz w:val="16"/>
          <w:szCs w:val="16"/>
          <w:i w:val="1"/>
          <w:iCs w:val="1"/>
          <w:color w:val="auto"/>
        </w:rPr>
        <w:t>administrateur judiciaire</w:t>
      </w:r>
      <w:r>
        <w:rPr>
          <w:rFonts w:ascii="Arial" w:cs="Arial" w:eastAsia="Arial" w:hAnsi="Arial"/>
          <w:sz w:val="16"/>
          <w:szCs w:val="16"/>
          <w:color w:val="auto"/>
        </w:rPr>
        <w:t xml:space="preserve">, a </w:t>
      </w:r>
      <w:r>
        <w:rPr>
          <w:rFonts w:ascii="Arial" w:cs="Arial" w:eastAsia="Arial" w:hAnsi="Arial"/>
          <w:sz w:val="16"/>
          <w:szCs w:val="16"/>
          <w:i w:val="1"/>
          <w:iCs w:val="1"/>
          <w:color w:val="auto"/>
        </w:rPr>
        <w:t>mandataire ad hoc</w:t>
      </w:r>
      <w:r>
        <w:rPr>
          <w:rFonts w:ascii="Arial" w:cs="Arial" w:eastAsia="Arial" w:hAnsi="Arial"/>
          <w:sz w:val="16"/>
          <w:szCs w:val="16"/>
          <w:color w:val="auto"/>
        </w:rPr>
        <w:t xml:space="preserve">, a </w:t>
      </w:r>
      <w:r>
        <w:rPr>
          <w:rFonts w:ascii="Arial" w:cs="Arial" w:eastAsia="Arial" w:hAnsi="Arial"/>
          <w:sz w:val="16"/>
          <w:szCs w:val="16"/>
          <w:i w:val="1"/>
          <w:iCs w:val="1"/>
          <w:color w:val="auto"/>
        </w:rPr>
        <w:t>conciliateur</w:t>
      </w:r>
      <w:r>
        <w:rPr>
          <w:rFonts w:ascii="Arial" w:cs="Arial" w:eastAsia="Arial" w:hAnsi="Arial"/>
          <w:sz w:val="16"/>
          <w:szCs w:val="16"/>
          <w:color w:val="auto"/>
        </w:rPr>
        <w:t xml:space="preserve">, a </w:t>
      </w:r>
      <w:r>
        <w:rPr>
          <w:rFonts w:ascii="Arial" w:cs="Arial" w:eastAsia="Arial" w:hAnsi="Arial"/>
          <w:sz w:val="16"/>
          <w:szCs w:val="16"/>
          <w:i w:val="1"/>
          <w:iCs w:val="1"/>
          <w:color w:val="auto"/>
        </w:rPr>
        <w:t xml:space="preserve">mandataire liquidateur </w:t>
      </w:r>
      <w:r>
        <w:rPr>
          <w:rFonts w:ascii="Arial" w:cs="Arial" w:eastAsia="Arial" w:hAnsi="Arial"/>
          <w:sz w:val="16"/>
          <w:szCs w:val="16"/>
          <w:color w:val="auto"/>
        </w:rPr>
        <w:t>or any other person appointed as a result of any proceedings described in paragraphs (a) and (b) above;</w:t>
      </w:r>
    </w:p>
    <w:p>
      <w:pPr>
        <w:spacing w:after="0" w:line="8" w:lineRule="exact"/>
        <w:rPr>
          <w:sz w:val="20"/>
          <w:szCs w:val="20"/>
          <w:color w:val="auto"/>
        </w:rPr>
      </w:pPr>
    </w:p>
    <w:p>
      <w:pPr>
        <w:ind w:left="440" w:right="40" w:firstLine="952"/>
        <w:spacing w:after="0" w:line="266" w:lineRule="auto"/>
        <w:rPr>
          <w:sz w:val="20"/>
          <w:szCs w:val="20"/>
          <w:color w:val="auto"/>
        </w:rPr>
      </w:pPr>
      <w:r>
        <w:rPr>
          <w:rFonts w:ascii="Arial" w:cs="Arial" w:eastAsia="Arial" w:hAnsi="Arial"/>
          <w:sz w:val="18"/>
          <w:szCs w:val="18"/>
          <w:u w:val="single" w:color="auto"/>
          <w:color w:val="0000FF"/>
        </w:rPr>
        <w:t xml:space="preserve">a </w:t>
      </w:r>
      <w:r>
        <w:rPr>
          <w:rFonts w:ascii="Arial" w:cs="Arial" w:eastAsia="Arial" w:hAnsi="Arial"/>
          <w:sz w:val="18"/>
          <w:szCs w:val="18"/>
          <w:b w:val="1"/>
          <w:bCs w:val="1"/>
          <w:u w:val="single" w:color="auto"/>
          <w:color w:val="0000FF"/>
        </w:rPr>
        <w:t>guarantee</w:t>
      </w:r>
      <w:r>
        <w:rPr>
          <w:rFonts w:ascii="Arial" w:cs="Arial" w:eastAsia="Arial" w:hAnsi="Arial"/>
          <w:sz w:val="18"/>
          <w:szCs w:val="18"/>
          <w:u w:val="single" w:color="auto"/>
          <w:color w:val="0000FF"/>
        </w:rPr>
        <w:t xml:space="preserve"> means, so far as a guarantee is given by a Credit Party incorporated under the laws of France under this Agreement, a first demand independent guarantee under articles 2321 and seq. of the French Civil Code and does not constitute a suretyship (</w:t>
      </w:r>
      <w:r>
        <w:rPr>
          <w:rFonts w:ascii="Arial" w:cs="Arial" w:eastAsia="Arial" w:hAnsi="Arial"/>
          <w:sz w:val="18"/>
          <w:szCs w:val="18"/>
          <w:i w:val="1"/>
          <w:iCs w:val="1"/>
          <w:u w:val="single" w:color="auto"/>
          <w:color w:val="0000FF"/>
        </w:rPr>
        <w:t>cautionnement</w:t>
      </w:r>
      <w:r>
        <w:rPr>
          <w:rFonts w:ascii="Arial" w:cs="Arial" w:eastAsia="Arial" w:hAnsi="Arial"/>
          <w:sz w:val="18"/>
          <w:szCs w:val="18"/>
          <w:u w:val="single" w:color="auto"/>
          <w:color w:val="0000FF"/>
        </w:rPr>
        <w:t xml:space="preserve">) in the sense of articles 2288 </w:t>
      </w:r>
      <w:r>
        <w:rPr>
          <w:rFonts w:ascii="Arial" w:cs="Arial" w:eastAsia="Arial" w:hAnsi="Arial"/>
          <w:sz w:val="18"/>
          <w:szCs w:val="18"/>
          <w:i w:val="1"/>
          <w:iCs w:val="1"/>
          <w:u w:val="single" w:color="auto"/>
          <w:color w:val="0000FF"/>
        </w:rPr>
        <w:t>et seq</w:t>
      </w:r>
      <w:r>
        <w:rPr>
          <w:rFonts w:ascii="Arial" w:cs="Arial" w:eastAsia="Arial" w:hAnsi="Arial"/>
          <w:sz w:val="18"/>
          <w:szCs w:val="18"/>
          <w:u w:val="single" w:color="auto"/>
          <w:color w:val="0000FF"/>
        </w:rPr>
        <w:t xml:space="preserve"> of the French Civil Code;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-278765</wp:posOffset>
            </wp:positionV>
            <wp:extent cx="596646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6522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28371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8" w:lineRule="exact"/>
        <w:rPr>
          <w:sz w:val="20"/>
          <w:szCs w:val="20"/>
          <w:color w:val="auto"/>
        </w:rPr>
      </w:pPr>
    </w:p>
    <w:p>
      <w:pPr>
        <w:ind w:left="1380"/>
        <w:spacing w:after="0"/>
        <w:rPr>
          <w:sz w:val="20"/>
          <w:szCs w:val="20"/>
          <w:color w:val="auto"/>
        </w:rPr>
      </w:pPr>
      <w:r>
        <w:rPr>
          <w:rFonts w:ascii="Arial" w:cs="Arial" w:eastAsia="Arial" w:hAnsi="Arial"/>
          <w:sz w:val="18"/>
          <w:szCs w:val="18"/>
          <w:color w:val="FF0000"/>
          <w:strike w:val="1"/>
        </w:rPr>
        <w:t xml:space="preserve">a </w:t>
      </w:r>
      <w:r>
        <w:rPr>
          <w:rFonts w:ascii="Arial" w:cs="Arial" w:eastAsia="Arial" w:hAnsi="Arial"/>
          <w:sz w:val="18"/>
          <w:szCs w:val="18"/>
          <w:b w:val="1"/>
          <w:bCs w:val="1"/>
          <w:color w:val="FF0000"/>
          <w:strike w:val="1"/>
        </w:rPr>
        <w:t>guarantee</w:t>
      </w:r>
      <w:r>
        <w:rPr>
          <w:rFonts w:ascii="Arial" w:cs="Arial" w:eastAsia="Arial" w:hAnsi="Arial"/>
          <w:sz w:val="18"/>
          <w:szCs w:val="18"/>
          <w:color w:val="FF0000"/>
          <w:strike w:val="1"/>
        </w:rPr>
        <w:t xml:space="preserve"> includes a </w:t>
      </w:r>
      <w:r>
        <w:rPr>
          <w:rFonts w:ascii="Arial" w:cs="Arial" w:eastAsia="Arial" w:hAnsi="Arial"/>
          <w:sz w:val="18"/>
          <w:szCs w:val="18"/>
          <w:i w:val="1"/>
          <w:iCs w:val="1"/>
          <w:color w:val="FF0000"/>
          <w:strike w:val="1"/>
        </w:rPr>
        <w:t>cautionnement</w:t>
      </w:r>
      <w:r>
        <w:rPr>
          <w:rFonts w:ascii="Arial" w:cs="Arial" w:eastAsia="Arial" w:hAnsi="Arial"/>
          <w:sz w:val="18"/>
          <w:szCs w:val="18"/>
          <w:color w:val="FF0000"/>
          <w:strike w:val="1"/>
        </w:rPr>
        <w:t xml:space="preserve">, an </w:t>
      </w:r>
      <w:r>
        <w:rPr>
          <w:rFonts w:ascii="Arial" w:cs="Arial" w:eastAsia="Arial" w:hAnsi="Arial"/>
          <w:sz w:val="18"/>
          <w:szCs w:val="18"/>
          <w:i w:val="1"/>
          <w:iCs w:val="1"/>
          <w:color w:val="FF0000"/>
          <w:strike w:val="1"/>
        </w:rPr>
        <w:t>aval</w:t>
      </w:r>
      <w:r>
        <w:rPr>
          <w:rFonts w:ascii="Arial" w:cs="Arial" w:eastAsia="Arial" w:hAnsi="Arial"/>
          <w:sz w:val="18"/>
          <w:szCs w:val="18"/>
          <w:color w:val="FF0000"/>
          <w:strike w:val="1"/>
        </w:rPr>
        <w:t xml:space="preserve"> and any </w:t>
      </w:r>
      <w:r>
        <w:rPr>
          <w:rFonts w:ascii="Arial" w:cs="Arial" w:eastAsia="Arial" w:hAnsi="Arial"/>
          <w:sz w:val="18"/>
          <w:szCs w:val="18"/>
          <w:i w:val="1"/>
          <w:iCs w:val="1"/>
          <w:color w:val="FF0000"/>
          <w:strike w:val="1"/>
        </w:rPr>
        <w:t>garantie</w:t>
      </w:r>
      <w:r>
        <w:rPr>
          <w:rFonts w:ascii="Arial" w:cs="Arial" w:eastAsia="Arial" w:hAnsi="Arial"/>
          <w:sz w:val="18"/>
          <w:szCs w:val="18"/>
          <w:color w:val="FF0000"/>
          <w:strike w:val="1"/>
        </w:rPr>
        <w:t xml:space="preserve"> which is independent from the debt to which it relates;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FF0000"/>
          <w:strike w:val="1"/>
        </w:rPr>
        <w:t xml:space="preserve">a </w:t>
      </w:r>
      <w:r>
        <w:rPr>
          <w:rFonts w:ascii="Arial" w:cs="Arial" w:eastAsia="Arial" w:hAnsi="Arial"/>
          <w:sz w:val="18"/>
          <w:szCs w:val="18"/>
          <w:b w:val="1"/>
          <w:bCs w:val="1"/>
          <w:color w:val="FF0000"/>
          <w:strike w:val="1"/>
        </w:rPr>
        <w:t>lease</w:t>
      </w:r>
      <w:r>
        <w:rPr>
          <w:rFonts w:ascii="Arial" w:cs="Arial" w:eastAsia="Arial" w:hAnsi="Arial"/>
          <w:sz w:val="18"/>
          <w:szCs w:val="18"/>
          <w:color w:val="FF0000"/>
          <w:strike w:val="1"/>
        </w:rPr>
        <w:t xml:space="preserve"> includes an </w:t>
      </w:r>
      <w:r>
        <w:rPr>
          <w:rFonts w:ascii="Arial" w:cs="Arial" w:eastAsia="Arial" w:hAnsi="Arial"/>
          <w:sz w:val="18"/>
          <w:szCs w:val="18"/>
          <w:i w:val="1"/>
          <w:iCs w:val="1"/>
          <w:color w:val="FF0000"/>
          <w:strike w:val="1"/>
        </w:rPr>
        <w:t>opération de crédit-bail</w:t>
      </w:r>
      <w:r>
        <w:rPr>
          <w:rFonts w:ascii="Arial" w:cs="Arial" w:eastAsia="Arial" w:hAnsi="Arial"/>
          <w:sz w:val="18"/>
          <w:szCs w:val="18"/>
          <w:color w:val="FF0000"/>
          <w:strike w:val="1"/>
        </w:rPr>
        <w: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FF0000"/>
          <w:strike w:val="1"/>
        </w:rPr>
        <w:t xml:space="preserve">a </w:t>
      </w:r>
      <w:r>
        <w:rPr>
          <w:rFonts w:ascii="Arial" w:cs="Arial" w:eastAsia="Arial" w:hAnsi="Arial"/>
          <w:sz w:val="18"/>
          <w:szCs w:val="18"/>
          <w:b w:val="1"/>
          <w:bCs w:val="1"/>
          <w:color w:val="FF0000"/>
          <w:strike w:val="1"/>
        </w:rPr>
        <w:t>collateral</w:t>
      </w:r>
      <w:r>
        <w:rPr>
          <w:rFonts w:ascii="Arial" w:cs="Arial" w:eastAsia="Arial" w:hAnsi="Arial"/>
          <w:sz w:val="18"/>
          <w:szCs w:val="18"/>
          <w:color w:val="FF0000"/>
          <w:strike w:val="1"/>
        </w:rPr>
        <w:t xml:space="preserve"> includes any type of security (</w:t>
      </w:r>
      <w:r>
        <w:rPr>
          <w:rFonts w:ascii="Arial" w:cs="Arial" w:eastAsia="Arial" w:hAnsi="Arial"/>
          <w:sz w:val="18"/>
          <w:szCs w:val="18"/>
          <w:i w:val="1"/>
          <w:iCs w:val="1"/>
          <w:color w:val="FF0000"/>
          <w:strike w:val="1"/>
        </w:rPr>
        <w:t>sûreté réelle</w:t>
      </w:r>
      <w:r>
        <w:rPr>
          <w:rFonts w:ascii="Arial" w:cs="Arial" w:eastAsia="Arial" w:hAnsi="Arial"/>
          <w:sz w:val="18"/>
          <w:szCs w:val="18"/>
          <w:color w:val="FF0000"/>
          <w:strike w:val="1"/>
        </w:rPr>
        <w:t>); and</w:t>
      </w:r>
    </w:p>
    <w:p>
      <w:pPr>
        <w:spacing w:after="0" w:line="117" w:lineRule="exact"/>
        <w:rPr>
          <w:sz w:val="20"/>
          <w:szCs w:val="20"/>
          <w:color w:val="auto"/>
        </w:rPr>
      </w:pPr>
    </w:p>
    <w:p>
      <w:pPr>
        <w:ind w:left="440" w:right="60" w:firstLine="952"/>
        <w:spacing w:after="0" w:line="282" w:lineRule="auto"/>
        <w:rPr>
          <w:sz w:val="20"/>
          <w:szCs w:val="20"/>
          <w:color w:val="auto"/>
        </w:rPr>
      </w:pPr>
      <w:r>
        <w:rPr>
          <w:rFonts w:ascii="Arial" w:cs="Arial" w:eastAsia="Arial" w:hAnsi="Arial"/>
          <w:sz w:val="18"/>
          <w:szCs w:val="18"/>
          <w:color w:val="auto"/>
        </w:rPr>
        <w:t xml:space="preserve">a person being </w:t>
      </w:r>
      <w:r>
        <w:rPr>
          <w:rFonts w:ascii="Arial" w:cs="Arial" w:eastAsia="Arial" w:hAnsi="Arial"/>
          <w:sz w:val="18"/>
          <w:szCs w:val="18"/>
          <w:b w:val="1"/>
          <w:bCs w:val="1"/>
          <w:color w:val="auto"/>
        </w:rPr>
        <w:t>unable to pay its debts</w:t>
      </w:r>
      <w:r>
        <w:rPr>
          <w:rFonts w:ascii="Arial" w:cs="Arial" w:eastAsia="Arial" w:hAnsi="Arial"/>
          <w:sz w:val="18"/>
          <w:szCs w:val="18"/>
          <w:color w:val="auto"/>
        </w:rPr>
        <w:t xml:space="preserve"> includes that person being in a state of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as defined in article L. 631-1 of the French Commercial Code.</w:t>
      </w:r>
    </w:p>
    <w:p>
      <w:pPr>
        <w:spacing w:after="0" w:line="5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Calculation of Exchange Rate</w:t>
      </w:r>
      <w:r>
        <w:rPr>
          <w:rFonts w:ascii="Arial" w:cs="Arial" w:eastAsia="Arial" w:hAnsi="Arial"/>
          <w:sz w:val="17"/>
          <w:szCs w:val="17"/>
          <w:color w:val="auto"/>
        </w:rPr>
        <w:t>.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Arial" w:cs="Arial" w:eastAsia="Arial" w:hAnsi="Arial"/>
          <w:sz w:val="17"/>
          <w:szCs w:val="17"/>
          <w:u w:val="single" w:color="auto"/>
          <w:color w:val="auto"/>
        </w:rPr>
        <w:t>Reset Date</w:t>
      </w:r>
      <w:r>
        <w:rPr>
          <w:rFonts w:ascii="Arial" w:cs="Arial" w:eastAsia="Arial" w:hAnsi="Arial"/>
          <w:sz w:val="17"/>
          <w:szCs w:val="17"/>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270" w:right="499" w:bottom="1440" w:gutter="0" w:footer="0" w:header="0"/>
        </w:sectPr>
      </w:pPr>
    </w:p>
    <w:bookmarkStart w:id="217" w:name="page218"/>
    <w:bookmarkEnd w:id="217"/>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 </w:t>
      </w:r>
      <w:r>
        <w:rPr>
          <w:rFonts w:ascii="Arial" w:cs="Arial" w:eastAsia="Arial" w:hAnsi="Arial"/>
          <w:sz w:val="18"/>
          <w:szCs w:val="18"/>
          <w:u w:val="single" w:color="auto"/>
          <w:color w:val="auto"/>
        </w:rPr>
        <w:t>Limited Condition Transactions</w:t>
      </w:r>
      <w:r>
        <w:rPr>
          <w:rFonts w:ascii="Arial" w:cs="Arial" w:eastAsia="Arial" w:hAnsi="Arial"/>
          <w:sz w:val="18"/>
          <w:szCs w:val="18"/>
          <w:color w:val="auto"/>
        </w:rPr>
        <w:t>. Notwithstanding anything in this Agreement or any other Loan Document to the contrary, in connection with any action being taken solely in connection with a Limited Condition Transaction, for purposes of:</w:t>
      </w:r>
    </w:p>
    <w:p>
      <w:pPr>
        <w:spacing w:after="0" w:line="62" w:lineRule="exact"/>
        <w:rPr>
          <w:sz w:val="20"/>
          <w:szCs w:val="20"/>
          <w:color w:val="auto"/>
        </w:rPr>
      </w:pPr>
    </w:p>
    <w:p>
      <w:pPr>
        <w:ind w:left="440" w:right="180" w:firstLine="952"/>
        <w:spacing w:after="0" w:line="275" w:lineRule="auto"/>
        <w:rPr>
          <w:sz w:val="20"/>
          <w:szCs w:val="20"/>
          <w:color w:val="auto"/>
        </w:rPr>
      </w:pPr>
      <w:r>
        <w:rPr>
          <w:rFonts w:ascii="Arial" w:cs="Arial" w:eastAsia="Arial" w:hAnsi="Arial"/>
          <w:sz w:val="17"/>
          <w:szCs w:val="17"/>
          <w:color w:val="auto"/>
        </w:rPr>
        <w:t xml:space="preserve">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 Incremental Cap or Available Amount (including, without limitation,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(other than for purposes of any Applicable </w:t>
      </w:r>
      <w:r>
        <w:rPr>
          <w:rFonts w:ascii="Arial" w:cs="Arial" w:eastAsia="Arial" w:hAnsi="Arial"/>
          <w:sz w:val="17"/>
          <w:szCs w:val="17"/>
          <w:u w:val="single" w:color="auto"/>
          <w:color w:val="0000FF"/>
        </w:rPr>
        <w:t>Adjusted Term SOFR Margin, Applicable</w:t>
      </w:r>
      <w:r>
        <w:rPr>
          <w:rFonts w:ascii="Arial" w:cs="Arial" w:eastAsia="Arial" w:hAnsi="Arial"/>
          <w:sz w:val="17"/>
          <w:szCs w:val="17"/>
          <w:color w:val="auto"/>
        </w:rPr>
        <w:t xml:space="preserve"> B/A Margin, Applicable Base Rate Margin, Applicable Canadian Prime Rate Margin, Applicable </w:t>
      </w:r>
      <w:r>
        <w:rPr>
          <w:rFonts w:ascii="Arial" w:cs="Arial" w:eastAsia="Arial" w:hAnsi="Arial"/>
          <w:sz w:val="17"/>
          <w:szCs w:val="17"/>
          <w:u w:val="single" w:color="auto"/>
          <w:color w:val="0000FF"/>
        </w:rPr>
        <w:t>RFR Margin, Applicable</w:t>
      </w:r>
      <w:r>
        <w:rPr>
          <w:rFonts w:ascii="Arial" w:cs="Arial" w:eastAsia="Arial" w:hAnsi="Arial"/>
          <w:sz w:val="17"/>
          <w:szCs w:val="17"/>
          <w:color w:val="auto"/>
        </w:rPr>
        <w:t xml:space="preserve"> Eurocurrency Margin or Applicable Commitment Fee Percentage);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-144145</wp:posOffset>
            </wp:positionV>
            <wp:extent cx="192024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-6985</wp:posOffset>
            </wp:positionV>
            <wp:extent cx="113982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48" w:lineRule="exact"/>
        <w:rPr>
          <w:sz w:val="20"/>
          <w:szCs w:val="20"/>
          <w:color w:val="auto"/>
        </w:rPr>
      </w:pPr>
    </w:p>
    <w:p>
      <w:pPr>
        <w:ind w:left="440" w:right="420" w:firstLine="952"/>
        <w:spacing w:after="0" w:line="277" w:lineRule="auto"/>
        <w:rPr>
          <w:sz w:val="20"/>
          <w:szCs w:val="20"/>
          <w:color w:val="auto"/>
        </w:rPr>
      </w:pPr>
      <w:r>
        <w:rPr>
          <w:rFonts w:ascii="Arial" w:cs="Arial" w:eastAsia="Arial" w:hAnsi="Arial"/>
          <w:sz w:val="18"/>
          <w:szCs w:val="18"/>
          <w:color w:val="auto"/>
        </w:rPr>
        <w:t>testing availability under baskets set forth in this Agreement (including, without limitation, baskets measured as a percentage of Consolidated Tangible Assets or Consolidated Total Assets);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each case, at the option of Crown Holdings (Crown Holdings’ election to exercise such option in connection with any Limited Condition Transaction, an “</w:t>
      </w:r>
      <w:r>
        <w:rPr>
          <w:rFonts w:ascii="Arial" w:cs="Arial" w:eastAsia="Arial" w:hAnsi="Arial"/>
          <w:sz w:val="17"/>
          <w:szCs w:val="17"/>
          <w:u w:val="single" w:color="auto"/>
          <w:color w:val="auto"/>
        </w:rPr>
        <w:t>LCT Election</w:t>
      </w:r>
      <w:r>
        <w:rPr>
          <w:rFonts w:ascii="Arial" w:cs="Arial" w:eastAsia="Arial" w:hAnsi="Arial"/>
          <w:sz w:val="17"/>
          <w:szCs w:val="17"/>
          <w:color w:val="auto"/>
        </w:rPr>
        <w:t>”), (x) the date of determination of whether any such action is permitted hereunder shall be deemed to be (i) in the case of a Limited Condition Acquisition, the date the definitive agreements for such Limited Condition Acquisition are entered into, (ii) in the case of any transaction described in clause (b) of the definition of “Limited Condition Transaction,” the date of such irrevocable advance notice and (iii) in the case of any transaction described in clause (c) of the definition of “Limited Condition Transaction,” the date of such declaration, irrevocable advance notice or irrevocable offer (each, an “</w:t>
      </w:r>
      <w:r>
        <w:rPr>
          <w:rFonts w:ascii="Arial" w:cs="Arial" w:eastAsia="Arial" w:hAnsi="Arial"/>
          <w:sz w:val="17"/>
          <w:szCs w:val="17"/>
          <w:u w:val="single" w:color="auto"/>
          <w:color w:val="auto"/>
        </w:rPr>
        <w:t>LCT Test Date</w:t>
      </w:r>
      <w:r>
        <w:rPr>
          <w:rFonts w:ascii="Arial" w:cs="Arial" w:eastAsia="Arial" w:hAnsi="Arial"/>
          <w:sz w:val="17"/>
          <w:szCs w:val="17"/>
          <w:color w:val="auto"/>
        </w:rPr>
        <w:t>”), and if, after giving pro forma effect to the Limited Condition Transaction and the other transactions to be entered into or consummated in connection therewith (including any incurrence of Indebtedness and the use of proceeds thereof) as if 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and (y) such tests, ratios and baskets shall not be tested at the time of consummation of such Limited Condition Transaction and all related transactions to be entered into or consummated in connection therewith. If Crown Holdings has made an LCT Election and any of the tests, ratios or baskets for which compliance was determined or tested as of the LCT Test Date are exceeded as a result of fluctuations in any such test, ratio or basket, including due to fluctuations in Consolidated EBITDA, Consolidated Total Assets or Consolidated Tangible Assets of Crown Holdings and its Subsidiaries, at or prior to the consummation of the Limited Condition Transaction, such tests, baskets or ratios will be deemed not to have been exceeded as a result of such fluctuations solely for purposes of determining whether the relevant Limited Condition Transaction is permitted to be consummated or taken. If Crown Holdings has made an LCT Election for any Limited Condition Transaction, then in connection with any subsequent calculation of any test, ratio or basket availability with respect to such Limited Condition Transaction on or following the relevant LCT Test Date and prior to the earlier of the date on which such Limited Condition Transaction is consummated or the definitive agreement (or, if applicable, the irrevocable notice or similar event) for such Limited Condition Transaction is terminated or expires without consummation of such Limited Condition Transaction,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218" w:name="page219"/>
    <w:bookmarkEnd w:id="218"/>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action being taken in connection with a Limited Condition Acquisition, for purposes of determining compliance with the representations and warranties and/or any provision of this Agreement which requires that no Unmatured Event of Default, Event of Default or specified Event of Default, as applicable, has occurred, is continuing or would result from any such action, as applicable, such condition shall, at the option of Crown Holdings, be deemed satisfied, so long as no representation or warranty would be breached and no Unmatured Event of Default, Event of Default, or specified Event of Default, as applicable, exists on the date the definitive agreements for such Limited Condition Acquisition are entered into. If Crown Holdings has exercised its option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and any representation or warranty is breached or any Unmatured Event of Default, Event of Default or specified Event of Default occurs following the date the definitive agreements for the applicable Limited Condition Acquisition were entered into and prior to the consummation of such Limited Condition Acquisition, any such representation or warranty breach or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Sanctions Limitations</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6.21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6.22</w:t>
      </w:r>
      <w:r>
        <w:rPr>
          <w:rFonts w:ascii="Arial" w:cs="Arial" w:eastAsia="Arial" w:hAnsi="Arial"/>
          <w:sz w:val="17"/>
          <w:szCs w:val="17"/>
          <w:color w:val="auto"/>
        </w:rPr>
        <w:t xml:space="preserve"> and the covenants contained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8.13</w:t>
      </w:r>
      <w:r>
        <w:rPr>
          <w:rFonts w:ascii="Arial" w:cs="Arial" w:eastAsia="Arial" w:hAnsi="Arial"/>
          <w:sz w:val="18"/>
          <w:szCs w:val="18"/>
          <w:color w:val="auto"/>
        </w:rPr>
        <w:t>:</w:t>
      </w:r>
    </w:p>
    <w:p>
      <w:pPr>
        <w:spacing w:after="0" w:line="103" w:lineRule="exact"/>
        <w:rPr>
          <w:sz w:val="20"/>
          <w:szCs w:val="20"/>
          <w:color w:val="auto"/>
        </w:rPr>
      </w:pPr>
    </w:p>
    <w:p>
      <w:pPr>
        <w:ind w:right="60" w:firstLine="436"/>
        <w:spacing w:after="0" w:line="275" w:lineRule="auto"/>
        <w:tabs>
          <w:tab w:leader="none" w:pos="6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are made or given by, and shall apply to, any Credit Party or any of their Affiliates that qualify as a resident party domiciled, incorporated or established in Germany (</w:t>
      </w:r>
      <w:r>
        <w:rPr>
          <w:rFonts w:ascii="Arial" w:cs="Arial" w:eastAsia="Arial" w:hAnsi="Arial"/>
          <w:sz w:val="17"/>
          <w:szCs w:val="17"/>
          <w:i w:val="1"/>
          <w:iCs w:val="1"/>
          <w:color w:val="auto"/>
        </w:rPr>
        <w:t>Inländer</w:t>
      </w:r>
      <w:r>
        <w:rPr>
          <w:rFonts w:ascii="Arial" w:cs="Arial" w:eastAsia="Arial" w:hAnsi="Arial"/>
          <w:sz w:val="17"/>
          <w:szCs w:val="17"/>
          <w:color w:val="auto"/>
        </w:rPr>
        <w:t>) within the meaning of Section 2 paragraph 15 of the German Foreign Trade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w:t>
      </w:r>
      <w:r>
        <w:rPr>
          <w:rFonts w:ascii="Arial" w:cs="Arial" w:eastAsia="Arial" w:hAnsi="Arial"/>
          <w:sz w:val="17"/>
          <w:szCs w:val="17"/>
          <w:u w:val="single" w:color="auto"/>
          <w:color w:val="auto"/>
        </w:rPr>
        <w:t>AWG</w:t>
      </w:r>
      <w:r>
        <w:rPr>
          <w:rFonts w:ascii="Arial" w:cs="Arial" w:eastAsia="Arial" w:hAnsi="Arial"/>
          <w:sz w:val="17"/>
          <w:szCs w:val="17"/>
          <w:color w:val="auto"/>
        </w:rPr>
        <w:t>”) only to the extent that the making or giving of, and compliance with, such representations and warranties and covenants do not result in any violation of or conflict with, Section 7 of the German Foreign Trade Ordinance (</w:t>
      </w:r>
      <w:r>
        <w:rPr>
          <w:rFonts w:ascii="Arial" w:cs="Arial" w:eastAsia="Arial" w:hAnsi="Arial"/>
          <w:sz w:val="17"/>
          <w:szCs w:val="17"/>
          <w:i w:val="1"/>
          <w:iCs w:val="1"/>
          <w:color w:val="auto"/>
        </w:rPr>
        <w:t>Außenwirtschaftsverordnung</w:t>
      </w:r>
      <w:r>
        <w:rPr>
          <w:rFonts w:ascii="Arial" w:cs="Arial" w:eastAsia="Arial" w:hAnsi="Arial"/>
          <w:sz w:val="17"/>
          <w:szCs w:val="17"/>
          <w:color w:val="auto"/>
        </w:rPr>
        <w:t>) (“</w:t>
      </w:r>
      <w:r>
        <w:rPr>
          <w:rFonts w:ascii="Arial" w:cs="Arial" w:eastAsia="Arial" w:hAnsi="Arial"/>
          <w:sz w:val="17"/>
          <w:szCs w:val="17"/>
          <w:u w:val="single" w:color="auto"/>
          <w:color w:val="auto"/>
        </w:rPr>
        <w:t>AWV</w:t>
      </w:r>
      <w:r>
        <w:rPr>
          <w:rFonts w:ascii="Arial" w:cs="Arial" w:eastAsia="Arial" w:hAnsi="Arial"/>
          <w:sz w:val="17"/>
          <w:szCs w:val="17"/>
          <w:color w:val="auto"/>
        </w:rPr>
        <w:t>”), the Canadian Foreign Extraterritorial Measures Act (“</w:t>
      </w:r>
      <w:r>
        <w:rPr>
          <w:rFonts w:ascii="Arial" w:cs="Arial" w:eastAsia="Arial" w:hAnsi="Arial"/>
          <w:sz w:val="17"/>
          <w:szCs w:val="17"/>
          <w:u w:val="single" w:color="auto"/>
          <w:color w:val="auto"/>
        </w:rPr>
        <w:t>FEMA</w:t>
      </w:r>
      <w:r>
        <w:rPr>
          <w:rFonts w:ascii="Arial" w:cs="Arial" w:eastAsia="Arial" w:hAnsi="Arial"/>
          <w:sz w:val="17"/>
          <w:szCs w:val="17"/>
          <w:color w:val="auto"/>
        </w:rPr>
        <w:t>”), or any other applicable anti-blocking laws or regulations; and</w:t>
      </w:r>
    </w:p>
    <w:p>
      <w:pPr>
        <w:spacing w:after="0" w:line="68" w:lineRule="exact"/>
        <w:rPr>
          <w:rFonts w:ascii="Arial" w:cs="Arial" w:eastAsia="Arial" w:hAnsi="Arial"/>
          <w:sz w:val="17"/>
          <w:szCs w:val="17"/>
          <w:color w:val="auto"/>
        </w:rPr>
      </w:pPr>
    </w:p>
    <w:p>
      <w:pPr>
        <w:ind w:firstLine="436"/>
        <w:spacing w:after="0" w:line="290"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shall, with respect to any Lender which qualifies as a resident party domiciled, incorporated or established in Germany (</w:t>
      </w:r>
      <w:r>
        <w:rPr>
          <w:rFonts w:ascii="Arial" w:cs="Arial" w:eastAsia="Arial" w:hAnsi="Arial"/>
          <w:sz w:val="16"/>
          <w:szCs w:val="16"/>
          <w:i w:val="1"/>
          <w:iCs w:val="1"/>
          <w:color w:val="auto"/>
        </w:rPr>
        <w:t>Inländer</w:t>
      </w:r>
      <w:r>
        <w:rPr>
          <w:rFonts w:ascii="Arial" w:cs="Arial" w:eastAsia="Arial" w:hAnsi="Arial"/>
          <w:sz w:val="16"/>
          <w:szCs w:val="16"/>
          <w:color w:val="auto"/>
        </w:rPr>
        <w:t>) within the meaning of Section 2 paragraph 15 AWG or which notifies the Administrative Agent in writing that it does not wish to receive the benefit of those representations and warranties and covenants (a “</w:t>
      </w:r>
      <w:r>
        <w:rPr>
          <w:rFonts w:ascii="Arial" w:cs="Arial" w:eastAsia="Arial" w:hAnsi="Arial"/>
          <w:sz w:val="16"/>
          <w:szCs w:val="16"/>
          <w:u w:val="single" w:color="auto"/>
          <w:color w:val="auto"/>
        </w:rPr>
        <w:t>Restricted Lender</w:t>
      </w:r>
      <w:r>
        <w:rPr>
          <w:rFonts w:ascii="Arial" w:cs="Arial" w:eastAsia="Arial" w:hAnsi="Arial"/>
          <w:sz w:val="16"/>
          <w:szCs w:val="16"/>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5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Effect of Amendment and Restatement of the Existing Credit Agreement</w:t>
      </w:r>
      <w:r>
        <w:rPr>
          <w:rFonts w:ascii="Arial" w:cs="Arial" w:eastAsia="Arial" w:hAnsi="Arial"/>
          <w:sz w:val="16"/>
          <w:szCs w:val="16"/>
          <w:color w:val="auto"/>
        </w:rPr>
        <w:t xml:space="preserve">.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each Borrower hereby reaffirms that (a) all Letters of Credit under and as defined in the Existing Credit Agreement shall continue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219" w:name="page220"/>
    <w:bookmarkEnd w:id="21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Letters of Credit under this Agreement and (b) the Collateral and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on its terms unless otherwise expressly stated herein.</w:t>
      </w:r>
    </w:p>
    <w:p>
      <w:pPr>
        <w:spacing w:after="0" w:line="7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8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u w:val="single" w:color="auto"/>
          <w:color w:val="0000FF"/>
        </w:rPr>
        <w:t>1.10 Rates. The Administrative Agent does not warrant or accept responsibility for, and shall not have any liability with respect to (a) the continuation of, administration of, submission of, calculation of or any other matter related to Base Rate, the Term SOFR Reference Rate, Adjusted Term SOFR, Term SOFR, the Eurocurrency Rate, Canadian Prime Rate, CDOR Rate, or Daily Simple RFR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the Eurocurrency Rate, Canadian Prime Rate, CDOR Rate, Daily Simple RFR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Adjusted Term SOFR, the Eurocurrency Rate, Canadian Prime Rate, CDOR Rate or Daily Simple RFR,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Base Rate, the Term SOFR Reference Rate, Term SOFR, Adjusted Term SOFR, the Eurocurrency Rate, Canadian Prime Rate, CDOR Rate or Daily Simple RFR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-2064385</wp:posOffset>
            </wp:positionV>
            <wp:extent cx="62661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-1927225</wp:posOffset>
            </wp:positionV>
            <wp:extent cx="673798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-1790065</wp:posOffset>
            </wp:positionV>
            <wp:extent cx="696912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-1652905</wp:posOffset>
            </wp:positionV>
            <wp:extent cx="699516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-1515745</wp:posOffset>
            </wp:positionV>
            <wp:extent cx="687514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-1378585</wp:posOffset>
            </wp:positionV>
            <wp:extent cx="672909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643763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-1104265</wp:posOffset>
            </wp:positionV>
            <wp:extent cx="663511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-967105</wp:posOffset>
            </wp:positionV>
            <wp:extent cx="669480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-829945</wp:posOffset>
            </wp:positionV>
            <wp:extent cx="685800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68408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-555625</wp:posOffset>
            </wp:positionV>
            <wp:extent cx="669480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8922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3483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26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630047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AMOUNT AND TERMS OF U.S. DOLLAR, STERLING AND EURO CREDITS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Commitments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419"/>
        <w:spacing w:after="0" w:line="257" w:lineRule="auto"/>
        <w:tabs>
          <w:tab w:leader="none" w:pos="1078" w:val="left"/>
        </w:tabs>
        <w:numPr>
          <w:ilvl w:val="1"/>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Term Loan A Facility</w:t>
      </w:r>
      <w:r>
        <w:rPr>
          <w:rFonts w:ascii="Arial" w:cs="Arial" w:eastAsia="Arial" w:hAnsi="Arial"/>
          <w:sz w:val="18"/>
          <w:szCs w:val="18"/>
          <w:color w:val="auto"/>
        </w:rPr>
        <w:t xml:space="preserve">. Each Term Loan A Lender, severally and for itself alone, hereby agrees, on the terms and subject to the terms and conditions set forth herein and in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and in reliance upon the representations and warranties set forth herein and in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and in the other Loan Documents to make a loan (each such loan, a “</w:t>
      </w:r>
      <w:r>
        <w:rPr>
          <w:rFonts w:ascii="Arial" w:cs="Arial" w:eastAsia="Arial" w:hAnsi="Arial"/>
          <w:sz w:val="18"/>
          <w:szCs w:val="18"/>
          <w:u w:val="single" w:color="auto"/>
          <w:color w:val="auto"/>
        </w:rPr>
        <w:t>Term Loan A</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Term A Loans</w:t>
      </w:r>
      <w:r>
        <w:rPr>
          <w:rFonts w:ascii="Arial" w:cs="Arial" w:eastAsia="Arial" w:hAnsi="Arial"/>
          <w:sz w:val="18"/>
          <w:szCs w:val="18"/>
          <w:color w:val="auto"/>
        </w:rPr>
        <w:t xml:space="preserve">”) to U.S. Borrower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FF0000"/>
        </w:rPr>
        <w:t xml:space="preserve"> </w:t>
      </w:r>
      <w:r>
        <w:rPr>
          <w:rFonts w:ascii="Arial" w:cs="Arial" w:eastAsia="Arial" w:hAnsi="Arial"/>
          <w:sz w:val="18"/>
          <w:szCs w:val="18"/>
          <w:color w:val="000000"/>
        </w:rPr>
        <w:t>Amendment Effective Date in an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-548005</wp:posOffset>
            </wp:positionV>
            <wp:extent cx="1371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-410845</wp:posOffset>
            </wp:positionV>
            <wp:extent cx="5143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-410845</wp:posOffset>
            </wp:positionV>
            <wp:extent cx="22288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-273685</wp:posOffset>
            </wp:positionV>
            <wp:extent cx="6032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-273685</wp:posOffset>
            </wp:positionV>
            <wp:extent cx="22288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-136525</wp:posOffset>
            </wp:positionV>
            <wp:extent cx="5143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0</wp:posOffset>
            </wp:positionV>
            <wp:extent cx="22288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220" w:name="page221"/>
    <w:bookmarkEnd w:id="22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equal to the Term Loan A Commitment of such Lender. The Term A Loans (i) shall be incurred by U.S. Borrower pursuant to a single drawing,</w:t>
      </w:r>
    </w:p>
    <w:p>
      <w:pPr>
        <w:spacing w:after="0" w:line="46" w:lineRule="exact"/>
        <w:rPr>
          <w:sz w:val="20"/>
          <w:szCs w:val="20"/>
          <w:color w:val="auto"/>
        </w:rPr>
      </w:pPr>
    </w:p>
    <w:p>
      <w:pPr>
        <w:ind w:left="4" w:right="40" w:hanging="4"/>
        <w:spacing w:after="0" w:line="253" w:lineRule="auto"/>
        <w:tabs>
          <w:tab w:leader="none" w:pos="2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shall be denominated in Dollars and (iii) shall not exceed for any Lender at the time of incurrence thereof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that aggregate principal amount which equals the Term Loan A Commitment, if any, of such Lender at such time. Each Lender’s Term Loan A Commitment shall expire immediately and without further action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after giving effect to the Term A Loans made thereon. No amount of any Term A Loan which is repaid or prepaid by U.S. Borrower may be reborrowed hereunder.</w:t>
      </w:r>
    </w:p>
    <w:p>
      <w:pPr>
        <w:spacing w:after="0" w:line="82" w:lineRule="exact"/>
        <w:rPr>
          <w:rFonts w:ascii="Arial" w:cs="Arial" w:eastAsia="Arial" w:hAnsi="Arial"/>
          <w:sz w:val="18"/>
          <w:szCs w:val="18"/>
          <w:color w:val="auto"/>
        </w:rPr>
      </w:pPr>
    </w:p>
    <w:p>
      <w:pPr>
        <w:ind w:left="4" w:firstLine="419"/>
        <w:spacing w:after="0" w:line="269" w:lineRule="auto"/>
        <w:tabs>
          <w:tab w:leader="none" w:pos="691" w:val="left"/>
        </w:tabs>
        <w:numPr>
          <w:ilvl w:val="1"/>
          <w:numId w:val="65"/>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Term Euro Facility</w:t>
      </w:r>
      <w:r>
        <w:rPr>
          <w:rFonts w:ascii="Arial" w:cs="Arial" w:eastAsia="Arial" w:hAnsi="Arial"/>
          <w:sz w:val="17"/>
          <w:szCs w:val="17"/>
          <w:color w:val="auto"/>
        </w:rPr>
        <w:t xml:space="preserve">. Each Term Euro Lender, severally and for itself alone, hereby agrees, on the terms and subject to conditions set forth herein and in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and in reliance upon the representations and warranties set forth herein and in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and in the other Loan Documents to make a loan (each such loan, a “</w:t>
      </w:r>
      <w:r>
        <w:rPr>
          <w:rFonts w:ascii="Arial" w:cs="Arial" w:eastAsia="Arial" w:hAnsi="Arial"/>
          <w:sz w:val="17"/>
          <w:szCs w:val="17"/>
          <w:u w:val="single" w:color="auto"/>
          <w:color w:val="auto"/>
        </w:rPr>
        <w:t>Term Euro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Term Euro Loans</w:t>
      </w:r>
      <w:r>
        <w:rPr>
          <w:rFonts w:ascii="Arial" w:cs="Arial" w:eastAsia="Arial" w:hAnsi="Arial"/>
          <w:sz w:val="17"/>
          <w:szCs w:val="17"/>
          <w:color w:val="auto"/>
        </w:rPr>
        <w:t xml:space="preserve">”) to European Borrower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in an aggregate principal amount equal to the Term Euro Commitment of such Lender. The Term Euro Loans (i) shall be incurred by European Borrower pursuant to a single drawing, (ii) shall be denominated in Euros, (iii) shall not exceed for any Lender at the time of incurrence thereof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that aggregate principal amount which equals the Term Euro Commitment, if any, of such Lender at such time. Each Term Euro Lender’s Term Euro Commitment shall expire immediately and without further action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after giving effect to the Term Euro Loans made thereon. No amount of a Term Euro Loan which is repaid or prepaid by European Borrower may be reborrowed hereunder.</w:t>
      </w:r>
    </w:p>
    <w:p>
      <w:pPr>
        <w:spacing w:after="0" w:line="73" w:lineRule="exact"/>
        <w:rPr>
          <w:rFonts w:ascii="Arial" w:cs="Arial" w:eastAsia="Arial" w:hAnsi="Arial"/>
          <w:sz w:val="17"/>
          <w:szCs w:val="17"/>
          <w:u w:val="single" w:color="auto"/>
          <w:color w:val="0000FF"/>
        </w:rPr>
      </w:pPr>
    </w:p>
    <w:p>
      <w:pPr>
        <w:ind w:left="324" w:hanging="324"/>
        <w:spacing w:after="0"/>
        <w:tabs>
          <w:tab w:leader="none" w:pos="32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-2170430</wp:posOffset>
            </wp:positionV>
            <wp:extent cx="596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-2170430</wp:posOffset>
            </wp:positionV>
            <wp:extent cx="22288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-1896110</wp:posOffset>
            </wp:positionV>
            <wp:extent cx="5143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-1896110</wp:posOffset>
            </wp:positionV>
            <wp:extent cx="22288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-1553210</wp:posOffset>
            </wp:positionV>
            <wp:extent cx="17145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-1416050</wp:posOffset>
            </wp:positionV>
            <wp:extent cx="6032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-1416050</wp:posOffset>
            </wp:positionV>
            <wp:extent cx="22288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-1278890</wp:posOffset>
            </wp:positionV>
            <wp:extent cx="6032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-1278890</wp:posOffset>
            </wp:positionV>
            <wp:extent cx="22288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-1141730</wp:posOffset>
            </wp:positionV>
            <wp:extent cx="6032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-1141730</wp:posOffset>
            </wp:positionV>
            <wp:extent cx="21463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-730250</wp:posOffset>
            </wp:positionV>
            <wp:extent cx="6032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-730250</wp:posOffset>
            </wp:positionV>
            <wp:extent cx="22288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-455930</wp:posOffset>
            </wp:positionV>
            <wp:extent cx="514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-455930</wp:posOffset>
            </wp:positionV>
            <wp:extent cx="22288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7" w:lineRule="exact"/>
        <w:rPr>
          <w:sz w:val="20"/>
          <w:szCs w:val="20"/>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19"/>
        <w:spacing w:after="0" w:line="269" w:lineRule="auto"/>
        <w:tabs>
          <w:tab w:leader="none" w:pos="641" w:val="left"/>
        </w:tabs>
        <w:numPr>
          <w:ilvl w:val="1"/>
          <w:numId w:val="66"/>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Dollar Revolving Loan Facility</w:t>
      </w:r>
      <w:r>
        <w:rPr>
          <w:rFonts w:ascii="Arial" w:cs="Arial" w:eastAsia="Arial" w:hAnsi="Arial"/>
          <w:sz w:val="17"/>
          <w:szCs w:val="17"/>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Arial" w:cs="Arial" w:eastAsia="Arial" w:hAnsi="Arial"/>
          <w:sz w:val="17"/>
          <w:szCs w:val="17"/>
          <w:u w:val="single" w:color="auto"/>
          <w:color w:val="auto"/>
        </w:rPr>
        <w:t>Dollar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Dollar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all Dollar Revolving Loans comprising the same Borrowing shall at all times be of the same Type.</w:t>
      </w:r>
    </w:p>
    <w:p>
      <w:pPr>
        <w:spacing w:after="0" w:line="77" w:lineRule="exact"/>
        <w:rPr>
          <w:rFonts w:ascii="Arial" w:cs="Arial" w:eastAsia="Arial" w:hAnsi="Arial"/>
          <w:sz w:val="17"/>
          <w:szCs w:val="17"/>
          <w:u w:val="single" w:color="auto"/>
          <w:color w:val="0000FF"/>
        </w:rPr>
      </w:pPr>
    </w:p>
    <w:p>
      <w:pPr>
        <w:ind w:left="684" w:hanging="261"/>
        <w:spacing w:after="0"/>
        <w:tabs>
          <w:tab w:leader="none" w:pos="684" w:val="left"/>
        </w:tabs>
        <w:numPr>
          <w:ilvl w:val="1"/>
          <w:numId w:val="66"/>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-1416050</wp:posOffset>
            </wp:positionV>
            <wp:extent cx="13716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23495</wp:posOffset>
            </wp:positionV>
            <wp:extent cx="17145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44"/>
          </w:cols>
          <w:pgMar w:left="876" w:top="274" w:right="479" w:bottom="1440" w:gutter="0" w:footer="0" w:header="0"/>
        </w:sectPr>
      </w:pPr>
    </w:p>
    <w:bookmarkStart w:id="221" w:name="page222"/>
    <w:bookmarkEnd w:id="221"/>
    <w:p>
      <w:pPr>
        <w:ind w:left="4" w:right="100" w:firstLine="419"/>
        <w:spacing w:after="0" w:line="284" w:lineRule="auto"/>
        <w:tabs>
          <w:tab w:leader="none" w:pos="741" w:val="left"/>
        </w:tabs>
        <w:numPr>
          <w:ilvl w:val="1"/>
          <w:numId w:val="67"/>
        </w:numPr>
        <w:rPr>
          <w:rFonts w:ascii="Arial" w:cs="Arial" w:eastAsia="Arial" w:hAnsi="Arial"/>
          <w:sz w:val="16"/>
          <w:szCs w:val="16"/>
          <w:u w:val="single" w:color="auto"/>
          <w:color w:val="0000FF"/>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Multicurrency Revolving Loan Facility</w:t>
      </w:r>
      <w:r>
        <w:rPr>
          <w:rFonts w:ascii="Arial" w:cs="Arial" w:eastAsia="Arial" w:hAnsi="Arial"/>
          <w:sz w:val="16"/>
          <w:szCs w:val="16"/>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Arial" w:cs="Arial" w:eastAsia="Arial" w:hAnsi="Arial"/>
          <w:sz w:val="16"/>
          <w:szCs w:val="16"/>
          <w:u w:val="single" w:color="auto"/>
          <w:color w:val="auto"/>
        </w:rPr>
        <w:t>Multicurrency Revolving Loan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Multicurrency Revolving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 no such Multicurrency Revolving Loan shall be made if after giving effect thereto, the Total Available Multicurrency Revolving Commitments would equal less than zero and</w:t>
      </w:r>
    </w:p>
    <w:p>
      <w:pPr>
        <w:ind w:left="264" w:hanging="264"/>
        <w:spacing w:after="0"/>
        <w:tabs>
          <w:tab w:leader="none" w:pos="26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aggregate principal amount of all Multicurrency Revolving Loans denominated in Sterling shall not exceed the Sterling Equivalent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-1075055</wp:posOffset>
            </wp:positionV>
            <wp:extent cx="19748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all Multicurrency Revolving Loans comprising the same Borrowing shall at all times be of the same Type.</w:t>
      </w:r>
    </w:p>
    <w:p>
      <w:pPr>
        <w:spacing w:after="0" w:line="70" w:lineRule="exact"/>
        <w:rPr>
          <w:sz w:val="20"/>
          <w:szCs w:val="20"/>
          <w:color w:val="auto"/>
        </w:rPr>
      </w:pPr>
    </w:p>
    <w:p>
      <w:pPr>
        <w:ind w:left="244" w:hanging="244"/>
        <w:spacing w:after="0"/>
        <w:tabs>
          <w:tab w:leader="none" w:pos="2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69"/>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117" w:lineRule="exact"/>
        <w:rPr>
          <w:rFonts w:ascii="Arial" w:cs="Arial" w:eastAsia="Arial" w:hAnsi="Arial"/>
          <w:sz w:val="18"/>
          <w:szCs w:val="18"/>
          <w:u w:val="single" w:color="auto"/>
          <w:color w:val="0000FF"/>
        </w:rPr>
      </w:pPr>
    </w:p>
    <w:p>
      <w:pPr>
        <w:ind w:left="4" w:right="60" w:firstLine="419"/>
        <w:spacing w:after="0" w:line="286" w:lineRule="auto"/>
        <w:tabs>
          <w:tab w:leader="none" w:pos="691" w:val="left"/>
        </w:tabs>
        <w:numPr>
          <w:ilvl w:val="1"/>
          <w:numId w:val="69"/>
        </w:numPr>
        <w:rPr>
          <w:rFonts w:ascii="Arial" w:cs="Arial" w:eastAsia="Arial" w:hAnsi="Arial"/>
          <w:sz w:val="16"/>
          <w:szCs w:val="16"/>
          <w:u w:val="single" w:color="auto"/>
          <w:color w:val="0000FF"/>
        </w:rPr>
      </w:pPr>
      <w:r>
        <w:rPr>
          <w:rFonts w:ascii="Arial" w:cs="Arial" w:eastAsia="Arial" w:hAnsi="Arial"/>
          <w:sz w:val="16"/>
          <w:szCs w:val="16"/>
          <w:u w:val="single" w:color="auto"/>
          <w:color w:val="auto"/>
        </w:rPr>
        <w:t>Multicurrency Swing Line</w:t>
      </w:r>
      <w:r>
        <w:rPr>
          <w:rFonts w:ascii="Arial" w:cs="Arial" w:eastAsia="Arial" w:hAnsi="Arial"/>
          <w:sz w:val="16"/>
          <w:szCs w:val="16"/>
          <w:color w:val="auto"/>
        </w:rPr>
        <w:t>. Subject to the terms and conditions hereof, the Swing Line Lender in its individual capacity agrees to make swing line loans in Dollars or Alternative Currencies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may the amount of any Borrowing of Swing Line Loans</w:t>
      </w:r>
    </w:p>
    <w:p>
      <w:pPr>
        <w:spacing w:after="0" w:line="1" w:lineRule="exact"/>
        <w:rPr>
          <w:rFonts w:ascii="Arial" w:cs="Arial" w:eastAsia="Arial" w:hAnsi="Arial"/>
          <w:sz w:val="16"/>
          <w:szCs w:val="16"/>
          <w:u w:val="single" w:color="auto"/>
          <w:color w:val="0000FF"/>
        </w:rPr>
      </w:pPr>
    </w:p>
    <w:p>
      <w:pPr>
        <w:ind w:left="4" w:right="460"/>
        <w:spacing w:after="0" w:line="281" w:lineRule="auto"/>
        <w:rPr>
          <w:rFonts w:ascii="Arial" w:cs="Arial" w:eastAsia="Arial" w:hAnsi="Arial"/>
          <w:sz w:val="16"/>
          <w:szCs w:val="16"/>
          <w:u w:val="single" w:color="auto"/>
          <w:color w:val="0000FF"/>
        </w:rPr>
      </w:pPr>
      <w:r>
        <w:rPr>
          <w:rFonts w:ascii="Arial" w:cs="Arial" w:eastAsia="Arial" w:hAnsi="Arial"/>
          <w:sz w:val="16"/>
          <w:szCs w:val="16"/>
          <w:color w:val="auto"/>
        </w:rPr>
        <w:t>(A) exceed the Total Available Multicurrency Revolving Commitment immediately prior to such Borrowing (after giving effect to the use of proceeds thereof), (B) exceed the Available Multicurrency Revolving Sublimit for such Borrower immediately prior to such Borrowing or</w:t>
      </w:r>
    </w:p>
    <w:p>
      <w:pPr>
        <w:spacing w:after="0" w:line="1" w:lineRule="exact"/>
        <w:rPr>
          <w:rFonts w:ascii="Arial" w:cs="Arial" w:eastAsia="Arial" w:hAnsi="Arial"/>
          <w:sz w:val="16"/>
          <w:szCs w:val="16"/>
          <w:u w:val="single" w:color="auto"/>
          <w:color w:val="0000FF"/>
        </w:rPr>
      </w:pPr>
    </w:p>
    <w:p>
      <w:pPr>
        <w:ind w:left="4" w:right="40"/>
        <w:spacing w:after="0" w:line="28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(C) 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 notwithstanding </w:t>
      </w:r>
      <w:r>
        <w:rPr>
          <w:rFonts w:ascii="Arial" w:cs="Arial" w:eastAsia="Arial" w:hAnsi="Arial"/>
          <w:sz w:val="16"/>
          <w:szCs w:val="16"/>
          <w:u w:val="single" w:color="auto"/>
          <w:color w:val="auto"/>
        </w:rPr>
        <w:t>Section 2.6</w:t>
      </w:r>
      <w:r>
        <w:rPr>
          <w:rFonts w:ascii="Arial" w:cs="Arial" w:eastAsia="Arial" w:hAnsi="Arial"/>
          <w:sz w:val="16"/>
          <w:szCs w:val="16"/>
          <w:color w:val="auto"/>
        </w:rPr>
        <w:t>, shall not be entitled to be converted into any other Type of Loan. Notwithstanding the foregoing, in the event there is a Defaulting Lender, Swing 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-2546985</wp:posOffset>
            </wp:positionV>
            <wp:extent cx="13716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-2341245</wp:posOffset>
            </wp:positionV>
            <wp:extent cx="13716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564"/>
          </w:cols>
          <w:pgMar w:left="876" w:top="274" w:right="459" w:bottom="1440" w:gutter="0" w:footer="0" w:header="0"/>
        </w:sectPr>
      </w:pPr>
    </w:p>
    <w:bookmarkStart w:id="222" w:name="page223"/>
    <w:bookmarkEnd w:id="222"/>
    <w:p>
      <w:pPr>
        <w:ind w:left="4" w:right="80" w:firstLine="419"/>
        <w:spacing w:after="0" w:line="269" w:lineRule="auto"/>
        <w:tabs>
          <w:tab w:leader="none" w:pos="741" w:val="left"/>
        </w:tabs>
        <w:numPr>
          <w:ilvl w:val="1"/>
          <w:numId w:val="70"/>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Refunding of Swing Line Loans</w:t>
      </w:r>
      <w:r>
        <w:rPr>
          <w:rFonts w:ascii="Arial" w:cs="Arial" w:eastAsia="Arial" w:hAnsi="Arial"/>
          <w:sz w:val="17"/>
          <w:szCs w:val="17"/>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(the “</w:t>
      </w:r>
      <w:r>
        <w:rPr>
          <w:rFonts w:ascii="Arial" w:cs="Arial" w:eastAsia="Arial" w:hAnsi="Arial"/>
          <w:sz w:val="17"/>
          <w:szCs w:val="17"/>
          <w:u w:val="single" w:color="auto"/>
          <w:color w:val="auto"/>
        </w:rPr>
        <w:t>Refunded Swing Line Loans</w:t>
      </w:r>
      <w:r>
        <w:rPr>
          <w:rFonts w:ascii="Arial" w:cs="Arial" w:eastAsia="Arial" w:hAnsi="Arial"/>
          <w:sz w:val="17"/>
          <w:szCs w:val="17"/>
          <w:color w:val="auto"/>
        </w:rPr>
        <w:t xml:space="preserve">”) outstanding on the date such notice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notice shall be deemed to have automatically been given upon the occurrence of an Event of Default under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Unless any of the events described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shall have occurred (in which event the procedures of this </w:t>
      </w:r>
      <w:r>
        <w:rPr>
          <w:rFonts w:ascii="Arial" w:cs="Arial" w:eastAsia="Arial" w:hAnsi="Arial"/>
          <w:sz w:val="17"/>
          <w:szCs w:val="17"/>
          <w:u w:val="single" w:color="auto"/>
          <w:color w:val="auto"/>
        </w:rPr>
        <w:t>Section 2.1(c)(iii)</w:t>
      </w:r>
      <w:r>
        <w:rPr>
          <w:rFonts w:ascii="Arial" w:cs="Arial" w:eastAsia="Arial" w:hAnsi="Arial"/>
          <w:sz w:val="17"/>
          <w:szCs w:val="17"/>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local time in the place of funding, in funds immediately available on the Business Day next succeeding the date such notice is given. The proceeds of such Revolving Loans shall be immediately applied to repay the Refunded Swing Line Loans.</w:t>
      </w:r>
    </w:p>
    <w:p>
      <w:pPr>
        <w:spacing w:after="0" w:line="73" w:lineRule="exact"/>
        <w:rPr>
          <w:rFonts w:ascii="Arial" w:cs="Arial" w:eastAsia="Arial" w:hAnsi="Arial"/>
          <w:sz w:val="17"/>
          <w:szCs w:val="17"/>
          <w:u w:val="single" w:color="auto"/>
          <w:color w:val="0000FF"/>
        </w:rPr>
      </w:pPr>
    </w:p>
    <w:p>
      <w:pPr>
        <w:ind w:left="4" w:right="80" w:firstLine="419"/>
        <w:spacing w:after="0" w:line="254" w:lineRule="auto"/>
        <w:tabs>
          <w:tab w:leader="none" w:pos="731" w:val="left"/>
        </w:tabs>
        <w:numPr>
          <w:ilvl w:val="1"/>
          <w:numId w:val="70"/>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Participation in Swing Line Loans</w:t>
      </w:r>
      <w:r>
        <w:rPr>
          <w:rFonts w:ascii="Arial" w:cs="Arial" w:eastAsia="Arial" w:hAnsi="Arial"/>
          <w:sz w:val="18"/>
          <w:szCs w:val="18"/>
          <w:color w:val="auto"/>
        </w:rPr>
        <w:t xml:space="preserve">. If, prior to refunding a Swing Line Loan with a Revolving Loan pursuant to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an Event of Default under Section 10.1(i) shall have occurred, or if for any other reason a Revolving Loan cannot be made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then, subject to the provisions of </w:t>
      </w:r>
      <w:r>
        <w:rPr>
          <w:rFonts w:ascii="Arial" w:cs="Arial" w:eastAsia="Arial" w:hAnsi="Arial"/>
          <w:sz w:val="18"/>
          <w:szCs w:val="18"/>
          <w:u w:val="single" w:color="auto"/>
          <w:color w:val="auto"/>
        </w:rPr>
        <w:t>Section 2.1(c)(v)</w:t>
      </w:r>
      <w:r>
        <w:rPr>
          <w:rFonts w:ascii="Arial" w:cs="Arial" w:eastAsia="Arial" w:hAnsi="Arial"/>
          <w:sz w:val="18"/>
          <w:szCs w:val="18"/>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83" w:lineRule="exact"/>
        <w:rPr>
          <w:rFonts w:ascii="Arial" w:cs="Arial" w:eastAsia="Arial" w:hAnsi="Arial"/>
          <w:sz w:val="18"/>
          <w:szCs w:val="18"/>
          <w:u w:val="single" w:color="auto"/>
          <w:color w:val="0000FF"/>
        </w:rPr>
      </w:pPr>
    </w:p>
    <w:p>
      <w:pPr>
        <w:ind w:left="4" w:right="60" w:firstLine="419"/>
        <w:spacing w:after="0" w:line="285" w:lineRule="auto"/>
        <w:tabs>
          <w:tab w:leader="none" w:pos="681" w:val="left"/>
        </w:tabs>
        <w:numPr>
          <w:ilvl w:val="1"/>
          <w:numId w:val="70"/>
        </w:numPr>
        <w:rPr>
          <w:rFonts w:ascii="Arial" w:cs="Arial" w:eastAsia="Arial" w:hAnsi="Arial"/>
          <w:sz w:val="16"/>
          <w:szCs w:val="16"/>
          <w:u w:val="single" w:color="auto"/>
          <w:color w:val="0000FF"/>
        </w:rPr>
      </w:pPr>
      <w:r>
        <w:rPr>
          <w:rFonts w:ascii="Arial" w:cs="Arial" w:eastAsia="Arial" w:hAnsi="Arial"/>
          <w:sz w:val="16"/>
          <w:szCs w:val="16"/>
          <w:u w:val="single" w:color="auto"/>
          <w:color w:val="auto"/>
        </w:rPr>
        <w:t>Lenders’ Obligations Unconditional</w:t>
      </w:r>
      <w:r>
        <w:rPr>
          <w:rFonts w:ascii="Arial" w:cs="Arial" w:eastAsia="Arial" w:hAnsi="Arial"/>
          <w:sz w:val="16"/>
          <w:szCs w:val="16"/>
          <w:color w:val="auto"/>
        </w:rPr>
        <w:t xml:space="preserve">. Each Lender’s obligation to make Revolving Loans in accordance with </w:t>
      </w: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above and to purchase participating interests in accordance with </w:t>
      </w:r>
      <w:r>
        <w:rPr>
          <w:rFonts w:ascii="Arial" w:cs="Arial" w:eastAsia="Arial" w:hAnsi="Arial"/>
          <w:sz w:val="16"/>
          <w:szCs w:val="16"/>
          <w:u w:val="single" w:color="auto"/>
          <w:color w:val="auto"/>
        </w:rPr>
        <w:t>Section 2.1(c)(iv)</w:t>
      </w:r>
      <w:r>
        <w:rPr>
          <w:rFonts w:ascii="Arial" w:cs="Arial" w:eastAsia="Arial" w:hAnsi="Arial"/>
          <w:sz w:val="16"/>
          <w:szCs w:val="16"/>
          <w:color w:val="auto"/>
        </w:rPr>
        <w:t xml:space="preserve"> above shall be absolute and unconditional and shall not be affected by any circumstance, including, without limitation, (A) any set-off, counterclaim, recoupment, defense or other 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w:t>
      </w:r>
    </w:p>
    <w:p>
      <w:pPr>
        <w:spacing w:after="0" w:line="1" w:lineRule="exact"/>
        <w:rPr>
          <w:rFonts w:ascii="Arial" w:cs="Arial" w:eastAsia="Arial" w:hAnsi="Arial"/>
          <w:sz w:val="16"/>
          <w:szCs w:val="16"/>
          <w:u w:val="single" w:color="auto"/>
          <w:color w:val="0000FF"/>
        </w:rPr>
      </w:pPr>
    </w:p>
    <w:p>
      <w:pPr>
        <w:ind w:left="4" w:hanging="4"/>
        <w:spacing w:after="0" w:line="268" w:lineRule="auto"/>
        <w:tabs>
          <w:tab w:leader="none" w:pos="29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Lender does not make available to Swing Line Lender the amount required pursuant to </w:t>
      </w:r>
      <w:r>
        <w:rPr>
          <w:rFonts w:ascii="Arial" w:cs="Arial" w:eastAsia="Arial" w:hAnsi="Arial"/>
          <w:sz w:val="17"/>
          <w:szCs w:val="17"/>
          <w:u w:val="single" w:color="auto"/>
          <w:color w:val="auto"/>
        </w:rPr>
        <w:t>Section 2.1(c)(iii)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as the case may be, Swing Line Lender shall be entitled to recover such amount on demand from such Lender, together with interest thereon for each day from the date of non-payment until such amount is paid in full at the Federal Funds Rate for the first two Business Days and at the Base Rate thereafter. Notwithstanding the foregoing provisions of this </w:t>
      </w:r>
      <w:r>
        <w:rPr>
          <w:rFonts w:ascii="Arial" w:cs="Arial" w:eastAsia="Arial" w:hAnsi="Arial"/>
          <w:sz w:val="17"/>
          <w:szCs w:val="17"/>
          <w:u w:val="single" w:color="auto"/>
          <w:color w:val="auto"/>
        </w:rPr>
        <w:t>Section 2.1(c)(v)</w:t>
      </w:r>
      <w:r>
        <w:rPr>
          <w:rFonts w:ascii="Arial" w:cs="Arial" w:eastAsia="Arial" w:hAnsi="Arial"/>
          <w:sz w:val="17"/>
          <w:szCs w:val="17"/>
          <w:color w:val="auto"/>
        </w:rPr>
        <w:t xml:space="preserve">, no Lender shall be required to make a Revolving Loan to any Borrower for the purpose of refunding a Swing Line Loan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or to purchase a participating interest in a Swing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-4391660</wp:posOffset>
            </wp:positionV>
            <wp:extent cx="19748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-2814320</wp:posOffset>
            </wp:positionV>
            <wp:extent cx="16256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-1648460</wp:posOffset>
            </wp:positionV>
            <wp:extent cx="16256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9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584"/>
          </w:cols>
          <w:pgMar w:left="876" w:top="274" w:right="439" w:bottom="1440" w:gutter="0" w:footer="0" w:header="0"/>
        </w:sectPr>
      </w:pPr>
    </w:p>
    <w:bookmarkStart w:id="223" w:name="page224"/>
    <w:bookmarkEnd w:id="223"/>
    <w:p>
      <w:pPr>
        <w:ind w:left="44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Loan pursuant to </w:t>
      </w:r>
      <w:r>
        <w:rPr>
          <w:rFonts w:ascii="Arial" w:cs="Arial" w:eastAsia="Arial" w:hAnsi="Arial"/>
          <w:sz w:val="16"/>
          <w:szCs w:val="16"/>
          <w:u w:val="single" w:color="auto"/>
          <w:color w:val="auto"/>
        </w:rPr>
        <w:t>Section 2.1(c)(iv)</w:t>
      </w:r>
      <w:r>
        <w:rPr>
          <w:rFonts w:ascii="Arial" w:cs="Arial" w:eastAsia="Arial" w:hAnsi="Arial"/>
          <w:sz w:val="16"/>
          <w:szCs w:val="16"/>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of such Lender to make such Refunded Swing Line Loans and to purchase such participating interests shall be reinstated upon the earlier to occur of (y) the date upon which such Lender notifies Swing Line Lender that its prior notice has been withdrawn and (z) the date upon which the Event of Default or Unmatured Event of Default specified in such notice no longer is continuing.</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Evidence of Indebtedness; Repayment of Loans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93" w:lineRule="auto"/>
        <w:tabs>
          <w:tab w:leader="none" w:pos="68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Evidence of Indebtedness</w:t>
      </w:r>
      <w:r>
        <w:rPr>
          <w:rFonts w:ascii="Arial" w:cs="Arial" w:eastAsia="Arial" w:hAnsi="Arial"/>
          <w:sz w:val="16"/>
          <w:szCs w:val="16"/>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Arial" w:cs="Arial" w:eastAsia="Arial" w:hAnsi="Arial"/>
          <w:sz w:val="16"/>
          <w:szCs w:val="16"/>
          <w:u w:val="single" w:color="auto"/>
          <w:color w:val="auto"/>
        </w:rPr>
        <w:t>Exhibit 2.2(a)(1)</w:t>
      </w:r>
      <w:r>
        <w:rPr>
          <w:rFonts w:ascii="Arial" w:cs="Arial" w:eastAsia="Arial" w:hAnsi="Arial"/>
          <w:sz w:val="16"/>
          <w:szCs w:val="16"/>
          <w:color w:val="auto"/>
        </w:rPr>
        <w:t xml:space="preserve"> hereto (or such other form as mutually agreed by Crown Holdings and the Administrative Agent), with blanks appropriately completed in conformity herewith and (2) if Revolving Loans, by a promissory note duly executed and delivered by such Borrower substantially in the form of </w:t>
      </w:r>
      <w:r>
        <w:rPr>
          <w:rFonts w:ascii="Arial" w:cs="Arial" w:eastAsia="Arial" w:hAnsi="Arial"/>
          <w:sz w:val="16"/>
          <w:szCs w:val="16"/>
          <w:u w:val="single" w:color="auto"/>
          <w:color w:val="auto"/>
        </w:rPr>
        <w:t>Exhibit 2.2(a)(2)</w:t>
      </w:r>
      <w:r>
        <w:rPr>
          <w:rFonts w:ascii="Arial" w:cs="Arial" w:eastAsia="Arial" w:hAnsi="Arial"/>
          <w:sz w:val="16"/>
          <w:szCs w:val="16"/>
          <w:color w:val="auto"/>
        </w:rPr>
        <w:t xml:space="preserve"> hereto (or such other form as mutually agreed by Crown Holdings and the Administrative Agent), with blanks appropriately completed in conformity herewith.</w:t>
      </w:r>
    </w:p>
    <w:p>
      <w:pPr>
        <w:spacing w:after="0" w:line="56" w:lineRule="exact"/>
        <w:rPr>
          <w:rFonts w:ascii="Arial" w:cs="Arial" w:eastAsia="Arial" w:hAnsi="Arial"/>
          <w:sz w:val="16"/>
          <w:szCs w:val="16"/>
          <w:color w:val="auto"/>
        </w:rPr>
      </w:pPr>
    </w:p>
    <w:p>
      <w:pPr>
        <w:ind w:left="4" w:firstLine="436"/>
        <w:spacing w:after="0" w:line="259" w:lineRule="auto"/>
        <w:tabs>
          <w:tab w:leader="none" w:pos="69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Notation of Payments</w:t>
      </w:r>
      <w:r>
        <w:rPr>
          <w:rFonts w:ascii="Arial" w:cs="Arial" w:eastAsia="Arial" w:hAnsi="Arial"/>
          <w:sz w:val="18"/>
          <w:szCs w:val="18"/>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Repayment of Loans</w:t>
      </w:r>
      <w:r>
        <w:rPr>
          <w:rFonts w:ascii="Arial" w:cs="Arial" w:eastAsia="Arial" w:hAnsi="Arial"/>
          <w:sz w:val="16"/>
          <w:szCs w:val="16"/>
          <w:color w:val="auto"/>
        </w:rPr>
        <w:t>. Each Borrower hereby unconditionally promises to pay to Administrative Agent for the account of the relevant Lenders</w:t>
      </w:r>
    </w:p>
    <w:p>
      <w:pPr>
        <w:spacing w:after="0" w:line="46" w:lineRule="exact"/>
        <w:rPr>
          <w:rFonts w:ascii="Arial" w:cs="Arial" w:eastAsia="Arial" w:hAnsi="Arial"/>
          <w:sz w:val="16"/>
          <w:szCs w:val="16"/>
          <w:color w:val="auto"/>
        </w:rPr>
      </w:pPr>
    </w:p>
    <w:p>
      <w:pPr>
        <w:ind w:left="4" w:right="100" w:hanging="4"/>
        <w:spacing w:after="0" w:line="251" w:lineRule="auto"/>
        <w:tabs>
          <w:tab w:leader="none" w:pos="2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 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Effective Date until payment in full thereof at the rates per annum, and on the dates,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90"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Minimum Amount of Each Borrowing; Maximum Number of Borrowings</w:t>
      </w:r>
      <w:r>
        <w:rPr>
          <w:rFonts w:ascii="Arial" w:cs="Arial" w:eastAsia="Arial" w:hAnsi="Arial"/>
          <w:sz w:val="16"/>
          <w:szCs w:val="16"/>
          <w:color w:val="auto"/>
        </w:rPr>
        <w:t xml:space="preserve">.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outstanding more than </w:t>
      </w:r>
      <w:r>
        <w:rPr>
          <w:rFonts w:ascii="Arial" w:cs="Arial" w:eastAsia="Arial" w:hAnsi="Arial"/>
          <w:sz w:val="16"/>
          <w:szCs w:val="16"/>
          <w:color w:val="FF0000"/>
        </w:rPr>
        <w:t>(i) three (3) Borrowings of Eurocurrency</w:t>
      </w:r>
      <w:r>
        <w:rPr>
          <w:rFonts w:ascii="Arial" w:cs="Arial" w:eastAsia="Arial" w:hAnsi="Arial"/>
          <w:sz w:val="16"/>
          <w:szCs w:val="16"/>
          <w:color w:val="auto"/>
        </w:rPr>
        <w:t xml:space="preserve"> </w:t>
      </w:r>
      <w:r>
        <w:rPr>
          <w:rFonts w:ascii="Arial" w:cs="Arial" w:eastAsia="Arial" w:hAnsi="Arial"/>
          <w:sz w:val="16"/>
          <w:szCs w:val="16"/>
          <w:color w:val="FF0000"/>
          <w:strike w:val="1"/>
        </w:rPr>
        <w:t>Loans with weekly Interest Periods in the aggregate by European Borrower and the Subsidiary Borrowers nor more than one (1) Borrowing of Eurocurrency Loans with a weekly Interest Period by U.S. Borrower nor (ii)</w:t>
      </w:r>
      <w:r>
        <w:rPr>
          <w:rFonts w:ascii="Arial" w:cs="Arial" w:eastAsia="Arial" w:hAnsi="Arial"/>
          <w:sz w:val="16"/>
          <w:szCs w:val="16"/>
          <w:u w:val="single" w:color="auto"/>
          <w:color w:val="0000FF"/>
          <w:strike w:val="1"/>
        </w:rPr>
        <w: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unless approved by Administrative Agent in its reasonable discretion,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-347980</wp:posOffset>
            </wp:positionV>
            <wp:extent cx="189738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5424" w:right="5020" w:hanging="5424"/>
        <w:spacing w:after="0" w:line="517" w:lineRule="auto"/>
        <w:tabs>
          <w:tab w:leader="none" w:pos="3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Borrowings of Eurocurrency Loans</w:t>
      </w:r>
      <w:r>
        <w:rPr>
          <w:rFonts w:ascii="Arial" w:cs="Arial" w:eastAsia="Arial" w:hAnsi="Arial"/>
          <w:sz w:val="16"/>
          <w:szCs w:val="16"/>
          <w:u w:val="single" w:color="auto"/>
          <w:color w:val="0000FF"/>
        </w:rPr>
        <w:t>, SOFR Loans and RFR Loans</w:t>
      </w:r>
      <w:r>
        <w:rPr>
          <w:rFonts w:ascii="Arial" w:cs="Arial" w:eastAsia="Arial" w:hAnsi="Arial"/>
          <w:sz w:val="16"/>
          <w:szCs w:val="16"/>
          <w:color w:val="auto"/>
        </w:rPr>
        <w:t xml:space="preserve"> at any time.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-494030</wp:posOffset>
            </wp:positionV>
            <wp:extent cx="254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-356870</wp:posOffset>
            </wp:positionV>
            <wp:extent cx="139700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224" w:name="page225"/>
    <w:bookmarkEnd w:id="224"/>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Arial" w:cs="Arial" w:eastAsia="Arial" w:hAnsi="Arial"/>
          <w:sz w:val="16"/>
          <w:szCs w:val="16"/>
          <w:u w:val="single" w:color="auto"/>
          <w:color w:val="auto"/>
        </w:rPr>
        <w:t>Borrowing Options</w:t>
      </w:r>
      <w:r>
        <w:rPr>
          <w:rFonts w:ascii="Arial" w:cs="Arial" w:eastAsia="Arial" w:hAnsi="Arial"/>
          <w:sz w:val="16"/>
          <w:szCs w:val="16"/>
          <w:color w:val="auto"/>
        </w:rPr>
        <w:t>. The Term Loans and the Revolving Loans shall, at the option of the applicable Borrower except as otherwise provided in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this Agreement, be (i) Base Rate Loans, (ii)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or (iii) part Base Rate Loans and part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The Term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Loans and </w:t>
      </w:r>
      <w:r>
        <w:rPr>
          <w:rFonts w:ascii="Arial" w:cs="Arial" w:eastAsia="Arial" w:hAnsi="Arial"/>
          <w:sz w:val="18"/>
          <w:szCs w:val="18"/>
          <w:u w:val="single" w:color="auto"/>
          <w:color w:val="0000FF"/>
        </w:rPr>
        <w:t>Multicurrency</w:t>
      </w:r>
      <w:r>
        <w:rPr>
          <w:rFonts w:ascii="Arial" w:cs="Arial" w:eastAsia="Arial" w:hAnsi="Arial"/>
          <w:sz w:val="18"/>
          <w:szCs w:val="18"/>
          <w:color w:val="auto"/>
        </w:rPr>
        <w:t xml:space="preserve"> Revolving Loans denominated in </w:t>
      </w:r>
      <w:r>
        <w:rPr>
          <w:rFonts w:ascii="Arial" w:cs="Arial" w:eastAsia="Arial" w:hAnsi="Arial"/>
          <w:sz w:val="18"/>
          <w:szCs w:val="18"/>
          <w:color w:val="FF0000"/>
          <w:strike w:val="1"/>
        </w:rPr>
        <w:t>Alternative Currencies</w:t>
      </w:r>
      <w:r>
        <w:rPr>
          <w:rFonts w:ascii="Arial" w:cs="Arial" w:eastAsia="Arial" w:hAnsi="Arial"/>
          <w:sz w:val="18"/>
          <w:szCs w:val="18"/>
          <w:u w:val="single" w:color="auto"/>
          <w:color w:val="0000FF"/>
        </w:rPr>
        <w:t>Euro</w:t>
      </w:r>
      <w:r>
        <w:rPr>
          <w:rFonts w:ascii="Arial" w:cs="Arial" w:eastAsia="Arial" w:hAnsi="Arial"/>
          <w:sz w:val="18"/>
          <w:szCs w:val="18"/>
          <w:color w:val="auto"/>
        </w:rPr>
        <w:t xml:space="preserve"> shall be Eurocurrency Loans. </w:t>
      </w:r>
      <w:r>
        <w:rPr>
          <w:rFonts w:ascii="Arial" w:cs="Arial" w:eastAsia="Arial" w:hAnsi="Arial"/>
          <w:sz w:val="18"/>
          <w:szCs w:val="18"/>
          <w:color w:val="FF0000"/>
          <w:strike w:val="1"/>
        </w:rPr>
        <w:t>As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-121920</wp:posOffset>
            </wp:positionV>
            <wp:extent cx="28321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-121920</wp:posOffset>
            </wp:positionV>
            <wp:extent cx="29146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FF0000"/>
          <w:strike w:val="1"/>
        </w:rPr>
        <w:t>Eurocurrency</w:t>
      </w:r>
      <w:r>
        <w:rPr>
          <w:rFonts w:ascii="Arial" w:cs="Arial" w:eastAsia="Arial" w:hAnsi="Arial"/>
          <w:sz w:val="16"/>
          <w:szCs w:val="16"/>
          <w:u w:val="single" w:color="auto"/>
          <w:color w:val="0000FF"/>
          <w:strike w:val="1"/>
        </w:rPr>
        <w:t>Multicurrency Revolving Loans denominated in Sterling shall be Daily Simple RFR Loans. Multicurrency Revolving Loans denominated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-107315</wp:posOffset>
            </wp:positionV>
            <wp:extent cx="65976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-107315</wp:posOffset>
            </wp:positionV>
            <wp:extent cx="22288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000FF"/>
        </w:rPr>
        <w:t>in any other Alternative Currency shall bear interest based on the benchmark rate agreed for such Alternative Currency pursuant to Section 2.8.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-107315</wp:posOffset>
            </wp:positionV>
            <wp:extent cx="630047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0000FF"/>
        </w:rPr>
        <w:t>any</w:t>
      </w:r>
      <w:r>
        <w:rPr>
          <w:rFonts w:ascii="Arial" w:cs="Arial" w:eastAsia="Arial" w:hAnsi="Arial"/>
          <w:sz w:val="17"/>
          <w:szCs w:val="17"/>
          <w:color w:val="0000FF"/>
        </w:rPr>
        <w:t xml:space="preserve"> </w:t>
      </w:r>
      <w:r>
        <w:rPr>
          <w:rFonts w:ascii="Arial" w:cs="Arial" w:eastAsia="Arial" w:hAnsi="Arial"/>
          <w:sz w:val="17"/>
          <w:szCs w:val="17"/>
          <w:color w:val="000000"/>
        </w:rPr>
        <w:t>Loan, any Lender may, if it so elects, fulfill its commitment by causing a</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domestic or</w:t>
      </w:r>
      <w:r>
        <w:rPr>
          <w:rFonts w:ascii="Arial" w:cs="Arial" w:eastAsia="Arial" w:hAnsi="Arial"/>
          <w:sz w:val="17"/>
          <w:szCs w:val="17"/>
          <w:color w:val="0000FF"/>
        </w:rPr>
        <w:t xml:space="preserve"> </w:t>
      </w:r>
      <w:r>
        <w:rPr>
          <w:rFonts w:ascii="Arial" w:cs="Arial" w:eastAsia="Arial" w:hAnsi="Arial"/>
          <w:sz w:val="17"/>
          <w:szCs w:val="17"/>
          <w:color w:val="000000"/>
        </w:rPr>
        <w:t>foreign branch or affiliate with reasonable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682371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capacities to fund such currency and without any increased cost to Borrowers to make or continue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event the funding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6256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-107315</wp:posOffset>
            </wp:positionV>
            <wp:extent cx="53149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 Lender’s Loan shall, for the purposes of this Agreement, be considered to be the obligations of or to have been made by that Lender and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obligation of the applicable Borrower to repay that Lender’s Loan shall nevertheless be to that Lender and shall be deemed held by that Lender, for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account of such branch or affiliate.</w:t>
      </w:r>
    </w:p>
    <w:p>
      <w:pPr>
        <w:spacing w:after="0" w:line="103"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Whenever any Borrower desires to make a Borrowing of any Loan (other than a Swing Line Loan) hereunder, it shall give Administrative Agent at its Notice Address </w:t>
      </w:r>
      <w:r>
        <w:rPr>
          <w:rFonts w:ascii="Arial" w:cs="Arial" w:eastAsia="Arial" w:hAnsi="Arial"/>
          <w:sz w:val="16"/>
          <w:szCs w:val="16"/>
          <w:color w:val="FF0000"/>
          <w:strike w:val="1"/>
        </w:rPr>
        <w:t>(i) in the case of Dollar denominated Loans,</w:t>
      </w:r>
      <w:r>
        <w:rPr>
          <w:rFonts w:ascii="Arial" w:cs="Arial" w:eastAsia="Arial" w:hAnsi="Arial"/>
          <w:sz w:val="16"/>
          <w:szCs w:val="16"/>
          <w:color w:val="auto"/>
        </w:rPr>
        <w:t xml:space="preserve"> at least one Business Day’s prior written notice (or telephonic notice promptly confirmed in writing), given not later than 12:00 p.m. (New York City time), of each Base Rate Loan, and at least three Business Days’ prior written notice (or telephonic notice promptly confirmed in writing) given not later than 12:00 p.m. (New York City time) </w:t>
      </w:r>
      <w:r>
        <w:rPr>
          <w:rFonts w:ascii="Arial" w:cs="Arial" w:eastAsia="Arial" w:hAnsi="Arial"/>
          <w:sz w:val="16"/>
          <w:szCs w:val="16"/>
          <w:color w:val="0000FF"/>
        </w:rPr>
        <w:t>(or 8:00</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 (New York City time),</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in the case of 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borrowing in Euro or Sterling)</w:t>
      </w:r>
      <w:r>
        <w:rPr>
          <w:rFonts w:ascii="Arial" w:cs="Arial" w:eastAsia="Arial" w:hAnsi="Arial"/>
          <w:sz w:val="16"/>
          <w:szCs w:val="16"/>
          <w:color w:val="000000"/>
        </w:rPr>
        <w:t>, of each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SOFR Loan,</w:t>
      </w:r>
      <w:r>
        <w:rPr>
          <w:rFonts w:ascii="Arial" w:cs="Arial" w:eastAsia="Arial" w:hAnsi="Arial"/>
          <w:sz w:val="16"/>
          <w:szCs w:val="16"/>
          <w:color w:val="0000FF"/>
        </w:rPr>
        <w:t xml:space="preserve"> </w:t>
      </w:r>
      <w:r>
        <w:rPr>
          <w:rFonts w:ascii="Arial" w:cs="Arial" w:eastAsia="Arial" w:hAnsi="Arial"/>
          <w:sz w:val="16"/>
          <w:szCs w:val="16"/>
          <w:color w:val="000000"/>
        </w:rPr>
        <w:t>Eurocurrency Loan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Daily Simple RFR Loan, as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applicable,</w:t>
      </w:r>
      <w:r>
        <w:rPr>
          <w:rFonts w:ascii="Arial" w:cs="Arial" w:eastAsia="Arial" w:hAnsi="Arial"/>
          <w:sz w:val="16"/>
          <w:szCs w:val="16"/>
          <w:color w:val="0000FF"/>
        </w:rPr>
        <w:t xml:space="preserve"> </w:t>
      </w:r>
      <w:r>
        <w:rPr>
          <w:rFonts w:ascii="Arial" w:cs="Arial" w:eastAsia="Arial" w:hAnsi="Arial"/>
          <w:sz w:val="16"/>
          <w:szCs w:val="16"/>
          <w:color w:val="000000"/>
        </w:rPr>
        <w:t>to be made hereunder</w:t>
      </w:r>
      <w:r>
        <w:rPr>
          <w:rFonts w:ascii="Arial" w:cs="Arial" w:eastAsia="Arial" w:hAnsi="Arial"/>
          <w:sz w:val="16"/>
          <w:szCs w:val="16"/>
          <w:color w:val="0000FF"/>
        </w:rPr>
        <w:t xml:space="preserve"> </w:t>
      </w:r>
      <w:r>
        <w:rPr>
          <w:rFonts w:ascii="Arial" w:cs="Arial" w:eastAsia="Arial" w:hAnsi="Arial"/>
          <w:sz w:val="16"/>
          <w:szCs w:val="16"/>
          <w:color w:val="FF0000"/>
        </w:rPr>
        <w:t>and (ii) in the case of Alternative Currency Loans, at least three Business Days’ (one Business Day in the case of</w:t>
      </w:r>
      <w:r>
        <w:rPr>
          <w:rFonts w:ascii="Arial" w:cs="Arial" w:eastAsia="Arial" w:hAnsi="Arial"/>
          <w:sz w:val="16"/>
          <w:szCs w:val="16"/>
          <w:color w:val="0000FF"/>
        </w:rPr>
        <w:t xml:space="preserve"> </w:t>
      </w:r>
      <w:r>
        <w:rPr>
          <w:rFonts w:ascii="Arial" w:cs="Arial" w:eastAsia="Arial" w:hAnsi="Arial"/>
          <w:sz w:val="16"/>
          <w:szCs w:val="16"/>
          <w:color w:val="FF0000"/>
          <w:strike w:val="1"/>
        </w:rPr>
        <w:t>Alternative Currency Loans denominated in Sterling) prior written notice (or telephonic notice promptly confirmed in writing) given not later than 12:00 p.m. (London time)</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however</w:t>
      </w:r>
      <w:r>
        <w:rPr>
          <w:rFonts w:ascii="Arial" w:cs="Arial" w:eastAsia="Arial" w:hAnsi="Arial"/>
          <w:sz w:val="16"/>
          <w:szCs w:val="16"/>
          <w:color w:val="000000"/>
          <w:strike w:val="1"/>
        </w:rPr>
        <w:t>, that a Notice of Borrowing with respect to Borrowings to be made on the Incremental Amendment No.</w:t>
      </w:r>
      <w:r>
        <w:rPr>
          <w:rFonts w:ascii="Arial" w:cs="Arial" w:eastAsia="Arial" w:hAnsi="Arial"/>
          <w:sz w:val="16"/>
          <w:szCs w:val="16"/>
          <w:color w:val="FF0000"/>
          <w:strike w:val="1"/>
        </w:rPr>
        <w:t xml:space="preserve"> 2</w:t>
      </w:r>
      <w:r>
        <w:rPr>
          <w:rFonts w:ascii="Arial" w:cs="Arial" w:eastAsia="Arial" w:hAnsi="Arial"/>
          <w:sz w:val="16"/>
          <w:szCs w:val="16"/>
          <w:u w:val="single" w:color="auto"/>
          <w:color w:val="0000FF"/>
          <w:strike w:val="1"/>
        </w:rPr>
        <w:t>3</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w:t>
      </w:r>
      <w:r>
        <w:rPr>
          <w:rFonts w:ascii="Arial" w:cs="Arial" w:eastAsia="Arial" w:hAnsi="Arial"/>
          <w:sz w:val="16"/>
          <w:szCs w:val="16"/>
          <w:color w:val="FF0000"/>
          <w:strike w:val="1"/>
        </w:rPr>
        <w:t xml:space="preserve"> Third</w:t>
      </w:r>
      <w:r>
        <w:rPr>
          <w:rFonts w:ascii="Arial" w:cs="Arial" w:eastAsia="Arial" w:hAnsi="Arial"/>
          <w:sz w:val="16"/>
          <w:szCs w:val="16"/>
          <w:u w:val="single" w:color="auto"/>
          <w:color w:val="0000FF"/>
          <w:strike w:val="1"/>
        </w:rPr>
        <w:t>Fifth</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Amendment Effective Date may be delivered later than the time specified above but no later than (x) in the case of Dollar denominated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Loans, 10:00 a.m. (New York City time) and (y) in the case of Alternative Currency Loans, 12:00 p.m. (London time), in each case, on the Business Day prior to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strike w:val="1"/>
        </w:rPr>
        <w:t>3</w:t>
      </w:r>
      <w:r>
        <w:rPr>
          <w:rFonts w:ascii="Arial" w:cs="Arial" w:eastAsia="Arial" w:hAnsi="Arial"/>
          <w:sz w:val="16"/>
          <w:szCs w:val="16"/>
          <w:color w:val="000000"/>
          <w:strike w:val="1"/>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strike w:val="1"/>
        </w:rPr>
        <w:t>Fifth</w:t>
      </w:r>
      <w:r>
        <w:rPr>
          <w:rFonts w:ascii="Arial" w:cs="Arial" w:eastAsia="Arial" w:hAnsi="Arial"/>
          <w:sz w:val="16"/>
          <w:szCs w:val="16"/>
          <w:color w:val="000000"/>
          <w:strike w:val="1"/>
        </w:rPr>
        <w:t xml:space="preserve"> Amendment Effective Date. Whenever U.S. Borrower desires that Swing Line Lender make a Swing Line Loan in Dollars under </w:t>
      </w:r>
      <w:r>
        <w:rPr>
          <w:rFonts w:ascii="Arial" w:cs="Arial" w:eastAsia="Arial" w:hAnsi="Arial"/>
          <w:sz w:val="16"/>
          <w:szCs w:val="16"/>
          <w:u w:val="single" w:color="auto"/>
          <w:color w:val="000000"/>
          <w:strike w:val="1"/>
        </w:rPr>
        <w:t>Section 2.1(c)(ii</w:t>
      </w:r>
      <w:r>
        <w:rPr>
          <w:rFonts w:ascii="Arial" w:cs="Arial" w:eastAsia="Arial" w:hAnsi="Arial"/>
          <w:sz w:val="16"/>
          <w:szCs w:val="16"/>
          <w:color w:val="000000"/>
          <w:strike w:val="1"/>
        </w:rPr>
        <w:t xml:space="preserve">),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under </w:t>
      </w:r>
      <w:r>
        <w:rPr>
          <w:rFonts w:ascii="Arial" w:cs="Arial" w:eastAsia="Arial" w:hAnsi="Arial"/>
          <w:sz w:val="16"/>
          <w:szCs w:val="16"/>
          <w:u w:val="single" w:color="auto"/>
          <w:color w:val="000000"/>
          <w:strike w:val="1"/>
        </w:rPr>
        <w:t>Section 2.1(c)(ii)</w:t>
      </w:r>
      <w:r>
        <w:rPr>
          <w:rFonts w:ascii="Arial" w:cs="Arial" w:eastAsia="Arial" w:hAnsi="Arial"/>
          <w:sz w:val="16"/>
          <w:szCs w:val="16"/>
          <w:color w:val="000000"/>
          <w:strike w:val="1"/>
        </w:rPr>
        <w:t>, the applicable Borrower shall deliver written notice (or telephone notice promptly confirmed in writing) to Swing Line Lender and U.K. Administrative Agent with a copy to the Administrative Agent prior to 9:30 a.m. (London time) on (i) with respect to Swing Line Loans denominated in Sterling, the date of such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6515100</wp:posOffset>
            </wp:positionH>
            <wp:positionV relativeFrom="paragraph">
              <wp:posOffset>-1629410</wp:posOffset>
            </wp:positionV>
            <wp:extent cx="39433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-1663700</wp:posOffset>
            </wp:positionV>
            <wp:extent cx="39370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93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-1492250</wp:posOffset>
            </wp:positionV>
            <wp:extent cx="672084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-1355090</wp:posOffset>
            </wp:positionV>
            <wp:extent cx="49720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-1440815</wp:posOffset>
            </wp:positionV>
            <wp:extent cx="51904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190490" cy="8255"/>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-1080770</wp:posOffset>
            </wp:positionV>
            <wp:extent cx="596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-943610</wp:posOffset>
            </wp:positionV>
            <wp:extent cx="22288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-669290</wp:posOffset>
            </wp:positionV>
            <wp:extent cx="596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-669290</wp:posOffset>
            </wp:positionV>
            <wp:extent cx="21463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ind w:left="4" w:right="200" w:hanging="4"/>
        <w:spacing w:after="0" w:line="281" w:lineRule="auto"/>
        <w:tabs>
          <w:tab w:leader="none" w:pos="269"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 respect to Swing Line Loans denominated in Euro, the date that is two Business Days prior to such Borrowing. Each such notice (each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which shall be in the form of </w:t>
      </w:r>
      <w:r>
        <w:rPr>
          <w:rFonts w:ascii="Arial" w:cs="Arial" w:eastAsia="Arial" w:hAnsi="Arial"/>
          <w:sz w:val="16"/>
          <w:szCs w:val="16"/>
          <w:u w:val="single" w:color="auto"/>
          <w:color w:val="auto"/>
        </w:rPr>
        <w:t>Exhibit 2.5</w:t>
      </w:r>
      <w:r>
        <w:rPr>
          <w:rFonts w:ascii="Arial" w:cs="Arial" w:eastAsia="Arial" w:hAnsi="Arial"/>
          <w:sz w:val="16"/>
          <w:szCs w:val="16"/>
          <w:color w:val="auto"/>
        </w:rPr>
        <w:t xml:space="preserve"> hereto (or such other form as mutually agreed by Crown Holdings and the Administrative Agent), shall be irrevocable, shall be deemed a representation by such Borrower that all conditions precedent to such Borrowing have been satisfied and shall specify (i) the aggregate principal amount of the Loans to be made pursuant to such Borrowing stated in the relevant currency,</w:t>
      </w:r>
    </w:p>
    <w:p>
      <w:pPr>
        <w:spacing w:after="0" w:line="2" w:lineRule="exact"/>
        <w:rPr>
          <w:rFonts w:ascii="Arial" w:cs="Arial" w:eastAsia="Arial" w:hAnsi="Arial"/>
          <w:sz w:val="16"/>
          <w:szCs w:val="16"/>
          <w:color w:val="auto"/>
        </w:rPr>
      </w:pPr>
    </w:p>
    <w:p>
      <w:pPr>
        <w:ind w:left="4" w:right="60" w:hanging="4"/>
        <w:spacing w:after="0" w:line="260" w:lineRule="auto"/>
        <w:tabs>
          <w:tab w:leader="none" w:pos="2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of Borrowing (which shall be a Business Day), (iii) whether the Loans being made pursuant to such Borrowing are to be Swing Line Loans, and (iv) whether the Loans being made pursuant to such Borrowing are to be Dollar Revolving Loans or Multicurrency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4"/>
          </w:cols>
          <w:pgMar w:left="436" w:top="274" w:right="459" w:bottom="1440" w:gutter="0" w:footer="0" w:header="0"/>
        </w:sectPr>
      </w:pPr>
    </w:p>
    <w:bookmarkStart w:id="225" w:name="page226"/>
    <w:bookmarkEnd w:id="225"/>
    <w:p>
      <w:pPr>
        <w:ind w:left="4"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Loans, and, as applicable, whether such Loans are to be Base Rate Loans</w:t>
      </w:r>
      <w:r>
        <w:rPr>
          <w:rFonts w:ascii="Arial" w:cs="Arial" w:eastAsia="Arial" w:hAnsi="Arial"/>
          <w:sz w:val="16"/>
          <w:szCs w:val="16"/>
          <w:u w:val="single" w:color="auto"/>
          <w:color w:val="0000FF"/>
        </w:rPr>
        <w:t>, SOFR Loans, Daily Simple RFR Loans</w:t>
      </w:r>
      <w:r>
        <w:rPr>
          <w:rFonts w:ascii="Arial" w:cs="Arial" w:eastAsia="Arial" w:hAnsi="Arial"/>
          <w:sz w:val="16"/>
          <w:szCs w:val="16"/>
          <w:color w:val="auto"/>
        </w:rPr>
        <w:t xml:space="preserve"> or Eurocurrency Loans and, with respect to </w:t>
      </w:r>
      <w:r>
        <w:rPr>
          <w:rFonts w:ascii="Arial" w:cs="Arial" w:eastAsia="Arial" w:hAnsi="Arial"/>
          <w:sz w:val="16"/>
          <w:szCs w:val="16"/>
          <w:u w:val="single" w:color="auto"/>
          <w:color w:val="0000FF"/>
        </w:rPr>
        <w:t>SOFR Loans and</w:t>
      </w:r>
      <w:r>
        <w:rPr>
          <w:rFonts w:ascii="Arial" w:cs="Arial" w:eastAsia="Arial" w:hAnsi="Arial"/>
          <w:sz w:val="16"/>
          <w:szCs w:val="16"/>
          <w:color w:val="auto"/>
        </w:rPr>
        <w:t xml:space="preserve"> Eurocurrency Loans, the Interest Period </w:t>
      </w:r>
      <w:r>
        <w:rPr>
          <w:rFonts w:ascii="Arial" w:cs="Arial" w:eastAsia="Arial" w:hAnsi="Arial"/>
          <w:sz w:val="16"/>
          <w:szCs w:val="16"/>
          <w:color w:val="FF0000"/>
          <w:strike w:val="1"/>
        </w:rPr>
        <w:t>(other than</w:t>
      </w:r>
      <w:r>
        <w:rPr>
          <w:rFonts w:ascii="Arial" w:cs="Arial" w:eastAsia="Arial" w:hAnsi="Arial"/>
          <w:sz w:val="16"/>
          <w:szCs w:val="16"/>
          <w:color w:val="auto"/>
        </w:rPr>
        <w:t xml:space="preserve"> </w:t>
      </w:r>
      <w:r>
        <w:rPr>
          <w:rFonts w:ascii="Arial" w:cs="Arial" w:eastAsia="Arial" w:hAnsi="Arial"/>
          <w:sz w:val="16"/>
          <w:szCs w:val="16"/>
          <w:color w:val="008000"/>
          <w:strike w:val="1"/>
        </w:rPr>
        <w:t>with respect to Daily Simple RFR Loans</w:t>
      </w:r>
      <w:r>
        <w:rPr>
          <w:rFonts w:ascii="Arial" w:cs="Arial" w:eastAsia="Arial" w:hAnsi="Arial"/>
          <w:sz w:val="16"/>
          <w:szCs w:val="16"/>
          <w:color w:val="FF0000"/>
          <w:strike w:val="1"/>
        </w:rPr>
        <w:t>)</w:t>
      </w:r>
      <w:r>
        <w:rPr>
          <w:rFonts w:ascii="Arial" w:cs="Arial" w:eastAsia="Arial" w:hAnsi="Arial"/>
          <w:sz w:val="16"/>
          <w:szCs w:val="16"/>
          <w:color w:val="auto"/>
        </w:rPr>
        <w:t xml:space="preserve"> and Applicable Currency to be applicable thereto</w:t>
      </w:r>
      <w:r>
        <w:rPr>
          <w:rFonts w:ascii="Arial" w:cs="Arial" w:eastAsia="Arial" w:hAnsi="Arial"/>
          <w:sz w:val="16"/>
          <w:szCs w:val="16"/>
          <w:u w:val="single" w:color="auto"/>
          <w:color w:val="0000FF"/>
        </w:rPr>
        <w:t>; provided that if such Borrower shall have failed to specify the Type, Applicable Currency or Interest Period of such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Loans (and shall not have promptly responded to the Administrative Agent’s request for such information), such Borrower shall be deemed to have requested a (x) in the case of a Loan denominated in Dollars, a SOFR Loan</w:t>
      </w:r>
      <w:r>
        <w:rPr>
          <w:rFonts w:ascii="Arial" w:cs="Arial" w:eastAsia="Arial" w:hAnsi="Arial"/>
          <w:sz w:val="16"/>
          <w:szCs w:val="16"/>
          <w:u w:val="single" w:color="auto"/>
          <w:color w:val="008000"/>
        </w:rPr>
        <w:t>, (y) in the case of</w:t>
      </w:r>
      <w:r>
        <w:rPr>
          <w:rFonts w:ascii="Arial" w:cs="Arial" w:eastAsia="Arial" w:hAnsi="Arial"/>
          <w:sz w:val="16"/>
          <w:szCs w:val="16"/>
          <w:u w:val="single" w:color="auto"/>
          <w:color w:val="0000FF"/>
        </w:rPr>
        <w:t xml:space="preserve"> a Loan denominated in Euro, a Eurocurrency Loan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-538480</wp:posOffset>
            </wp:positionV>
            <wp:extent cx="185991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-401320</wp:posOffset>
            </wp:positionV>
            <wp:extent cx="78867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-264160</wp:posOffset>
            </wp:positionV>
            <wp:extent cx="534035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3403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672909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ind w:left="4" w:hanging="4"/>
        <w:spacing w:after="0" w:line="267" w:lineRule="auto"/>
        <w:tabs>
          <w:tab w:leader="none" w:pos="249" w:val="left"/>
        </w:tabs>
        <w:numPr>
          <w:ilvl w:val="0"/>
          <w:numId w:val="7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a loan denominated in Sterling, an RFR Loan, with an Interest Period (in the case of a Eurocurrency Loan or a SOFR Loan) of one month, and if no currency is specified, in Dollars (or Sterling</w:t>
      </w:r>
      <w:r>
        <w:rPr>
          <w:rFonts w:ascii="Arial" w:cs="Arial" w:eastAsia="Arial" w:hAnsi="Arial"/>
          <w:sz w:val="17"/>
          <w:szCs w:val="17"/>
          <w:u w:val="single" w:color="auto"/>
          <w:color w:val="008000"/>
        </w:rPr>
        <w:t>, in the case of an</w:t>
      </w:r>
      <w:r>
        <w:rPr>
          <w:rFonts w:ascii="Arial" w:cs="Arial" w:eastAsia="Arial" w:hAnsi="Arial"/>
          <w:sz w:val="17"/>
          <w:szCs w:val="17"/>
          <w:u w:val="single" w:color="auto"/>
          <w:color w:val="0000FF"/>
        </w:rPr>
        <w:t xml:space="preserve"> RFR loan); provided, further, that if the date of such notice is less than 3 Business Days from the date of such Borrowing, such Borrower shall be deemed to have requested a Base Rate Loan in Dollars</w:t>
      </w:r>
      <w:r>
        <w:rPr>
          <w:rFonts w:ascii="Arial" w:cs="Arial" w:eastAsia="Arial" w:hAnsi="Arial"/>
          <w:sz w:val="17"/>
          <w:szCs w:val="17"/>
          <w:color w:val="000000"/>
        </w:rPr>
        <w:t>. Administrative Agent</w:t>
      </w:r>
      <w:r>
        <w:rPr>
          <w:rFonts w:ascii="Arial" w:cs="Arial" w:eastAsia="Arial" w:hAnsi="Arial"/>
          <w:sz w:val="17"/>
          <w:szCs w:val="17"/>
          <w:color w:val="0000FF"/>
        </w:rPr>
        <w:t xml:space="preserve"> </w:t>
      </w:r>
      <w:r>
        <w:rPr>
          <w:rFonts w:ascii="Arial" w:cs="Arial" w:eastAsia="Arial" w:hAnsi="Arial"/>
          <w:sz w:val="17"/>
          <w:szCs w:val="17"/>
          <w:color w:val="000000"/>
        </w:rPr>
        <w:t>shall as promptly as practicable give each Lender that would be required to fund a portion of a proposed Borrowing written or telephonic notice (promptly confirmed in writing) of such proposed Borrowing, 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-1510030</wp:posOffset>
            </wp:positionV>
            <wp:extent cx="673798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-1372870</wp:posOffset>
            </wp:positionV>
            <wp:extent cx="676338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-1235710</wp:posOffset>
            </wp:positionV>
            <wp:extent cx="692658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-1098550</wp:posOffset>
            </wp:positionV>
            <wp:extent cx="582930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8"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Conversion or Continuation</w:t>
      </w:r>
      <w:r>
        <w:rPr>
          <w:rFonts w:ascii="Arial" w:cs="Arial" w:eastAsia="Arial" w:hAnsi="Arial"/>
          <w:sz w:val="16"/>
          <w:szCs w:val="16"/>
          <w:color w:val="auto"/>
        </w:rPr>
        <w:t xml:space="preserve">. Any Borrower may elect (i) on any Business Day to convert Base Rate Loans or any portion thereof to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Loans, (ii) at the end of any Interest Period with respect thereto, to convert Loans denominated in Dollars that are</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Loans or any portion thereof into Base Rate Loans or to continue such</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Loans or any portion thereof for an</w:t>
      </w:r>
      <w:r>
        <w:rPr>
          <w:rFonts w:ascii="Arial" w:cs="Arial" w:eastAsia="Arial" w:hAnsi="Arial"/>
          <w:sz w:val="16"/>
          <w:szCs w:val="16"/>
          <w:color w:val="FF0000"/>
        </w:rPr>
        <w:t xml:space="preserve"> </w:t>
      </w:r>
      <w:r>
        <w:rPr>
          <w:rFonts w:ascii="Arial" w:cs="Arial" w:eastAsia="Arial" w:hAnsi="Arial"/>
          <w:sz w:val="16"/>
          <w:szCs w:val="16"/>
          <w:color w:val="000000"/>
        </w:rPr>
        <w:t xml:space="preserve">additional Interest Period and (iii) at the end of any Interest Period with respect thereto, to continue </w:t>
      </w:r>
      <w:r>
        <w:rPr>
          <w:rFonts w:ascii="Arial" w:cs="Arial" w:eastAsia="Arial" w:hAnsi="Arial"/>
          <w:sz w:val="16"/>
          <w:szCs w:val="16"/>
          <w:color w:val="FF0000"/>
          <w:strike w:val="1"/>
        </w:rPr>
        <w:t>Loans (other than Daily Simple RFR Loans)</w:t>
      </w:r>
      <w:r>
        <w:rPr>
          <w:rFonts w:ascii="Arial" w:cs="Arial" w:eastAsia="Arial" w:hAnsi="Arial"/>
          <w:sz w:val="16"/>
          <w:szCs w:val="16"/>
          <w:color w:val="000000"/>
        </w:rPr>
        <w:t xml:space="preserve"> </w:t>
      </w:r>
      <w:r>
        <w:rPr>
          <w:rFonts w:ascii="Arial" w:cs="Arial" w:eastAsia="Arial" w:hAnsi="Arial"/>
          <w:sz w:val="16"/>
          <w:szCs w:val="16"/>
          <w:color w:val="008000"/>
          <w:strike w:val="1"/>
        </w:rPr>
        <w:t>denominated in an Alternative Currency</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Eurocurrency Loans</w:t>
      </w:r>
      <w:r>
        <w:rPr>
          <w:rFonts w:ascii="Arial" w:cs="Arial" w:eastAsia="Arial" w:hAnsi="Arial"/>
          <w:sz w:val="16"/>
          <w:szCs w:val="16"/>
          <w:color w:val="008000"/>
        </w:rPr>
        <w:t xml:space="preserve"> </w:t>
      </w:r>
      <w:r>
        <w:rPr>
          <w:rFonts w:ascii="Arial" w:cs="Arial" w:eastAsia="Arial" w:hAnsi="Arial"/>
          <w:sz w:val="16"/>
          <w:szCs w:val="16"/>
          <w:color w:val="000000"/>
        </w:rPr>
        <w:t>for an additional Interest Period;</w:t>
      </w:r>
      <w:r>
        <w:rPr>
          <w:rFonts w:ascii="Arial" w:cs="Arial" w:eastAsia="Arial" w:hAnsi="Arial"/>
          <w:sz w:val="16"/>
          <w:szCs w:val="16"/>
          <w:color w:val="008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008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the aggregate principal amount</w:t>
      </w:r>
      <w:r>
        <w:rPr>
          <w:rFonts w:ascii="Arial" w:cs="Arial" w:eastAsia="Arial" w:hAnsi="Arial"/>
          <w:sz w:val="16"/>
          <w:szCs w:val="16"/>
          <w:color w:val="008000"/>
        </w:rPr>
        <w:t xml:space="preserve"> </w:t>
      </w:r>
      <w:r>
        <w:rPr>
          <w:rFonts w:ascii="Arial" w:cs="Arial" w:eastAsia="Arial" w:hAnsi="Arial"/>
          <w:sz w:val="16"/>
          <w:szCs w:val="16"/>
          <w:color w:val="000000"/>
        </w:rPr>
        <w:t xml:space="preserve">of the Eurocurrency Loans for each Interest Period therefor must be in an aggregate principal amount equal to the Minimum Borrowing Amount for Eurocurrency Loans or Minimum Borrowing Multiples in excess thereof. Each conversion or continuation of </w:t>
      </w:r>
      <w:r>
        <w:rPr>
          <w:rFonts w:ascii="Arial" w:cs="Arial" w:eastAsia="Arial" w:hAnsi="Arial"/>
          <w:sz w:val="16"/>
          <w:szCs w:val="16"/>
          <w:u w:val="single" w:color="auto"/>
          <w:color w:val="0000FF"/>
        </w:rPr>
        <w:t>SOFR</w:t>
      </w:r>
      <w:r>
        <w:rPr>
          <w:rFonts w:ascii="Arial" w:cs="Arial" w:eastAsia="Arial" w:hAnsi="Arial"/>
          <w:sz w:val="16"/>
          <w:szCs w:val="16"/>
          <w:color w:val="000000"/>
        </w:rPr>
        <w:t xml:space="preserve"> Loans </w:t>
      </w:r>
      <w:r>
        <w:rPr>
          <w:rFonts w:ascii="Arial" w:cs="Arial" w:eastAsia="Arial" w:hAnsi="Arial"/>
          <w:sz w:val="16"/>
          <w:szCs w:val="16"/>
          <w:color w:val="FF0000"/>
          <w:strike w:val="1"/>
        </w:rPr>
        <w:t>of a Facility</w:t>
      </w:r>
      <w:r>
        <w:rPr>
          <w:rFonts w:ascii="Arial" w:cs="Arial" w:eastAsia="Arial" w:hAnsi="Arial"/>
          <w:sz w:val="16"/>
          <w:szCs w:val="16"/>
          <w:u w:val="single" w:color="auto"/>
          <w:color w:val="0000FF"/>
        </w:rPr>
        <w:t>or Eurocurrency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Loans</w:t>
      </w:r>
      <w:r>
        <w:rPr>
          <w:rFonts w:ascii="Arial" w:cs="Arial" w:eastAsia="Arial" w:hAnsi="Arial"/>
          <w:sz w:val="16"/>
          <w:szCs w:val="16"/>
          <w:color w:val="0000FF"/>
        </w:rPr>
        <w:t xml:space="preserve"> </w:t>
      </w:r>
      <w:r>
        <w:rPr>
          <w:rFonts w:ascii="Arial" w:cs="Arial" w:eastAsia="Arial" w:hAnsi="Arial"/>
          <w:sz w:val="16"/>
          <w:szCs w:val="16"/>
          <w:color w:val="000000"/>
        </w:rPr>
        <w:t>shall be allocated among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Loans</w:t>
      </w:r>
      <w:r>
        <w:rPr>
          <w:rFonts w:ascii="Arial" w:cs="Arial" w:eastAsia="Arial" w:hAnsi="Arial"/>
          <w:sz w:val="16"/>
          <w:szCs w:val="16"/>
          <w:color w:val="0000FF"/>
        </w:rPr>
        <w:t xml:space="preserve"> </w:t>
      </w:r>
      <w:r>
        <w:rPr>
          <w:rFonts w:ascii="Arial" w:cs="Arial" w:eastAsia="Arial" w:hAnsi="Arial"/>
          <w:sz w:val="16"/>
          <w:szCs w:val="16"/>
          <w:color w:val="FF0000"/>
          <w:strike w:val="1"/>
        </w:rPr>
        <w:t>of the</w:t>
      </w:r>
      <w:r>
        <w:rPr>
          <w:rFonts w:ascii="Arial" w:cs="Arial" w:eastAsia="Arial" w:hAnsi="Arial"/>
          <w:sz w:val="16"/>
          <w:szCs w:val="16"/>
          <w:u w:val="single" w:color="auto"/>
          <w:color w:val="0000FF"/>
        </w:rPr>
        <w:t>or Eurocurrency Loans, as applicable, in the applicable Facility of the applicable</w:t>
      </w:r>
      <w:r>
        <w:rPr>
          <w:rFonts w:ascii="Arial" w:cs="Arial" w:eastAsia="Arial" w:hAnsi="Arial"/>
          <w:sz w:val="16"/>
          <w:szCs w:val="16"/>
          <w:color w:val="0000FF"/>
        </w:rPr>
        <w:t xml:space="preserve"> </w:t>
      </w:r>
      <w:r>
        <w:rPr>
          <w:rFonts w:ascii="Arial" w:cs="Arial" w:eastAsia="Arial" w:hAnsi="Arial"/>
          <w:sz w:val="16"/>
          <w:szCs w:val="16"/>
          <w:color w:val="000000"/>
        </w:rPr>
        <w:t>Lenders</w:t>
      </w:r>
      <w:r>
        <w:rPr>
          <w:rFonts w:ascii="Arial" w:cs="Arial" w:eastAsia="Arial" w:hAnsi="Arial"/>
          <w:sz w:val="16"/>
          <w:szCs w:val="16"/>
          <w:color w:val="0000FF"/>
        </w:rPr>
        <w:t xml:space="preserve"> </w:t>
      </w:r>
      <w:r>
        <w:rPr>
          <w:rFonts w:ascii="Arial" w:cs="Arial" w:eastAsia="Arial" w:hAnsi="Arial"/>
          <w:sz w:val="16"/>
          <w:szCs w:val="16"/>
          <w:color w:val="FF0000"/>
          <w:strike w:val="1"/>
        </w:rPr>
        <w:t>in such</w:t>
      </w:r>
      <w:r>
        <w:rPr>
          <w:rFonts w:ascii="Arial" w:cs="Arial" w:eastAsia="Arial" w:hAnsi="Arial"/>
          <w:sz w:val="16"/>
          <w:szCs w:val="16"/>
          <w:color w:val="0000FF"/>
        </w:rPr>
        <w:t xml:space="preserve"> </w:t>
      </w:r>
      <w:r>
        <w:rPr>
          <w:rFonts w:ascii="Arial" w:cs="Arial" w:eastAsia="Arial" w:hAnsi="Arial"/>
          <w:sz w:val="16"/>
          <w:szCs w:val="16"/>
          <w:color w:val="FF0000"/>
          <w:strike w:val="1"/>
        </w:rPr>
        <w:t>Facility</w:t>
      </w:r>
      <w:r>
        <w:rPr>
          <w:rFonts w:ascii="Arial" w:cs="Arial" w:eastAsia="Arial" w:hAnsi="Arial"/>
          <w:sz w:val="16"/>
          <w:szCs w:val="16"/>
          <w:color w:val="FF0000"/>
        </w:rPr>
        <w:t xml:space="preserve"> </w:t>
      </w:r>
      <w:r>
        <w:rPr>
          <w:rFonts w:ascii="Arial" w:cs="Arial" w:eastAsia="Arial" w:hAnsi="Arial"/>
          <w:sz w:val="16"/>
          <w:szCs w:val="16"/>
          <w:color w:val="000000"/>
        </w:rPr>
        <w:t>in accordance with their respective Pro Rata Shares. Each such election shall be in substantially the form of</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Exhibit 2.6</w:t>
      </w:r>
      <w:r>
        <w:rPr>
          <w:rFonts w:ascii="Arial" w:cs="Arial" w:eastAsia="Arial" w:hAnsi="Arial"/>
          <w:sz w:val="16"/>
          <w:szCs w:val="16"/>
          <w:color w:val="FF0000"/>
        </w:rPr>
        <w:t xml:space="preserve"> </w:t>
      </w:r>
      <w:r>
        <w:rPr>
          <w:rFonts w:ascii="Arial" w:cs="Arial" w:eastAsia="Arial" w:hAnsi="Arial"/>
          <w:sz w:val="16"/>
          <w:szCs w:val="16"/>
          <w:color w:val="000000"/>
        </w:rPr>
        <w:t>hereto (or such other</w:t>
      </w:r>
      <w:r>
        <w:rPr>
          <w:rFonts w:ascii="Arial" w:cs="Arial" w:eastAsia="Arial" w:hAnsi="Arial"/>
          <w:sz w:val="16"/>
          <w:szCs w:val="16"/>
          <w:color w:val="FF0000"/>
        </w:rPr>
        <w:t xml:space="preserve"> </w:t>
      </w:r>
      <w:r>
        <w:rPr>
          <w:rFonts w:ascii="Arial" w:cs="Arial" w:eastAsia="Arial" w:hAnsi="Arial"/>
          <w:sz w:val="16"/>
          <w:szCs w:val="16"/>
          <w:color w:val="000000"/>
        </w:rPr>
        <w:t>form as mutually agreed by Crown Holdings and the Administrative Agent) (a “</w:t>
      </w:r>
      <w:r>
        <w:rPr>
          <w:rFonts w:ascii="Arial" w:cs="Arial" w:eastAsia="Arial" w:hAnsi="Arial"/>
          <w:sz w:val="16"/>
          <w:szCs w:val="16"/>
          <w:u w:val="single" w:color="auto"/>
          <w:color w:val="000000"/>
        </w:rPr>
        <w:t>Notice of Conversion or Continuation</w:t>
      </w:r>
      <w:r>
        <w:rPr>
          <w:rFonts w:ascii="Arial" w:cs="Arial" w:eastAsia="Arial" w:hAnsi="Arial"/>
          <w:sz w:val="16"/>
          <w:szCs w:val="16"/>
          <w:color w:val="000000"/>
        </w:rPr>
        <w:t>”) and shall be made by giving Administrative Agent at least three Business Days’ (</w:t>
      </w:r>
      <w:r>
        <w:rPr>
          <w:rFonts w:ascii="Arial" w:cs="Arial" w:eastAsia="Arial" w:hAnsi="Arial"/>
          <w:sz w:val="16"/>
          <w:szCs w:val="16"/>
          <w:color w:val="FF0000"/>
          <w:strike w:val="1"/>
        </w:rPr>
        <w:t>or one Business Day</w:t>
      </w:r>
      <w:r>
        <w:rPr>
          <w:rFonts w:ascii="Arial" w:cs="Arial" w:eastAsia="Arial" w:hAnsi="Arial"/>
          <w:sz w:val="16"/>
          <w:szCs w:val="16"/>
          <w:color w:val="000000"/>
        </w:rPr>
        <w:t xml:space="preserve"> </w:t>
      </w:r>
      <w:r>
        <w:rPr>
          <w:rFonts w:ascii="Arial" w:cs="Arial" w:eastAsia="Arial" w:hAnsi="Arial"/>
          <w:sz w:val="16"/>
          <w:szCs w:val="16"/>
          <w:color w:val="008000"/>
          <w:strike w:val="1"/>
        </w:rPr>
        <w:t>in the case of a</w:t>
      </w:r>
      <w:r>
        <w:rPr>
          <w:rFonts w:ascii="Arial" w:cs="Arial" w:eastAsia="Arial" w:hAnsi="Arial"/>
          <w:sz w:val="16"/>
          <w:szCs w:val="16"/>
          <w:color w:val="000000"/>
        </w:rPr>
        <w:t xml:space="preserve"> </w:t>
      </w:r>
      <w:r>
        <w:rPr>
          <w:rFonts w:ascii="Arial" w:cs="Arial" w:eastAsia="Arial" w:hAnsi="Arial"/>
          <w:sz w:val="16"/>
          <w:szCs w:val="16"/>
          <w:color w:val="FF0000"/>
          <w:strike w:val="1"/>
        </w:rPr>
        <w:t>continuation of Alternative Currency Loans denominated in</w:t>
      </w:r>
      <w:r>
        <w:rPr>
          <w:rFonts w:ascii="Arial" w:cs="Arial" w:eastAsia="Arial" w:hAnsi="Arial"/>
          <w:sz w:val="16"/>
          <w:szCs w:val="16"/>
          <w:color w:val="000000"/>
        </w:rPr>
        <w:t xml:space="preserve"> </w:t>
      </w:r>
      <w:r>
        <w:rPr>
          <w:rFonts w:ascii="Arial" w:cs="Arial" w:eastAsia="Arial" w:hAnsi="Arial"/>
          <w:sz w:val="16"/>
          <w:szCs w:val="16"/>
          <w:color w:val="FF0000"/>
          <w:strike w:val="1"/>
        </w:rPr>
        <w:t>Sterling</w:t>
      </w:r>
      <w:r>
        <w:rPr>
          <w:rFonts w:ascii="Arial" w:cs="Arial" w:eastAsia="Arial" w:hAnsi="Arial"/>
          <w:sz w:val="16"/>
          <w:szCs w:val="16"/>
          <w:color w:val="FF0000"/>
        </w:rPr>
        <w:t xml:space="preserve"> </w:t>
      </w:r>
      <w:r>
        <w:rPr>
          <w:rFonts w:ascii="Arial" w:cs="Arial" w:eastAsia="Arial" w:hAnsi="Arial"/>
          <w:sz w:val="16"/>
          <w:szCs w:val="16"/>
          <w:color w:val="000000"/>
        </w:rPr>
        <w:t>or one Business Day in the case of a conversion into Base Rate Loans) prior written notice thereof to the Notice Address given not later than</w:t>
      </w:r>
      <w:r>
        <w:rPr>
          <w:rFonts w:ascii="Arial" w:cs="Arial" w:eastAsia="Arial" w:hAnsi="Arial"/>
          <w:sz w:val="16"/>
          <w:szCs w:val="16"/>
          <w:color w:val="FF0000"/>
        </w:rPr>
        <w:t xml:space="preserve"> </w:t>
      </w:r>
      <w:r>
        <w:rPr>
          <w:rFonts w:ascii="Arial" w:cs="Arial" w:eastAsia="Arial" w:hAnsi="Arial"/>
          <w:sz w:val="16"/>
          <w:szCs w:val="16"/>
          <w:color w:val="000000"/>
        </w:rPr>
        <w:t xml:space="preserve">12:00 p.m. (New York City time) (12:00 p.m. London time in the case of a continuation of an Alternative Currency Loan) specifying (i) the amount and type of conversion or continuation, (ii) in the case of a conversion to or a continuation of </w:t>
      </w:r>
      <w:r>
        <w:rPr>
          <w:rFonts w:ascii="Arial" w:cs="Arial" w:eastAsia="Arial" w:hAnsi="Arial"/>
          <w:sz w:val="16"/>
          <w:szCs w:val="16"/>
          <w:u w:val="single" w:color="auto"/>
          <w:color w:val="0000FF"/>
        </w:rPr>
        <w:t>SOFR Loans or</w:t>
      </w:r>
      <w:r>
        <w:rPr>
          <w:rFonts w:ascii="Arial" w:cs="Arial" w:eastAsia="Arial" w:hAnsi="Arial"/>
          <w:sz w:val="16"/>
          <w:szCs w:val="16"/>
          <w:color w:val="000000"/>
        </w:rPr>
        <w:t xml:space="preserve"> Eurocurrency Loans </w:t>
      </w:r>
      <w:r>
        <w:rPr>
          <w:rFonts w:ascii="Arial" w:cs="Arial" w:eastAsia="Arial" w:hAnsi="Arial"/>
          <w:sz w:val="16"/>
          <w:szCs w:val="16"/>
          <w:color w:val="FF0000"/>
          <w:strike w:val="1"/>
        </w:rPr>
        <w:t>(other than Daily Simple</w:t>
      </w:r>
      <w:r>
        <w:rPr>
          <w:rFonts w:ascii="Arial" w:cs="Arial" w:eastAsia="Arial" w:hAnsi="Arial"/>
          <w:sz w:val="16"/>
          <w:szCs w:val="16"/>
          <w:color w:val="000000"/>
        </w:rPr>
        <w:t xml:space="preserve"> </w:t>
      </w:r>
      <w:r>
        <w:rPr>
          <w:rFonts w:ascii="Arial" w:cs="Arial" w:eastAsia="Arial" w:hAnsi="Arial"/>
          <w:sz w:val="16"/>
          <w:szCs w:val="16"/>
          <w:color w:val="FF0000"/>
          <w:strike w:val="1"/>
        </w:rPr>
        <w:t>RFR Loans)</w:t>
      </w:r>
      <w:r>
        <w:rPr>
          <w:rFonts w:ascii="Arial" w:cs="Arial" w:eastAsia="Arial" w:hAnsi="Arial"/>
          <w:sz w:val="16"/>
          <w:szCs w:val="16"/>
          <w:color w:val="000000"/>
        </w:rPr>
        <w:t>, the Interest Period therefor, and (iii) in the case of a conversion, the date of conversion (which date shall be a Business Day).</w:t>
      </w:r>
      <w:r>
        <w:rPr>
          <w:rFonts w:ascii="Arial" w:cs="Arial" w:eastAsia="Arial" w:hAnsi="Arial"/>
          <w:sz w:val="16"/>
          <w:szCs w:val="16"/>
          <w:color w:val="FF0000"/>
        </w:rPr>
        <w:t xml:space="preserve"> </w:t>
      </w:r>
      <w:r>
        <w:rPr>
          <w:rFonts w:ascii="Arial" w:cs="Arial" w:eastAsia="Arial" w:hAnsi="Arial"/>
          <w:sz w:val="16"/>
          <w:szCs w:val="16"/>
          <w:color w:val="000000"/>
        </w:rPr>
        <w:t xml:space="preserve">Notwithstanding the foregoing, no conversion in whole or in part of Base Rate Loans to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000000"/>
        </w:rPr>
        <w:t xml:space="preserve"> Loans, and no continuation in whole or in part of </w:t>
      </w:r>
      <w:r>
        <w:rPr>
          <w:rFonts w:ascii="Arial" w:cs="Arial" w:eastAsia="Arial" w:hAnsi="Arial"/>
          <w:sz w:val="16"/>
          <w:szCs w:val="16"/>
          <w:color w:val="FF0000"/>
          <w:strike w:val="1"/>
        </w:rPr>
        <w:t>Eurocurrency Loans other than Loans denominated in Alternative Currencies</w:t>
      </w:r>
      <w:r>
        <w:rPr>
          <w:rFonts w:ascii="Arial" w:cs="Arial" w:eastAsia="Arial" w:hAnsi="Arial"/>
          <w:sz w:val="16"/>
          <w:szCs w:val="16"/>
          <w:u w:val="single" w:color="auto"/>
          <w:color w:val="0000FF"/>
        </w:rPr>
        <w:t>SOFR Loans</w:t>
      </w:r>
      <w:r>
        <w:rPr>
          <w:rFonts w:ascii="Arial" w:cs="Arial" w:eastAsia="Arial" w:hAnsi="Arial"/>
          <w:sz w:val="16"/>
          <w:szCs w:val="16"/>
          <w:color w:val="000000"/>
        </w:rPr>
        <w:t xml:space="preserve">, shall be permitted at any time at which an Event of Default shall have occurred and be continuing. If, within the time period required under the terms of this </w:t>
      </w:r>
      <w:r>
        <w:rPr>
          <w:rFonts w:ascii="Arial" w:cs="Arial" w:eastAsia="Arial" w:hAnsi="Arial"/>
          <w:sz w:val="16"/>
          <w:szCs w:val="16"/>
          <w:u w:val="single" w:color="auto"/>
          <w:color w:val="000000"/>
        </w:rPr>
        <w:t>Section 2.6</w:t>
      </w:r>
      <w:r>
        <w:rPr>
          <w:rFonts w:ascii="Arial" w:cs="Arial" w:eastAsia="Arial" w:hAnsi="Arial"/>
          <w:sz w:val="16"/>
          <w:szCs w:val="16"/>
          <w:color w:val="000000"/>
        </w:rPr>
        <w:t xml:space="preserve">, Administrative Agent does not receive a Notice of Conversion or Continuation from the applicable Borrower containing a permitted election to continue any </w:t>
      </w:r>
      <w:r>
        <w:rPr>
          <w:rFonts w:ascii="Arial" w:cs="Arial" w:eastAsia="Arial" w:hAnsi="Arial"/>
          <w:sz w:val="16"/>
          <w:szCs w:val="16"/>
          <w:u w:val="single" w:color="auto"/>
          <w:color w:val="0000FF"/>
        </w:rPr>
        <w:t>SOFR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-2343150</wp:posOffset>
            </wp:positionV>
            <wp:extent cx="28321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-2205990</wp:posOffset>
            </wp:positionV>
            <wp:extent cx="30861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-2205990</wp:posOffset>
            </wp:positionV>
            <wp:extent cx="28257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-1931670</wp:posOffset>
            </wp:positionV>
            <wp:extent cx="92583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-1657350</wp:posOffset>
            </wp:positionV>
            <wp:extent cx="29146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-1657350</wp:posOffset>
            </wp:positionV>
            <wp:extent cx="74612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-1520190</wp:posOffset>
            </wp:positionV>
            <wp:extent cx="28257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-1520190</wp:posOffset>
            </wp:positionV>
            <wp:extent cx="456882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-697230</wp:posOffset>
            </wp:positionV>
            <wp:extent cx="71120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-422910</wp:posOffset>
            </wp:positionV>
            <wp:extent cx="31686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-285750</wp:posOffset>
            </wp:positionV>
            <wp:extent cx="60007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-11430</wp:posOffset>
            </wp:positionV>
            <wp:extent cx="59118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4"/>
          </w:cols>
          <w:pgMar w:left="436" w:top="274" w:right="479" w:bottom="1440" w:gutter="0" w:footer="0" w:header="0"/>
        </w:sectPr>
      </w:pPr>
    </w:p>
    <w:bookmarkStart w:id="226" w:name="page227"/>
    <w:bookmarkEnd w:id="226"/>
    <w:p>
      <w:pPr>
        <w:ind w:right="280"/>
        <w:spacing w:after="0" w:line="27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w:t>
      </w:r>
      <w:r>
        <w:rPr>
          <w:rFonts w:ascii="Arial" w:cs="Arial" w:eastAsia="Arial" w:hAnsi="Arial"/>
          <w:sz w:val="17"/>
          <w:szCs w:val="17"/>
          <w:color w:val="0000FF"/>
        </w:rPr>
        <w:t xml:space="preserve"> </w:t>
      </w:r>
      <w:r>
        <w:rPr>
          <w:rFonts w:ascii="Arial" w:cs="Arial" w:eastAsia="Arial" w:hAnsi="Arial"/>
          <w:sz w:val="17"/>
          <w:szCs w:val="17"/>
          <w:color w:val="000000"/>
        </w:rPr>
        <w:t>Eurocurrency Loans</w:t>
      </w:r>
      <w:r>
        <w:rPr>
          <w:rFonts w:ascii="Arial" w:cs="Arial" w:eastAsia="Arial" w:hAnsi="Arial"/>
          <w:sz w:val="17"/>
          <w:szCs w:val="17"/>
          <w:color w:val="0000FF"/>
        </w:rPr>
        <w:t xml:space="preserve"> </w:t>
      </w:r>
      <w:r>
        <w:rPr>
          <w:rFonts w:ascii="Arial" w:cs="Arial" w:eastAsia="Arial" w:hAnsi="Arial"/>
          <w:sz w:val="17"/>
          <w:szCs w:val="17"/>
          <w:color w:val="FF0000"/>
          <w:strike w:val="1"/>
        </w:rPr>
        <w:t>(other than Daily Simple RFR Loans)</w:t>
      </w:r>
      <w:r>
        <w:rPr>
          <w:rFonts w:ascii="Arial" w:cs="Arial" w:eastAsia="Arial" w:hAnsi="Arial"/>
          <w:sz w:val="17"/>
          <w:szCs w:val="17"/>
          <w:color w:val="0000FF"/>
        </w:rPr>
        <w:t xml:space="preserve"> </w:t>
      </w:r>
      <w:r>
        <w:rPr>
          <w:rFonts w:ascii="Arial" w:cs="Arial" w:eastAsia="Arial" w:hAnsi="Arial"/>
          <w:sz w:val="17"/>
          <w:szCs w:val="17"/>
          <w:color w:val="000000"/>
        </w:rPr>
        <w:t>for an additional Interest Period or to convert any such</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SOFR Loans or Eurocurrency</w:t>
      </w:r>
      <w:r>
        <w:rPr>
          <w:rFonts w:ascii="Arial" w:cs="Arial" w:eastAsia="Arial" w:hAnsi="Arial"/>
          <w:sz w:val="17"/>
          <w:szCs w:val="17"/>
          <w:color w:val="0000FF"/>
        </w:rPr>
        <w:t xml:space="preserve"> </w:t>
      </w:r>
      <w:r>
        <w:rPr>
          <w:rFonts w:ascii="Arial" w:cs="Arial" w:eastAsia="Arial" w:hAnsi="Arial"/>
          <w:sz w:val="17"/>
          <w:szCs w:val="17"/>
          <w:color w:val="000000"/>
        </w:rPr>
        <w:t xml:space="preserve">Loans, then, upon the expiration of the Interest Period therefor, such </w:t>
      </w:r>
      <w:r>
        <w:rPr>
          <w:rFonts w:ascii="Arial" w:cs="Arial" w:eastAsia="Arial" w:hAnsi="Arial"/>
          <w:sz w:val="17"/>
          <w:szCs w:val="17"/>
          <w:u w:val="single" w:color="auto"/>
          <w:color w:val="0000FF"/>
        </w:rPr>
        <w:t>SOFR Loans or Eurocurrency</w:t>
      </w:r>
      <w:r>
        <w:rPr>
          <w:rFonts w:ascii="Arial" w:cs="Arial" w:eastAsia="Arial" w:hAnsi="Arial"/>
          <w:sz w:val="17"/>
          <w:szCs w:val="17"/>
          <w:color w:val="000000"/>
        </w:rPr>
        <w:t xml:space="preserve"> Loans will be automatically </w:t>
      </w:r>
      <w:r>
        <w:rPr>
          <w:rFonts w:ascii="Arial" w:cs="Arial" w:eastAsia="Arial" w:hAnsi="Arial"/>
          <w:sz w:val="17"/>
          <w:szCs w:val="17"/>
          <w:color w:val="FF0000"/>
          <w:strike w:val="1"/>
        </w:rPr>
        <w:t>converted to Base</w:t>
      </w:r>
      <w:r>
        <w:rPr>
          <w:rFonts w:ascii="Arial" w:cs="Arial" w:eastAsia="Arial" w:hAnsi="Arial"/>
          <w:sz w:val="17"/>
          <w:szCs w:val="17"/>
          <w:color w:val="000000"/>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continued as SOFR</w:t>
      </w:r>
      <w:r>
        <w:rPr>
          <w:rFonts w:ascii="Arial" w:cs="Arial" w:eastAsia="Arial" w:hAnsi="Arial"/>
          <w:sz w:val="17"/>
          <w:szCs w:val="17"/>
          <w:color w:val="FF0000"/>
        </w:rPr>
        <w:t xml:space="preserve"> </w:t>
      </w:r>
      <w:r>
        <w:rPr>
          <w:rFonts w:ascii="Arial" w:cs="Arial" w:eastAsia="Arial" w:hAnsi="Arial"/>
          <w:sz w:val="17"/>
          <w:szCs w:val="17"/>
          <w:color w:val="000000"/>
        </w:rPr>
        <w:t>Loans or</w:t>
      </w:r>
      <w:r>
        <w:rPr>
          <w:rFonts w:ascii="Arial" w:cs="Arial" w:eastAsia="Arial" w:hAnsi="Arial"/>
          <w:sz w:val="17"/>
          <w:szCs w:val="17"/>
          <w:color w:val="008000"/>
          <w:strike w:val="1"/>
        </w:rPr>
        <w:t>, in the case of an</w:t>
      </w:r>
      <w:r>
        <w:rPr>
          <w:rFonts w:ascii="Arial" w:cs="Arial" w:eastAsia="Arial" w:hAnsi="Arial"/>
          <w:sz w:val="17"/>
          <w:szCs w:val="17"/>
          <w:color w:val="FF0000"/>
        </w:rPr>
        <w:t xml:space="preserve"> </w:t>
      </w:r>
      <w:r>
        <w:rPr>
          <w:rFonts w:ascii="Arial" w:cs="Arial" w:eastAsia="Arial" w:hAnsi="Arial"/>
          <w:sz w:val="17"/>
          <w:szCs w:val="17"/>
          <w:color w:val="FF0000"/>
          <w:strike w:val="1"/>
        </w:rPr>
        <w:t>Alternative Currency Loan,</w:t>
      </w:r>
      <w:r>
        <w:rPr>
          <w:rFonts w:ascii="Arial" w:cs="Arial" w:eastAsia="Arial" w:hAnsi="Arial"/>
          <w:sz w:val="17"/>
          <w:szCs w:val="17"/>
          <w:color w:val="FF0000"/>
        </w:rPr>
        <w:t xml:space="preserve"> </w:t>
      </w:r>
      <w:r>
        <w:rPr>
          <w:rFonts w:ascii="Arial" w:cs="Arial" w:eastAsia="Arial" w:hAnsi="Arial"/>
          <w:sz w:val="17"/>
          <w:szCs w:val="17"/>
          <w:color w:val="000000"/>
        </w:rPr>
        <w:t>Eurocurrency Loans</w:t>
      </w:r>
      <w:r>
        <w:rPr>
          <w:rFonts w:ascii="Arial" w:cs="Arial" w:eastAsia="Arial" w:hAnsi="Arial"/>
          <w:sz w:val="17"/>
          <w:szCs w:val="17"/>
          <w:u w:val="single" w:color="auto"/>
          <w:color w:val="0000FF"/>
        </w:rPr>
        <w:t>, as applicable,</w:t>
      </w:r>
      <w:r>
        <w:rPr>
          <w:rFonts w:ascii="Arial" w:cs="Arial" w:eastAsia="Arial" w:hAnsi="Arial"/>
          <w:sz w:val="17"/>
          <w:szCs w:val="17"/>
          <w:color w:val="FF0000"/>
        </w:rPr>
        <w:t xml:space="preserve"> </w:t>
      </w:r>
      <w:r>
        <w:rPr>
          <w:rFonts w:ascii="Arial" w:cs="Arial" w:eastAsia="Arial" w:hAnsi="Arial"/>
          <w:sz w:val="17"/>
          <w:szCs w:val="17"/>
          <w:color w:val="000000"/>
        </w:rPr>
        <w:t>in the same Applicable Currency</w:t>
      </w:r>
      <w:r>
        <w:rPr>
          <w:rFonts w:ascii="Arial" w:cs="Arial" w:eastAsia="Arial" w:hAnsi="Arial"/>
          <w:sz w:val="17"/>
          <w:szCs w:val="17"/>
          <w:color w:val="FF0000"/>
        </w:rPr>
        <w:t xml:space="preserve"> </w:t>
      </w:r>
      <w:r>
        <w:rPr>
          <w:rFonts w:ascii="Arial" w:cs="Arial" w:eastAsia="Arial" w:hAnsi="Arial"/>
          <w:sz w:val="17"/>
          <w:szCs w:val="17"/>
          <w:color w:val="000000"/>
        </w:rPr>
        <w:t>with an Interest Period of one month. Each Notice of Conversion or Continuation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-421640</wp:posOffset>
            </wp:positionV>
            <wp:extent cx="9398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-421640</wp:posOffset>
            </wp:positionV>
            <wp:extent cx="137160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-284480</wp:posOffset>
            </wp:positionV>
            <wp:extent cx="137160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-147320</wp:posOffset>
            </wp:positionV>
            <wp:extent cx="89154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-147320</wp:posOffset>
            </wp:positionV>
            <wp:extent cx="67691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Disbursement of Funds</w:t>
      </w:r>
      <w:r>
        <w:rPr>
          <w:rFonts w:ascii="Arial" w:cs="Arial" w:eastAsia="Arial" w:hAnsi="Arial"/>
          <w:sz w:val="17"/>
          <w:szCs w:val="17"/>
          <w:color w:val="auto"/>
        </w:rPr>
        <w:t>. No later than 9:00 a.m. (local time at the place of funding) on the date specified in each Notice of Borrowing</w:t>
      </w:r>
    </w:p>
    <w:p>
      <w:pPr>
        <w:spacing w:after="0" w:line="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w:t>
      </w:r>
      <w:r>
        <w:rPr>
          <w:rFonts w:ascii="Arial" w:cs="Arial" w:eastAsia="Arial" w:hAnsi="Arial"/>
          <w:sz w:val="16"/>
          <w:szCs w:val="16"/>
          <w:color w:val="0000FF"/>
        </w:rPr>
        <w:t>and Daily Simple RFR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Loans</w:t>
      </w:r>
      <w:r>
        <w:rPr>
          <w:rFonts w:ascii="Arial" w:cs="Arial" w:eastAsia="Arial" w:hAnsi="Arial"/>
          <w:sz w:val="16"/>
          <w:szCs w:val="16"/>
          <w:color w:val="000000"/>
        </w:rPr>
        <w:t>) and Administrative Agent will make available to the applicable Borrower at its Payment Office the aggregate of the amounts so made available</w:t>
      </w:r>
      <w:r>
        <w:rPr>
          <w:rFonts w:ascii="Arial" w:cs="Arial" w:eastAsia="Arial" w:hAnsi="Arial"/>
          <w:sz w:val="16"/>
          <w:szCs w:val="16"/>
          <w:color w:val="0000FF"/>
        </w:rPr>
        <w:t xml:space="preserve"> </w:t>
      </w:r>
      <w:r>
        <w:rPr>
          <w:rFonts w:ascii="Arial" w:cs="Arial" w:eastAsia="Arial" w:hAnsi="Arial"/>
          <w:sz w:val="16"/>
          <w:szCs w:val="16"/>
          <w:color w:val="000000"/>
        </w:rPr>
        <w:t>by the Lenders not later than 10:00 a.m. (local time at the place of funding), or in the case of Swing Line Loans, 4:30 p.m. (local time in the place of funding). Unless Administrative Agent shall have been notified by any Lender at least one (1) Business Day prior to the date of Borrowing that 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w:t>
      </w:r>
      <w:r>
        <w:rPr>
          <w:rFonts w:ascii="Arial" w:cs="Arial" w:eastAsia="Arial" w:hAnsi="Arial"/>
          <w:sz w:val="16"/>
          <w:szCs w:val="16"/>
          <w:u w:val="single" w:color="auto"/>
          <w:color w:val="0000FF"/>
        </w:rPr>
        <w:t>, SOFR Loans, Daily Simple RFR Loans</w:t>
      </w:r>
      <w:r>
        <w:rPr>
          <w:rFonts w:ascii="Arial" w:cs="Arial" w:eastAsia="Arial" w:hAnsi="Arial"/>
          <w:sz w:val="16"/>
          <w:szCs w:val="16"/>
          <w:color w:val="000000"/>
        </w:rPr>
        <w:t xml:space="preserve"> or Eurocurrency Loans, as the case may be, applicable during the period in question;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any interest paid to Administrative Agent in respect of such corresponding amount shall be credited against interest payable by Borrower to such Lender under </w:t>
      </w:r>
      <w:r>
        <w:rPr>
          <w:rFonts w:ascii="Arial" w:cs="Arial" w:eastAsia="Arial" w:hAnsi="Arial"/>
          <w:sz w:val="16"/>
          <w:szCs w:val="16"/>
          <w:u w:val="single" w:color="auto"/>
          <w:color w:val="000000"/>
        </w:rPr>
        <w:t>Section 3.1</w:t>
      </w:r>
      <w:r>
        <w:rPr>
          <w:rFonts w:ascii="Arial" w:cs="Arial" w:eastAsia="Arial" w:hAnsi="Arial"/>
          <w:sz w:val="16"/>
          <w:szCs w:val="16"/>
          <w:color w:val="000000"/>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Arial" w:cs="Arial" w:eastAsia="Arial" w:hAnsi="Arial"/>
          <w:sz w:val="16"/>
          <w:szCs w:val="16"/>
          <w:u w:val="single" w:color="auto"/>
          <w:color w:val="000000"/>
        </w:rPr>
        <w:t>Section 2.7</w:t>
      </w:r>
      <w:r>
        <w:rPr>
          <w:rFonts w:ascii="Arial" w:cs="Arial" w:eastAsia="Arial" w:hAnsi="Arial"/>
          <w:sz w:val="16"/>
          <w:szCs w:val="16"/>
          <w:color w:val="000000"/>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 Borrower with respect to any amounts paid to Administrative Agent or any Lender with respect to the preceding sentence,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-3574415</wp:posOffset>
            </wp:positionV>
            <wp:extent cx="107188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5845810</wp:posOffset>
            </wp:positionH>
            <wp:positionV relativeFrom="paragraph">
              <wp:posOffset>-3608705</wp:posOffset>
            </wp:positionV>
            <wp:extent cx="107251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-3437255</wp:posOffset>
            </wp:positionV>
            <wp:extent cx="28257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-1791335</wp:posOffset>
            </wp:positionV>
            <wp:extent cx="186880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440" w:top="274" w:right="499" w:bottom="1440" w:gutter="0" w:footer="0" w:header="0"/>
        </w:sectPr>
      </w:pPr>
    </w:p>
    <w:bookmarkStart w:id="227" w:name="page228"/>
    <w:bookmarkEnd w:id="22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Arial" w:cs="Arial" w:eastAsia="Arial" w:hAnsi="Arial"/>
          <w:sz w:val="18"/>
          <w:szCs w:val="18"/>
          <w:u w:val="single" w:color="auto"/>
          <w:color w:val="auto"/>
        </w:rPr>
        <w:t>Utilization of Revolving Commitments in an Alternative Currency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8" w:lineRule="auto"/>
        <w:tabs>
          <w:tab w:leader="none" w:pos="689" w:val="left"/>
        </w:tabs>
        <w:numPr>
          <w:ilvl w:val="1"/>
          <w:numId w:val="78"/>
        </w:numPr>
        <w:rPr>
          <w:rFonts w:ascii="Arial" w:cs="Arial" w:eastAsia="Arial" w:hAnsi="Arial"/>
          <w:sz w:val="16"/>
          <w:szCs w:val="16"/>
          <w:color w:val="auto"/>
        </w:rPr>
      </w:pPr>
      <w:r>
        <w:rPr>
          <w:rFonts w:ascii="Arial" w:cs="Arial" w:eastAsia="Arial" w:hAnsi="Arial"/>
          <w:sz w:val="16"/>
          <w:szCs w:val="16"/>
          <w:color w:val="auto"/>
        </w:rPr>
        <w:t>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Loans as of the last Business Day of each Interest Period or Interest Payment Date, as applicable,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Arial" w:cs="Arial" w:eastAsia="Arial" w:hAnsi="Arial"/>
          <w:sz w:val="16"/>
          <w:szCs w:val="16"/>
          <w:u w:val="single" w:color="auto"/>
          <w:color w:val="auto"/>
        </w:rPr>
        <w:t>Computation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60"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European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Arial" w:cs="Arial" w:eastAsia="Arial" w:hAnsi="Arial"/>
          <w:sz w:val="16"/>
          <w:szCs w:val="16"/>
          <w:u w:val="single" w:color="auto"/>
          <w:color w:val="auto"/>
        </w:rPr>
        <w:t>Agreed Alternative Currency</w:t>
      </w:r>
      <w:r>
        <w:rPr>
          <w:rFonts w:ascii="Arial" w:cs="Arial" w:eastAsia="Arial" w:hAnsi="Arial"/>
          <w:sz w:val="16"/>
          <w:szCs w:val="16"/>
          <w:color w:val="auto"/>
        </w:rPr>
        <w:t xml:space="preserve">”). European Borrower shall deliver to Administrative Agent any request for designation of an Agreed Alternative Currency in accordance with </w:t>
      </w:r>
      <w:r>
        <w:rPr>
          <w:rFonts w:ascii="Arial" w:cs="Arial" w:eastAsia="Arial" w:hAnsi="Arial"/>
          <w:sz w:val="16"/>
          <w:szCs w:val="16"/>
          <w:u w:val="single" w:color="auto"/>
          <w:color w:val="auto"/>
        </w:rPr>
        <w:t>Section 12.3</w:t>
      </w:r>
      <w:r>
        <w:rPr>
          <w:rFonts w:ascii="Arial" w:cs="Arial" w:eastAsia="Arial" w:hAnsi="Arial"/>
          <w:sz w:val="16"/>
          <w:szCs w:val="16"/>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w:t>
      </w:r>
    </w:p>
    <w:p>
      <w:pPr>
        <w:ind w:left="4" w:right="480" w:hanging="4"/>
        <w:spacing w:after="0" w:line="260"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Business Days of receipt thereof. Each Multicurrency Revolving Lender may grant or accept such request in its sole discretion. Administrative Agent will promptly notify European Borrower of the acceptance or rejection of any such request.</w:t>
      </w:r>
    </w:p>
    <w:p>
      <w:pPr>
        <w:spacing w:after="0" w:line="77" w:lineRule="exact"/>
        <w:rPr>
          <w:rFonts w:ascii="Arial" w:cs="Arial" w:eastAsia="Arial" w:hAnsi="Arial"/>
          <w:sz w:val="18"/>
          <w:szCs w:val="18"/>
          <w:color w:val="auto"/>
        </w:rPr>
      </w:pPr>
    </w:p>
    <w:p>
      <w:pPr>
        <w:ind w:left="4" w:right="400" w:firstLine="436"/>
        <w:spacing w:after="0" w:line="287" w:lineRule="auto"/>
        <w:tabs>
          <w:tab w:leader="none" w:pos="689"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Business Days prior to the day of such Borrowing that such Lender cannot provide Loans in the requested Agreed Alternative Currency, in which</w:t>
      </w:r>
    </w:p>
    <w:p>
      <w:pPr>
        <w:spacing w:after="0" w:line="32" w:lineRule="exact"/>
        <w:rPr>
          <w:rFonts w:ascii="Arial" w:cs="Arial" w:eastAsia="Arial" w:hAnsi="Arial"/>
          <w:sz w:val="16"/>
          <w:szCs w:val="16"/>
          <w:color w:val="auto"/>
        </w:rPr>
      </w:pPr>
    </w:p>
    <w:p>
      <w:pPr>
        <w:ind w:left="4" w:right="20"/>
        <w:spacing w:after="0" w:line="287" w:lineRule="auto"/>
        <w:rPr>
          <w:rFonts w:ascii="Arial" w:cs="Arial" w:eastAsia="Arial" w:hAnsi="Arial"/>
          <w:sz w:val="16"/>
          <w:szCs w:val="16"/>
          <w:color w:val="auto"/>
        </w:rPr>
      </w:pPr>
      <w:r>
        <w:rPr>
          <w:rFonts w:ascii="Arial" w:cs="Arial" w:eastAsia="Arial" w:hAnsi="Arial"/>
          <w:sz w:val="16"/>
          <w:szCs w:val="16"/>
          <w:color w:val="auto"/>
        </w:rPr>
        <w:t>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Crown Holdings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228" w:name="page229"/>
    <w:bookmarkEnd w:id="228"/>
    <w:p>
      <w:pPr>
        <w:jc w:val="both"/>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76" w:lineRule="exact"/>
        <w:rPr>
          <w:sz w:val="20"/>
          <w:szCs w:val="20"/>
          <w:color w:val="auto"/>
        </w:rPr>
      </w:pPr>
    </w:p>
    <w:p>
      <w:pPr>
        <w:ind w:left="4" w:firstLine="436"/>
        <w:spacing w:after="0" w:line="269" w:lineRule="auto"/>
        <w:tabs>
          <w:tab w:leader="none" w:pos="699"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In the case of a proposed continuation of Revolving Loans denominated in an Agreed Alternative Currency for an additional Interest Period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70" w:lineRule="exact"/>
        <w:rPr>
          <w:rFonts w:ascii="Arial" w:cs="Arial" w:eastAsia="Arial" w:hAnsi="Arial"/>
          <w:sz w:val="17"/>
          <w:szCs w:val="17"/>
          <w:color w:val="auto"/>
        </w:rPr>
      </w:pPr>
    </w:p>
    <w:p>
      <w:pPr>
        <w:ind w:left="4" w:firstLine="436"/>
        <w:spacing w:after="0" w:line="283" w:lineRule="auto"/>
        <w:tabs>
          <w:tab w:leader="none" w:pos="689" w:val="left"/>
        </w:tabs>
        <w:numPr>
          <w:ilvl w:val="1"/>
          <w:numId w:val="8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If at any time an Alternative Currency Loan denominated in a currency other than Euros is outstanding, the relevant Alternative Currency is replaced as the lawful currency of the country that issued such Alternative Currency (the “Issuing Country”) by the Euro so that all payments are to be made in the Issuing Country in Euros and not in the Alternative Currency previously the lawful currency of such country, then such Alternative Currency Loan shall be automatically converted into an Alternative Currency Loan denominated in Euros in a principal amount equal to the amount of Euros into which the principal amount of such Alternative Currency Loan would be converted pursuant to the EMU Legislation and thereafter no further Alternative Currency Loans will be available in such Alternative Currency, with the basis of accrual of interest, notice requirements and payment offices with respect to such Alternative Currency Loan to be that consistent with the convention and practices in the Euro-zone interbank market for Euro denominated loans. Without prejudice and in addition to any method of conversion or rounding prescribed by any relevant EMU Legislation, (i) each reference in this Agreement to a minimum amount (or an integral multiple thereof) in such Alternative Currency shall be replaced by a reference to such reasonably comparable and convenient amount (or an integral multiple thereof) in Euros as the Administrative Agent may from time to time specify and</w:t>
      </w:r>
    </w:p>
    <w:p>
      <w:pPr>
        <w:spacing w:after="0" w:line="4" w:lineRule="exact"/>
        <w:rPr>
          <w:rFonts w:ascii="Arial" w:cs="Arial" w:eastAsia="Arial" w:hAnsi="Arial"/>
          <w:sz w:val="16"/>
          <w:szCs w:val="16"/>
          <w:u w:val="single" w:color="auto"/>
          <w:color w:val="0000FF"/>
        </w:rPr>
      </w:pPr>
    </w:p>
    <w:p>
      <w:pPr>
        <w:ind w:left="4" w:right="220" w:hanging="4"/>
        <w:spacing w:after="0" w:line="260" w:lineRule="auto"/>
        <w:tabs>
          <w:tab w:leader="none" w:pos="269" w:val="left"/>
        </w:tabs>
        <w:numPr>
          <w:ilvl w:val="0"/>
          <w:numId w:val="8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Agreement shall be subject to such other reasonable changes of construction as the Administrative Agent may from time to time specify to be necessary or appropriate to reflect the introduction of or changeover to Euros.</w:t>
      </w:r>
    </w:p>
    <w:p>
      <w:pPr>
        <w:spacing w:after="0" w:line="77" w:lineRule="exact"/>
        <w:rPr>
          <w:rFonts w:ascii="Arial" w:cs="Arial" w:eastAsia="Arial" w:hAnsi="Arial"/>
          <w:sz w:val="18"/>
          <w:szCs w:val="18"/>
          <w:u w:val="single" w:color="auto"/>
          <w:color w:val="0000FF"/>
        </w:rPr>
      </w:pPr>
    </w:p>
    <w:p>
      <w:pPr>
        <w:ind w:left="4" w:right="60" w:firstLine="436"/>
        <w:spacing w:after="0" w:line="291" w:lineRule="auto"/>
        <w:tabs>
          <w:tab w:leader="none" w:pos="669" w:val="left"/>
        </w:tabs>
        <w:numPr>
          <w:ilvl w:val="1"/>
          <w:numId w:val="8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each case, to the maximum extent permitted under applicable law, the applicable Borrowers from time to time, at the request of any Lender or any Facing Agent, shall pay to such Lender or Facing Agent the amount of any losses, damages, liabilities, claims, reduction in yield, additional expense, increased cost, reduction in any amount payable, reduction in the effective return of its capital, the decrease or delay in the payment of interest or any other return forgone as reasonably determined by such Lender or Facing Agent or its affiliates with respect to an Alternative Currency Loan affected by Section 2.8(e) as a result of the tax or currency exchange resulting from the introduction, changeover to or operation of the Euro in any applicable nation or the Eurozone. A certificate of any such Lender or the respective Facing Agent setting forth such Lender’s or such Facing Agent’s determination of the amount or amounts necessary to compensate such Lender or such Facing Agent shall be delivered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-3168015</wp:posOffset>
            </wp:positionV>
            <wp:extent cx="28257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-2550795</wp:posOffset>
            </wp:positionV>
            <wp:extent cx="65493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-2413635</wp:posOffset>
            </wp:positionV>
            <wp:extent cx="687514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-2276475</wp:posOffset>
            </wp:positionV>
            <wp:extent cx="65493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-2139315</wp:posOffset>
            </wp:positionV>
            <wp:extent cx="688340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-2002155</wp:posOffset>
            </wp:positionV>
            <wp:extent cx="697801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-1864995</wp:posOffset>
            </wp:positionV>
            <wp:extent cx="696912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-1727835</wp:posOffset>
            </wp:positionV>
            <wp:extent cx="667766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682371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-1453515</wp:posOffset>
            </wp:positionV>
            <wp:extent cx="696912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696087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683196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-1042035</wp:posOffset>
            </wp:positionV>
            <wp:extent cx="354901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-836295</wp:posOffset>
            </wp:positionV>
            <wp:extent cx="662622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-699135</wp:posOffset>
            </wp:positionV>
            <wp:extent cx="671195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-561975</wp:posOffset>
            </wp:positionV>
            <wp:extent cx="693483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-424815</wp:posOffset>
            </wp:positionV>
            <wp:extent cx="671195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wp:posOffset>
            </wp:positionV>
            <wp:extent cx="671195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8408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wp:posOffset>
            </wp:positionV>
            <wp:extent cx="570928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4"/>
          </w:cols>
          <w:pgMar w:left="436" w:top="274" w:right="479" w:bottom="1440" w:gutter="0" w:footer="0" w:header="0"/>
        </w:sectPr>
      </w:pPr>
    </w:p>
    <w:bookmarkStart w:id="229" w:name="page230"/>
    <w:bookmarkEnd w:id="229"/>
    <w:p>
      <w:pPr>
        <w:ind w:left="4" w:right="26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for delivery to the applicable Borrower and shall be conclusive absent manifest error so long as such determination is made by such Lender or such Facing Agent on a reasonable basis. The applicable Borrower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80656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5493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1170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56" w:lineRule="exact"/>
        <w:rPr>
          <w:sz w:val="20"/>
          <w:szCs w:val="20"/>
          <w:color w:val="auto"/>
        </w:rPr>
      </w:pPr>
    </w:p>
    <w:p>
      <w:pPr>
        <w:jc w:val="both"/>
        <w:ind w:left="4" w:right="80" w:firstLine="436"/>
        <w:spacing w:after="0" w:line="257" w:lineRule="auto"/>
        <w:tabs>
          <w:tab w:leader="none" w:pos="699" w:val="left"/>
        </w:tabs>
        <w:numPr>
          <w:ilvl w:val="0"/>
          <w:numId w:val="8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herein to the contrary, during the existence of an Event of Default, upon the request of the Majority Lenders under any Revolving Facility with outstanding Alternative Currency Loans, all or any part of any outstanding Revolving Loans that are Alternative Currency Loans under such Revolving Facility shall be redenominated and converted into Base Rate Loans in Dollars with effect from the last day of the Interest Period with respect to any such Alternative Currency Loans. The Administrative Agent will promptly notify Company of any such redenomination and conversion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-548005</wp:posOffset>
            </wp:positionV>
            <wp:extent cx="659193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68922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69176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9176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89154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6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Additional Facility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3" w:lineRule="auto"/>
        <w:tabs>
          <w:tab w:leader="none" w:pos="689"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U.S. Borrower and European Borrower shall have the right at any time (subject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with respect to any Additional Facility the proceeds of which are being used to finance a Limited Condition Transaction, so long as no Event of Default then exists) and from time to time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obtain and incur from one or more existing Lenders and/or other Persons that are Eligible Assignees and which, in each case, agree to make such commitments and loans to such Borrower, loans and commitments to make loans in an aggregate principal amount not to exceed the Incremental Cap, which loans and commitments may be incurred as (i) commitments to increase any tranche of Revolving Commitments (“</w:t>
      </w:r>
      <w:r>
        <w:rPr>
          <w:rFonts w:ascii="Arial" w:cs="Arial" w:eastAsia="Arial" w:hAnsi="Arial"/>
          <w:sz w:val="16"/>
          <w:szCs w:val="16"/>
          <w:u w:val="single" w:color="auto"/>
          <w:color w:val="auto"/>
        </w:rPr>
        <w:t>Additional Revolving Credit Commitments</w:t>
      </w:r>
      <w:r>
        <w:rPr>
          <w:rFonts w:ascii="Arial" w:cs="Arial" w:eastAsia="Arial" w:hAnsi="Arial"/>
          <w:sz w:val="16"/>
          <w:szCs w:val="16"/>
          <w:color w:val="auto"/>
        </w:rPr>
        <w:t>”), (ii) one or more additional tranches of revolving commitments (“</w:t>
      </w:r>
      <w:r>
        <w:rPr>
          <w:rFonts w:ascii="Arial" w:cs="Arial" w:eastAsia="Arial" w:hAnsi="Arial"/>
          <w:sz w:val="16"/>
          <w:szCs w:val="16"/>
          <w:u w:val="single" w:color="auto"/>
          <w:color w:val="auto"/>
        </w:rPr>
        <w:t>Additional Revolving Facility</w:t>
      </w:r>
      <w:r>
        <w:rPr>
          <w:rFonts w:ascii="Arial" w:cs="Arial" w:eastAsia="Arial" w:hAnsi="Arial"/>
          <w:sz w:val="16"/>
          <w:szCs w:val="16"/>
          <w:color w:val="auto"/>
        </w:rPr>
        <w:t xml:space="preserve">”) as allocated by Crown Holdings and the Lenders providing commitments in respect of such Additional Revolving Facility under a facility that would provide that such Additional Revolving Facility would have a final maturity no earlier than the latest existing Revolver Termination Date (except Additional Revolving Facilities in an aggregate principal amount not to exceed the Inside Maturity Date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and conditions of any Additional Revolving Facility, taken as a whole, shall be no more restrictive than those applicable to the existing Revolving Facilities (other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4" w:right="40" w:hanging="4"/>
        <w:spacing w:after="0" w:line="285" w:lineRule="auto"/>
        <w:tabs>
          <w:tab w:leader="none" w:pos="29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w:t>
      </w:r>
      <w:r>
        <w:rPr>
          <w:rFonts w:ascii="Arial" w:cs="Arial" w:eastAsia="Arial" w:hAnsi="Arial"/>
          <w:sz w:val="16"/>
          <w:szCs w:val="16"/>
          <w:u w:val="single" w:color="auto"/>
          <w:color w:val="0000FF"/>
        </w:rPr>
        <w:t>consistent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with customary market terms for Indebtedness of such type or</w:t>
      </w:r>
      <w:r>
        <w:rPr>
          <w:rFonts w:ascii="Arial" w:cs="Arial" w:eastAsia="Arial" w:hAnsi="Arial"/>
          <w:sz w:val="16"/>
          <w:szCs w:val="16"/>
          <w:color w:val="0000FF"/>
        </w:rPr>
        <w:t xml:space="preserve"> </w:t>
      </w:r>
      <w:r>
        <w:rPr>
          <w:rFonts w:ascii="Arial" w:cs="Arial" w:eastAsia="Arial" w:hAnsi="Arial"/>
          <w:sz w:val="16"/>
          <w:szCs w:val="16"/>
          <w:color w:val="000000"/>
        </w:rPr>
        <w:t>reasonably satisfactory to Crown Holdings and the Administrative Agent or (Y) in the</w:t>
      </w:r>
      <w:r>
        <w:rPr>
          <w:rFonts w:ascii="Arial" w:cs="Arial" w:eastAsia="Arial" w:hAnsi="Arial"/>
          <w:sz w:val="16"/>
          <w:szCs w:val="16"/>
          <w:color w:val="0000FF"/>
        </w:rPr>
        <w:t xml:space="preserve"> </w:t>
      </w:r>
      <w:r>
        <w:rPr>
          <w:rFonts w:ascii="Arial" w:cs="Arial" w:eastAsia="Arial" w:hAnsi="Arial"/>
          <w:sz w:val="16"/>
          <w:szCs w:val="16"/>
          <w:color w:val="000000"/>
        </w:rPr>
        <w:t>event such terms are more favorable (taken as a whole) to the Lenders providing such Additional Revolving Facilities, (A) the applicable Borrowers shall have the right to unilaterally provide the Lenders under the existing Revolving Facilities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 similar financial maintenance covenant and to the extent that such financial maintenance covenant would be effective prior to the latest Revolving Termination Date for such Revolving Facilities) (it being understood and agreed that Crown Holdings may, at its option, deliver a certificate to the Administrative Agent certifying that the requirements of the provisos to this clause (ii)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-3027045</wp:posOffset>
            </wp:positionV>
            <wp:extent cx="5143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-3027045</wp:posOffset>
            </wp:positionV>
            <wp:extent cx="22288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6403340</wp:posOffset>
            </wp:positionH>
            <wp:positionV relativeFrom="paragraph">
              <wp:posOffset>-1381125</wp:posOffset>
            </wp:positionV>
            <wp:extent cx="45402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-1243965</wp:posOffset>
            </wp:positionV>
            <wp:extent cx="283718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8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4"/>
          </w:cols>
          <w:pgMar w:left="436" w:top="274" w:right="499" w:bottom="1440" w:gutter="0" w:footer="0" w:header="0"/>
        </w:sectPr>
      </w:pPr>
    </w:p>
    <w:bookmarkStart w:id="230" w:name="page231"/>
    <w:bookmarkEnd w:id="23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(iii) one or more tranches of additional term loans (“</w:t>
      </w:r>
      <w:r>
        <w:rPr>
          <w:rFonts w:ascii="Arial" w:cs="Arial" w:eastAsia="Arial" w:hAnsi="Arial"/>
          <w:sz w:val="16"/>
          <w:szCs w:val="16"/>
          <w:u w:val="single" w:color="auto"/>
          <w:color w:val="auto"/>
        </w:rPr>
        <w:t>Additional Term Loans</w:t>
      </w:r>
      <w:r>
        <w:rPr>
          <w:rFonts w:ascii="Arial" w:cs="Arial" w:eastAsia="Arial" w:hAnsi="Arial"/>
          <w:sz w:val="16"/>
          <w:szCs w:val="16"/>
          <w:color w:val="auto"/>
        </w:rPr>
        <w:t xml:space="preserve">”) allocated by Crown Holdings and the Lenders providing such Additional Term Loans under a facility that would provide that the Additional Term Loans would have a Weighted Average Life to Maturity of not less than the existing Term Loans with the then longest Weighted Average Life to Maturity and a final maturity no earlier than the latest Term Loan A Maturity Date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Weighted Average Life to Maturity and final maturity limitations set forth in this clause (iii) shall not apply to Additional Term Loans in an aggregate principal amount not to exceed the Inside Maturity Date Amount and/or (iv) increases to one or more existing Term Facilities (collectively, the increases and tranches referred to in clauses (i)-(iv),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and conditions of any Additional Term Loans, taken as a whole, shall be no more restrictive than those applicable to the existing Term Facilities (other than as to pricing, interest rate margins, interest rate floors, discounts, 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w:t>
      </w:r>
      <w:r>
        <w:rPr>
          <w:rFonts w:ascii="Arial" w:cs="Arial" w:eastAsia="Arial" w:hAnsi="Arial"/>
          <w:sz w:val="16"/>
          <w:szCs w:val="16"/>
          <w:u w:val="single" w:color="auto"/>
          <w:color w:val="0000FF"/>
        </w:rPr>
        <w:t>consistent with customary market terms for Indebtedness of such type or</w:t>
      </w:r>
      <w:r>
        <w:rPr>
          <w:rFonts w:ascii="Arial" w:cs="Arial" w:eastAsia="Arial" w:hAnsi="Arial"/>
          <w:sz w:val="16"/>
          <w:szCs w:val="16"/>
          <w:color w:val="auto"/>
        </w:rPr>
        <w:t xml:space="preserve"> reasonably satisfactory to Crown Holdings and the Administrative Agent or (Y) in the event such terms are more favorable (taken as a whole) to the 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Term Loans, no consent shall be required from the Administrative Agent or any Lender to the extent that such financial maintenance covenant is also added for the benefit of the Term Loans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existing Lender approached to provide all or a portion of the Additional Facilities may elect or decline, in its sole discretion, to provide such Additional Facilities. Any Additional Facility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then-existing tranche of Loans and/or Revolving Commitments and/or Additional Facility Commitments in right of payment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 a Lender with respect to a tranche of Additional Facilities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hereby acknowledges and agrees that the term of each Term Facility, each Revolving Facility and each sub-facility thereof may be extended or replaced and that each New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-2470785</wp:posOffset>
            </wp:positionV>
            <wp:extent cx="332613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231" w:name="page232"/>
    <w:bookmarkEnd w:id="231"/>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70" w:lineRule="exact"/>
        <w:rPr>
          <w:sz w:val="20"/>
          <w:szCs w:val="20"/>
          <w:color w:val="auto"/>
        </w:rPr>
      </w:pPr>
    </w:p>
    <w:p>
      <w:pPr>
        <w:ind w:right="100" w:firstLine="436"/>
        <w:spacing w:after="0" w:line="270" w:lineRule="auto"/>
        <w:tabs>
          <w:tab w:leader="none" w:pos="69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In the event that U.S. Borrower or European Borrower desires to create an Additional Facility, such Borrower will enter into an amendment to this Agreement with the lenders providing such Additional Facility (who shall by execution thereof become Lenders hereunder if not theretofore Lenders) to provide for such Additional Facility, which amendment shall set forth any terms and conditions of the Additional Facility not covered by this Agreement as agreed by the applicable Borrower and such Lenders, and shall provide for the issuance of promissory notes to evidence the Additional Facility if requested by the Lenders making advances under the Additional Facility (which notes shall constitute Notes for purposes of this Agreement), with such amendment to be in form and substance reasonably acceptable to Administrative Agent and consistent with the terms of this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and of the other provisions of this Agreement. Notwithstanding anything herein to the contrary, no consent of any Lender (other than any Lender making loans or whose commitment is increased under such Additional Facility) is required to permit the Loans or commitments contemplated by this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or the aforesaid amendment to effectuate such Additional Facility.</w:t>
      </w:r>
    </w:p>
    <w:p>
      <w:pPr>
        <w:spacing w:after="0" w:line="72" w:lineRule="exact"/>
        <w:rPr>
          <w:rFonts w:ascii="Arial" w:cs="Arial" w:eastAsia="Arial" w:hAnsi="Arial"/>
          <w:sz w:val="17"/>
          <w:szCs w:val="17"/>
          <w:color w:val="auto"/>
        </w:rPr>
      </w:pPr>
    </w:p>
    <w:p>
      <w:pPr>
        <w:ind w:firstLine="436"/>
        <w:spacing w:after="0" w:line="267" w:lineRule="auto"/>
        <w:tabs>
          <w:tab w:leader="none" w:pos="6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Upon implementation of any Additional Revolving Credit Commitments or any new Additional Revolving Facility, (i) if such Additional Revolving Credit Commitments or Additional Revolving Facility, as applicable, is implemented either by increasing the amount of then-existing Revolving Commitments 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it being understood and agreed that the minimum borrowing,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borrowing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payment requirements contained elsewhere in this Agreement shall not apply to the transactions effected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and (ii) if such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4" w:right="439" w:bottom="1440" w:gutter="0" w:footer="0" w:header="0"/>
        </w:sectPr>
      </w:pPr>
    </w:p>
    <w:bookmarkStart w:id="232" w:name="page233"/>
    <w:bookmarkEnd w:id="232"/>
    <w:p>
      <w:pPr>
        <w:ind w:left="4" w:right="2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Arial" w:cs="Arial" w:eastAsia="Arial" w:hAnsi="Arial"/>
          <w:sz w:val="16"/>
          <w:szCs w:val="16"/>
          <w:u w:val="single" w:color="auto"/>
          <w:color w:val="auto"/>
        </w:rPr>
        <w:t>Comparable Revolving Facility</w:t>
      </w:r>
      <w:r>
        <w:rPr>
          <w:rFonts w:ascii="Arial" w:cs="Arial" w:eastAsia="Arial" w:hAnsi="Arial"/>
          <w:sz w:val="16"/>
          <w:szCs w:val="16"/>
          <w:color w:val="auto"/>
        </w:rPr>
        <w:t>”) and such new Additional Revolving Facility, (B) repayments required upon the Maturity Date of the then-existing Comparable Revolving Facility and such new Additional Comparable Revolving Facility and (C) repayments made in connection with any permanent repayment and termination of commitments (subject to clause</w:t>
      </w:r>
    </w:p>
    <w:p>
      <w:pPr>
        <w:spacing w:after="0" w:line="2" w:lineRule="exact"/>
        <w:rPr>
          <w:sz w:val="20"/>
          <w:szCs w:val="20"/>
          <w:color w:val="auto"/>
        </w:rPr>
      </w:pPr>
    </w:p>
    <w:p>
      <w:pPr>
        <w:ind w:left="4" w:right="80" w:hanging="4"/>
        <w:spacing w:after="0" w:line="286" w:lineRule="auto"/>
        <w:tabs>
          <w:tab w:leader="none" w:pos="259"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below)) after the effective date of Additional Facility Commitments in respect of such Additional Revolving Facility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than any other Comparable Revolving Facility that has a later Maturity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6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(d) In addition, U.S. Borrower and European Borrower may utilize any portion of the Incremental Cap in effect at such time (subject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with respect to any Incremental Equivalent Debt the proceeds of which are being used to finance a Limited Condition Transaction, so long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no Event of Default then exists) to issue or incur Indebtedness consisting of senior secured first lien term loans or notes in lieu of an Additional Term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Facility (“</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(1) such Incremental Equivalent Debt shall have a Weighted Average Life to Maturity of not less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than the existing Term Loans with the then longest Weighted Average Life to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Weighted Average Life to Maturity and final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maturity limitations set forth in this clause (1) shall not apply to Incremental Equivalent Debt in an aggregate principal amount not to exceed the Inside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Maturity Date Amount and (2) that the terms and conditions of such Incremental Equivalent Debt, taken as a whole, shall be no more restrictive than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those applicable to the existing Term Facilities (other than as to pricing, interest rate margins, interest rate floors, discounts, fees, premiums, other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economic terms, maturity and prepayment or redemption terms (provided that such Incremental Equivalent Debt shall not include more favorable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prepayment treatment than the other tranches of Term Loans)), except for covenants and other provisions applicable only to periods after the earlier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occur of the date that all other Term Loans are paid in full (other than Unasserted Contingent Obligations) and the latest Term Maturity Date at the time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such Incremental Equivalent Debt is incurred (without regard to the maturity date of such Incremental Equivalent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extent the terms and conditions of such Incremental Equivalent Debt are not consistent with one or more of the existing Term Facilities (except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extent permitted pursuant to the immediately preceding proviso or clause (Y) below), such terms and conditions may differ if </w:t>
      </w:r>
      <w:r>
        <w:rPr>
          <w:rFonts w:ascii="Arial" w:cs="Arial" w:eastAsia="Arial" w:hAnsi="Arial"/>
          <w:sz w:val="16"/>
          <w:szCs w:val="16"/>
          <w:u w:val="single" w:color="auto"/>
          <w:color w:val="0000FF"/>
        </w:rPr>
        <w:t>consistent with customary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000FF"/>
        </w:rPr>
        <w:t>market terms for Indebtedness of such type or</w:t>
      </w:r>
      <w:r>
        <w:rPr>
          <w:rFonts w:ascii="Arial" w:cs="Arial" w:eastAsia="Arial" w:hAnsi="Arial"/>
          <w:sz w:val="16"/>
          <w:szCs w:val="16"/>
          <w:color w:val="0000FF"/>
        </w:rPr>
        <w:t xml:space="preserve"> </w:t>
      </w:r>
      <w:r>
        <w:rPr>
          <w:rFonts w:ascii="Arial" w:cs="Arial" w:eastAsia="Arial" w:hAnsi="Arial"/>
          <w:sz w:val="16"/>
          <w:szCs w:val="16"/>
          <w:color w:val="000000"/>
        </w:rPr>
        <w:t>reasonably satisfactory to Crown Holdings and the Administrative Agent or (Y) in the event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-107315</wp:posOffset>
            </wp:positionV>
            <wp:extent cx="119126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are more favorable (taken as a whole) to the Lenders providing such Incremental Equivalent Debt, (A) the applicable Borrowers shall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209994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7"/>
          <w:szCs w:val="17"/>
          <w:color w:val="auto"/>
        </w:rPr>
        <w:t>unilaterally provide the existing Term Lenders with additional rights and benefits and the “no more restrictive than” requirement of the preceding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proviso and compliance therewith shall be determined after giving effect to such additional rights and benefits and (B) to the extent any financial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maintenance covenant is added for the benefit of the Lenders under such Incremental Equivalent Debt, no consent shall be required from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or any Lender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4"/>
          </w:cols>
          <w:pgMar w:left="436" w:top="274" w:right="439" w:bottom="1440" w:gutter="0" w:footer="0" w:header="0"/>
        </w:sectPr>
      </w:pPr>
    </w:p>
    <w:bookmarkStart w:id="233" w:name="page234"/>
    <w:bookmarkEnd w:id="233"/>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such financial maintenance covenant is also added for the benefit of the Term Loans that remain outstanding after the issuance or incurrence of such Incremental Equivalent Debt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any then-existing tranche of Loans and/or Revolving Commitments and/or Additional Facility Commitments in right of payment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then-existing tranche of Loans incurred by and/or Revolving Commitments and/or Additional Facility Commitments made available to the same Borrower in right of guarantees and security and the holders of such 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66" w:lineRule="exact"/>
        <w:rPr>
          <w:sz w:val="20"/>
          <w:szCs w:val="20"/>
          <w:color w:val="auto"/>
        </w:rPr>
      </w:pPr>
    </w:p>
    <w:p>
      <w:pPr>
        <w:ind w:right="80" w:firstLine="436"/>
        <w:spacing w:after="0" w:line="271" w:lineRule="auto"/>
        <w:tabs>
          <w:tab w:leader="none" w:pos="68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in the event the tranche of Additional Term Loans or Incremental Equivalent Debt is used to finance a Permitted Acquisition (including the Signode Acquisition) and to the extent the Lenders participating in such tranche of Additional Term Loans or Incremental Equivalent Debt, as applicable,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 requirement that no Event of Default pursuant to </w:t>
      </w:r>
      <w:r>
        <w:rPr>
          <w:rFonts w:ascii="Arial" w:cs="Arial" w:eastAsia="Arial" w:hAnsi="Arial"/>
          <w:sz w:val="17"/>
          <w:szCs w:val="17"/>
          <w:u w:val="single" w:color="auto"/>
          <w:color w:val="auto"/>
        </w:rPr>
        <w:t>Sections 10.1(a)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shall have occurred and be continuing.</w:t>
      </w:r>
    </w:p>
    <w:p>
      <w:pPr>
        <w:spacing w:after="0" w:line="70" w:lineRule="exact"/>
        <w:rPr>
          <w:rFonts w:ascii="Arial" w:cs="Arial" w:eastAsia="Arial" w:hAnsi="Arial"/>
          <w:sz w:val="17"/>
          <w:szCs w:val="17"/>
          <w:color w:val="auto"/>
        </w:rPr>
      </w:pPr>
    </w:p>
    <w:p>
      <w:pPr>
        <w:ind w:left="660" w:hanging="22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to the contrary and shall be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Letter of Credit Commitments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u w:val="single" w:color="auto"/>
          <w:color w:val="auto"/>
        </w:rPr>
        <w:t>Multicurrency Letters of Credit</w:t>
      </w:r>
      <w:r>
        <w:rPr>
          <w:rFonts w:ascii="Arial" w:cs="Arial" w:eastAsia="Arial" w:hAnsi="Arial"/>
          <w:sz w:val="16"/>
          <w:szCs w:val="16"/>
          <w:color w:val="auto"/>
        </w:rPr>
        <w:t xml:space="preserve">. Subject to and upon the terms and conditions herein set forth, U.S. Borrower or European Borrower may request, on behalf of itself or any Subsidiary or Unrestricted Entity, that any Facing Agent (other than the Canadian Facing Agent or the Dollar Facing Agent) issue, at any time and from time to time on and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prior 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and any Unrestricted Entities (in the case of Unrestricted Entities, subject to the limitation on Investments in Unrestricted Entities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-399415</wp:posOffset>
            </wp:positionV>
            <wp:extent cx="6032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-399415</wp:posOffset>
            </wp:positionV>
            <wp:extent cx="22288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ind w:right="40"/>
        <w:spacing w:after="0" w:line="260" w:lineRule="auto"/>
        <w:rPr>
          <w:sz w:val="20"/>
          <w:szCs w:val="20"/>
          <w:color w:val="auto"/>
        </w:rPr>
      </w:pPr>
      <w:r>
        <w:rPr>
          <w:rFonts w:ascii="Arial" w:cs="Arial" w:eastAsia="Arial" w:hAnsi="Arial"/>
          <w:sz w:val="18"/>
          <w:szCs w:val="18"/>
          <w:u w:val="single" w:color="auto"/>
          <w:color w:val="auto"/>
        </w:rPr>
        <w:t>Section 8.4(m)</w:t>
      </w:r>
      <w:r>
        <w:rPr>
          <w:rFonts w:ascii="Arial" w:cs="Arial" w:eastAsia="Arial" w:hAnsi="Arial"/>
          <w:sz w:val="18"/>
          <w:szCs w:val="18"/>
          <w:color w:val="auto"/>
        </w:rPr>
        <w:t>), a letter of credit in Dollars or an Alternative Currency (other than Canadian Dollars), in a form customarily used by such Facing Agent, or in such other form as has been approved by such Facing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234" w:name="page235"/>
    <w:bookmarkEnd w:id="234"/>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(the “</w:t>
      </w:r>
      <w:r>
        <w:rPr>
          <w:rFonts w:ascii="Arial" w:cs="Arial" w:eastAsia="Arial" w:hAnsi="Arial"/>
          <w:sz w:val="17"/>
          <w:szCs w:val="17"/>
          <w:u w:val="single" w:color="auto"/>
          <w:color w:val="auto"/>
        </w:rPr>
        <w:t>Multicurrency Letters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$275,000,000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aggregate face amount of all Multicurrency Letters of Credit issued and outstanding by any Facing Agent shall not exceed such Facing Agent’s Applicable LC Sublimit or (ii) 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at the request of the applicable requesting Borrower, any Multicurrency Letter of Credit may contain a statement to the effect that such Multicurrency Letter of Credit is issued for the account of Crown Holdings, any of its Subsidiaries or any Unrestricted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186"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u w:val="single" w:color="auto"/>
          <w:color w:val="auto"/>
        </w:rPr>
        <w:t>Canadian Letters of Credit</w:t>
      </w:r>
      <w:r>
        <w:rPr>
          <w:rFonts w:ascii="Arial" w:cs="Arial" w:eastAsia="Arial" w:hAnsi="Arial"/>
          <w:sz w:val="16"/>
          <w:szCs w:val="16"/>
          <w:color w:val="auto"/>
        </w:rPr>
        <w:t xml:space="preserve">. Subject to and upon the terms and conditions herein set forth, Canadian Borrower may request, on behalf of itself, that the Canadian Facing Agent issue, at any time and from time to time on and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prior to the 5th Business Day preceding the Canadian Revolver Termination Date, for the account of such Borrower and for the benefit of any holder (or any trustee, agent or other similar representative for any such holder) of obligations of Canadian Borrower or any of its Subsidiaries, a letter of credit or letter of guarantee in Canadian Dollars, in a form customarily used by such Facing Agent, or in such other form as has been approved by such Facing Agent (a “</w:t>
      </w:r>
      <w:r>
        <w:rPr>
          <w:rFonts w:ascii="Arial" w:cs="Arial" w:eastAsia="Arial" w:hAnsi="Arial"/>
          <w:sz w:val="16"/>
          <w:szCs w:val="16"/>
          <w:u w:val="single" w:color="auto"/>
          <w:color w:val="auto"/>
        </w:rPr>
        <w:t>Canadian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5800725</wp:posOffset>
            </wp:positionH>
            <wp:positionV relativeFrom="paragraph">
              <wp:posOffset>-1109345</wp:posOffset>
            </wp:positionV>
            <wp:extent cx="5143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-1109345</wp:posOffset>
            </wp:positionV>
            <wp:extent cx="22288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u w:val="single" w:color="auto"/>
          <w:color w:val="auto"/>
        </w:rPr>
        <w:t>Dollar Letters of Credit</w:t>
      </w:r>
      <w:r>
        <w:rPr>
          <w:rFonts w:ascii="Arial" w:cs="Arial" w:eastAsia="Arial" w:hAnsi="Arial"/>
          <w:sz w:val="17"/>
          <w:szCs w:val="17"/>
          <w:color w:val="auto"/>
        </w:rPr>
        <w:t xml:space="preserve">. Subject to and upon the terms and conditions herein set forth, U.S. Borrower may request, on behalf of itself, that the Dollar Facing Agent issue, at any time and from time to time on and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w:t>
      </w:r>
      <w:r>
        <w:rPr>
          <w:rFonts w:ascii="Arial" w:cs="Arial" w:eastAsia="Arial" w:hAnsi="Arial"/>
          <w:sz w:val="17"/>
          <w:szCs w:val="17"/>
          <w:u w:val="single" w:color="auto"/>
          <w:color w:val="auto"/>
        </w:rPr>
        <w:t>Dollar Letters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Dollar Letter of Credit shall be issued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 (i) $25,000,000 or (ii) when added to the Dollar Equivalent of the aggregate principal amount of all Dollar Revolving Loans and Dollar LC Obligations then outstanding with respect to the U.S. Borrower, the Total Dollar Revolving Commitment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-1098550</wp:posOffset>
            </wp:positionV>
            <wp:extent cx="5143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-1098550</wp:posOffset>
            </wp:positionV>
            <wp:extent cx="22288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235" w:name="page236"/>
    <w:bookmarkEnd w:id="235"/>
    <w:p>
      <w:pPr>
        <w:ind w:firstLine="436"/>
        <w:spacing w:after="0" w:line="271" w:lineRule="auto"/>
        <w:tabs>
          <w:tab w:leader="none" w:pos="69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of Facing Agent to Issue Letter of Credit</w:t>
      </w:r>
      <w:r>
        <w:rPr>
          <w:rFonts w:ascii="Arial" w:cs="Arial" w:eastAsia="Arial" w:hAnsi="Arial"/>
          <w:sz w:val="17"/>
          <w:szCs w:val="17"/>
          <w:color w:val="auto"/>
        </w:rPr>
        <w:t xml:space="preserve">. Each Facing Agent may agree, in its sole discretion, that it will (subject to the terms and conditions contained herein), at any time and from time to time on or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and prior to the Revolver Termination Date for the Multicurrency Revolving Facility with respect to Multicurrency Letters of Credit, the Revolver Termination Date for the Dollar Revolving Facility with respect to the Dollar Letters of Credit and the Canadian Revolver Termination Date with respect to Canadian Letters of Credit, following its receipt of the respective Notice of Issuance, issue for the account of the applicable Borrower but subject to the last sentence of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one or more Letters of Credit in support of the obligations of the applicable Borrower, any of its Subsidiaries or any Unrestricted Entities,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respective Facing Agent shall be under no obligation to issue any Letter of Credit of the types described above if at the time of such issuance:</w:t>
      </w:r>
    </w:p>
    <w:p>
      <w:pPr>
        <w:spacing w:after="0" w:line="70" w:lineRule="exact"/>
        <w:rPr>
          <w:rFonts w:ascii="Arial" w:cs="Arial" w:eastAsia="Arial" w:hAnsi="Arial"/>
          <w:sz w:val="17"/>
          <w:szCs w:val="17"/>
          <w:color w:val="auto"/>
        </w:rPr>
      </w:pPr>
    </w:p>
    <w:p>
      <w:pPr>
        <w:ind w:left="440" w:firstLine="419"/>
        <w:spacing w:after="0" w:line="291" w:lineRule="auto"/>
        <w:tabs>
          <w:tab w:leader="none" w:pos="10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any unreimbursed loss, cost or expense which was not applicable, in effect or known to such Facing Agent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which such Facing Agent in good faith deems material to it;</w:t>
      </w:r>
    </w:p>
    <w:p>
      <w:pPr>
        <w:spacing w:after="0" w:line="58" w:lineRule="exact"/>
        <w:rPr>
          <w:rFonts w:ascii="Arial" w:cs="Arial" w:eastAsia="Arial" w:hAnsi="Arial"/>
          <w:sz w:val="16"/>
          <w:szCs w:val="16"/>
          <w:color w:val="auto"/>
        </w:rPr>
      </w:pPr>
    </w:p>
    <w:p>
      <w:pPr>
        <w:ind w:left="440" w:right="400" w:firstLine="419"/>
        <w:spacing w:after="0" w:line="277" w:lineRule="auto"/>
        <w:tabs>
          <w:tab w:leader="none" w:pos="11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such Facing Agent shall have received notice from any Lender prior to the issuance of such Letter of Credit of the type described in </w:t>
      </w:r>
      <w:r>
        <w:rPr>
          <w:rFonts w:ascii="Arial" w:cs="Arial" w:eastAsia="Arial" w:hAnsi="Arial"/>
          <w:sz w:val="18"/>
          <w:szCs w:val="18"/>
          <w:u w:val="single" w:color="auto"/>
          <w:color w:val="auto"/>
        </w:rPr>
        <w:t>Section 2.10(b)(iii)(A)(v)</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such Facing Agent.</w:t>
      </w:r>
    </w:p>
    <w:p>
      <w:pPr>
        <w:spacing w:after="0" w:line="117" w:lineRule="exact"/>
        <w:rPr>
          <w:rFonts w:ascii="Arial" w:cs="Arial" w:eastAsia="Arial" w:hAnsi="Arial"/>
          <w:sz w:val="18"/>
          <w:szCs w:val="18"/>
          <w:color w:val="auto"/>
        </w:rPr>
      </w:pPr>
    </w:p>
    <w:p>
      <w:pPr>
        <w:ind w:left="980" w:right="20" w:firstLine="408"/>
        <w:spacing w:after="0" w:line="283" w:lineRule="auto"/>
        <w:tabs>
          <w:tab w:leader="none" w:pos="1676" w:val="left"/>
        </w:tabs>
        <w:numPr>
          <w:ilvl w:val="3"/>
          <w:numId w:val="89"/>
        </w:numPr>
        <w:rPr>
          <w:rFonts w:ascii="Arial" w:cs="Arial" w:eastAsia="Arial" w:hAnsi="Arial"/>
          <w:sz w:val="16"/>
          <w:szCs w:val="16"/>
          <w:color w:val="auto"/>
        </w:rPr>
      </w:pPr>
      <w:r>
        <w:rPr>
          <w:rFonts w:ascii="Arial" w:cs="Arial" w:eastAsia="Arial" w:hAnsi="Arial"/>
          <w:sz w:val="16"/>
          <w:szCs w:val="16"/>
          <w:color w:val="auto"/>
        </w:rPr>
        <w:t xml:space="preserve">Notwithstanding the foregoing, (i) each Multicurrency Letter of Credit, Dollar Letter of Credit and Canadian Letter of Credit shall have an expiry date occurring not later than one year after such Letter of Credit’s date of issuance, </w:t>
      </w:r>
      <w:r>
        <w:rPr>
          <w:rFonts w:ascii="Arial" w:cs="Arial" w:eastAsia="Arial" w:hAnsi="Arial"/>
          <w:sz w:val="16"/>
          <w:szCs w:val="16"/>
          <w:u w:val="single" w:color="auto"/>
          <w:color w:val="auto"/>
        </w:rPr>
        <w:t>provided</w:t>
      </w:r>
      <w:r>
        <w:rPr>
          <w:rFonts w:ascii="Arial" w:cs="Arial" w:eastAsia="Arial" w:hAnsi="Arial"/>
          <w:sz w:val="16"/>
          <w:szCs w:val="16"/>
          <w:color w:val="auto"/>
        </w:rPr>
        <w:t>, that any Multicurrency Letter of Credit, Dollar Letter of Credit or Canadian Letter of Credit may be automatically extendable for periods of up to one year so long as such Letter of Credit provides that the respective Facing Agent retains an option, satisfactory to such Facing Agent, to terminate such Letter of Credit within a specified period of time prior to each scheduled extension date; (ii)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 (z) no Canadian Letter of Credit shall have an expiry date occurring later than 10 days prior to the Canadian Revolver Termination Date; (iii) each Multicurrency Letter of Credit shall be denominated in Dollars, or in the respective Facing Agent’s sole discretion, an Alternative Currency, and be payable on a sight basis, each Dollar Letter of Credit shall be denominated in Dollars and be payable on a sight basis and each Canadian Letter of Credit shall be denominated in Canadian Dollars and be payable on a sight basis;</w:t>
      </w:r>
    </w:p>
    <w:p>
      <w:pPr>
        <w:spacing w:after="0" w:line="3" w:lineRule="exact"/>
        <w:rPr>
          <w:rFonts w:ascii="Arial" w:cs="Arial" w:eastAsia="Arial" w:hAnsi="Arial"/>
          <w:sz w:val="16"/>
          <w:szCs w:val="16"/>
          <w:color w:val="auto"/>
        </w:rPr>
      </w:pPr>
    </w:p>
    <w:p>
      <w:pPr>
        <w:ind w:left="980" w:right="60" w:firstLine="7"/>
        <w:spacing w:after="0" w:line="255" w:lineRule="auto"/>
        <w:tabs>
          <w:tab w:leader="none" w:pos="1285"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Stated Amount of each Letter of Credit shall not be less than the Dollar Equivalent of $100,000 or such lesser amount as is acceptable to the respective Facing Agent; and (v) no Facing Agent will issue any Letter of Credit after it has received written notice from the applicable Borrower or the Required Lenders stating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-4387215</wp:posOffset>
            </wp:positionV>
            <wp:extent cx="5143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-4387215</wp:posOffset>
            </wp:positionV>
            <wp:extent cx="22288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-2809875</wp:posOffset>
            </wp:positionV>
            <wp:extent cx="5143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-2809875</wp:posOffset>
            </wp:positionV>
            <wp:extent cx="22288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-2535555</wp:posOffset>
            </wp:positionV>
            <wp:extent cx="6032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-2535555</wp:posOffset>
            </wp:positionV>
            <wp:extent cx="22288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236" w:name="page237"/>
    <w:bookmarkEnd w:id="236"/>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an Event of Default or Unmatured Event of Default exists until such time as such Facing Agent shall have received a written notice of</w:t>
      </w:r>
    </w:p>
    <w:p>
      <w:pPr>
        <w:spacing w:after="0" w:line="46" w:lineRule="exact"/>
        <w:rPr>
          <w:sz w:val="20"/>
          <w:szCs w:val="20"/>
          <w:color w:val="auto"/>
        </w:rPr>
      </w:pPr>
    </w:p>
    <w:p>
      <w:pPr>
        <w:ind w:left="960" w:right="20" w:firstLine="7"/>
        <w:spacing w:after="0" w:line="260" w:lineRule="auto"/>
        <w:tabs>
          <w:tab w:leader="none" w:pos="12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rescission of such notice from the party or parties originally delivering the same or (y) a waiver of such Event of Default or Unmatured Event of Default by the Required Lenders (or all the Lenders to the extent required by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960" w:right="40" w:firstLine="408"/>
        <w:spacing w:after="0" w:line="253" w:lineRule="auto"/>
        <w:tabs>
          <w:tab w:leader="none" w:pos="1646"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Arial" w:cs="Arial" w:eastAsia="Arial" w:hAnsi="Arial"/>
          <w:sz w:val="18"/>
          <w:szCs w:val="18"/>
          <w:u w:val="single" w:color="auto"/>
          <w:color w:val="auto"/>
        </w:rPr>
        <w:t>Section 2.12(a)(i)</w:t>
      </w:r>
      <w:r>
        <w:rPr>
          <w:rFonts w:ascii="Arial" w:cs="Arial" w:eastAsia="Arial" w:hAnsi="Arial"/>
          <w:sz w:val="18"/>
          <w:szCs w:val="18"/>
          <w:color w:val="auto"/>
        </w:rPr>
        <w:t xml:space="preserve"> (and such Defaulting Lender shall not participate therein).</w:t>
      </w:r>
    </w:p>
    <w:p>
      <w:pPr>
        <w:spacing w:after="0" w:line="88" w:lineRule="exact"/>
        <w:rPr>
          <w:rFonts w:ascii="Arial" w:cs="Arial" w:eastAsia="Arial" w:hAnsi="Arial"/>
          <w:sz w:val="18"/>
          <w:szCs w:val="18"/>
          <w:color w:val="auto"/>
        </w:rPr>
      </w:pPr>
    </w:p>
    <w:p>
      <w:pPr>
        <w:ind w:left="-20" w:firstLine="436"/>
        <w:spacing w:after="0" w:line="267" w:lineRule="auto"/>
        <w:tabs>
          <w:tab w:leader="none" w:pos="66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Procedures for Issuance and Amendments of Letter of Credit</w:t>
      </w:r>
      <w:r>
        <w:rPr>
          <w:rFonts w:ascii="Arial" w:cs="Arial" w:eastAsia="Arial" w:hAnsi="Arial"/>
          <w:sz w:val="17"/>
          <w:szCs w:val="17"/>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Arial" w:cs="Arial" w:eastAsia="Arial" w:hAnsi="Arial"/>
          <w:sz w:val="17"/>
          <w:szCs w:val="17"/>
          <w:u w:val="single" w:color="auto"/>
          <w:color w:val="auto"/>
        </w:rPr>
        <w:t>Exhibit 2.10(c)</w:t>
      </w:r>
      <w:r>
        <w:rPr>
          <w:rFonts w:ascii="Arial" w:cs="Arial" w:eastAsia="Arial" w:hAnsi="Arial"/>
          <w:sz w:val="17"/>
          <w:szCs w:val="17"/>
          <w:color w:val="auto"/>
        </w:rPr>
        <w:t xml:space="preserve"> (or such other form as mutually agreed by Crown Holdings, the applicable Facing Agent and the Administrative Agent) (each, a “</w:t>
      </w:r>
      <w:r>
        <w:rPr>
          <w:rFonts w:ascii="Arial" w:cs="Arial" w:eastAsia="Arial" w:hAnsi="Arial"/>
          <w:sz w:val="17"/>
          <w:szCs w:val="17"/>
          <w:u w:val="single" w:color="auto"/>
          <w:color w:val="auto"/>
        </w:rPr>
        <w:t>Notice of Issuance</w:t>
      </w:r>
      <w:r>
        <w:rPr>
          <w:rFonts w:ascii="Arial" w:cs="Arial" w:eastAsia="Arial" w:hAnsi="Arial"/>
          <w:sz w:val="17"/>
          <w:szCs w:val="17"/>
          <w:color w:val="auto"/>
        </w:rPr>
        <w:t xml:space="preserve">”) and may be submitted via facsimile </w:t>
      </w:r>
      <w:r>
        <w:rPr>
          <w:rFonts w:ascii="Arial" w:cs="Arial" w:eastAsia="Arial" w:hAnsi="Arial"/>
          <w:sz w:val="17"/>
          <w:szCs w:val="17"/>
          <w:u w:val="single" w:color="auto"/>
          <w:color w:val="0000FF"/>
        </w:rPr>
        <w:t>or other electronic image scan transmission (e.g., “pdf” or “tif” via email)</w:t>
      </w:r>
      <w:r>
        <w:rPr>
          <w:rFonts w:ascii="Arial" w:cs="Arial" w:eastAsia="Arial" w:hAnsi="Arial"/>
          <w:sz w:val="17"/>
          <w:szCs w:val="17"/>
          <w:color w:val="auto"/>
        </w:rPr>
        <w:t xml:space="preserve"> to the respective Facing Agent (who may rely upon such facsimile </w:t>
      </w:r>
      <w:r>
        <w:rPr>
          <w:rFonts w:ascii="Arial" w:cs="Arial" w:eastAsia="Arial" w:hAnsi="Arial"/>
          <w:sz w:val="17"/>
          <w:szCs w:val="17"/>
          <w:u w:val="single" w:color="auto"/>
          <w:color w:val="0000FF"/>
        </w:rPr>
        <w:t>or electronic image scan transmission</w:t>
      </w:r>
      <w:r>
        <w:rPr>
          <w:rFonts w:ascii="Arial" w:cs="Arial" w:eastAsia="Arial" w:hAnsi="Arial"/>
          <w:sz w:val="17"/>
          <w:szCs w:val="17"/>
          <w:color w:val="auto"/>
        </w:rPr>
        <w:t xml:space="preserve">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of such proposed Letter of Credit, (F) whether such Letter of Credit is to be a Multicurrency Letter of Credit, Dollar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 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 the Revolver Termination Date for the Dollar Revolving Facility with respect to Dollar Letters of Credit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 agree in a particular instance in their sole discretion) prior to the proposed date of amendment, amend any Letter of Credit issued by it. Each such request for amendment of a Letter of Credit shall be made by facsimile </w:t>
      </w:r>
      <w:r>
        <w:rPr>
          <w:rFonts w:ascii="Arial" w:cs="Arial" w:eastAsia="Arial" w:hAnsi="Arial"/>
          <w:sz w:val="17"/>
          <w:szCs w:val="17"/>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-2196465</wp:posOffset>
            </wp:positionV>
            <wp:extent cx="336867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-2059305</wp:posOffset>
            </wp:positionV>
            <wp:extent cx="17227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-1905</wp:posOffset>
            </wp:positionV>
            <wp:extent cx="12890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-36195</wp:posOffset>
            </wp:positionV>
            <wp:extent cx="12382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60" w:top="274" w:right="459" w:bottom="1440" w:gutter="0" w:footer="0" w:header="0"/>
        </w:sectPr>
      </w:pPr>
    </w:p>
    <w:bookmarkStart w:id="237" w:name="page238"/>
    <w:bookmarkEnd w:id="237"/>
    <w:p>
      <w:pPr>
        <w:ind w:right="40"/>
        <w:spacing w:after="0" w:line="287"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electronic image scan transmission (e.g., “pdf” or “tif” via email)</w:t>
      </w:r>
      <w:r>
        <w:rPr>
          <w:rFonts w:ascii="Arial" w:cs="Arial" w:eastAsia="Arial" w:hAnsi="Arial"/>
          <w:sz w:val="16"/>
          <w:szCs w:val="16"/>
          <w:color w:val="000000"/>
        </w:rPr>
        <w:t>, confirmed promptly in an original writing (each a “</w:t>
      </w:r>
      <w:r>
        <w:rPr>
          <w:rFonts w:ascii="Arial" w:cs="Arial" w:eastAsia="Arial" w:hAnsi="Arial"/>
          <w:sz w:val="16"/>
          <w:szCs w:val="16"/>
          <w:u w:val="single" w:color="auto"/>
          <w:color w:val="000000"/>
        </w:rPr>
        <w:t>Letter of Credit Amendment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Request</w:t>
      </w:r>
      <w:r>
        <w:rPr>
          <w:rFonts w:ascii="Arial" w:cs="Arial" w:eastAsia="Arial" w:hAnsi="Arial"/>
          <w:sz w:val="16"/>
          <w:szCs w:val="16"/>
          <w:color w:val="000000"/>
        </w:rPr>
        <w:t>”) and shall specify in form and detail reasonably satisfactory to the Facing Agent: (i) the Letter of Credit to be amended; (ii) the proposed date of amendment of the Letter 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Letters of Credit, Dollar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-1381125</wp:posOffset>
            </wp:positionV>
            <wp:extent cx="324866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4" w:lineRule="exact"/>
        <w:rPr>
          <w:sz w:val="20"/>
          <w:szCs w:val="20"/>
          <w:color w:val="auto"/>
        </w:rPr>
      </w:pPr>
    </w:p>
    <w:p>
      <w:pPr>
        <w:ind w:left="700" w:hanging="264"/>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Agreement to Repay Letter of Credit Payments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U.S. Borrower, European Borrower or Canadian Borrower, as the case may be, hereby agrees to reimburse (or to cause the applicable 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Arial" w:cs="Arial" w:eastAsia="Arial" w:hAnsi="Arial"/>
          <w:sz w:val="16"/>
          <w:szCs w:val="16"/>
          <w:u w:val="single" w:color="auto"/>
          <w:color w:val="auto"/>
        </w:rPr>
        <w:t>Unpaid Drawing</w:t>
      </w:r>
      <w:r>
        <w:rPr>
          <w:rFonts w:ascii="Arial" w:cs="Arial" w:eastAsia="Arial" w:hAnsi="Arial"/>
          <w:sz w:val="16"/>
          <w:szCs w:val="16"/>
          <w:color w:val="auto"/>
        </w:rPr>
        <w:t>”),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and Dollar Letters of Credit</w:t>
      </w:r>
      <w:r>
        <w:rPr>
          <w:rFonts w:ascii="Arial" w:cs="Arial" w:eastAsia="Arial" w:hAnsi="Arial"/>
          <w:sz w:val="16"/>
          <w:szCs w:val="16"/>
          <w:u w:val="single" w:color="auto"/>
          <w:color w:val="0000FF"/>
        </w:rPr>
        <w:t>, (B) Eurocurrency Rate in effect from time to time plus the Applicable Eurocurrency Margin with respect to Multicurrency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Letters of Credit in Euros, (C) Daily Simple RFR in effect from time to time plus the Applicable RFR Margin with respect to Multicurrency Letters of Credit in Sterling,</w:t>
      </w:r>
      <w:r>
        <w:rPr>
          <w:rFonts w:ascii="Arial" w:cs="Arial" w:eastAsia="Arial" w:hAnsi="Arial"/>
          <w:sz w:val="16"/>
          <w:szCs w:val="16"/>
          <w:color w:val="0000FF"/>
        </w:rPr>
        <w:t xml:space="preserve"> </w:t>
      </w:r>
      <w:r>
        <w:rPr>
          <w:rFonts w:ascii="Arial" w:cs="Arial" w:eastAsia="Arial" w:hAnsi="Arial"/>
          <w:sz w:val="16"/>
          <w:szCs w:val="16"/>
          <w:color w:val="000000"/>
        </w:rPr>
        <w:t>and (B) the Canadian Prime Rate plus the Applicable Canadian Prime Rate Margin for Canadian Letters of Credit,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provided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however</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 xml:space="preserve">that, anything contained in this Agreement to the contrary notwithstanding, (i) unless such 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or Notice of Canadian Borrowing, as the case may be, to Administrative Agent or the Canadian Administrative Agent, as the case may be, requesting each Multicurrency Revolving Lender or Canadian Revolving Lender, as applicable, to make Revolving Loans or Canadian Revolving Loans, as applicable, which are </w:t>
      </w:r>
      <w:r>
        <w:rPr>
          <w:rFonts w:ascii="Arial" w:cs="Arial" w:eastAsia="Arial" w:hAnsi="Arial"/>
          <w:sz w:val="16"/>
          <w:szCs w:val="16"/>
          <w:color w:val="FF0000"/>
          <w:strike w:val="1"/>
        </w:rPr>
        <w:t>Base Rate Loans or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(v) in the case of Letters of Credit denominated in Dollars, SOFR Loans, (w) in the case of Letters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of Credit denominated in Euro, Eurocurrency Loans, (x) in the case of Letters of Credit denominated in Sterling, RFR Loans, (y) in the case of Letters of Credit denominated in any other Alternative Rate, Loans bearing interest based on the benchmark rate agreed for such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-1514475</wp:posOffset>
            </wp:positionV>
            <wp:extent cx="564896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-1377315</wp:posOffset>
            </wp:positionV>
            <wp:extent cx="6866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-1240155</wp:posOffset>
            </wp:positionV>
            <wp:extent cx="82296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-1240155</wp:posOffset>
            </wp:positionV>
            <wp:extent cx="85725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-280035</wp:posOffset>
            </wp:positionV>
            <wp:extent cx="450024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500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94042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238" w:name="page239"/>
    <w:bookmarkEnd w:id="238"/>
    <w:p>
      <w:pPr>
        <w:ind w:left="4" w:right="80"/>
        <w:spacing w:after="0" w:line="287"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 pursuant to Section 2.8(c),</w:t>
      </w:r>
      <w:r>
        <w:rPr>
          <w:rFonts w:ascii="Arial" w:cs="Arial" w:eastAsia="Arial" w:hAnsi="Arial"/>
          <w:sz w:val="16"/>
          <w:szCs w:val="16"/>
          <w:color w:val="0000FF"/>
        </w:rPr>
        <w:t xml:space="preserve"> </w:t>
      </w:r>
      <w:r>
        <w:rPr>
          <w:rFonts w:ascii="Arial" w:cs="Arial" w:eastAsia="Arial" w:hAnsi="Arial"/>
          <w:sz w:val="16"/>
          <w:szCs w:val="16"/>
          <w:color w:val="008000"/>
        </w:rPr>
        <w:t>and (z) in the case of</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Canadian Letters of Credit,</w:t>
      </w:r>
      <w:r>
        <w:rPr>
          <w:rFonts w:ascii="Arial" w:cs="Arial" w:eastAsia="Arial" w:hAnsi="Arial"/>
          <w:sz w:val="16"/>
          <w:szCs w:val="16"/>
          <w:color w:val="0000FF"/>
        </w:rPr>
        <w:t xml:space="preserve"> </w:t>
      </w:r>
      <w:r>
        <w:rPr>
          <w:rFonts w:ascii="Arial" w:cs="Arial" w:eastAsia="Arial" w:hAnsi="Arial"/>
          <w:sz w:val="16"/>
          <w:szCs w:val="16"/>
          <w:color w:val="000000"/>
        </w:rPr>
        <w:t>Canadian Prime Rate Loans, as the case may be on the date on</w:t>
      </w:r>
      <w:r>
        <w:rPr>
          <w:rFonts w:ascii="Arial" w:cs="Arial" w:eastAsia="Arial" w:hAnsi="Arial"/>
          <w:sz w:val="16"/>
          <w:szCs w:val="16"/>
          <w:color w:val="0000FF"/>
        </w:rPr>
        <w:t xml:space="preserve"> </w:t>
      </w:r>
      <w:r>
        <w:rPr>
          <w:rFonts w:ascii="Arial" w:cs="Arial" w:eastAsia="Arial" w:hAnsi="Arial"/>
          <w:sz w:val="16"/>
          <w:szCs w:val="16"/>
          <w:color w:val="000000"/>
        </w:rPr>
        <w:t>which such Unpaid Drawing is honored in an amount equal to the Dollar Equivalent of the amount of such Unpaid Drawing and Administrative Agent or the Canadian Administrative Agent, as the case may be, shall, if such Notice of Borrowing is deemed given, promptly notify the Lenders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3917315" cy="4318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917315" cy="43180"/>
                    </a:xfrm>
                    <a:prstGeom prst="rect">
                      <a:avLst/>
                    </a:prstGeom>
                    <a:noFill/>
                  </pic:spPr>
                </pic:pic>
              </a:graphicData>
            </a:graphic>
          </wp:anchor>
        </w:drawing>
      </w:r>
    </w:p>
    <w:p>
      <w:pPr>
        <w:ind w:left="4" w:right="20" w:hanging="4"/>
        <w:spacing w:after="0" w:line="283" w:lineRule="auto"/>
        <w:tabs>
          <w:tab w:leader="none" w:pos="269"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unless any Event of Default shall have occurred and be continuing (in which event the procedures of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shall apply), each such Multicurrency Revolving Lender or Canadian Revolving Lender, as applicable, shall, on the date such drawing is honored, make Multicurrency Revolving Loans or Canadian Revolving Loans, as applicable, which are </w:t>
      </w:r>
      <w:r>
        <w:rPr>
          <w:rFonts w:ascii="Arial" w:cs="Arial" w:eastAsia="Arial" w:hAnsi="Arial"/>
          <w:sz w:val="16"/>
          <w:szCs w:val="16"/>
          <w:color w:val="FF0000"/>
          <w:strike w:val="1"/>
        </w:rPr>
        <w:t>Base Rate Loans or</w:t>
      </w:r>
      <w:r>
        <w:rPr>
          <w:rFonts w:ascii="Arial" w:cs="Arial" w:eastAsia="Arial" w:hAnsi="Arial"/>
          <w:sz w:val="16"/>
          <w:szCs w:val="16"/>
          <w:u w:val="single" w:color="auto"/>
          <w:color w:val="0000FF"/>
        </w:rPr>
        <w:t>(v) in the case of Letters of Credit denominated in Dollars,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 Loans, (w) in the case of Letters of Credit denominated in Euro, Eurocurrency Loans, (x) in the case of Letters of Credit denominated in Sterling, RFR Loans, (y) in the case of Letters of Credit denominated in any other Alternative Rate, Loans bearing interest based on the benchmark rate agreed for such Alternative Currency pursuant to Section 2.8(c), or (z) in the case of Canadian Letters of Credit denominated in Canadian Dollars,</w:t>
      </w:r>
      <w:r>
        <w:rPr>
          <w:rFonts w:ascii="Arial" w:cs="Arial" w:eastAsia="Arial" w:hAnsi="Arial"/>
          <w:sz w:val="16"/>
          <w:szCs w:val="16"/>
          <w:color w:val="0000FF"/>
        </w:rPr>
        <w:t xml:space="preserve"> </w:t>
      </w:r>
      <w:r>
        <w:rPr>
          <w:rFonts w:ascii="Arial" w:cs="Arial" w:eastAsia="Arial" w:hAnsi="Arial"/>
          <w:sz w:val="16"/>
          <w:szCs w:val="16"/>
          <w:color w:val="000000"/>
        </w:rPr>
        <w:t>Canadian</w:t>
      </w:r>
      <w:r>
        <w:rPr>
          <w:rFonts w:ascii="Arial" w:cs="Arial" w:eastAsia="Arial" w:hAnsi="Arial"/>
          <w:sz w:val="16"/>
          <w:szCs w:val="16"/>
          <w:color w:val="0000FF"/>
        </w:rPr>
        <w:t xml:space="preserve"> </w:t>
      </w:r>
      <w:r>
        <w:rPr>
          <w:rFonts w:ascii="Arial" w:cs="Arial" w:eastAsia="Arial" w:hAnsi="Arial"/>
          <w:sz w:val="16"/>
          <w:szCs w:val="16"/>
          <w:color w:val="000000"/>
        </w:rPr>
        <w:t xml:space="preserve">Prime Rate Loans in the amount of its Multicurrency Revolver Pro Rata Share or Canadian Revolver Pro Rata Share of the Dollar Equivalent of such Unpaid Drawing, the proceeds of which shall be applied directly by Administrative Agent or the Canadian Administrative Agent, as the case may be, to reimburse the applicable Facing Agent for the amount of such Unpaid Drawing; and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Arial" w:cs="Arial" w:eastAsia="Arial" w:hAnsi="Arial"/>
          <w:sz w:val="16"/>
          <w:szCs w:val="16"/>
          <w:u w:val="single" w:color="auto"/>
          <w:color w:val="000000"/>
        </w:rPr>
        <w:t>Section 3.1(a)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and Dollar Letters of Credit, and the Canadian Prime Rate plus the Applicable Canadian Prime Rate Margin for Canadian Letters of Credit (in each case, plus an additional 2% per annum), such interest also to be payable on demand. The respective Facing Agent shall give the applicable Borrower prompt notice of each Drawing under any Letter of Credit,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failure to give any such notice shall in no way affect, impair or diminish any Credit Party’s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-2334260</wp:posOffset>
            </wp:positionV>
            <wp:extent cx="268287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-2197100</wp:posOffset>
            </wp:positionV>
            <wp:extent cx="696087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-2059940</wp:posOffset>
            </wp:positionV>
            <wp:extent cx="684911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-1922780</wp:posOffset>
            </wp:positionV>
            <wp:extent cx="635190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163"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 xml:space="preserve">The obligations of each Borrower under this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to reimburse the respective Facing Agent with respect to drawings on Letters of Credit (each, a “</w:t>
      </w:r>
      <w:r>
        <w:rPr>
          <w:rFonts w:ascii="Arial" w:cs="Arial" w:eastAsia="Arial" w:hAnsi="Arial"/>
          <w:sz w:val="17"/>
          <w:szCs w:val="17"/>
          <w:u w:val="single" w:color="auto"/>
          <w:color w:val="auto"/>
        </w:rPr>
        <w:t>Drawing</w:t>
      </w:r>
      <w:r>
        <w:rPr>
          <w:rFonts w:ascii="Arial" w:cs="Arial" w:eastAsia="Arial" w:hAnsi="Arial"/>
          <w:sz w:val="17"/>
          <w:szCs w:val="17"/>
          <w:color w:val="auto"/>
        </w:rPr>
        <w:t xml:space="preserve">”) (including, in each case, 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w:t>
      </w:r>
      <w:r>
        <w:rPr>
          <w:rFonts w:ascii="Arial" w:cs="Arial" w:eastAsia="Arial" w:hAnsi="Arial"/>
          <w:sz w:val="17"/>
          <w:szCs w:val="17"/>
          <w:u w:val="single" w:color="auto"/>
          <w:color w:val="0000FF"/>
        </w:rPr>
        <w:t>substantially</w:t>
      </w:r>
      <w:r>
        <w:rPr>
          <w:rFonts w:ascii="Arial" w:cs="Arial" w:eastAsia="Arial" w:hAnsi="Arial"/>
          <w:sz w:val="17"/>
          <w:szCs w:val="17"/>
          <w:color w:val="auto"/>
        </w:rPr>
        <w:t xml:space="preserve">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-415290</wp:posOffset>
            </wp:positionV>
            <wp:extent cx="57467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9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4"/>
          </w:cols>
          <w:pgMar w:left="436" w:top="274" w:right="479" w:bottom="1440" w:gutter="0" w:footer="0" w:header="0"/>
        </w:sectPr>
      </w:pPr>
    </w:p>
    <w:bookmarkStart w:id="239" w:name="page240"/>
    <w:bookmarkEnd w:id="239"/>
    <w:p>
      <w:pPr>
        <w:ind w:right="20" w:firstLine="436"/>
        <w:spacing w:after="0" w:line="267" w:lineRule="auto"/>
        <w:tabs>
          <w:tab w:leader="none" w:pos="68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Participations</w:t>
      </w:r>
      <w:r>
        <w:rPr>
          <w:rFonts w:ascii="Arial" w:cs="Arial" w:eastAsia="Arial" w:hAnsi="Arial"/>
          <w:sz w:val="17"/>
          <w:szCs w:val="17"/>
          <w:color w:val="auto"/>
        </w:rPr>
        <w:t xml:space="preserve">. Immediately upon the issuance by any Facing Agent of any Letter of Credit, such Facing Agent shall be deemed to have sold and transferred to (i) each Multicurrency Revolving Lender with respect to each Multicurrency Letter of Credit, (ii) each Dollar Revolving Lender with respect to each Dollar Letter of Credit and (iii) each Canadian Revolving Lender with respect to each Canadian Letter of Credit, in each case, other than such Facing Agent (each such Lender, in its capacity under this </w:t>
      </w:r>
      <w:r>
        <w:rPr>
          <w:rFonts w:ascii="Arial" w:cs="Arial" w:eastAsia="Arial" w:hAnsi="Arial"/>
          <w:sz w:val="17"/>
          <w:szCs w:val="17"/>
          <w:u w:val="single" w:color="auto"/>
          <w:color w:val="auto"/>
        </w:rPr>
        <w:t>Section 2.10(e)</w:t>
      </w:r>
      <w:r>
        <w:rPr>
          <w:rFonts w:ascii="Arial" w:cs="Arial" w:eastAsia="Arial" w:hAnsi="Arial"/>
          <w:sz w:val="17"/>
          <w:szCs w:val="17"/>
          <w:color w:val="auto"/>
        </w:rPr>
        <w:t>, an “</w:t>
      </w:r>
      <w:r>
        <w:rPr>
          <w:rFonts w:ascii="Arial" w:cs="Arial" w:eastAsia="Arial" w:hAnsi="Arial"/>
          <w:sz w:val="17"/>
          <w:szCs w:val="17"/>
          <w:u w:val="single" w:color="auto"/>
          <w:color w:val="auto"/>
        </w:rPr>
        <w:t>LC Participant</w:t>
      </w:r>
      <w:r>
        <w:rPr>
          <w:rFonts w:ascii="Arial" w:cs="Arial" w:eastAsia="Arial" w:hAnsi="Arial"/>
          <w:sz w:val="17"/>
          <w:szCs w:val="17"/>
          <w:color w:val="auto"/>
        </w:rPr>
        <w:t xml:space="preserve">”), and each such LC Participant shall be deemed irrevocably and unconditionally to have purchased and received from such Facing Agent, without recourse or warranty, an undivided interest and participation, to the extent of such Revolving Lender’s Multicurrency Revolver Pro Rata Share (with respect to Multicurrency Letters of Credit), such Dollar Revolving Lender’s Dollar Revolver Pro Rata Share (with respect to Dollar Letters of Credit) and such Canadian Revolving Lender’s Canadian Revolver Pro Rata Share (with respect to Canadian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Arial" w:cs="Arial" w:eastAsia="Arial" w:hAnsi="Arial"/>
          <w:sz w:val="17"/>
          <w:szCs w:val="17"/>
          <w:u w:val="single" w:color="auto"/>
          <w:color w:val="auto"/>
        </w:rPr>
        <w:t>Section 2.10(g)</w:t>
      </w:r>
      <w:r>
        <w:rPr>
          <w:rFonts w:ascii="Arial" w:cs="Arial" w:eastAsia="Arial" w:hAnsi="Arial"/>
          <w:sz w:val="17"/>
          <w:szCs w:val="17"/>
          <w:color w:val="auto"/>
        </w:rPr>
        <w:t xml:space="preserve"> and the LC Participants shall have no right to receive any portion of the facing fees), and any security therefor or guaranty pertaining thereto. Upon any change in the Multicurrency Revolving Commitments of the Multicurrency Revolving 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77" w:lineRule="exact"/>
        <w:rPr>
          <w:rFonts w:ascii="Arial" w:cs="Arial" w:eastAsia="Arial" w:hAnsi="Arial"/>
          <w:sz w:val="17"/>
          <w:szCs w:val="17"/>
          <w:color w:val="auto"/>
        </w:rPr>
      </w:pPr>
    </w:p>
    <w:p>
      <w:pPr>
        <w:ind w:firstLine="436"/>
        <w:spacing w:after="0" w:line="268" w:lineRule="auto"/>
        <w:tabs>
          <w:tab w:leader="none" w:pos="66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Draws Upon Letter of Credit; Reimbursement Obligations</w:t>
      </w:r>
      <w:r>
        <w:rPr>
          <w:rFonts w:ascii="Arial" w:cs="Arial" w:eastAsia="Arial" w:hAnsi="Arial"/>
          <w:sz w:val="17"/>
          <w:szCs w:val="17"/>
          <w:color w:val="auto"/>
        </w:rPr>
        <w:t xml:space="preserve">. In the event that any Facing Agent makes any payment under any Letter of Credit issued by it and the applicable Borrower shall not have reimbursed such amount in full to such Facing Agent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 applicable Multicurrency Revolver Pro Rata Share or Canadian Revolver Pro Rata Share, as the case may be, of such payment in Dollars or, in the case of a Letter of Credit denominated in an Alternative Currency or Canadian Dollars, in such Alternative Currency or Canadian Dollars and in same day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or Canadian Dollars, 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240" w:name="page241"/>
    <w:bookmarkEnd w:id="24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 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 Letter of Credit on the day required, as specified above, but no LC Participant shall be responsible for the failure of any other LC Participant to make available to Agent for the account of such Facing Agent such other LC Participant’s applicable Multicurrency Revolver Pro Rata Share or Canadian Revolver Pro Rata Share, as the case may be, of any such payment.</w:t>
      </w:r>
    </w:p>
    <w:p>
      <w:pPr>
        <w:spacing w:after="0" w:line="77" w:lineRule="exact"/>
        <w:rPr>
          <w:sz w:val="20"/>
          <w:szCs w:val="20"/>
          <w:color w:val="auto"/>
        </w:rPr>
      </w:pPr>
    </w:p>
    <w:p>
      <w:pPr>
        <w:ind w:left="440" w:right="200" w:firstLine="419"/>
        <w:spacing w:after="0" w:line="254" w:lineRule="auto"/>
        <w:tabs>
          <w:tab w:leader="none" w:pos="10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Whenever any Facing Agent receives a payment of a reimbursement obligation as to which Administrative Agent has received for the account of such Facing Agent any payments from the LC Participants pursuant to this </w:t>
      </w:r>
      <w:r>
        <w:rPr>
          <w:rFonts w:ascii="Arial" w:cs="Arial" w:eastAsia="Arial" w:hAnsi="Arial"/>
          <w:sz w:val="18"/>
          <w:szCs w:val="18"/>
          <w:u w:val="single" w:color="auto"/>
          <w:color w:val="auto"/>
        </w:rPr>
        <w:t>Section 2.10(f)</w:t>
      </w:r>
      <w:r>
        <w:rPr>
          <w:rFonts w:ascii="Arial" w:cs="Arial" w:eastAsia="Arial" w:hAnsi="Arial"/>
          <w:sz w:val="18"/>
          <w:szCs w:val="18"/>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86" w:lineRule="exact"/>
        <w:rPr>
          <w:rFonts w:ascii="Arial" w:cs="Arial" w:eastAsia="Arial" w:hAnsi="Arial"/>
          <w:sz w:val="18"/>
          <w:szCs w:val="18"/>
          <w:color w:val="auto"/>
        </w:rPr>
      </w:pPr>
    </w:p>
    <w:p>
      <w:pPr>
        <w:ind w:left="440" w:right="300" w:firstLine="419"/>
        <w:spacing w:after="0" w:line="263" w:lineRule="auto"/>
        <w:tabs>
          <w:tab w:leader="none" w:pos="11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75" w:lineRule="exact"/>
        <w:rPr>
          <w:rFonts w:ascii="Arial" w:cs="Arial" w:eastAsia="Arial" w:hAnsi="Arial"/>
          <w:sz w:val="18"/>
          <w:szCs w:val="18"/>
          <w:color w:val="auto"/>
        </w:rPr>
      </w:pPr>
    </w:p>
    <w:p>
      <w:pPr>
        <w:ind w:left="1680" w:hanging="292"/>
        <w:spacing w:after="0"/>
        <w:tabs>
          <w:tab w:leader="none" w:pos="16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Loan Documents;</w:t>
      </w:r>
    </w:p>
    <w:p>
      <w:pPr>
        <w:spacing w:after="0" w:line="117" w:lineRule="exact"/>
        <w:rPr>
          <w:rFonts w:ascii="Arial" w:cs="Arial" w:eastAsia="Arial" w:hAnsi="Arial"/>
          <w:sz w:val="18"/>
          <w:szCs w:val="18"/>
          <w:color w:val="auto"/>
        </w:rPr>
      </w:pPr>
    </w:p>
    <w:p>
      <w:pPr>
        <w:ind w:left="980" w:right="60" w:firstLine="408"/>
        <w:spacing w:after="0" w:line="275" w:lineRule="auto"/>
        <w:tabs>
          <w:tab w:leader="none" w:pos="1666"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68" w:lineRule="exact"/>
        <w:rPr>
          <w:rFonts w:ascii="Arial" w:cs="Arial" w:eastAsia="Arial" w:hAnsi="Arial"/>
          <w:sz w:val="17"/>
          <w:szCs w:val="17"/>
          <w:color w:val="auto"/>
        </w:rPr>
      </w:pPr>
    </w:p>
    <w:p>
      <w:pPr>
        <w:ind w:left="980" w:right="400" w:firstLine="408"/>
        <w:spacing w:after="0" w:line="277" w:lineRule="auto"/>
        <w:tabs>
          <w:tab w:leader="none" w:pos="166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draft, certificate or any other document presented under any Letter of Credit proving to be forged, fraudulent, invalid or insufficient in any respect to any statement therein being untrue or inaccurate in any respect;</w:t>
      </w:r>
    </w:p>
    <w:p>
      <w:pPr>
        <w:spacing w:after="0" w:line="62" w:lineRule="exact"/>
        <w:rPr>
          <w:rFonts w:ascii="Arial" w:cs="Arial" w:eastAsia="Arial" w:hAnsi="Arial"/>
          <w:sz w:val="18"/>
          <w:szCs w:val="18"/>
          <w:color w:val="auto"/>
        </w:rPr>
      </w:pPr>
    </w:p>
    <w:p>
      <w:pPr>
        <w:ind w:left="980" w:right="860" w:firstLine="408"/>
        <w:spacing w:after="0" w:line="277" w:lineRule="auto"/>
        <w:tabs>
          <w:tab w:leader="none" w:pos="1676"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surrender or impairment of any security for the performance or observance of any of the terms of any of the Loan Documents;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4" w:right="479" w:bottom="1440" w:gutter="0" w:footer="0" w:header="0"/>
        </w:sectPr>
      </w:pPr>
    </w:p>
    <w:bookmarkStart w:id="241" w:name="page242"/>
    <w:bookmarkEnd w:id="241"/>
    <w:p>
      <w:pPr>
        <w:ind w:left="1224" w:hanging="272"/>
        <w:spacing w:after="0"/>
        <w:tabs>
          <w:tab w:leader="none" w:pos="1224" w:val="left"/>
        </w:tabs>
        <w:numPr>
          <w:ilvl w:val="2"/>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any Event of Default or Unmatured Event of Default.</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Fees for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60" w:firstLine="419"/>
        <w:spacing w:after="0" w:line="277" w:lineRule="auto"/>
        <w:tabs>
          <w:tab w:leader="none" w:pos="641" w:val="left"/>
        </w:tabs>
        <w:numPr>
          <w:ilvl w:val="1"/>
          <w:numId w:val="97"/>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Facing Agent Fees</w:t>
      </w:r>
      <w:r>
        <w:rPr>
          <w:rFonts w:ascii="Arial" w:cs="Arial" w:eastAsia="Arial" w:hAnsi="Arial"/>
          <w:sz w:val="18"/>
          <w:szCs w:val="18"/>
          <w:color w:val="auto"/>
        </w:rPr>
        <w:t>. The applicable Borrower agrees to pay the following amount to the respective Facing Agent with respect to the Letters of Credit issued by it for the account of any Borrower or any of its Subsidiaries:</w:t>
      </w:r>
    </w:p>
    <w:p>
      <w:pPr>
        <w:spacing w:after="0" w:line="62" w:lineRule="exact"/>
        <w:rPr>
          <w:rFonts w:ascii="Arial" w:cs="Arial" w:eastAsia="Arial" w:hAnsi="Arial"/>
          <w:sz w:val="18"/>
          <w:szCs w:val="18"/>
          <w:u w:val="single" w:color="auto"/>
          <w:color w:val="0000FF"/>
        </w:rPr>
      </w:pPr>
    </w:p>
    <w:p>
      <w:pPr>
        <w:jc w:val="both"/>
        <w:ind w:left="544" w:right="40" w:firstLine="408"/>
        <w:spacing w:after="0" w:line="279" w:lineRule="auto"/>
        <w:tabs>
          <w:tab w:leader="none" w:pos="1239" w:val="left"/>
        </w:tabs>
        <w:numPr>
          <w:ilvl w:val="2"/>
          <w:numId w:val="97"/>
        </w:numPr>
        <w:rPr>
          <w:rFonts w:ascii="Arial" w:cs="Arial" w:eastAsia="Arial" w:hAnsi="Arial"/>
          <w:sz w:val="17"/>
          <w:szCs w:val="17"/>
          <w:u w:val="single" w:color="auto"/>
          <w:color w:val="0000FF"/>
        </w:rPr>
      </w:pPr>
      <w:r>
        <w:rPr>
          <w:rFonts w:ascii="Arial" w:cs="Arial" w:eastAsia="Arial" w:hAnsi="Arial"/>
          <w:sz w:val="17"/>
          <w:szCs w:val="17"/>
          <w:color w:val="auto"/>
        </w:rPr>
        <w:t xml:space="preserve">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at a rate determined in accordance with the terms of </w:t>
      </w:r>
      <w:r>
        <w:rPr>
          <w:rFonts w:ascii="Arial" w:cs="Arial" w:eastAsia="Arial" w:hAnsi="Arial"/>
          <w:sz w:val="17"/>
          <w:szCs w:val="17"/>
          <w:u w:val="single" w:color="auto"/>
          <w:color w:val="auto"/>
        </w:rPr>
        <w:t>Section 2.10(d)(i)</w:t>
      </w:r>
      <w:r>
        <w:rPr>
          <w:rFonts w:ascii="Arial" w:cs="Arial" w:eastAsia="Arial" w:hAnsi="Arial"/>
          <w:sz w:val="17"/>
          <w:szCs w:val="17"/>
          <w:color w:val="auto"/>
        </w:rPr>
        <w:t>;</w:t>
      </w:r>
    </w:p>
    <w:p>
      <w:pPr>
        <w:spacing w:after="0" w:line="63" w:lineRule="exact"/>
        <w:rPr>
          <w:rFonts w:ascii="Arial" w:cs="Arial" w:eastAsia="Arial" w:hAnsi="Arial"/>
          <w:sz w:val="17"/>
          <w:szCs w:val="17"/>
          <w:u w:val="single" w:color="auto"/>
          <w:color w:val="0000FF"/>
        </w:rPr>
      </w:pPr>
    </w:p>
    <w:p>
      <w:pPr>
        <w:ind w:left="544" w:right="600" w:firstLine="408"/>
        <w:spacing w:after="0" w:line="263" w:lineRule="auto"/>
        <w:tabs>
          <w:tab w:leader="none" w:pos="1229" w:val="left"/>
        </w:tabs>
        <w:numPr>
          <w:ilvl w:val="2"/>
          <w:numId w:val="97"/>
        </w:numPr>
        <w:rPr>
          <w:rFonts w:ascii="Arial" w:cs="Arial" w:eastAsia="Arial" w:hAnsi="Arial"/>
          <w:sz w:val="18"/>
          <w:szCs w:val="18"/>
          <w:u w:val="single" w:color="auto"/>
          <w:color w:val="0000FF"/>
        </w:rPr>
      </w:pPr>
      <w:r>
        <w:rPr>
          <w:rFonts w:ascii="Arial" w:cs="Arial" w:eastAsia="Arial" w:hAnsi="Arial"/>
          <w:sz w:val="18"/>
          <w:szCs w:val="18"/>
          <w:color w:val="auto"/>
        </w:rPr>
        <w:t>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75" w:lineRule="exact"/>
        <w:rPr>
          <w:rFonts w:ascii="Arial" w:cs="Arial" w:eastAsia="Arial" w:hAnsi="Arial"/>
          <w:sz w:val="18"/>
          <w:szCs w:val="18"/>
          <w:u w:val="single" w:color="auto"/>
          <w:color w:val="0000FF"/>
        </w:rPr>
      </w:pPr>
    </w:p>
    <w:p>
      <w:pPr>
        <w:ind w:left="544" w:firstLine="408"/>
        <w:spacing w:after="0" w:line="301" w:lineRule="auto"/>
        <w:tabs>
          <w:tab w:leader="none" w:pos="1229" w:val="left"/>
        </w:tabs>
        <w:numPr>
          <w:ilvl w:val="2"/>
          <w:numId w:val="97"/>
        </w:numPr>
        <w:rPr>
          <w:rFonts w:ascii="Arial" w:cs="Arial" w:eastAsia="Arial" w:hAnsi="Arial"/>
          <w:sz w:val="16"/>
          <w:szCs w:val="16"/>
          <w:u w:val="single" w:color="auto"/>
          <w:color w:val="0000FF"/>
        </w:rPr>
      </w:pPr>
      <w:r>
        <w:rPr>
          <w:rFonts w:ascii="Arial" w:cs="Arial" w:eastAsia="Arial" w:hAnsi="Arial"/>
          <w:sz w:val="16"/>
          <w:szCs w:val="16"/>
          <w:color w:val="auto"/>
        </w:rPr>
        <w:t xml:space="preserve">a facing fee equal to one-eighth of one percent (0.125%) per annum of the Stated Amount outstanding and undrawn LC Obligations payable in arrears on each Quarterly Payment Date and on the Revolver Termination Date for the Multicurrency Revolving Facility or the Canadian Revolver Termination Date for the Canadian Revolving Facility, as applicable, and thereafter, on demand together with customary issuance and payment charges;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minimum fee of $500.00 per annum shall be payable per Letter of Credit.</w:t>
      </w:r>
    </w:p>
    <w:p>
      <w:pPr>
        <w:spacing w:after="0" w:line="49" w:lineRule="exact"/>
        <w:rPr>
          <w:rFonts w:ascii="Arial" w:cs="Arial" w:eastAsia="Arial" w:hAnsi="Arial"/>
          <w:sz w:val="16"/>
          <w:szCs w:val="16"/>
          <w:u w:val="single" w:color="auto"/>
          <w:color w:val="0000FF"/>
        </w:rPr>
      </w:pPr>
    </w:p>
    <w:p>
      <w:pPr>
        <w:ind w:left="4" w:right="20" w:firstLine="419"/>
        <w:spacing w:after="0" w:line="284" w:lineRule="auto"/>
        <w:tabs>
          <w:tab w:leader="none" w:pos="691" w:val="left"/>
        </w:tabs>
        <w:numPr>
          <w:ilvl w:val="1"/>
          <w:numId w:val="97"/>
        </w:numPr>
        <w:rPr>
          <w:rFonts w:ascii="Arial" w:cs="Arial" w:eastAsia="Arial" w:hAnsi="Arial"/>
          <w:sz w:val="16"/>
          <w:szCs w:val="16"/>
          <w:u w:val="single" w:color="auto"/>
          <w:color w:val="0000FF"/>
        </w:rPr>
      </w:pPr>
      <w:r>
        <w:rPr>
          <w:rFonts w:ascii="Arial" w:cs="Arial" w:eastAsia="Arial" w:hAnsi="Arial"/>
          <w:sz w:val="16"/>
          <w:szCs w:val="16"/>
          <w:u w:val="single" w:color="auto"/>
          <w:color w:val="auto"/>
        </w:rPr>
        <w:t>Participating Lender Fees</w:t>
      </w:r>
      <w:r>
        <w:rPr>
          <w:rFonts w:ascii="Arial" w:cs="Arial" w:eastAsia="Arial" w:hAnsi="Arial"/>
          <w:sz w:val="16"/>
          <w:szCs w:val="16"/>
          <w:color w:val="auto"/>
        </w:rPr>
        <w:t xml:space="preserve">. Each Borrower agrees to pay to Administrative Agent or the Canadian Administrative Agent, in the case of Canadian Borrower,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w:t>
      </w:r>
      <w:r>
        <w:rPr>
          <w:rFonts w:ascii="Arial" w:cs="Arial" w:eastAsia="Arial" w:hAnsi="Arial"/>
          <w:sz w:val="16"/>
          <w:szCs w:val="16"/>
          <w:u w:val="single" w:color="auto"/>
          <w:color w:val="0000FF"/>
        </w:rPr>
        <w:t>Adjusted Term SOFR Margin,</w:t>
      </w:r>
      <w:r>
        <w:rPr>
          <w:rFonts w:ascii="Arial" w:cs="Arial" w:eastAsia="Arial" w:hAnsi="Arial"/>
          <w:sz w:val="16"/>
          <w:szCs w:val="16"/>
          <w:color w:val="auto"/>
        </w:rPr>
        <w:t xml:space="preserve"> Eurocurrency Margin </w:t>
      </w:r>
      <w:r>
        <w:rPr>
          <w:rFonts w:ascii="Arial" w:cs="Arial" w:eastAsia="Arial" w:hAnsi="Arial"/>
          <w:sz w:val="16"/>
          <w:szCs w:val="16"/>
          <w:u w:val="single" w:color="auto"/>
          <w:color w:val="0000FF"/>
        </w:rPr>
        <w:t>or RFR Margin, as applicable,</w:t>
      </w:r>
      <w:r>
        <w:rPr>
          <w:rFonts w:ascii="Arial" w:cs="Arial" w:eastAsia="Arial" w:hAnsi="Arial"/>
          <w:sz w:val="16"/>
          <w:szCs w:val="16"/>
          <w:color w:val="auto"/>
        </w:rPr>
        <w:t xml:space="preserve"> for Multicurrency Revolving Loans with respect to the Effective Amount under such outstanding Letters of Credit (the “</w:t>
      </w:r>
      <w:r>
        <w:rPr>
          <w:rFonts w:ascii="Arial" w:cs="Arial" w:eastAsia="Arial" w:hAnsi="Arial"/>
          <w:sz w:val="16"/>
          <w:szCs w:val="16"/>
          <w:u w:val="single" w:color="auto"/>
          <w:color w:val="auto"/>
        </w:rPr>
        <w:t>Multicurrency LC Commission</w:t>
      </w:r>
      <w:r>
        <w:rPr>
          <w:rFonts w:ascii="Arial" w:cs="Arial" w:eastAsia="Arial" w:hAnsi="Arial"/>
          <w:sz w:val="16"/>
          <w:szCs w:val="16"/>
          <w:color w:val="auto"/>
        </w:rPr>
        <w:t>”) payable in arrears on each Quarterly Payment Date, on the Revolver Termination Date for the Multicurrency Revolving Facility and thereafter, on demand,</w:t>
      </w:r>
    </w:p>
    <w:p>
      <w:pPr>
        <w:spacing w:after="0" w:line="4" w:lineRule="exact"/>
        <w:rPr>
          <w:rFonts w:ascii="Arial" w:cs="Arial" w:eastAsia="Arial" w:hAnsi="Arial"/>
          <w:sz w:val="16"/>
          <w:szCs w:val="16"/>
          <w:u w:val="single" w:color="auto"/>
          <w:color w:val="0000FF"/>
        </w:rPr>
      </w:pPr>
    </w:p>
    <w:p>
      <w:pPr>
        <w:ind w:left="4"/>
        <w:spacing w:after="0" w:line="28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(B) in respect of all Dollar Letters of Credit issued for the account of such Borrower outstanding such Lender’s Dollar Revolver Pro Rata Share of a commission equal to the then Applicable </w:t>
      </w:r>
      <w:r>
        <w:rPr>
          <w:rFonts w:ascii="Arial" w:cs="Arial" w:eastAsia="Arial" w:hAnsi="Arial"/>
          <w:sz w:val="16"/>
          <w:szCs w:val="16"/>
          <w:color w:val="FF0000"/>
          <w:strike w:val="1"/>
        </w:rPr>
        <w:t>Base Rate</w:t>
      </w:r>
      <w:r>
        <w:rPr>
          <w:rFonts w:ascii="Arial" w:cs="Arial" w:eastAsia="Arial" w:hAnsi="Arial"/>
          <w:sz w:val="16"/>
          <w:szCs w:val="16"/>
          <w:u w:val="single" w:color="auto"/>
          <w:color w:val="0000FF"/>
        </w:rPr>
        <w:t>Adjusted Term SOFR</w:t>
      </w:r>
      <w:r>
        <w:rPr>
          <w:rFonts w:ascii="Arial" w:cs="Arial" w:eastAsia="Arial" w:hAnsi="Arial"/>
          <w:sz w:val="16"/>
          <w:szCs w:val="16"/>
          <w:color w:val="auto"/>
        </w:rPr>
        <w:t xml:space="preserve"> Margin for Dollar Revolving Loans with respect to the Effective Amount under such outstanding Letters of Credit (the “</w:t>
      </w:r>
      <w:r>
        <w:rPr>
          <w:rFonts w:ascii="Arial" w:cs="Arial" w:eastAsia="Arial" w:hAnsi="Arial"/>
          <w:sz w:val="16"/>
          <w:szCs w:val="16"/>
          <w:u w:val="single" w:color="auto"/>
          <w:color w:val="auto"/>
        </w:rPr>
        <w:t>Dollar LC Commission</w:t>
      </w:r>
      <w:r>
        <w:rPr>
          <w:rFonts w:ascii="Arial" w:cs="Arial" w:eastAsia="Arial" w:hAnsi="Arial"/>
          <w:sz w:val="16"/>
          <w:szCs w:val="16"/>
          <w:color w:val="auto"/>
        </w:rPr>
        <w:t>”) and (C) in respect of all Canadian Letters of Credit issued for the account of such Borrower outstanding such Lender’s Canadian Revolver Pro Rata Share of a commission equal to the then Applicable B/A Margin for Canadian Revolving Loans with respect to the Effective Amount under such outstanding Letters of Credit (the “</w:t>
      </w:r>
      <w:r>
        <w:rPr>
          <w:rFonts w:ascii="Arial" w:cs="Arial" w:eastAsia="Arial" w:hAnsi="Arial"/>
          <w:sz w:val="16"/>
          <w:szCs w:val="16"/>
          <w:u w:val="single" w:color="auto"/>
          <w:color w:val="auto"/>
        </w:rPr>
        <w:t>Canadian LC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Commission</w:t>
      </w:r>
      <w:r>
        <w:rPr>
          <w:rFonts w:ascii="Arial" w:cs="Arial" w:eastAsia="Arial" w:hAnsi="Arial"/>
          <w:sz w:val="16"/>
          <w:szCs w:val="16"/>
          <w:color w:val="auto"/>
        </w:rPr>
        <w:t>”) payable in arrears on each Quarterly Payment Date, on the Canadian Revolver Termination Date and thereafter, on demand. Each of the Multicurrency LC Commission, the Dollar LC Commission and the Canadian LC Commission shall be computed on a daily basis from the first day of issuance of each Letter of Credit and on the basis of the actual number of days elapsed over a year of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-3851910</wp:posOffset>
            </wp:positionV>
            <wp:extent cx="13716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-3509010</wp:posOffset>
            </wp:positionV>
            <wp:extent cx="18859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-2891790</wp:posOffset>
            </wp:positionV>
            <wp:extent cx="18034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-2411730</wp:posOffset>
            </wp:positionV>
            <wp:extent cx="18034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-1794510</wp:posOffset>
            </wp:positionV>
            <wp:extent cx="13716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-1383030</wp:posOffset>
            </wp:positionV>
            <wp:extent cx="138874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-1383030</wp:posOffset>
            </wp:positionV>
            <wp:extent cx="13798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-834390</wp:posOffset>
            </wp:positionV>
            <wp:extent cx="99441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544"/>
          </w:cols>
          <w:pgMar w:left="876" w:top="274" w:right="479" w:bottom="1440" w:gutter="0" w:footer="0" w:header="0"/>
        </w:sectPr>
      </w:pPr>
    </w:p>
    <w:bookmarkStart w:id="242" w:name="page243"/>
    <w:bookmarkEnd w:id="242"/>
    <w:p>
      <w:pPr>
        <w:ind w:left="4"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upon receipt by the respective Facing Agent or Administrative Agent or the Canadian Administrative Agent, in the case of Canadian Borrower, of any amount described in </w:t>
      </w:r>
      <w:r>
        <w:rPr>
          <w:rFonts w:ascii="Arial" w:cs="Arial" w:eastAsia="Arial" w:hAnsi="Arial"/>
          <w:sz w:val="18"/>
          <w:szCs w:val="18"/>
          <w:u w:val="single" w:color="auto"/>
          <w:color w:val="auto"/>
        </w:rPr>
        <w:t>clause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such Facing Agent or Administrative Agent or the Canadian Administrative Agent, in the case of Canadian Borrower, shall distribute to each Lender that has reimbursed such Facing Agent in accordance with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its Multicurrency Revolver Pro Rata Share or Canadian Revolver Pro Rata Share of such amount. Amounts payable under </w:t>
      </w:r>
      <w:r>
        <w:rPr>
          <w:rFonts w:ascii="Arial" w:cs="Arial" w:eastAsia="Arial" w:hAnsi="Arial"/>
          <w:sz w:val="18"/>
          <w:szCs w:val="18"/>
          <w:u w:val="single" w:color="auto"/>
          <w:color w:val="auto"/>
        </w:rPr>
        <w:t>clauses (i)(B)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shall be paid directly to such Facing Agent.</w:t>
      </w:r>
    </w:p>
    <w:p>
      <w:pPr>
        <w:spacing w:after="0" w:line="80" w:lineRule="exact"/>
        <w:rPr>
          <w:sz w:val="20"/>
          <w:szCs w:val="20"/>
          <w:color w:val="auto"/>
        </w:rPr>
      </w:pPr>
    </w:p>
    <w:p>
      <w:pPr>
        <w:ind w:left="4" w:right="80" w:firstLine="436"/>
        <w:spacing w:after="0" w:line="287" w:lineRule="auto"/>
        <w:tabs>
          <w:tab w:leader="none" w:pos="699"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issuance of the Letters of Credit, other than as a result of the gross negligence or willful misconduct as determined by a final and non-appealable judgment rendered by a court of competent jurisdiction of the applicable 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6"/>
          <w:szCs w:val="16"/>
          <w:u w:val="single" w:color="auto"/>
          <w:color w:val="auto"/>
        </w:rPr>
        <w:t>Government Acts</w:t>
      </w:r>
      <w:r>
        <w:rPr>
          <w:rFonts w:ascii="Arial" w:cs="Arial" w:eastAsia="Arial" w:hAnsi="Arial"/>
          <w:sz w:val="16"/>
          <w:szCs w:val="16"/>
          <w:color w:val="auto"/>
        </w:rPr>
        <w:t xml:space="preserve">”).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 (ii) 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Arial" w:cs="Arial" w:eastAsia="Arial" w:hAnsi="Arial"/>
          <w:sz w:val="16"/>
          <w:szCs w:val="16"/>
          <w:u w:val="single" w:color="auto"/>
          <w:color w:val="auto"/>
        </w:rPr>
        <w:t>Section 2.10(h)</w:t>
      </w:r>
      <w:r>
        <w:rPr>
          <w:rFonts w:ascii="Arial" w:cs="Arial" w:eastAsia="Arial" w:hAnsi="Arial"/>
          <w:sz w:val="16"/>
          <w:szCs w:val="16"/>
          <w:color w:val="auto"/>
        </w:rPr>
        <w:t xml:space="preserve"> shall not apply to Taxes, except any Taxes that represent claims, demands, liabilities, damages, losses, costs, charges and expenses arising from any non-Tax claim.</w:t>
      </w:r>
    </w:p>
    <w:p>
      <w:pPr>
        <w:spacing w:after="0" w:line="171"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187"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Arial" w:cs="Arial" w:eastAsia="Arial" w:hAnsi="Arial"/>
          <w:sz w:val="18"/>
          <w:szCs w:val="18"/>
          <w:u w:val="single" w:color="auto"/>
          <w:color w:val="auto"/>
        </w:rPr>
        <w:t>Section 2.10(h)</w:t>
      </w:r>
      <w:r>
        <w:rPr>
          <w:rFonts w:ascii="Arial" w:cs="Arial" w:eastAsia="Arial" w:hAnsi="Arial"/>
          <w:sz w:val="18"/>
          <w:szCs w:val="18"/>
          <w:color w:val="auto"/>
        </w:rPr>
        <w:t xml:space="preserve"> shall not prejudice any rights that any Borrower may otherwise have against each Facing Agent with respect to a Letter of Credit issued hereunder.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4"/>
          </w:cols>
          <w:pgMar w:left="436" w:top="274" w:right="459" w:bottom="1440" w:gutter="0" w:footer="0" w:header="0"/>
        </w:sectPr>
      </w:pPr>
    </w:p>
    <w:bookmarkStart w:id="243" w:name="page244"/>
    <w:bookmarkEnd w:id="243"/>
    <w:p>
      <w:pPr>
        <w:ind w:left="664" w:hanging="224"/>
        <w:spacing w:after="0"/>
        <w:tabs>
          <w:tab w:leader="none" w:pos="664"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Increased Costs</w:t>
      </w:r>
      <w:r>
        <w:rPr>
          <w:rFonts w:ascii="Arial" w:cs="Arial" w:eastAsia="Arial" w:hAnsi="Arial"/>
          <w:sz w:val="16"/>
          <w:szCs w:val="16"/>
          <w:color w:val="auto"/>
        </w:rPr>
        <w:t xml:space="preserve">. If at any time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any Change in Law shall</w:t>
      </w:r>
    </w:p>
    <w:p>
      <w:pPr>
        <w:spacing w:after="0" w:line="46" w:lineRule="exact"/>
        <w:rPr>
          <w:rFonts w:ascii="Arial" w:cs="Arial" w:eastAsia="Arial" w:hAnsi="Arial"/>
          <w:sz w:val="16"/>
          <w:szCs w:val="16"/>
          <w:color w:val="auto"/>
        </w:rPr>
      </w:pPr>
    </w:p>
    <w:p>
      <w:pPr>
        <w:ind w:left="4" w:hanging="4"/>
        <w:spacing w:after="0" w:line="266" w:lineRule="auto"/>
        <w:tabs>
          <w:tab w:leader="none" w:pos="21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impose, modify or make applicable any reserve, deposit, capital adequacy or similar requirement against letters of credit issued by any Facing Agent or participated in by any Lender, (ii) subject any Recipient to any Taxes (other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 Borrower by the 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Arial" w:cs="Arial" w:eastAsia="Arial" w:hAnsi="Arial"/>
          <w:sz w:val="17"/>
          <w:szCs w:val="17"/>
          <w:u w:val="single" w:color="auto"/>
          <w:color w:val="auto"/>
        </w:rPr>
        <w:t>Section 2.10(i)</w:t>
      </w:r>
      <w:r>
        <w:rPr>
          <w:rFonts w:ascii="Arial" w:cs="Arial" w:eastAsia="Arial" w:hAnsi="Arial"/>
          <w:sz w:val="17"/>
          <w:szCs w:val="17"/>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Arial" w:cs="Arial" w:eastAsia="Arial" w:hAnsi="Arial"/>
          <w:sz w:val="17"/>
          <w:szCs w:val="17"/>
          <w:u w:val="single" w:color="auto"/>
          <w:color w:val="auto"/>
        </w:rPr>
        <w:t>Section 2.10(i)</w:t>
      </w:r>
      <w:r>
        <w:rPr>
          <w:rFonts w:ascii="Arial" w:cs="Arial" w:eastAsia="Arial" w:hAnsi="Arial"/>
          <w:sz w:val="17"/>
          <w:szCs w:val="17"/>
          <w:color w:val="auto"/>
        </w:rPr>
        <w:t xml:space="preserve">. The certificate required to be delivered pursuant to this </w:t>
      </w:r>
      <w:r>
        <w:rPr>
          <w:rFonts w:ascii="Arial" w:cs="Arial" w:eastAsia="Arial" w:hAnsi="Arial"/>
          <w:sz w:val="17"/>
          <w:szCs w:val="17"/>
          <w:u w:val="single" w:color="auto"/>
          <w:color w:val="auto"/>
        </w:rPr>
        <w:t>Section 2.10(i)</w:t>
      </w:r>
      <w:r>
        <w:rPr>
          <w:rFonts w:ascii="Arial" w:cs="Arial" w:eastAsia="Arial" w:hAnsi="Arial"/>
          <w:sz w:val="17"/>
          <w:szCs w:val="17"/>
          <w:color w:val="auto"/>
        </w:rPr>
        <w:t xml:space="preserve"> shall, absent manifest error, be final, conclusive and binding on the Credit Parties.</w:t>
      </w:r>
    </w:p>
    <w:p>
      <w:pPr>
        <w:spacing w:after="0" w:line="83" w:lineRule="exact"/>
        <w:rPr>
          <w:rFonts w:ascii="Arial" w:cs="Arial" w:eastAsia="Arial" w:hAnsi="Arial"/>
          <w:sz w:val="17"/>
          <w:szCs w:val="17"/>
          <w:color w:val="auto"/>
        </w:rPr>
      </w:pPr>
    </w:p>
    <w:p>
      <w:pPr>
        <w:ind w:left="664" w:hanging="224"/>
        <w:spacing w:after="0"/>
        <w:tabs>
          <w:tab w:leader="none" w:pos="664"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The letters of credit set forth under the caption “Letters of Credit outstanding on the Effective Date” on </w:t>
      </w:r>
      <w:r>
        <w:rPr>
          <w:rFonts w:ascii="Arial" w:cs="Arial" w:eastAsia="Arial" w:hAnsi="Arial"/>
          <w:sz w:val="17"/>
          <w:szCs w:val="17"/>
          <w:u w:val="single" w:color="auto"/>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-2369185</wp:posOffset>
            </wp:positionV>
            <wp:extent cx="6032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-2369185</wp:posOffset>
            </wp:positionV>
            <wp:extent cx="22288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 w:lineRule="exact"/>
        <w:rPr>
          <w:sz w:val="20"/>
          <w:szCs w:val="20"/>
          <w:color w:val="auto"/>
        </w:rPr>
      </w:pPr>
    </w:p>
    <w:p>
      <w:pPr>
        <w:ind w:left="4" w:right="40"/>
        <w:spacing w:after="0" w:line="252" w:lineRule="auto"/>
        <w:rPr>
          <w:sz w:val="20"/>
          <w:szCs w:val="20"/>
          <w:color w:val="auto"/>
        </w:rPr>
      </w:pPr>
      <w:r>
        <w:rPr>
          <w:rFonts w:ascii="Arial" w:cs="Arial" w:eastAsia="Arial" w:hAnsi="Arial"/>
          <w:sz w:val="18"/>
          <w:szCs w:val="18"/>
          <w:u w:val="single" w:color="auto"/>
          <w:color w:val="auto"/>
        </w:rPr>
        <w:t>2.10(j)</w:t>
      </w:r>
      <w:r>
        <w:rPr>
          <w:rFonts w:ascii="Arial" w:cs="Arial" w:eastAsia="Arial" w:hAnsi="Arial"/>
          <w:sz w:val="18"/>
          <w:szCs w:val="18"/>
          <w:color w:val="auto"/>
        </w:rPr>
        <w:t xml:space="preserve"> annexed hereto and made a part hereof which were issued pursuant to the Existing Credit Agreement and which remain outstanding as of the Effective Date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Arial" w:cs="Arial" w:eastAsia="Arial" w:hAnsi="Arial"/>
          <w:sz w:val="18"/>
          <w:szCs w:val="18"/>
          <w:u w:val="single" w:color="auto"/>
          <w:color w:val="auto"/>
        </w:rPr>
        <w:t>Schedule 2.10(j)</w:t>
      </w:r>
      <w:r>
        <w:rPr>
          <w:rFonts w:ascii="Arial" w:cs="Arial" w:eastAsia="Arial" w:hAnsi="Arial"/>
          <w:sz w:val="18"/>
          <w:szCs w:val="18"/>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8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Pro Rata Borrowings</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Section 2A.9(e)</w:t>
      </w:r>
      <w:r>
        <w:rPr>
          <w:rFonts w:ascii="Arial" w:cs="Arial" w:eastAsia="Arial" w:hAnsi="Arial"/>
          <w:sz w:val="18"/>
          <w:szCs w:val="18"/>
          <w:color w:val="auto"/>
        </w:rPr>
        <w:t xml:space="preserve">, Borrowings of Loans under this Agreement shall be loaned by the applicable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Reallocation of Defaulting Lender Commitment, Etc</w:t>
      </w:r>
      <w:r>
        <w:rPr>
          <w:rFonts w:ascii="Arial" w:cs="Arial" w:eastAsia="Arial" w:hAnsi="Arial"/>
          <w:sz w:val="17"/>
          <w:szCs w:val="17"/>
          <w:color w:val="auto"/>
        </w:rPr>
        <w:t>. If a Lender becomes, and during the period it remains, a Defaulting Lender, the</w:t>
      </w:r>
    </w:p>
    <w:p>
      <w:pPr>
        <w:spacing w:after="0" w:line="34" w:lineRule="exact"/>
        <w:rPr>
          <w:rFonts w:ascii="Arial" w:cs="Arial" w:eastAsia="Arial" w:hAnsi="Arial"/>
          <w:sz w:val="17"/>
          <w:szCs w:val="17"/>
          <w:color w:val="auto"/>
        </w:rPr>
      </w:pPr>
    </w:p>
    <w:p>
      <w:pPr>
        <w:ind w:left="4" w:right="20"/>
        <w:spacing w:after="0" w:line="260" w:lineRule="auto"/>
        <w:rPr>
          <w:rFonts w:ascii="Arial" w:cs="Arial" w:eastAsia="Arial" w:hAnsi="Arial"/>
          <w:sz w:val="17"/>
          <w:szCs w:val="17"/>
          <w:color w:val="auto"/>
        </w:rPr>
      </w:pPr>
      <w:r>
        <w:rPr>
          <w:rFonts w:ascii="Arial" w:cs="Arial" w:eastAsia="Arial" w:hAnsi="Arial"/>
          <w:sz w:val="18"/>
          <w:szCs w:val="18"/>
          <w:color w:val="auto"/>
        </w:rPr>
        <w:t>following provisions shall apply with respect to any outstanding Letter of Credit Exposure and any outstanding Swing Line Exposure of such Defaulting Lender: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4"/>
          </w:cols>
          <w:pgMar w:left="436" w:top="274" w:right="459" w:bottom="1440" w:gutter="0" w:footer="0" w:header="0"/>
        </w:sectPr>
      </w:pPr>
    </w:p>
    <w:bookmarkStart w:id="244" w:name="page245"/>
    <w:bookmarkEnd w:id="244"/>
    <w:p>
      <w:pPr>
        <w:ind w:left="444" w:right="20" w:firstLine="419"/>
        <w:spacing w:after="0" w:line="269" w:lineRule="auto"/>
        <w:tabs>
          <w:tab w:leader="none" w:pos="10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Revolving Commitments under the applicable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after giving effect to such reallocation, (x) 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Canadian Revolving Credit Exposure may not in any event exceed the Canadian Revolving Commitment of such Non-Defaulting Lender as in effect at the time of such reallocation and (b) subject to </w:t>
      </w:r>
      <w:r>
        <w:rPr>
          <w:rFonts w:ascii="Arial" w:cs="Arial" w:eastAsia="Arial" w:hAnsi="Arial"/>
          <w:sz w:val="17"/>
          <w:szCs w:val="17"/>
          <w:u w:val="single" w:color="auto"/>
          <w:color w:val="auto"/>
        </w:rPr>
        <w:t>Section 12.20</w:t>
      </w:r>
      <w:r>
        <w:rPr>
          <w:rFonts w:ascii="Arial" w:cs="Arial" w:eastAsia="Arial" w:hAnsi="Arial"/>
          <w:sz w:val="17"/>
          <w:szCs w:val="17"/>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70" w:lineRule="exact"/>
        <w:rPr>
          <w:rFonts w:ascii="Arial" w:cs="Arial" w:eastAsia="Arial" w:hAnsi="Arial"/>
          <w:sz w:val="17"/>
          <w:szCs w:val="17"/>
          <w:color w:val="auto"/>
        </w:rPr>
      </w:pPr>
    </w:p>
    <w:p>
      <w:pPr>
        <w:ind w:left="444" w:firstLine="419"/>
        <w:spacing w:after="0" w:line="287" w:lineRule="auto"/>
        <w:tabs>
          <w:tab w:leader="none" w:pos="113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to the extent that any portion (the “</w:t>
      </w:r>
      <w:r>
        <w:rPr>
          <w:rFonts w:ascii="Arial" w:cs="Arial" w:eastAsia="Arial" w:hAnsi="Arial"/>
          <w:sz w:val="16"/>
          <w:szCs w:val="16"/>
          <w:u w:val="single" w:color="auto"/>
          <w:color w:val="auto"/>
        </w:rPr>
        <w:t>Unreallocated Portion</w:t>
      </w:r>
      <w:r>
        <w:rPr>
          <w:rFonts w:ascii="Arial" w:cs="Arial" w:eastAsia="Arial" w:hAnsi="Arial"/>
          <w:sz w:val="16"/>
          <w:szCs w:val="16"/>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w:t>
      </w:r>
    </w:p>
    <w:p>
      <w:pPr>
        <w:spacing w:after="0" w:line="2" w:lineRule="exact"/>
        <w:rPr>
          <w:rFonts w:ascii="Arial" w:cs="Arial" w:eastAsia="Arial" w:hAnsi="Arial"/>
          <w:sz w:val="16"/>
          <w:szCs w:val="16"/>
          <w:color w:val="auto"/>
        </w:rPr>
      </w:pPr>
    </w:p>
    <w:p>
      <w:pPr>
        <w:ind w:left="444" w:right="60" w:hanging="4"/>
        <w:spacing w:after="0" w:line="253" w:lineRule="auto"/>
        <w:tabs>
          <w:tab w:leader="none" w:pos="68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cash collateralize the obligations of 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84" w:lineRule="exact"/>
        <w:rPr>
          <w:rFonts w:ascii="Arial" w:cs="Arial" w:eastAsia="Arial" w:hAnsi="Arial"/>
          <w:sz w:val="18"/>
          <w:szCs w:val="18"/>
          <w:color w:val="auto"/>
        </w:rPr>
      </w:pPr>
    </w:p>
    <w:p>
      <w:pPr>
        <w:ind w:left="704" w:hanging="264"/>
        <w:spacing w:after="0"/>
        <w:tabs>
          <w:tab w:leader="none" w:pos="70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7"/>
          <w:szCs w:val="17"/>
          <w:color w:val="auto"/>
        </w:rPr>
        <w:t xml:space="preserve">Anything herein to the contrary notwithstanding, during such period as a Lender is a Defaulting Lender, such Defaulting Lender will not be entitled to any Commitment Fee accruing during such period pursuant to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the Borrowers shall no longer be required to pay the portion of the Commitment Fee accruing during such period that would have been payable to such Defaulting Lender.</w:t>
      </w:r>
    </w:p>
    <w:p>
      <w:pPr>
        <w:spacing w:after="0" w:line="165"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that all or a portion of the Letter of Credit Exposure of a Defaulting Lender is reallocated to the Non-Defaulting Lenders pursuant to </w:t>
      </w:r>
      <w:r>
        <w:rPr>
          <w:rFonts w:ascii="Arial" w:cs="Arial" w:eastAsia="Arial" w:hAnsi="Arial"/>
          <w:sz w:val="16"/>
          <w:szCs w:val="16"/>
          <w:u w:val="single" w:color="auto"/>
          <w:color w:val="auto"/>
        </w:rPr>
        <w:t>Section 2.12(a)(i)</w:t>
      </w:r>
      <w:r>
        <w:rPr>
          <w:rFonts w:ascii="Arial" w:cs="Arial" w:eastAsia="Arial" w:hAnsi="Arial"/>
          <w:sz w:val="16"/>
          <w:szCs w:val="16"/>
          <w:color w:val="auto"/>
        </w:rPr>
        <w:t xml:space="preserve">,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Commitments, and</w:t>
      </w:r>
    </w:p>
    <w:p>
      <w:pPr>
        <w:spacing w:after="0" w:line="2" w:lineRule="exact"/>
        <w:rPr>
          <w:sz w:val="20"/>
          <w:szCs w:val="20"/>
          <w:color w:val="auto"/>
        </w:rPr>
      </w:pPr>
    </w:p>
    <w:p>
      <w:pPr>
        <w:ind w:left="4" w:right="200" w:hanging="4"/>
        <w:spacing w:after="0" w:line="260" w:lineRule="auto"/>
        <w:tabs>
          <w:tab w:leader="none" w:pos="25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any portion of such Letter of Credit Exposure cannot be so reallocated, such Letter of Credit fees will instead accrue for the benefit of and be payable to the Facing Agents based on their pro rata share of the undrawn face amount of Letters of</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4"/>
          </w:cols>
          <w:pgMar w:left="436" w:top="274" w:right="439" w:bottom="1440" w:gutter="0" w:footer="0" w:header="0"/>
        </w:sectPr>
      </w:pPr>
    </w:p>
    <w:bookmarkStart w:id="245" w:name="page246"/>
    <w:bookmarkEnd w:id="245"/>
    <w:p>
      <w:pPr>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and so long as the Borrowers shall have cash collateralized Letter of Credit Exposure of a Defaulting Lender as required pursuant to </w:t>
      </w:r>
      <w:r>
        <w:rPr>
          <w:rFonts w:ascii="Arial" w:cs="Arial" w:eastAsia="Arial" w:hAnsi="Arial"/>
          <w:sz w:val="18"/>
          <w:szCs w:val="18"/>
          <w:u w:val="single" w:color="auto"/>
          <w:color w:val="auto"/>
        </w:rPr>
        <w:t>Section 2.12(a)(ii)</w:t>
      </w:r>
      <w:r>
        <w:rPr>
          <w:rFonts w:ascii="Arial" w:cs="Arial" w:eastAsia="Arial" w:hAnsi="Arial"/>
          <w:sz w:val="18"/>
          <w:szCs w:val="18"/>
          <w:color w:val="auto"/>
        </w:rPr>
        <w:t>, then the Borrower shall no longer be required to pay Letter of Credit fees in respect of such cash collateralized amounts in respect of the Letter of Credit Exposure of such Defaulting Lender.</w:t>
      </w:r>
    </w:p>
    <w:p>
      <w:pPr>
        <w:spacing w:after="0" w:line="76" w:lineRule="exact"/>
        <w:rPr>
          <w:sz w:val="20"/>
          <w:szCs w:val="20"/>
          <w:color w:val="auto"/>
        </w:rPr>
      </w:pPr>
    </w:p>
    <w:p>
      <w:pPr>
        <w:ind w:left="4" w:firstLine="436"/>
        <w:spacing w:after="0" w:line="271" w:lineRule="auto"/>
        <w:tabs>
          <w:tab w:leader="none" w:pos="689"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Termination of Defaulting Lender Commitment</w:t>
      </w:r>
      <w:r>
        <w:rPr>
          <w:rFonts w:ascii="Arial" w:cs="Arial" w:eastAsia="Arial" w:hAnsi="Arial"/>
          <w:sz w:val="17"/>
          <w:szCs w:val="17"/>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70" w:lineRule="exact"/>
        <w:rPr>
          <w:rFonts w:ascii="Arial" w:cs="Arial" w:eastAsia="Arial" w:hAnsi="Arial"/>
          <w:sz w:val="17"/>
          <w:szCs w:val="17"/>
          <w:color w:val="auto"/>
        </w:rPr>
      </w:pPr>
    </w:p>
    <w:p>
      <w:pPr>
        <w:ind w:left="4" w:right="20" w:firstLine="436"/>
        <w:spacing w:after="0" w:line="283" w:lineRule="auto"/>
        <w:tabs>
          <w:tab w:leader="none" w:pos="69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If a Lender becomes, and during the period it remains, a Defaulting Lender, except in connection with a termination of such Defaulting Lender’s Revolving Commitments pursuant to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 law, to the making of payments from time to time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under this Agreement,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any amounts owing by such Defaulting Lender to the Facing Agents or the Swing Line Lender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as to the respective amounts owing to each of them)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after the earlier of</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termination of the applicable Revolving Commitments and payment in full of all obligations of the Borrowers under such Revolving Facility and</w:t>
      </w:r>
    </w:p>
    <w:p>
      <w:pPr>
        <w:spacing w:after="0" w:line="20" w:lineRule="exact"/>
        <w:rPr>
          <w:rFonts w:ascii="Arial" w:cs="Arial" w:eastAsia="Arial" w:hAnsi="Arial"/>
          <w:sz w:val="17"/>
          <w:szCs w:val="17"/>
          <w:color w:val="auto"/>
        </w:rPr>
      </w:pPr>
    </w:p>
    <w:p>
      <w:pPr>
        <w:ind w:left="4" w:right="80" w:hanging="4"/>
        <w:spacing w:after="0" w:line="271" w:lineRule="auto"/>
        <w:tabs>
          <w:tab w:leader="none" w:pos="25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70" w:lineRule="exact"/>
        <w:rPr>
          <w:rFonts w:ascii="Arial" w:cs="Arial" w:eastAsia="Arial" w:hAnsi="Arial"/>
          <w:sz w:val="17"/>
          <w:szCs w:val="17"/>
          <w:color w:val="auto"/>
        </w:rPr>
      </w:pPr>
    </w:p>
    <w:p>
      <w:pPr>
        <w:ind w:left="4" w:right="40" w:firstLine="436"/>
        <w:spacing w:after="0" w:line="291" w:lineRule="auto"/>
        <w:tabs>
          <w:tab w:leader="none" w:pos="689"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Cure</w:t>
      </w:r>
      <w:r>
        <w:rPr>
          <w:rFonts w:ascii="Arial" w:cs="Arial" w:eastAsia="Arial" w:hAnsi="Arial"/>
          <w:sz w:val="16"/>
          <w:szCs w:val="16"/>
          <w:color w:val="auto"/>
        </w:rPr>
        <w:t xml:space="preserve">.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 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4" w:right="459" w:bottom="1440" w:gutter="0" w:footer="0" w:header="0"/>
        </w:sectPr>
      </w:pPr>
    </w:p>
    <w:bookmarkStart w:id="246" w:name="page247"/>
    <w:bookmarkEnd w:id="24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their respective Revolving Commitments under the applicable Revolving Facility,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such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80" w:lineRule="exact"/>
        <w:rPr>
          <w:sz w:val="20"/>
          <w:szCs w:val="20"/>
          <w:color w:val="auto"/>
        </w:rPr>
      </w:pPr>
    </w:p>
    <w:p>
      <w:pPr>
        <w:ind w:right="300" w:firstLine="436"/>
        <w:spacing w:after="0" w:line="277" w:lineRule="auto"/>
        <w:tabs>
          <w:tab w:leader="none" w:pos="66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Replacement Revolving Credit Facility</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4" w:lineRule="auto"/>
        <w:tabs>
          <w:tab w:leader="none" w:pos="6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anything to the contrary in any Loan Document, this Agreement may be amended, amended and restated, supplemented or otherwise modified on one or more occasions with the written consent of the Administrative Agent, the Swing Line Lenders under the applicable Revolving Facility, the Borrowers under the applicable Revolving Facility and the Lenders and New Lenders providing the relevant 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Arial" w:cs="Arial" w:eastAsia="Arial" w:hAnsi="Arial"/>
          <w:sz w:val="16"/>
          <w:szCs w:val="16"/>
          <w:u w:val="single" w:color="auto"/>
          <w:color w:val="auto"/>
        </w:rPr>
        <w:t>Refinanced Revolving Loans</w:t>
      </w:r>
      <w:r>
        <w:rPr>
          <w:rFonts w:ascii="Arial" w:cs="Arial" w:eastAsia="Arial" w:hAnsi="Arial"/>
          <w:sz w:val="16"/>
          <w:szCs w:val="16"/>
          <w:color w:val="auto"/>
        </w:rPr>
        <w:t>”) and Revolving Commitments and/or any Additional Facility Commitments in respect of any Additional Revolving Credit Commitments hereunder and/or any other Replacement Revolving Commitments in respect of any other Replacement Revolving Facility hereunder (“</w:t>
      </w:r>
      <w:r>
        <w:rPr>
          <w:rFonts w:ascii="Arial" w:cs="Arial" w:eastAsia="Arial" w:hAnsi="Arial"/>
          <w:sz w:val="16"/>
          <w:szCs w:val="16"/>
          <w:u w:val="single" w:color="auto"/>
          <w:color w:val="auto"/>
        </w:rPr>
        <w:t>Refinanced Revolving Commitments</w:t>
      </w:r>
      <w:r>
        <w:rPr>
          <w:rFonts w:ascii="Arial" w:cs="Arial" w:eastAsia="Arial" w:hAnsi="Arial"/>
          <w:sz w:val="16"/>
          <w:szCs w:val="16"/>
          <w:color w:val="auto"/>
        </w:rPr>
        <w:t>”) (which for this purpose will be deemed to include any then outstanding Replacement Revolving Loans and Replacement Revolving Commitments) with replacement revolving loans (“</w:t>
      </w:r>
      <w:r>
        <w:rPr>
          <w:rFonts w:ascii="Arial" w:cs="Arial" w:eastAsia="Arial" w:hAnsi="Arial"/>
          <w:sz w:val="16"/>
          <w:szCs w:val="16"/>
          <w:u w:val="single" w:color="auto"/>
          <w:color w:val="auto"/>
        </w:rPr>
        <w:t>Replacement Revolving Loans</w:t>
      </w:r>
      <w:r>
        <w:rPr>
          <w:rFonts w:ascii="Arial" w:cs="Arial" w:eastAsia="Arial" w:hAnsi="Arial"/>
          <w:sz w:val="16"/>
          <w:szCs w:val="16"/>
          <w:color w:val="auto"/>
        </w:rPr>
        <w:t>”) and replacement revolving commitments (“</w:t>
      </w:r>
      <w:r>
        <w:rPr>
          <w:rFonts w:ascii="Arial" w:cs="Arial" w:eastAsia="Arial" w:hAnsi="Arial"/>
          <w:sz w:val="16"/>
          <w:szCs w:val="16"/>
          <w:u w:val="single" w:color="auto"/>
          <w:color w:val="auto"/>
        </w:rPr>
        <w:t>Replacement Revolving Commitments</w:t>
      </w:r>
      <w:r>
        <w:rPr>
          <w:rFonts w:ascii="Arial" w:cs="Arial" w:eastAsia="Arial" w:hAnsi="Arial"/>
          <w:sz w:val="16"/>
          <w:szCs w:val="16"/>
          <w:color w:val="auto"/>
        </w:rPr>
        <w:t>,” and together with such Replacement Revolving Loans relating thereto, a “</w:t>
      </w:r>
      <w:r>
        <w:rPr>
          <w:rFonts w:ascii="Arial" w:cs="Arial" w:eastAsia="Arial" w:hAnsi="Arial"/>
          <w:sz w:val="16"/>
          <w:szCs w:val="16"/>
          <w:u w:val="single" w:color="auto"/>
          <w:color w:val="auto"/>
        </w:rPr>
        <w:t>Replacement Revolving Facility</w:t>
      </w:r>
      <w:r>
        <w:rPr>
          <w:rFonts w:ascii="Arial" w:cs="Arial" w:eastAsia="Arial" w:hAnsi="Arial"/>
          <w:sz w:val="16"/>
          <w:szCs w:val="16"/>
          <w:color w:val="auto"/>
        </w:rPr>
        <w:t xml:space="preserve">”) hereunder which shall be Loans and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of such Replacement Revolving Loans and Replacement Revolving Commitments shall not exceed the aggregate principal amount of such Refinanced Revolving Loans and Refinanced Revolving Commitments in respect of such existing Revolving Facility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in respect of such existing Revolving Facility,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(e)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exist immediately prior to or after giving effect to the effectiveness of the relevant Replacement Revolving Facility and (f) all other terms applicable to such Replacement Revolving Loans and Replacement Revolving Commitments (excluding interest rates, floors and margins, commitment, upfront and other fees, guarantees, security and maturity, subject to preceding clauses (b) through (f)) shall be no more restrictive than those applicable to such Refinanced Revolving Loans and Refinanced Revolving Commitments in respect of such existing Revolving Facility, except to the extent necessary to provide for covenants and other terms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247" w:name="page248"/>
    <w:bookmarkEnd w:id="247"/>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any period after the latest Revolver Termination Date in effect immediately prior to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“no more restrictive than”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73" w:lineRule="exact"/>
        <w:rPr>
          <w:sz w:val="20"/>
          <w:szCs w:val="20"/>
          <w:color w:val="auto"/>
        </w:rPr>
      </w:pPr>
    </w:p>
    <w:p>
      <w:pPr>
        <w:ind w:firstLine="436"/>
        <w:spacing w:after="0" w:line="273"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In addition, if so provided in the relevant amendment, amendment and restatement, supplement or other modification of the Credit Agreement entered into in accordance with </w:t>
      </w:r>
      <w:r>
        <w:rPr>
          <w:rFonts w:ascii="Arial" w:cs="Arial" w:eastAsia="Arial" w:hAnsi="Arial"/>
          <w:sz w:val="17"/>
          <w:szCs w:val="17"/>
          <w:u w:val="single" w:color="auto"/>
          <w:color w:val="auto"/>
        </w:rPr>
        <w:t>Section 2.13(a)</w:t>
      </w:r>
      <w:r>
        <w:rPr>
          <w:rFonts w:ascii="Arial" w:cs="Arial" w:eastAsia="Arial" w:hAnsi="Arial"/>
          <w:sz w:val="17"/>
          <w:szCs w:val="17"/>
          <w:color w:val="auto"/>
        </w:rPr>
        <w:t>, and with the consent of the applicable Facing Agent, participations in Letters of Credit under the applicable Refinanced Revolving Facility expiring on or after the Revolver Termination Date for such Refinanced Revolving Facility under which such Letter of Credit was issued may be reallocated from Lenders holding Revolving Commitments under such Refinanced Revolving Facility to Lenders and New Lenders holding Replacement Revolving Commitments under the applicable Replacement Revolving Facility in accordance with the terms of such amendment, amendment and restatement, supplement or other modification.</w:t>
      </w:r>
    </w:p>
    <w:p>
      <w:pPr>
        <w:spacing w:after="0" w:line="69" w:lineRule="exact"/>
        <w:rPr>
          <w:rFonts w:ascii="Arial" w:cs="Arial" w:eastAsia="Arial" w:hAnsi="Arial"/>
          <w:sz w:val="17"/>
          <w:szCs w:val="17"/>
          <w:color w:val="auto"/>
        </w:rPr>
      </w:pPr>
    </w:p>
    <w:p>
      <w:pPr>
        <w:ind w:left="680" w:hanging="244"/>
        <w:spacing w:after="0"/>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supersede any other provisions contained in the Loan Documents,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02" w:lineRule="exact"/>
        <w:rPr>
          <w:rFonts w:ascii="Arial" w:cs="Arial" w:eastAsia="Arial" w:hAnsi="Arial"/>
          <w:sz w:val="16"/>
          <w:szCs w:val="16"/>
          <w:color w:val="auto"/>
        </w:rPr>
      </w:pPr>
    </w:p>
    <w:p>
      <w:pPr>
        <w:ind w:firstLine="436"/>
        <w:spacing w:after="0" w:line="285"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Upon issuance of any Replacement Revolving Commitments or the making of any Replacement Revolving Loans, (1) the borrowing and repayment (except for (A) payments of interest and fees at different rates on any Comparable Revolving Facility or any Additional Revolving Credit Commitments (to the extent that they remain outstanding) and such new Replacement Revolving Facility, (B) repayments required upon the Revolver Termination Date of any Comparable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new Replacement Revolving Facility after the effective date of Replacement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Comparable Revolving Facility and any other Additional Revolving Credit Commitments (to the extent they remain outstanding) and the new Replacement Revolving Facility, (2) any swing line loans made, or letters of credit issued, as applicable, under any Revolving Facility after the effective date of the Replacement Revolving Commitments shall be made or issued to the extent reasonably practicable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Comparable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Comparable Revolving Facility and any other Additional Revolving Credit 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than any Comparable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3" w:lineRule="auto"/>
        <w:tabs>
          <w:tab w:leader="none" w:pos="6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Arial" w:cs="Arial" w:eastAsia="Arial" w:hAnsi="Arial"/>
          <w:sz w:val="16"/>
          <w:szCs w:val="16"/>
          <w:u w:val="single" w:color="auto"/>
          <w:color w:val="auto"/>
        </w:rPr>
        <w:t>Refinanced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and Term Commitments under one or more Term Facilities (“</w:t>
      </w:r>
      <w:r>
        <w:rPr>
          <w:rFonts w:ascii="Arial" w:cs="Arial" w:eastAsia="Arial" w:hAnsi="Arial"/>
          <w:sz w:val="16"/>
          <w:szCs w:val="16"/>
          <w:u w:val="single" w:color="auto"/>
          <w:color w:val="auto"/>
        </w:rPr>
        <w:t>Refinanced Term Commitments</w:t>
      </w:r>
      <w:r>
        <w:rPr>
          <w:rFonts w:ascii="Arial" w:cs="Arial" w:eastAsia="Arial" w:hAnsi="Arial"/>
          <w:sz w:val="16"/>
          <w:szCs w:val="16"/>
          <w:color w:val="auto"/>
        </w:rPr>
        <w:t>”) (which for this purpose will be deemed to include any then outstanding Replacement Term Loans and Replacement Term Commitments) with a replacement term loan tranche hereunder (“</w:t>
      </w:r>
      <w:r>
        <w:rPr>
          <w:rFonts w:ascii="Arial" w:cs="Arial" w:eastAsia="Arial" w:hAnsi="Arial"/>
          <w:sz w:val="16"/>
          <w:szCs w:val="16"/>
          <w:u w:val="single" w:color="auto"/>
          <w:color w:val="auto"/>
        </w:rPr>
        <w:t>Replacement Term Loans</w:t>
      </w:r>
      <w:r>
        <w:rPr>
          <w:rFonts w:ascii="Arial" w:cs="Arial" w:eastAsia="Arial" w:hAnsi="Arial"/>
          <w:sz w:val="16"/>
          <w:szCs w:val="16"/>
          <w:color w:val="auto"/>
        </w:rPr>
        <w:t>”) and replacement term commitments hereunder (“</w:t>
      </w:r>
      <w:r>
        <w:rPr>
          <w:rFonts w:ascii="Arial" w:cs="Arial" w:eastAsia="Arial" w:hAnsi="Arial"/>
          <w:sz w:val="16"/>
          <w:szCs w:val="16"/>
          <w:u w:val="single" w:color="auto"/>
          <w:color w:val="auto"/>
        </w:rPr>
        <w:t>Replacement Term Commitments</w:t>
      </w:r>
      <w:r>
        <w:rPr>
          <w:rFonts w:ascii="Arial" w:cs="Arial" w:eastAsia="Arial" w:hAnsi="Arial"/>
          <w:sz w:val="16"/>
          <w:szCs w:val="16"/>
          <w:color w:val="auto"/>
        </w:rPr>
        <w:t>” and together with such Replacement Term Loans relating thereto, a “</w:t>
      </w:r>
      <w:r>
        <w:rPr>
          <w:rFonts w:ascii="Arial" w:cs="Arial" w:eastAsia="Arial" w:hAnsi="Arial"/>
          <w:sz w:val="16"/>
          <w:szCs w:val="16"/>
          <w:u w:val="single" w:color="auto"/>
          <w:color w:val="auto"/>
        </w:rPr>
        <w:t>Replacement Term Facility</w:t>
      </w:r>
      <w:r>
        <w:rPr>
          <w:rFonts w:ascii="Arial" w:cs="Arial" w:eastAsia="Arial" w:hAnsi="Arial"/>
          <w:sz w:val="16"/>
          <w:szCs w:val="16"/>
          <w:color w:val="auto"/>
        </w:rPr>
        <w:t xml:space="preserve">”) which shall be Loans and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of accrued interest and premium thereon, any underwriting discounts, fees (including upfront fees and original issue 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(e)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 (b) 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Unasserted Contingent Obligations) and the latest final maturity of any Term Loans in effect immediately prior to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 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94" w:lineRule="exact"/>
        <w:rPr>
          <w:rFonts w:ascii="Arial" w:cs="Arial" w:eastAsia="Arial" w:hAnsi="Arial"/>
          <w:sz w:val="16"/>
          <w:szCs w:val="16"/>
          <w:color w:val="auto"/>
        </w:rPr>
      </w:pPr>
    </w:p>
    <w:p>
      <w:pPr>
        <w:ind w:left="700" w:hanging="264"/>
        <w:spacing w:after="0"/>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supersede any other provisions contained in the Loan Documents,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249" w:name="page250"/>
    <w:bookmarkEnd w:id="24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3" w:lineRule="auto"/>
        <w:tabs>
          <w:tab w:leader="none" w:pos="68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Each Borrower may, upon notice (a “</w:t>
      </w:r>
      <w:r>
        <w:rPr>
          <w:rFonts w:ascii="Arial" w:cs="Arial" w:eastAsia="Arial" w:hAnsi="Arial"/>
          <w:sz w:val="16"/>
          <w:szCs w:val="16"/>
          <w:u w:val="single" w:color="auto"/>
          <w:color w:val="auto"/>
        </w:rPr>
        <w:t>Maturity Date Extension Request</w:t>
      </w:r>
      <w:r>
        <w:rPr>
          <w:rFonts w:ascii="Arial" w:cs="Arial" w:eastAsia="Arial" w:hAnsi="Arial"/>
          <w:sz w:val="16"/>
          <w:szCs w:val="16"/>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Arial" w:cs="Arial" w:eastAsia="Arial" w:hAnsi="Arial"/>
          <w:sz w:val="16"/>
          <w:szCs w:val="16"/>
          <w:u w:val="single" w:color="auto"/>
          <w:color w:val="auto"/>
        </w:rPr>
        <w:t>Existing Maturity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Each Maturity Date Extension Request shall (i) specify the date to which such Existing Maturity Date is sought to be extended (the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 to be effected in connection with such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such amendments or modifications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that would otherwise require approvals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and</w:t>
      </w:r>
    </w:p>
    <w:p>
      <w:pPr>
        <w:spacing w:after="0" w:line="2" w:lineRule="exact"/>
        <w:rPr>
          <w:rFonts w:ascii="Arial" w:cs="Arial" w:eastAsia="Arial" w:hAnsi="Arial"/>
          <w:sz w:val="16"/>
          <w:szCs w:val="16"/>
          <w:color w:val="auto"/>
        </w:rPr>
      </w:pPr>
    </w:p>
    <w:p>
      <w:pPr>
        <w:ind w:left="4" w:right="240" w:hanging="4"/>
        <w:spacing w:after="0" w:line="260" w:lineRule="auto"/>
        <w:tabs>
          <w:tab w:leader="none" w:pos="2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Obligations under any such Facility shall not be guaranteed by any Person other than the Credit Parties that guaranteed the applicable Facility prior to such maturity extension.</w:t>
      </w:r>
    </w:p>
    <w:p>
      <w:pPr>
        <w:spacing w:after="0" w:line="77"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and each Lender under the applicable Facility not agreeing thereto being referred to herein as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Arial" w:cs="Arial" w:eastAsia="Arial" w:hAnsi="Arial"/>
          <w:sz w:val="16"/>
          <w:szCs w:val="16"/>
          <w:u w:val="single" w:color="auto"/>
          <w:color w:val="auto"/>
        </w:rPr>
        <w:t>Extension Effective Date</w:t>
      </w:r>
      <w:r>
        <w:rPr>
          <w:rFonts w:ascii="Arial" w:cs="Arial" w:eastAsia="Arial" w:hAnsi="Arial"/>
          <w:sz w:val="16"/>
          <w:szCs w:val="16"/>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Arial" w:cs="Arial" w:eastAsia="Arial" w:hAnsi="Arial"/>
          <w:sz w:val="16"/>
          <w:szCs w:val="16"/>
          <w:u w:val="single" w:color="auto"/>
          <w:color w:val="auto"/>
        </w:rPr>
        <w:t>Section 12.1</w:t>
      </w:r>
      <w:r>
        <w:rPr>
          <w:rFonts w:ascii="Arial" w:cs="Arial" w:eastAsia="Arial" w:hAnsi="Arial"/>
          <w:sz w:val="16"/>
          <w:szCs w:val="16"/>
          <w:color w:val="auto"/>
        </w:rPr>
        <w:t>, except that any such other modifications and amendments that do not take effect until the then latest Revolver Termination Date (in the case of an extension of a Revolving Facility) or Term Maturity Date (in the case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4"/>
          </w:cols>
          <w:pgMar w:left="436" w:top="274" w:right="479" w:bottom="1440" w:gutter="0" w:footer="0" w:header="0"/>
        </w:sectPr>
      </w:pPr>
    </w:p>
    <w:bookmarkStart w:id="250" w:name="page251"/>
    <w:bookmarkEnd w:id="250"/>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w:t>
      </w:r>
    </w:p>
    <w:p>
      <w:pPr>
        <w:spacing w:after="0" w:line="2" w:lineRule="exact"/>
        <w:rPr>
          <w:sz w:val="20"/>
          <w:szCs w:val="20"/>
          <w:color w:val="auto"/>
        </w:rPr>
      </w:pPr>
    </w:p>
    <w:p>
      <w:pPr>
        <w:ind w:left="4" w:right="80" w:hanging="4"/>
        <w:spacing w:after="0" w:line="281" w:lineRule="auto"/>
        <w:tabs>
          <w:tab w:leader="none" w:pos="29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payments of interest and fees at different rates on any Revolving Facility, any Additional Revolving Credit Commitments or any Replacement Revolving Facility (to the extent that they remain outstanding) and such new Extended Revolving Facility, (B) 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 Extension Effective Date shall be made or issued to the extent reasonably practicable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w:t>
      </w:r>
    </w:p>
    <w:p>
      <w:pPr>
        <w:spacing w:after="0" w:line="5" w:lineRule="exact"/>
        <w:rPr>
          <w:rFonts w:ascii="Arial" w:cs="Arial" w:eastAsia="Arial" w:hAnsi="Arial"/>
          <w:sz w:val="16"/>
          <w:szCs w:val="16"/>
          <w:color w:val="auto"/>
        </w:rPr>
      </w:pPr>
    </w:p>
    <w:p>
      <w:pPr>
        <w:ind w:left="4"/>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(3) the permanent repayment of Loans with respect to, and termination of commitments under, such new Extended Revolving Facility shall be made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 the Revolving Facility, any Additional Revolving Credit Commitments or any Replacement Revolving Facility on a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than any 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72" w:lineRule="exact"/>
        <w:rPr>
          <w:rFonts w:ascii="Arial" w:cs="Arial" w:eastAsia="Arial" w:hAnsi="Arial"/>
          <w:sz w:val="16"/>
          <w:szCs w:val="16"/>
          <w:color w:val="auto"/>
        </w:rPr>
      </w:pPr>
    </w:p>
    <w:p>
      <w:pPr>
        <w:ind w:left="4" w:firstLine="436"/>
        <w:spacing w:after="0" w:line="275" w:lineRule="auto"/>
        <w:tabs>
          <w:tab w:leader="none" w:pos="68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Borrowers shall have the right, in accordance with the provisions of </w:t>
      </w:r>
      <w:r>
        <w:rPr>
          <w:rFonts w:ascii="Arial" w:cs="Arial" w:eastAsia="Arial" w:hAnsi="Arial"/>
          <w:sz w:val="17"/>
          <w:szCs w:val="17"/>
          <w:u w:val="single" w:color="auto"/>
          <w:color w:val="auto"/>
        </w:rPr>
        <w:t>Sections 3.7</w:t>
      </w:r>
      <w:r>
        <w:rPr>
          <w:rFonts w:ascii="Arial" w:cs="Arial" w:eastAsia="Arial" w:hAnsi="Arial"/>
          <w:sz w:val="17"/>
          <w:szCs w:val="17"/>
          <w:color w:val="auto"/>
        </w:rPr>
        <w:t>, at any time prior to the Existing Maturity Date, to replace a Declining Lender as if it were a Replaced Lender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w:t>
      </w:r>
    </w:p>
    <w:p>
      <w:pPr>
        <w:spacing w:after="0" w:line="68" w:lineRule="exact"/>
        <w:rPr>
          <w:rFonts w:ascii="Arial" w:cs="Arial" w:eastAsia="Arial" w:hAnsi="Arial"/>
          <w:sz w:val="17"/>
          <w:szCs w:val="17"/>
          <w:color w:val="auto"/>
        </w:rPr>
      </w:pPr>
    </w:p>
    <w:p>
      <w:pPr>
        <w:ind w:left="4" w:right="180" w:firstLine="436"/>
        <w:spacing w:after="0" w:line="257" w:lineRule="auto"/>
        <w:tabs>
          <w:tab w:leader="none" w:pos="6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79" w:lineRule="exact"/>
        <w:rPr>
          <w:rFonts w:ascii="Arial" w:cs="Arial" w:eastAsia="Arial" w:hAnsi="Arial"/>
          <w:sz w:val="18"/>
          <w:szCs w:val="18"/>
          <w:color w:val="auto"/>
        </w:rPr>
      </w:pPr>
    </w:p>
    <w:p>
      <w:pPr>
        <w:ind w:left="684" w:hanging="244"/>
        <w:spacing w:after="0"/>
        <w:tabs>
          <w:tab w:leader="none" w:pos="6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supersede any provision to the contrary in this Agreement, including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24"/>
          </w:cols>
          <w:pgMar w:left="436" w:top="274" w:right="539" w:bottom="1440" w:gutter="0" w:footer="0" w:header="0"/>
        </w:sectPr>
      </w:pPr>
    </w:p>
    <w:bookmarkStart w:id="251" w:name="page252"/>
    <w:bookmarkEnd w:id="251"/>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Arial" w:cs="Arial" w:eastAsia="Arial" w:hAnsi="Arial"/>
          <w:sz w:val="16"/>
          <w:szCs w:val="16"/>
          <w:u w:val="single" w:color="auto"/>
          <w:color w:val="auto"/>
        </w:rPr>
        <w:t>U.S. Borrower Representative</w:t>
      </w:r>
      <w:r>
        <w:rPr>
          <w:rFonts w:ascii="Arial" w:cs="Arial" w:eastAsia="Arial" w:hAnsi="Arial"/>
          <w:sz w:val="16"/>
          <w:szCs w:val="16"/>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 (i) to provide to the Agents and the Lenders and receive from the Agents and the Lenders all notices with respect to Loans obtained for the benefit of any U.S. Borrower and all other 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2.17 ESG Amendment; Sustainability Coordinators.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37426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ind w:firstLine="436"/>
        <w:spacing w:after="0" w:line="266" w:lineRule="auto"/>
        <w:tabs>
          <w:tab w:leader="none" w:pos="685" w:val="left"/>
        </w:tabs>
        <w:numPr>
          <w:ilvl w:val="0"/>
          <w:numId w:val="11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After the Fifth Amendment Effective Date, Crown Holdings, in consultation with the Sustainability Coordinators, shall be entitled, but not required, to either (a) establish specified Key Performance Indicators (“KPIs”) with respect to certain Environmental, Social and Governance (“ESG”) targets of the Crown Holdings and its Subsidiaries and evaluated by the Sustainability Assurance Provider or (b) establish external ESG ratings (“ESG Ratings”) targets to be mutually agreed between the Crown Holdings and the Sustainability Coordinators and reviewed by the Sustainability Assurance Provider. Notwithstanding anything herein or in any other Loan Document to the contrary, the Sustainability Coordinators, the Administrative Agent, Crown Holdings and the Required Lenders may amend this Agreement (such amendment, the “ESG Amendment”) solely for the purpose of incorporating either the KPIs or ESG Ratings and other related provisions (the “ESG Pricing Provisions”) into this Agreement and any such ESG Amendment shall become effective upon (i) receipt by the Lenders of a lender presentation in regard to the ESG Ratings and/or KPIs from Crown Holdings no later than five (5) Business Days before the posting of such proposed ESG Amendment to the Lenders and the Borrower, (ii) the posting of such proposed ESG Amendment to all Lenders and Crown Holdings and (iii) the receipt by the Administrative Agent of executed signature pages and consents to such ESG Amendment from Crown Holdings, the Sustainability Coordinators, the Administrative Agent and Lenders comprising the Required Lenders. Upon effectiveness of any such ESG Amendment, based on either the performance of Crown Holdings against the KPIs or its obtainment of the target ESG Ratings, certain adjustments to the Applicable Commitment Fee Percentage, Dollar LC Commission, Multicurrency LC Commission, Canadian LC Commission, Applicable Adjusted Term SOFR Margin, Applicable Base Rate Margin, Applicable Eurocurrency Margin, Applicable RFR Margin, Applicable B/A Margin or Applicable Canadian Prime Rate Margin may be made; provided that the amount of any such adjustments made pursuant to an ESG Amendment shall not result in a decrease or increase of more than (a) 1.00 basis points in the Applicable Commitment Fee Percentage and/or (b) 5.00 basis points in the Multicurrency LC Commission, the Dollar LC Commission, the Canadian LC Commission, Applicable Adjusted Term SOFR Margin, Applicable Base Rate Margin, Applicable Eurocurrency Margin, Applicable B/A Margin, Applicable Canadian Prime Rate Margin or Applicable RFR Margin. If KPIs are utilized, the pricing adjustments will require, among other things, reporting and validation of the measurement of the KPIs in a manner that is aligned with the Sustainability Linked Loan Principles (as published in May 2021 by the Loan Market Association, Asia Pacific Loan Market Association and Loan Syndications &amp; Trading Association) and is to be mutually agreed between Crown Holdings and the Sustainability Coordinators (each acting reasonably) and reviewed by the Sustainability Assurance Provider. Following the effectiveness of the ESG Amendment, any modification to the ESG Pricing Provisions which does not have the effect of reducing or increasing the Applicable Commitment Fee Percentage, Dollar LC Commission, Multicurrency LC Commission, Canadian LC Commission, Applicable Adjusted Term SOFR Margin, Applicable Base Rate Margin, Applicable Eurocurrency Margin, Applicable B/A Margin, Applicable Canadian Prime Rate Margin or Applicable RFR Margin to a level not otherwise permitted by this paragraph shall be subject only to the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-3559175</wp:posOffset>
            </wp:positionV>
            <wp:extent cx="648081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-3422015</wp:posOffset>
            </wp:positionV>
            <wp:extent cx="687514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-3284855</wp:posOffset>
            </wp:positionV>
            <wp:extent cx="688340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-3147695</wp:posOffset>
            </wp:positionV>
            <wp:extent cx="690943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-3010535</wp:posOffset>
            </wp:positionV>
            <wp:extent cx="682371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-2873375</wp:posOffset>
            </wp:positionV>
            <wp:extent cx="641223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-2736215</wp:posOffset>
            </wp:positionV>
            <wp:extent cx="664337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-2599055</wp:posOffset>
            </wp:positionV>
            <wp:extent cx="667766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-2461895</wp:posOffset>
            </wp:positionV>
            <wp:extent cx="694372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-2324735</wp:posOffset>
            </wp:positionV>
            <wp:extent cx="684911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-2187575</wp:posOffset>
            </wp:positionV>
            <wp:extent cx="662622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-2050415</wp:posOffset>
            </wp:positionV>
            <wp:extent cx="660908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-1913255</wp:posOffset>
            </wp:positionV>
            <wp:extent cx="68408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-1776095</wp:posOffset>
            </wp:positionV>
            <wp:extent cx="679767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-1638935</wp:posOffset>
            </wp:positionV>
            <wp:extent cx="666051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-1501775</wp:posOffset>
            </wp:positionV>
            <wp:extent cx="655764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-1364615</wp:posOffset>
            </wp:positionV>
            <wp:extent cx="648081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-1227455</wp:posOffset>
            </wp:positionV>
            <wp:extent cx="666940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-1090295</wp:posOffset>
            </wp:positionV>
            <wp:extent cx="670369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-953135</wp:posOffset>
            </wp:positionV>
            <wp:extent cx="696087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670369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684911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672084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96912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79767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58368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9433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4" w:right="479" w:bottom="1440" w:gutter="0" w:footer="0" w:header="0"/>
        </w:sectPr>
      </w:pPr>
    </w:p>
    <w:bookmarkStart w:id="252" w:name="page253"/>
    <w:bookmarkEnd w:id="252"/>
    <w:p>
      <w:pPr>
        <w:ind w:right="320" w:firstLine="436"/>
        <w:spacing w:after="0" w:line="263" w:lineRule="auto"/>
        <w:tabs>
          <w:tab w:leader="none" w:pos="695" w:val="left"/>
        </w:tabs>
        <w:numPr>
          <w:ilvl w:val="0"/>
          <w:numId w:val="1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Sustainability Coordinator will (i) assist the Crown Holdings in determining the ESG Pricing Provisions in connection with the ESG Amendment and (ii) assist the Crown Holdings in preparing informational materials focused on ESG to be used in connection with the ESG Amendment.</w:t>
      </w:r>
    </w:p>
    <w:p>
      <w:pPr>
        <w:spacing w:after="0" w:line="75" w:lineRule="exact"/>
        <w:rPr>
          <w:rFonts w:ascii="Arial" w:cs="Arial" w:eastAsia="Arial" w:hAnsi="Arial"/>
          <w:sz w:val="18"/>
          <w:szCs w:val="18"/>
          <w:u w:val="single" w:color="auto"/>
          <w:color w:val="0000FF"/>
        </w:rPr>
      </w:pPr>
    </w:p>
    <w:p>
      <w:pPr>
        <w:ind w:right="220" w:firstLine="436"/>
        <w:spacing w:after="0" w:line="277" w:lineRule="auto"/>
        <w:tabs>
          <w:tab w:leader="none" w:pos="685" w:val="left"/>
        </w:tabs>
        <w:numPr>
          <w:ilvl w:val="0"/>
          <w:numId w:val="1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Section 2.17 shall supersede any other clause or provision in Section 12.1 to the contrary, including any provision of Section 12.1(a)(i) requiring the consent of “each Lender directly and adversely affected thereby” for reductions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-628015</wp:posOffset>
            </wp:positionV>
            <wp:extent cx="647192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-490855</wp:posOffset>
            </wp:positionV>
            <wp:extent cx="639508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-353695</wp:posOffset>
            </wp:positionV>
            <wp:extent cx="59118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654050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00634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AMOUNT AND TERMS OF CANADIAN REVOLVER</w:t>
      </w:r>
    </w:p>
    <w:p>
      <w:pPr>
        <w:spacing w:after="0" w:line="21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2A.1 </w:t>
      </w:r>
      <w:r>
        <w:rPr>
          <w:rFonts w:ascii="Arial" w:cs="Arial" w:eastAsia="Arial" w:hAnsi="Arial"/>
          <w:sz w:val="16"/>
          <w:szCs w:val="16"/>
          <w:u w:val="single" w:color="auto"/>
          <w:color w:val="auto"/>
        </w:rPr>
        <w:t>The Canadian Revolving Commitments</w:t>
      </w:r>
      <w:r>
        <w:rPr>
          <w:rFonts w:ascii="Arial" w:cs="Arial" w:eastAsia="Arial" w:hAnsi="Arial"/>
          <w:sz w:val="16"/>
          <w:szCs w:val="16"/>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including by means of B/As or B/A Equivalent Loans, from time to time during the Canadian Commitment Period in an amount not to exceed its Canadian Revolver Pro Rata Share of the Total Available Canadian Revolving Commitment (each such loan by any Lender, a “</w:t>
      </w:r>
      <w:r>
        <w:rPr>
          <w:rFonts w:ascii="Arial" w:cs="Arial" w:eastAsia="Arial" w:hAnsi="Arial"/>
          <w:sz w:val="16"/>
          <w:szCs w:val="16"/>
          <w:u w:val="single" w:color="auto"/>
          <w:color w:val="auto"/>
        </w:rPr>
        <w:t>Canadian Revolving Loan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Canadian Revolving Loans</w:t>
      </w:r>
      <w:r>
        <w:rPr>
          <w:rFonts w:ascii="Arial" w:cs="Arial" w:eastAsia="Arial" w:hAnsi="Arial"/>
          <w:sz w:val="16"/>
          <w:szCs w:val="16"/>
          <w:color w:val="auto"/>
        </w:rPr>
        <w:t>”). The Canadian Revolving Loans (i) shall be denominated in Canadian Dollars and (ii) if made on the Effective Date, shall be made as Canadian Prime Rate Loans. Except as hereinafter provided, Canadian Revolving Loans may, at the option of Canadian Borrower, be maintained as and/or converted into Canadian Prime Rate Loans or B/A Loans.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 As the context may require, references to the outstanding principal amount of any Canadian Revolving Loan shall include the face amount of B/A Loans.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2A.2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17" w:lineRule="exact"/>
        <w:rPr>
          <w:sz w:val="20"/>
          <w:szCs w:val="20"/>
          <w:color w:val="auto"/>
        </w:rPr>
      </w:pPr>
    </w:p>
    <w:p>
      <w:pPr>
        <w:jc w:val="both"/>
        <w:ind w:right="420" w:firstLine="436"/>
        <w:spacing w:after="0" w:line="301"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Evidence of Indebtedness</w:t>
      </w:r>
      <w:r>
        <w:rPr>
          <w:rFonts w:ascii="Arial" w:cs="Arial" w:eastAsia="Arial" w:hAnsi="Arial"/>
          <w:sz w:val="16"/>
          <w:szCs w:val="16"/>
          <w:color w:val="auto"/>
        </w:rPr>
        <w:t xml:space="preserve">. At the request of any Canadian Revolving Lender, Canadian Borrower’s obligation to pay the principal of and interest on all Canadian Revolving Loans (other than B/As) made to it by such Lender shall be evidenced by a promissory note duly executed and delivered by Canadian Borrower substantially in the form of </w:t>
      </w:r>
      <w:r>
        <w:rPr>
          <w:rFonts w:ascii="Arial" w:cs="Arial" w:eastAsia="Arial" w:hAnsi="Arial"/>
          <w:sz w:val="16"/>
          <w:szCs w:val="16"/>
          <w:u w:val="single" w:color="auto"/>
          <w:color w:val="auto"/>
        </w:rPr>
        <w:t>Exhibit 2A.2(a</w:t>
      </w:r>
      <w:r>
        <w:rPr>
          <w:rFonts w:ascii="Arial" w:cs="Arial" w:eastAsia="Arial" w:hAnsi="Arial"/>
          <w:sz w:val="16"/>
          <w:szCs w:val="16"/>
          <w:color w:val="auto"/>
        </w:rPr>
        <w:t>) (or such other form as mutually agreed by Crown Holdings and the Canadian Administrative Agent) (each a “</w:t>
      </w:r>
      <w:r>
        <w:rPr>
          <w:rFonts w:ascii="Arial" w:cs="Arial" w:eastAsia="Arial" w:hAnsi="Arial"/>
          <w:sz w:val="16"/>
          <w:szCs w:val="16"/>
          <w:u w:val="single" w:color="auto"/>
          <w:color w:val="auto"/>
        </w:rPr>
        <w:t>Canadian Revolving Note</w:t>
      </w:r>
      <w:r>
        <w:rPr>
          <w:rFonts w:ascii="Arial" w:cs="Arial" w:eastAsia="Arial" w:hAnsi="Arial"/>
          <w:sz w:val="16"/>
          <w:szCs w:val="16"/>
          <w:color w:val="auto"/>
        </w:rPr>
        <w:t>”) hereto, with blanks appropriately completed in conformity herewith.</w:t>
      </w:r>
    </w:p>
    <w:p>
      <w:pPr>
        <w:spacing w:after="0" w:line="49" w:lineRule="exact"/>
        <w:rPr>
          <w:rFonts w:ascii="Arial" w:cs="Arial" w:eastAsia="Arial" w:hAnsi="Arial"/>
          <w:sz w:val="16"/>
          <w:szCs w:val="16"/>
          <w:color w:val="auto"/>
        </w:rPr>
      </w:pPr>
    </w:p>
    <w:p>
      <w:pPr>
        <w:ind w:firstLine="436"/>
        <w:spacing w:after="0" w:line="257"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Notation of Payments</w:t>
      </w:r>
      <w:r>
        <w:rPr>
          <w:rFonts w:ascii="Arial" w:cs="Arial" w:eastAsia="Arial" w:hAnsi="Arial"/>
          <w:sz w:val="18"/>
          <w:szCs w:val="18"/>
          <w:color w:val="auto"/>
        </w:rPr>
        <w:t>. Each Canadian Revolving Lender will note on its internal records the amount of each Canadian Revolving Loan made by it and each payment in respect thereof and will, prior to any transfer of any Canadian Revolving Note in accordance with the terms of this Agreement, endorse on the reverse side thereof the outstanding principal amount of Canadian Revolving Loans evidenced thereby. Failure to make any such notation shall not affect Canadian Borrower’s or any guarantor’s obligations hereunder or under the other applicable Loan Documents in respect of such Canadian Revolving Loans.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440" w:top="274" w:right="499" w:bottom="1440" w:gutter="0" w:footer="0" w:header="0"/>
        </w:sectPr>
      </w:pPr>
    </w:p>
    <w:bookmarkStart w:id="253" w:name="page254"/>
    <w:bookmarkEnd w:id="253"/>
    <w:p>
      <w:pPr>
        <w:jc w:val="both"/>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2A.3 </w:t>
      </w:r>
      <w:r>
        <w:rPr>
          <w:rFonts w:ascii="Arial" w:cs="Arial" w:eastAsia="Arial" w:hAnsi="Arial"/>
          <w:sz w:val="16"/>
          <w:szCs w:val="16"/>
          <w:u w:val="single" w:color="auto"/>
          <w:color w:val="auto"/>
        </w:rPr>
        <w:t>Minimum Amount of Each Borrowing; Maximum Number of Borrowings</w:t>
      </w:r>
      <w:r>
        <w:rPr>
          <w:rFonts w:ascii="Arial" w:cs="Arial" w:eastAsia="Arial" w:hAnsi="Arial"/>
          <w:sz w:val="16"/>
          <w:szCs w:val="16"/>
          <w:color w:val="auto"/>
        </w:rPr>
        <w:t>. The aggregate principal amount of each Borrowing by Canadian Borrower hereunder shall be not less than the Minimum Borrowing Amount and, if greater, shall be in integral multiples of Cdn.$1,000,000 above such minimum (or, if less, the then Total Available Canadian Revolving Commitment). More than one Borrowing may be incurred on any date.</w:t>
      </w:r>
    </w:p>
    <w:p>
      <w:pPr>
        <w:spacing w:after="0" w:line="4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2A.4 </w:t>
      </w:r>
      <w:r>
        <w:rPr>
          <w:rFonts w:ascii="Arial" w:cs="Arial" w:eastAsia="Arial" w:hAnsi="Arial"/>
          <w:sz w:val="18"/>
          <w:szCs w:val="18"/>
          <w:u w:val="single" w:color="auto"/>
          <w:color w:val="auto"/>
        </w:rPr>
        <w:t>Borrowing Options</w:t>
      </w:r>
      <w:r>
        <w:rPr>
          <w:rFonts w:ascii="Arial" w:cs="Arial" w:eastAsia="Arial" w:hAnsi="Arial"/>
          <w:sz w:val="18"/>
          <w:szCs w:val="18"/>
          <w:color w:val="auto"/>
        </w:rPr>
        <w:t xml:space="preserve">. The Canadian Revolving Loans shall, at the option of Canadian Borrower except as otherwise provided in this Agreement, be (i) Canadian Prime Rate Loans, (ii) B/A Loans, or (iii) part Canadian Prime Rate Loans and part B/A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Canadian Revolving Loans made by the Canadian Revolving Lenders pursuant to the same Borrowing shall, unless otherwise specifically provided herein, consist entirely of Canadian Revolving Loans of the same Type.</w:t>
      </w:r>
    </w:p>
    <w:p>
      <w:pPr>
        <w:spacing w:after="0" w:line="79"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2A.5 </w:t>
      </w:r>
      <w:r>
        <w:rPr>
          <w:rFonts w:ascii="Arial" w:cs="Arial" w:eastAsia="Arial" w:hAnsi="Arial"/>
          <w:sz w:val="17"/>
          <w:szCs w:val="17"/>
          <w:u w:val="single" w:color="auto"/>
          <w:color w:val="auto"/>
        </w:rPr>
        <w:t>Notice of Canadian Borrowing</w:t>
      </w:r>
      <w:r>
        <w:rPr>
          <w:rFonts w:ascii="Arial" w:cs="Arial" w:eastAsia="Arial" w:hAnsi="Arial"/>
          <w:sz w:val="17"/>
          <w:szCs w:val="17"/>
          <w:color w:val="auto"/>
        </w:rPr>
        <w:t xml:space="preserve">. Whenever Canadian Borrower desires to make a Borrowing of any Canadian Revolving Loan hereunder, Canadian Borrower shall give Canadian Administrative Agent at its Notice Address at least one Business Day’s (two Business Days’ in the case of B/A Loans) prior written notice (or telephonic notice promptly confirmed in writing), given not later than 12:00 p.m. (Toronto time) of each B/A Loan or Canadian Prime Rate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Notice of Canadian Borrowing with respect to Borrowings to be made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may, at the discretion of Canadian Administrative Agent, be delivered later than the time specified above. Each such notice (each a “</w:t>
      </w:r>
      <w:r>
        <w:rPr>
          <w:rFonts w:ascii="Arial" w:cs="Arial" w:eastAsia="Arial" w:hAnsi="Arial"/>
          <w:sz w:val="17"/>
          <w:szCs w:val="17"/>
          <w:u w:val="single" w:color="auto"/>
          <w:color w:val="auto"/>
        </w:rPr>
        <w:t>Notice of Canadian Borrowing</w:t>
      </w:r>
      <w:r>
        <w:rPr>
          <w:rFonts w:ascii="Arial" w:cs="Arial" w:eastAsia="Arial" w:hAnsi="Arial"/>
          <w:sz w:val="17"/>
          <w:szCs w:val="17"/>
          <w:color w:val="auto"/>
        </w:rPr>
        <w:t xml:space="preserve">”), which shall be in the form of </w:t>
      </w:r>
      <w:r>
        <w:rPr>
          <w:rFonts w:ascii="Arial" w:cs="Arial" w:eastAsia="Arial" w:hAnsi="Arial"/>
          <w:sz w:val="17"/>
          <w:szCs w:val="17"/>
          <w:u w:val="single" w:color="auto"/>
          <w:color w:val="auto"/>
        </w:rPr>
        <w:t>Exhibit 2A.5</w:t>
      </w:r>
      <w:r>
        <w:rPr>
          <w:rFonts w:ascii="Arial" w:cs="Arial" w:eastAsia="Arial" w:hAnsi="Arial"/>
          <w:sz w:val="17"/>
          <w:szCs w:val="17"/>
          <w:color w:val="auto"/>
        </w:rPr>
        <w:t xml:space="preserve"> hereto (or such other form as mutually agreed by Crown Holdings and the Canadian Administrative Agent), shall be irrevocable, shall be deemed a representation by Canadian Borrower that all conditions precedent to such Borrowing have been satisfied and shall specify (i) the aggregate principal amount of the Loans (or the face amount of the B/A Loans, as the case may be) to be made pursuant to such Borrowing, (ii) the date of Borrowing (which shall be a Business Day), and (iii) whether the Loans being made pursuant to such Borrowing are to be Canadian Prime Rate Loans or B/A Loans and with respect to B/A Loans the Contract Period and maturity date to be applicable thereto. Canadian Administrative Agent shall as promptly as practicable give each Canadian Revolving Lender written or telephonic notice (promptly confirmed in writing) of each proposed Borrowing, of such Canadian Revolving Lender’s Canadian Revolver Pro Rata Share thereof and of the other matters covered by the Notice of Canadian Borrowing. Without in any way limiting Canadian Borrower’s obligation to confirm in writing any telephonic notice, Canadian Administrative Agent may act without liability upon the basis of telephonic notice believed by Canadian Administrative Agent in good faith to be from a Responsible Officer of Canadian Borrower prior to receipt of written confirmation. Canadian Administrative Agent’s records shall, absent manifest error, be final, conclusive and binding on Canadian Borrower with respect to evidence of the terms of such telephonic Notice of Canadian Borrowing. Canadian Borrower hereby agrees not to dispute Canadian Administrative Agent’s record of the time of telephonic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-1781810</wp:posOffset>
            </wp:positionV>
            <wp:extent cx="5143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-1781810</wp:posOffset>
            </wp:positionV>
            <wp:extent cx="22288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6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2A.6 </w:t>
      </w:r>
      <w:r>
        <w:rPr>
          <w:rFonts w:ascii="Arial" w:cs="Arial" w:eastAsia="Arial" w:hAnsi="Arial"/>
          <w:sz w:val="18"/>
          <w:szCs w:val="18"/>
          <w:u w:val="single" w:color="auto"/>
          <w:color w:val="auto"/>
        </w:rPr>
        <w:t>Conversion or Continuation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2A.4</w:t>
      </w:r>
      <w:r>
        <w:rPr>
          <w:rFonts w:ascii="Arial" w:cs="Arial" w:eastAsia="Arial" w:hAnsi="Arial"/>
          <w:sz w:val="18"/>
          <w:szCs w:val="18"/>
          <w:color w:val="auto"/>
        </w:rPr>
        <w:t xml:space="preserve">, Canadian Borrower may elect (i) on any Business Day to convert Canadian Prime Rate Loans or any portion thereof to B/A Loans and (ii) at the end of any Contract Period with respect thereto, to convert B/A Loans or any portion thereof into Canadian Prime Rate Loans or continue such B/A Loans or any portion thereof for an additional Contract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aggregate face amount of the B/A Loans for each Contract Period therefor must be in an aggregate principal amount of Cdn.$5,000,000 or an integral multiple of Cdn.$1,000,000 in excess thereto. Each such election shall be in substantially the form of </w:t>
      </w:r>
      <w:r>
        <w:rPr>
          <w:rFonts w:ascii="Arial" w:cs="Arial" w:eastAsia="Arial" w:hAnsi="Arial"/>
          <w:sz w:val="18"/>
          <w:szCs w:val="18"/>
          <w:u w:val="single" w:color="auto"/>
          <w:color w:val="auto"/>
        </w:rPr>
        <w:t>Exhibit 2A.6</w:t>
      </w:r>
      <w:r>
        <w:rPr>
          <w:rFonts w:ascii="Arial" w:cs="Arial" w:eastAsia="Arial" w:hAnsi="Arial"/>
          <w:sz w:val="18"/>
          <w:szCs w:val="18"/>
          <w:color w:val="auto"/>
        </w:rPr>
        <w:t xml:space="preserve"> hereto (or such other form as mutually agreed by Crown Holdings and the Canadian Administrative Agent) (a “</w:t>
      </w:r>
      <w:r>
        <w:rPr>
          <w:rFonts w:ascii="Arial" w:cs="Arial" w:eastAsia="Arial" w:hAnsi="Arial"/>
          <w:sz w:val="18"/>
          <w:szCs w:val="18"/>
          <w:u w:val="single" w:color="auto"/>
          <w:color w:val="auto"/>
        </w:rPr>
        <w:t>Notice of Canadian Conversion or Continuation</w:t>
      </w:r>
      <w:r>
        <w:rPr>
          <w:rFonts w:ascii="Arial" w:cs="Arial" w:eastAsia="Arial" w:hAnsi="Arial"/>
          <w:sz w:val="18"/>
          <w:szCs w:val="18"/>
          <w:color w:val="auto"/>
        </w:rPr>
        <w:t>”) and shall be made by giving Canadian Administrative Agent at least two Business Days’ prior written notice thereof to the Canadian Administrative Agent at its Notice Address given not later than 12:00 p.m. (Toronto time), specifying (i) the amount and type of conversion or continuation, (ii) in the case of a conversion to or a continuation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254" w:name="page255"/>
    <w:bookmarkEnd w:id="25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 Loans, the Contract Period therefor, (iii) in the case of a conversion, the date of conversion (which date shall be a Business Day). Notwithstanding the foregoing, no conversion in whole or in part of Canadian Prime Rate Loans to B/A Loans, and no continuation in whole or in part of B/A Loans, upon the expiration of the Contract Period, therefor, shall be permitted at any time at which an Unmatured Event of Default or an Event of Default shall have occurred and be continuing. If, within the time period required under the terms of this </w:t>
      </w:r>
      <w:r>
        <w:rPr>
          <w:rFonts w:ascii="Arial" w:cs="Arial" w:eastAsia="Arial" w:hAnsi="Arial"/>
          <w:sz w:val="16"/>
          <w:szCs w:val="16"/>
          <w:u w:val="single" w:color="auto"/>
          <w:color w:val="auto"/>
        </w:rPr>
        <w:t>Section 2A.6</w:t>
      </w:r>
      <w:r>
        <w:rPr>
          <w:rFonts w:ascii="Arial" w:cs="Arial" w:eastAsia="Arial" w:hAnsi="Arial"/>
          <w:sz w:val="16"/>
          <w:szCs w:val="16"/>
          <w:color w:val="auto"/>
        </w:rPr>
        <w:t>, Canadian Administrative Agent does not receive a Notice of Canadian Conversion or Continuation from Canadian Borrower containing a permitted election to continue any B/A Loans, for an additional Contract Period to convert any such Loans, then, upon the expiration of the Contract Period therefor, such Loans will be automatically converted to Canadian Prime Rate Loans. Each Notice of Canadian Conversion or Continuation shall be irrevocable.</w:t>
      </w:r>
    </w:p>
    <w:p>
      <w:pPr>
        <w:spacing w:after="0" w:line="5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2A.7 </w:t>
      </w:r>
      <w:r>
        <w:rPr>
          <w:rFonts w:ascii="Arial" w:cs="Arial" w:eastAsia="Arial" w:hAnsi="Arial"/>
          <w:sz w:val="16"/>
          <w:szCs w:val="16"/>
          <w:u w:val="single" w:color="auto"/>
          <w:color w:val="auto"/>
        </w:rPr>
        <w:t>Disbursement of Funds and Presumptions by Canadian Administrative Agent</w:t>
      </w:r>
      <w:r>
        <w:rPr>
          <w:rFonts w:ascii="Arial" w:cs="Arial" w:eastAsia="Arial" w:hAnsi="Arial"/>
          <w:sz w:val="16"/>
          <w:szCs w:val="16"/>
          <w:color w:val="auto"/>
        </w:rPr>
        <w:t xml:space="preserve">. No later than 12:00 p.m. (local time at the place of funding) on the date specified in each Notice of Canadian Borrowing, each Canadian Revolving Lender will make available its Canadian Revolver Pro Rata Share of Canadian Revolving Loans of the Borrowing requested to be made on such date in Canadian Dollars and in immediately available funds, at the Payment Office and Canadian Administrative Agent will make available to Canadian Borrower at its Payment Office the aggregate of the amounts so made available by the Lenders not later than 2:00 p.m. (local time in the place of payment). Unless Canadian Administrative Agent shall have been notified by any such Lender at least one Business Day prior to the date of Borrowing that such Lender does not intend to make available to Canadian Administrative Agent such Lender’s portion of the Borrowing to be made on such date, Canadian Administrative Agent may assume that such Lender has made such amount available to Canadian Administrative Agent on such date of Borrowing and Canadian Administrative Agent may, but shall not be required to, in reliance upon such assumption, make available to Canadian Borrower a corresponding amount. If such corresponding amount is not in fact made available to Canadian Administrative Agent by such Lender on the date of Borrowing, Canadian Administrative Agent shall be entitled to recover such corresponding amount on demand from such Lender. If such Lender does not pay such corresponding amount forthwith upon Canadian Administrative Agent’s demand therefor, Canadian Administrative Agent shall promptly notify Canadian Borrower and, if so notified, Canadian Borrower shall immediately pay such corresponding amount to Canadian Administrative Agent. Canadian Administrative Agent shall also be entitled to recover from Canadian Borrower interest on such corresponding amount in respect of each day from the date such corresponding amount was made available by Canadian Administrative Agent to Canadian Borrower to the date such corresponding amount is recovered by Canadian Administrative Agent,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rate for Canadian Prime Rate Loans or B/A Loans, as the case may be, applicable during the period in question;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interest paid to Canadian Administrative Agent in respect of such corresponding amount shall be credited against interest payable by Canadian Borrower to such Lender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 respect of such corresponding amount. Any amount due hereunder to Canadian Administrative Agent from any Lender which is not paid when due shall bear interest payable by such Lender, from the date due until the date paid, at the average of the rates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for the first three days after the date such amount is due and thereafter at the average of the rates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plus 1% </w:t>
      </w:r>
      <w:r>
        <w:rPr>
          <w:rFonts w:ascii="Arial" w:cs="Arial" w:eastAsia="Arial" w:hAnsi="Arial"/>
          <w:sz w:val="16"/>
          <w:szCs w:val="16"/>
          <w:u w:val="single" w:color="auto"/>
          <w:color w:val="auto"/>
        </w:rPr>
        <w:t>per annum</w:t>
      </w:r>
      <w:r>
        <w:rPr>
          <w:rFonts w:ascii="Arial" w:cs="Arial" w:eastAsia="Arial" w:hAnsi="Arial"/>
          <w:sz w:val="16"/>
          <w:szCs w:val="16"/>
          <w:color w:val="auto"/>
        </w:rPr>
        <w:t>, together with Canadian Administrative Agent’s standard interbank processing fee. Further, such Lender shall be deemed to have assigned any and all payments made of principal and interest on its Loans, and any other amounts due to</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255" w:name="page256"/>
    <w:bookmarkEnd w:id="2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hereunder first to Canadian Administrative Agent to fund any outstanding Loans made available on behalf of such Lender by Canadian Administrative Agent pursuant to this </w:t>
      </w:r>
      <w:r>
        <w:rPr>
          <w:rFonts w:ascii="Arial" w:cs="Arial" w:eastAsia="Arial" w:hAnsi="Arial"/>
          <w:sz w:val="17"/>
          <w:szCs w:val="17"/>
          <w:u w:val="single" w:color="auto"/>
          <w:color w:val="auto"/>
        </w:rPr>
        <w:t>Section 2A.7</w:t>
      </w:r>
      <w:r>
        <w:rPr>
          <w:rFonts w:ascii="Arial" w:cs="Arial" w:eastAsia="Arial" w:hAnsi="Arial"/>
          <w:sz w:val="17"/>
          <w:szCs w:val="17"/>
          <w:color w:val="auto"/>
        </w:rPr>
        <w:t xml:space="preserve"> until such Loans have been funded (as a result of such assignment or otherwise) and then to fund Loans of all Lenders other than such Lender until each Lender has outstanding Loans equal to its Canadian Revolver Pro Rata Share of all Canadian Revolving Loans (as a result of such assignment or otherwise). Such Lender shall not have recourse against Canadian Borrower with respect to any amounts paid to Canadian Administrative Agent or any Lender with respect to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have full recourse against Canadian Borrower to the extent of the amount of such Loans it has so been deemed to have made. Nothing herein shall be deemed to relieve any Lender from its obligation to fulfill its Canadian Revolving Commitment hereunder or to prejudice any rights which Canadian Borrower may have against the Lender as a result of any default by such Lender hereunder.</w:t>
      </w:r>
    </w:p>
    <w:p>
      <w:pPr>
        <w:spacing w:after="0" w:line="70"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2A.8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xml:space="preserve"> Except as expressly provided in </w:t>
      </w:r>
      <w:r>
        <w:rPr>
          <w:rFonts w:ascii="Arial" w:cs="Arial" w:eastAsia="Arial" w:hAnsi="Arial"/>
          <w:sz w:val="17"/>
          <w:szCs w:val="17"/>
          <w:u w:val="single" w:color="auto"/>
          <w:color w:val="auto"/>
        </w:rPr>
        <w:t>Section 2A.9(e)</w:t>
      </w:r>
      <w:r>
        <w:rPr>
          <w:rFonts w:ascii="Arial" w:cs="Arial" w:eastAsia="Arial" w:hAnsi="Arial"/>
          <w:sz w:val="17"/>
          <w:szCs w:val="17"/>
          <w:color w:val="auto"/>
        </w:rPr>
        <w:t>, all Borrowings of Canadian Revolving Loans under this Agreement shall be loaned by the applicable Lenders pro rata on the basis of their Canadian Revolving Commitments. No Lender shall be responsible for any default by any other Lender in its obligation to make Loans hereunder and each Lender shall be obligated to make the Loans provided to be made by it hereunder, regardless of the failure of any other Lender to fulfill its Canadian Revolving Commitment hereunder.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2A.9 </w:t>
      </w:r>
      <w:r>
        <w:rPr>
          <w:rFonts w:ascii="Arial" w:cs="Arial" w:eastAsia="Arial" w:hAnsi="Arial"/>
          <w:sz w:val="18"/>
          <w:szCs w:val="18"/>
          <w:u w:val="single" w:color="auto"/>
          <w:color w:val="auto"/>
        </w:rPr>
        <w:t>Bankers’ Acceptances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308" w:lineRule="auto"/>
        <w:tabs>
          <w:tab w:leader="none" w:pos="6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Canadian Borrower may request a Canadian Revolving Loan denominated in Canadian Dollars by presenting drafts for acceptance and, if applicable, purchase as B/As by the Canadian Revolving Lenders.</w:t>
      </w:r>
    </w:p>
    <w:p>
      <w:pPr>
        <w:spacing w:after="0" w:line="38" w:lineRule="exact"/>
        <w:rPr>
          <w:rFonts w:ascii="Arial" w:cs="Arial" w:eastAsia="Arial" w:hAnsi="Arial"/>
          <w:sz w:val="17"/>
          <w:szCs w:val="17"/>
          <w:color w:val="auto"/>
        </w:rPr>
      </w:pPr>
    </w:p>
    <w:p>
      <w:pPr>
        <w:ind w:left="700" w:hanging="264"/>
        <w:spacing w:after="0"/>
        <w:tabs>
          <w:tab w:leader="none" w:pos="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Canadian Revolving Lender shall not be obliged to either accept any draft presented for acceptance or advance any B/A Equivalent Loan:</w:t>
      </w:r>
    </w:p>
    <w:p>
      <w:pPr>
        <w:spacing w:after="0" w:line="140" w:lineRule="exact"/>
        <w:rPr>
          <w:rFonts w:ascii="Arial" w:cs="Arial" w:eastAsia="Arial" w:hAnsi="Arial"/>
          <w:sz w:val="16"/>
          <w:szCs w:val="16"/>
          <w:color w:val="auto"/>
        </w:rPr>
      </w:pPr>
    </w:p>
    <w:p>
      <w:pPr>
        <w:ind w:left="1080" w:hanging="221"/>
        <w:spacing w:after="0"/>
        <w:tabs>
          <w:tab w:leader="none" w:pos="10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which is drawn on, or where the Contract Period applicable thereto expires, on a day which is not a Business Day;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where the Contract Period applicable thereto matures on a day subsequent to the Canadian Revolver Termination Date;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where the Contract Period applicable thereto has a term other than approximately 30, 60, 90 or 180 days;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which is denominated in any currency other than Canadian Dollars;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which is not in a form satisfactory to such Canadian Revolving Lender or Canadian Administrative Agent;</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a continuation, in respect of which the Canadian Borrower has not then paid the applicable Acceptance Fee; or</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an Unmatured Event of Default or an Event of Default has occurred and is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256" w:name="page257"/>
    <w:bookmarkEnd w:id="256"/>
    <w:p>
      <w:pPr>
        <w:ind w:left="-20" w:right="20" w:firstLine="436"/>
        <w:spacing w:after="0" w:line="285" w:lineRule="auto"/>
        <w:tabs>
          <w:tab w:leader="none" w:pos="6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facilitate availment of B/A Loans, Canadian Borrower hereby appoints each Canadian Revolving Lender as its attorney to sign and endorse on its behalf (in accordance with a Notice of Canadian Borrowing or Notice of Canadian Conversion or Continuation relating to a B/A Loan pursuant to </w:t>
      </w:r>
      <w:r>
        <w:rPr>
          <w:rFonts w:ascii="Arial" w:cs="Arial" w:eastAsia="Arial" w:hAnsi="Arial"/>
          <w:sz w:val="16"/>
          <w:szCs w:val="16"/>
          <w:u w:val="single" w:color="auto"/>
          <w:color w:val="auto"/>
        </w:rPr>
        <w:t>Section 2A.5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2A.6</w:t>
      </w:r>
      <w:r>
        <w:rPr>
          <w:rFonts w:ascii="Arial" w:cs="Arial" w:eastAsia="Arial" w:hAnsi="Arial"/>
          <w:sz w:val="16"/>
          <w:szCs w:val="16"/>
          <w:color w:val="auto"/>
        </w:rPr>
        <w:t xml:space="preserve">), in handwriting or by facsimile or mechanical signature as and when deemed necessary by such Canadian Revolving Lender, blank drafts in the form requested by such Canadian Revolving Lender. In this respect, it is each Canadian Revolving Lender’s responsibility to maintain an adequate supply of blank drafts for acceptance under this Agreement. Canadian Borrower recognizes and agrees that all drafts signed and/or endorsed by a Canadian Revolving Lender on behalf of Canadian Borrower shall bind Canadian Borrower as fully and effectually as if signed in the handwriting of and duly issued by the proper signing officers of Canadian Borrower. Each Canadian Revolving Lender is hereby authorized (in accordance with a Notice of Canadian Borrowing or Notice of Canadian Conversion or Continuation relating to a B/A Loan) to issue such B/As endorsed in blank in such face amounts as may be determined by such Canadian Revolving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thereof is equal to the aggregate amount of drafts required to be accepted and purchased by such Canadian Revolving Lender. No Canadian Revolving Lender shall be liable for any damage, loss or other claim arising by reason of any loss or improper use of any such instrument except for the gross negligence or willful misconduct of the Canadian Revolving Lender or its officers, employees, agents or representatives. Each Canadian Revolving Lender shall maintain a record, which shall be made available to Canadian Borrower upon its request, with respect to drafts (i) received by it in blank hereunder, (ii) voided by it for any reason, (iii) accepted and purchased by it hereunder, and (iv) cancelled at their respective maturities. On request by or on behalf of Canadian Borrower, a Canadian Revolving Lender shall cancel all forms of B/As which have been pre-signed or pre-endorsed on behalf of Canadian Borrower and that are held by such Canadian Revolving Lender and are not required to be issued in accordance with Canadian Borrower’s irrevocable notice. Alternatively, Canadian Borrower agrees that, at the request of Canadian Administrative Agent, Canadian Borrower shall deliver to Canadian Administrative Agent a “depository note” which complies with the requirements of the Depository Bills and Notes Act (Canada), and consents to the deposit of any such depository note in the book-based debt clearance system maintained by the Canadian Depository for Securities.</w:t>
      </w:r>
    </w:p>
    <w:p>
      <w:pPr>
        <w:spacing w:after="0" w:line="60" w:lineRule="exact"/>
        <w:rPr>
          <w:rFonts w:ascii="Arial" w:cs="Arial" w:eastAsia="Arial" w:hAnsi="Arial"/>
          <w:sz w:val="16"/>
          <w:szCs w:val="16"/>
          <w:color w:val="auto"/>
        </w:rPr>
      </w:pPr>
    </w:p>
    <w:p>
      <w:pPr>
        <w:ind w:left="-20" w:right="80" w:firstLine="436"/>
        <w:spacing w:after="0" w:line="259" w:lineRule="auto"/>
        <w:tabs>
          <w:tab w:leader="none" w:pos="6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Drafts of Canadian Borrower to be accepted as B/As hereunder shall be signed as set forth in this </w:t>
      </w:r>
      <w:r>
        <w:rPr>
          <w:rFonts w:ascii="Arial" w:cs="Arial" w:eastAsia="Arial" w:hAnsi="Arial"/>
          <w:sz w:val="18"/>
          <w:szCs w:val="18"/>
          <w:u w:val="single" w:color="auto"/>
          <w:color w:val="auto"/>
        </w:rPr>
        <w:t>Section 2A.9</w:t>
      </w:r>
      <w:r>
        <w:rPr>
          <w:rFonts w:ascii="Arial" w:cs="Arial" w:eastAsia="Arial" w:hAnsi="Arial"/>
          <w:sz w:val="18"/>
          <w:szCs w:val="18"/>
          <w:color w:val="auto"/>
        </w:rPr>
        <w:t>. Notwithstanding that any Person whose signature appears on any B/A may no longer be an authorized signatory for any Canadian Revolving Lender or Canadian Borrower at the date of issuance of a B/A, such signature shall nevertheless be valid and sufficient for all purposes as if such authority had remained in force at the time of such issuance and any such B/A so signed shall be binding on Canadian Borrower.</w:t>
      </w:r>
    </w:p>
    <w:p>
      <w:pPr>
        <w:spacing w:after="0" w:line="78" w:lineRule="exact"/>
        <w:rPr>
          <w:rFonts w:ascii="Arial" w:cs="Arial" w:eastAsia="Arial" w:hAnsi="Arial"/>
          <w:sz w:val="18"/>
          <w:szCs w:val="18"/>
          <w:color w:val="auto"/>
        </w:rPr>
      </w:pPr>
    </w:p>
    <w:p>
      <w:pPr>
        <w:ind w:left="-20" w:right="40" w:firstLine="436"/>
        <w:spacing w:after="0" w:line="291" w:lineRule="auto"/>
        <w:tabs>
          <w:tab w:leader="none" w:pos="6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Promptly following the receipt of a Notice of Canadian Borrowing or Notice of Canadian Conversion or Continuation specifying a Canadian Revolving Loan by way of B/As, Canadian Administrative Agent shall so advise the Canadian Revolving Lenders and shall advise each Canadian Revolving Lender of the aggregate face amount of the B/As to be accepted by it and the applicable Contract Period (which shall be identical for all Canadian Revolving Lenders). In the case of Canadian Revolving Loans comprised of B/A Loans, the aggregate face amount of the B/As to be accepted by a Canadian Revolving Lender shall be in a minimum aggregate amount of Cdn.$500,000 and shall be a whole multiple of Cdn.$100,000, and such face amount shall be in the Canadian Revolving Lenders’ pro rata portions of such Canadian Revolving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Canadian Administrative Agent may in its sole discretion increase or reduce any Canadian Revolving Lender’s portion of such B/A Loan to the nearest Cdn.$100,000.</w:t>
      </w:r>
    </w:p>
    <w:p>
      <w:pPr>
        <w:spacing w:after="0" w:line="58" w:lineRule="exact"/>
        <w:rPr>
          <w:rFonts w:ascii="Arial" w:cs="Arial" w:eastAsia="Arial" w:hAnsi="Arial"/>
          <w:sz w:val="16"/>
          <w:szCs w:val="16"/>
          <w:color w:val="auto"/>
        </w:rPr>
      </w:pPr>
    </w:p>
    <w:p>
      <w:pPr>
        <w:ind w:left="-20" w:firstLine="436"/>
        <w:spacing w:after="0" w:line="272" w:lineRule="auto"/>
        <w:tabs>
          <w:tab w:leader="none" w:pos="6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Canadian Borrower may specify in a Notice of Canadian Borrowing pursuant to </w:t>
      </w:r>
      <w:r>
        <w:rPr>
          <w:rFonts w:ascii="Arial" w:cs="Arial" w:eastAsia="Arial" w:hAnsi="Arial"/>
          <w:sz w:val="17"/>
          <w:szCs w:val="17"/>
          <w:u w:val="single" w:color="auto"/>
          <w:color w:val="auto"/>
        </w:rPr>
        <w:t>Section 2A.5</w:t>
      </w:r>
      <w:r>
        <w:rPr>
          <w:rFonts w:ascii="Arial" w:cs="Arial" w:eastAsia="Arial" w:hAnsi="Arial"/>
          <w:sz w:val="17"/>
          <w:szCs w:val="17"/>
          <w:color w:val="auto"/>
        </w:rPr>
        <w:t xml:space="preserve"> or a Notice of Canadian Conversion or Continuation pursuant to </w:t>
      </w:r>
      <w:r>
        <w:rPr>
          <w:rFonts w:ascii="Arial" w:cs="Arial" w:eastAsia="Arial" w:hAnsi="Arial"/>
          <w:sz w:val="17"/>
          <w:szCs w:val="17"/>
          <w:u w:val="single" w:color="auto"/>
          <w:color w:val="auto"/>
        </w:rPr>
        <w:t>Section 2A.6</w:t>
      </w:r>
      <w:r>
        <w:rPr>
          <w:rFonts w:ascii="Arial" w:cs="Arial" w:eastAsia="Arial" w:hAnsi="Arial"/>
          <w:sz w:val="17"/>
          <w:szCs w:val="17"/>
          <w:color w:val="auto"/>
        </w:rPr>
        <w:t xml:space="preserve"> that it desires that any B/A’s requested by such notice be purchased by the Canadian Revolving Lenders, in which case the Canadian Revolving Lenders shall, upon acceptance of a B/A by a Canadian Revolving Lender, purchase, or arrange for the purchase of, each B/A from Canadian Borrower at the Discount Rate for such Canadian Revolving Lender applicable to such B/A accepted by it and provide to Canadian Administrative Agent the Discount Proceeds for the account of Canadian Borrower. The Acceptance Fee payable by Canadian Borrower to a Canadian Revolving Lender under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in respect of each B/A accepted by such Canadian Revolving Lender shall be set off against the Discount Proceeds payable by such Canadian Revolving Lender under this </w:t>
      </w:r>
      <w:r>
        <w:rPr>
          <w:rFonts w:ascii="Arial" w:cs="Arial" w:eastAsia="Arial" w:hAnsi="Arial"/>
          <w:sz w:val="17"/>
          <w:szCs w:val="17"/>
          <w:u w:val="single" w:color="auto"/>
          <w:color w:val="auto"/>
        </w:rPr>
        <w:t>Section 2A.9</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460" w:top="274" w:right="459" w:bottom="1440" w:gutter="0" w:footer="0" w:header="0"/>
        </w:sectPr>
      </w:pPr>
    </w:p>
    <w:bookmarkStart w:id="257" w:name="page258"/>
    <w:bookmarkEnd w:id="257"/>
    <w:p>
      <w:pPr>
        <w:ind w:right="660" w:firstLine="436"/>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Canadian Revolving Lender may at any time and from time to time hold, sell, rediscount or otherwise dispose of any or all B/As accepted and purchased by it.</w:t>
      </w:r>
    </w:p>
    <w:p>
      <w:pPr>
        <w:spacing w:after="0" w:line="62" w:lineRule="exact"/>
        <w:rPr>
          <w:rFonts w:ascii="Arial" w:cs="Arial" w:eastAsia="Arial" w:hAnsi="Arial"/>
          <w:sz w:val="18"/>
          <w:szCs w:val="18"/>
          <w:color w:val="auto"/>
        </w:rPr>
      </w:pPr>
    </w:p>
    <w:p>
      <w:pPr>
        <w:ind w:firstLine="436"/>
        <w:spacing w:after="0" w:line="287"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a Canadian Revolving Lender is not a chartered bank under the Bank Act (Canada) or if a Canadian Revolving Lender notifies Canadian Administrative Agent in writing that it is otherwise unable to accept Bankers’ Acceptances, such Canadian Revolving Lender will, instead of accepting and, if applicable, purchasing Bankers’ Acceptances, make an advance (a “</w:t>
      </w:r>
      <w:r>
        <w:rPr>
          <w:rFonts w:ascii="Arial" w:cs="Arial" w:eastAsia="Arial" w:hAnsi="Arial"/>
          <w:sz w:val="16"/>
          <w:szCs w:val="16"/>
          <w:u w:val="single" w:color="auto"/>
          <w:color w:val="auto"/>
        </w:rPr>
        <w:t>B/A Equivalent Loan</w:t>
      </w:r>
      <w:r>
        <w:rPr>
          <w:rFonts w:ascii="Arial" w:cs="Arial" w:eastAsia="Arial" w:hAnsi="Arial"/>
          <w:sz w:val="16"/>
          <w:szCs w:val="16"/>
          <w:color w:val="auto"/>
        </w:rPr>
        <w:t>”) to Canadian Borrower in the amount and for the same term as the draft that such Canadian Revolving Lender would otherwise have been required to accept and purchase hereunder. Each such Canadian Revolving Lender will provide to Canadian Administrative Agent the Discount Proceeds of such B/A Equivalent Loan for the account of Canadian Borrower. Each such B/A Equivalent Loan will bear interest at the same rate that would result if such Lender had accepted (and been paid an Acceptance Fee) and purchased (on a discounted basis at the Discount Rate) a Bankers’ Acceptance for the relevant Contract Period (it being the intention of the parties that each such B/A Equivalent Loan shall have the same economic consequences for the applicable Lenders and Canadian Borrower as the Bankers’ Acceptance which such B/A Equivalent Loan replaces). All such interest shall be paid in advance on the date such B/A Equivalent Loan is made, and will be deducted from the principal amount of such B/A Equivalent Loan in the same manner in which the discount to the purchase price of a Bankers’ Acceptance would be deducted from the face amount of the Bankers’ Acceptance.</w:t>
      </w:r>
    </w:p>
    <w:p>
      <w:pPr>
        <w:spacing w:after="0" w:line="63" w:lineRule="exact"/>
        <w:rPr>
          <w:rFonts w:ascii="Arial" w:cs="Arial" w:eastAsia="Arial" w:hAnsi="Arial"/>
          <w:sz w:val="16"/>
          <w:szCs w:val="16"/>
          <w:color w:val="auto"/>
        </w:rPr>
      </w:pPr>
    </w:p>
    <w:p>
      <w:pPr>
        <w:ind w:right="60" w:firstLine="436"/>
        <w:spacing w:after="0" w:line="289"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Canadian Borrower waives presentment for payment and any other defense to payment of any amounts due to a Canadian Revolving Lender in respect of a B/A accepted and purchased by it pursuant to this Agreement which might exist solely by reason of such B/A being held, at the maturity thereof, by such Canadian Revolving Lender in its own right, and Canadian Borrower agrees not to claim any days of grace if such Canadian Revolving Lender, as holder, sues Canadian Borrower on the B/A for payment of the amount payable by Canadian Borrower thereunder. Unless Canadian Borrower has requested and Canadian Revolving Lenders have granted a continuation of such B/A Loan in accordance with the provisions of this Agreement, on the last day of the Contract Period of a B/A, or such earlier date as may be required or permitted pursuant to the provisions of this Agreement, Canadian Borrower shall pay the Canadian Revolving Lender that has accepted and purchased such B/A the full face amount of such B/A and, after such payment, Canadian Borrower shall have no further liability in respect of such B/A and such Canadian Revolving Lender shall be entitled to all benefits of, and be responsible for all payments due to third parties under, such B/A.</w:t>
      </w:r>
    </w:p>
    <w:p>
      <w:pPr>
        <w:spacing w:after="0" w:line="58" w:lineRule="exact"/>
        <w:rPr>
          <w:rFonts w:ascii="Arial" w:cs="Arial" w:eastAsia="Arial" w:hAnsi="Arial"/>
          <w:sz w:val="16"/>
          <w:szCs w:val="16"/>
          <w:color w:val="auto"/>
        </w:rPr>
      </w:pPr>
    </w:p>
    <w:p>
      <w:pPr>
        <w:ind w:right="200" w:firstLine="436"/>
        <w:spacing w:after="0" w:line="26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Revolving Lender upon the occurrence of an Event of Default, no B/A Loan may be repaid by Canadian Borrower prior to the expiry date of the Contract Period applicable to such B/A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B/A Loan may be defeased as provided in the proviso to </w:t>
      </w:r>
      <w:r>
        <w:rPr>
          <w:rFonts w:ascii="Arial" w:cs="Arial" w:eastAsia="Arial" w:hAnsi="Arial"/>
          <w:sz w:val="18"/>
          <w:szCs w:val="18"/>
          <w:u w:val="single" w:color="auto"/>
          <w:color w:val="auto"/>
        </w:rPr>
        <w:t>Section 4.3(d)</w:t>
      </w:r>
      <w:r>
        <w:rPr>
          <w:rFonts w:ascii="Arial" w:cs="Arial" w:eastAsia="Arial" w:hAnsi="Arial"/>
          <w:sz w:val="18"/>
          <w:szCs w:val="18"/>
          <w:color w:val="auto"/>
        </w:rPr>
        <w:t>.</w:t>
      </w:r>
    </w:p>
    <w:p>
      <w:pPr>
        <w:spacing w:after="0" w:line="76"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2A.10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Section 347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 AND FEES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0" w:right="120" w:firstLine="436"/>
        <w:spacing w:after="0" w:line="257" w:lineRule="auto"/>
        <w:tabs>
          <w:tab w:leader="none" w:pos="64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Base Rate Loans</w:t>
      </w:r>
      <w:r>
        <w:rPr>
          <w:rFonts w:ascii="Arial" w:cs="Arial" w:eastAsia="Arial" w:hAnsi="Arial"/>
          <w:sz w:val="18"/>
          <w:szCs w:val="18"/>
          <w:color w:val="auto"/>
        </w:rPr>
        <w:t xml:space="preserve">. Each applicable Borrower agrees to pay interest in respect of the unpaid principal amount of each Base Rate Loan from the date the proceeds thereof are made available to such Borrower (or, if such Base Rate Loan was converted from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date of such conversion) until the earlier of (i) the maturity (whether by acceleration or otherwise) of such Base Rate Loan or (ii) the conversion of such Base Rate Loan to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relevant Base Rate plus the Applicable Base Rate Margin.</w:t>
      </w:r>
    </w:p>
    <w:p>
      <w:pPr>
        <w:spacing w:after="0" w:line="79" w:lineRule="exact"/>
        <w:rPr>
          <w:rFonts w:ascii="Arial" w:cs="Arial" w:eastAsia="Arial" w:hAnsi="Arial"/>
          <w:sz w:val="18"/>
          <w:szCs w:val="18"/>
          <w:color w:val="auto"/>
        </w:rPr>
      </w:pPr>
    </w:p>
    <w:p>
      <w:pPr>
        <w:ind w:left="-40" w:right="40" w:firstLine="436"/>
        <w:spacing w:after="0" w:line="296" w:lineRule="auto"/>
        <w:tabs>
          <w:tab w:leader="none" w:pos="65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Loans</w:t>
      </w:r>
      <w:r>
        <w:rPr>
          <w:rFonts w:ascii="Arial" w:cs="Arial" w:eastAsia="Arial" w:hAnsi="Arial"/>
          <w:sz w:val="16"/>
          <w:szCs w:val="16"/>
          <w:color w:val="000000"/>
        </w:rPr>
        <w:t>. Each applicable Borrower agrees to pay interest in respect of the unpaid principal amount of such Borrower’s</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Loans from the date the proceeds thereof are made available to such Borrower (or, if such</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 was converted</w:t>
      </w:r>
      <w:r>
        <w:rPr>
          <w:rFonts w:ascii="Arial" w:cs="Arial" w:eastAsia="Arial" w:hAnsi="Arial"/>
          <w:sz w:val="16"/>
          <w:szCs w:val="16"/>
          <w:color w:val="FF0000"/>
        </w:rPr>
        <w:t xml:space="preserve"> </w:t>
      </w:r>
      <w:r>
        <w:rPr>
          <w:rFonts w:ascii="Arial" w:cs="Arial" w:eastAsia="Arial" w:hAnsi="Arial"/>
          <w:sz w:val="16"/>
          <w:szCs w:val="16"/>
          <w:color w:val="000000"/>
        </w:rPr>
        <w:t xml:space="preserve">from a Base Rate Loan, the date of such conversion) until the earlier of (i) the maturity (whether by acceleration or otherwise) of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 or (ii) the conversion of such</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 to a Base Rate Loan pursuant to</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2.6</w:t>
      </w:r>
      <w:r>
        <w:rPr>
          <w:rFonts w:ascii="Arial" w:cs="Arial" w:eastAsia="Arial" w:hAnsi="Arial"/>
          <w:sz w:val="16"/>
          <w:szCs w:val="16"/>
          <w:color w:val="FF0000"/>
        </w:rPr>
        <w:t xml:space="preserve"> </w:t>
      </w:r>
      <w:r>
        <w:rPr>
          <w:rFonts w:ascii="Arial" w:cs="Arial" w:eastAsia="Arial" w:hAnsi="Arial"/>
          <w:sz w:val="16"/>
          <w:szCs w:val="16"/>
          <w:color w:val="000000"/>
        </w:rPr>
        <w:t>at a rate</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per annum</w:t>
      </w:r>
      <w:r>
        <w:rPr>
          <w:rFonts w:ascii="Arial" w:cs="Arial" w:eastAsia="Arial" w:hAnsi="Arial"/>
          <w:sz w:val="16"/>
          <w:szCs w:val="16"/>
          <w:color w:val="FF0000"/>
        </w:rPr>
        <w:t xml:space="preserve"> </w:t>
      </w:r>
      <w:r>
        <w:rPr>
          <w:rFonts w:ascii="Arial" w:cs="Arial" w:eastAsia="Arial" w:hAnsi="Arial"/>
          <w:sz w:val="16"/>
          <w:szCs w:val="16"/>
          <w:color w:val="000000"/>
        </w:rPr>
        <w:t>equal</w:t>
      </w:r>
      <w:r>
        <w:rPr>
          <w:rFonts w:ascii="Arial" w:cs="Arial" w:eastAsia="Arial" w:hAnsi="Arial"/>
          <w:sz w:val="16"/>
          <w:szCs w:val="16"/>
          <w:color w:val="FF0000"/>
        </w:rPr>
        <w:t xml:space="preserve"> </w:t>
      </w:r>
      <w:r>
        <w:rPr>
          <w:rFonts w:ascii="Arial" w:cs="Arial" w:eastAsia="Arial" w:hAnsi="Arial"/>
          <w:sz w:val="16"/>
          <w:szCs w:val="16"/>
          <w:color w:val="000000"/>
        </w:rPr>
        <w:t xml:space="preserve">to </w:t>
      </w:r>
      <w:r>
        <w:rPr>
          <w:rFonts w:ascii="Arial" w:cs="Arial" w:eastAsia="Arial" w:hAnsi="Arial"/>
          <w:sz w:val="16"/>
          <w:szCs w:val="16"/>
          <w:color w:val="FF0000"/>
          <w:strike w:val="1"/>
        </w:rPr>
        <w:t>the (other than a B/A Loan) relevant Eurocurrency Rate</w:t>
      </w:r>
      <w:r>
        <w:rPr>
          <w:rFonts w:ascii="Arial" w:cs="Arial" w:eastAsia="Arial" w:hAnsi="Arial"/>
          <w:sz w:val="16"/>
          <w:szCs w:val="16"/>
          <w:u w:val="single" w:color="auto"/>
          <w:color w:val="0000FF"/>
        </w:rPr>
        <w:t>Adjusted Term SOFR</w:t>
      </w:r>
      <w:r>
        <w:rPr>
          <w:rFonts w:ascii="Arial" w:cs="Arial" w:eastAsia="Arial" w:hAnsi="Arial"/>
          <w:sz w:val="16"/>
          <w:szCs w:val="16"/>
          <w:color w:val="000000"/>
        </w:rPr>
        <w:t xml:space="preserve"> plus the Applicable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Adjusted Term SOFR</w:t>
      </w:r>
      <w:r>
        <w:rPr>
          <w:rFonts w:ascii="Arial" w:cs="Arial" w:eastAsia="Arial" w:hAnsi="Arial"/>
          <w:sz w:val="16"/>
          <w:szCs w:val="16"/>
          <w:color w:val="000000"/>
        </w:rPr>
        <w:t xml:space="preserve"> Margin.</w:t>
      </w:r>
    </w:p>
    <w:p>
      <w:pPr>
        <w:spacing w:after="0" w:line="53" w:lineRule="exact"/>
        <w:rPr>
          <w:rFonts w:ascii="Arial" w:cs="Arial" w:eastAsia="Arial" w:hAnsi="Arial"/>
          <w:sz w:val="16"/>
          <w:szCs w:val="16"/>
          <w:color w:val="auto"/>
        </w:rPr>
      </w:pPr>
    </w:p>
    <w:p>
      <w:pPr>
        <w:ind w:left="-40" w:firstLine="436"/>
        <w:spacing w:after="0" w:line="286" w:lineRule="auto"/>
        <w:tabs>
          <w:tab w:leader="none" w:pos="645" w:val="left"/>
        </w:tabs>
        <w:numPr>
          <w:ilvl w:val="0"/>
          <w:numId w:val="12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Eurocurrency Loans. Each applicable Borrower agrees to pay interest in respect of the unpaid principal amount of such Borrower’s Eurocurrency Loans from the date the proceeds thereof are made available to such Borrower until the maturity (whether by acceleration or otherwise) of such Eurocurrency Loan at a rate per annum equal to the Eurocurrency Rate plus the Applicable Eurocurrency Margin.</w:t>
      </w:r>
    </w:p>
    <w:p>
      <w:pPr>
        <w:spacing w:after="0" w:line="57" w:lineRule="exact"/>
        <w:rPr>
          <w:rFonts w:ascii="Arial" w:cs="Arial" w:eastAsia="Arial" w:hAnsi="Arial"/>
          <w:sz w:val="17"/>
          <w:szCs w:val="17"/>
          <w:u w:val="single" w:color="auto"/>
          <w:color w:val="0000FF"/>
        </w:rPr>
      </w:pPr>
    </w:p>
    <w:p>
      <w:pPr>
        <w:ind w:left="-40" w:right="80" w:firstLine="436"/>
        <w:spacing w:after="0" w:line="263" w:lineRule="auto"/>
        <w:tabs>
          <w:tab w:leader="none" w:pos="655" w:val="left"/>
        </w:tabs>
        <w:numPr>
          <w:ilvl w:val="0"/>
          <w:numId w:val="1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RFR Loans. Each applicable Borrower agrees to pay interest in respect of the unpaid principal amount of such Borrower’s Daily Simple RFR Loans from the date the proceeds thereof are made available to such Borrower until the maturity (whether by acceleration or otherwise) of such Daily Simple RFR Loan at a rate per annum equal to Daily Simple RFR plus the Applicable RFR Margin.</w:t>
      </w:r>
    </w:p>
    <w:p>
      <w:pPr>
        <w:spacing w:after="0" w:line="75" w:lineRule="exact"/>
        <w:rPr>
          <w:rFonts w:ascii="Arial" w:cs="Arial" w:eastAsia="Arial" w:hAnsi="Arial"/>
          <w:sz w:val="18"/>
          <w:szCs w:val="18"/>
          <w:u w:val="single" w:color="auto"/>
          <w:color w:val="0000FF"/>
        </w:rPr>
      </w:pPr>
    </w:p>
    <w:p>
      <w:pPr>
        <w:ind w:left="-40" w:right="60" w:firstLine="436"/>
        <w:spacing w:after="0" w:line="257" w:lineRule="auto"/>
        <w:tabs>
          <w:tab w:leader="none" w:pos="645" w:val="left"/>
        </w:tabs>
        <w:numPr>
          <w:ilvl w:val="0"/>
          <w:numId w:val="121"/>
        </w:numPr>
        <w:rPr>
          <w:rFonts w:ascii="Arial" w:cs="Arial" w:eastAsia="Arial" w:hAnsi="Arial"/>
          <w:sz w:val="18"/>
          <w:szCs w:val="18"/>
          <w:u w:val="single" w:color="auto"/>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Canadian Prime Rate Loans</w:t>
      </w:r>
      <w:r>
        <w:rPr>
          <w:rFonts w:ascii="Arial" w:cs="Arial" w:eastAsia="Arial" w:hAnsi="Arial"/>
          <w:sz w:val="18"/>
          <w:szCs w:val="18"/>
          <w:color w:val="000000"/>
        </w:rPr>
        <w:t>. Canadian Borrower agrees to pay interest in respect of the unpaid principal amount of each Canadian Prime</w:t>
      </w:r>
      <w:r>
        <w:rPr>
          <w:rFonts w:ascii="Arial" w:cs="Arial" w:eastAsia="Arial" w:hAnsi="Arial"/>
          <w:sz w:val="18"/>
          <w:szCs w:val="18"/>
          <w:color w:val="FF0000"/>
        </w:rPr>
        <w:t xml:space="preserve"> </w:t>
      </w:r>
      <w:r>
        <w:rPr>
          <w:rFonts w:ascii="Arial" w:cs="Arial" w:eastAsia="Arial" w:hAnsi="Arial"/>
          <w:sz w:val="18"/>
          <w:szCs w:val="18"/>
          <w:color w:val="000000"/>
        </w:rPr>
        <w:t xml:space="preserve">Rate Loan from the date the proceeds thereof are made available to Canadian Borrower (or in the case of a conversion of a B/A Loan to a Canadian Prime Rate Loan, the date of such conversion) until the earlier of (i) the maturity (whether by acceleration or otherwise) of such Canadian Prime Rate Loan or (ii) the conversion of such Canadian Prime Rate Loan to a B/A Loan pursuant to </w:t>
      </w:r>
      <w:r>
        <w:rPr>
          <w:rFonts w:ascii="Arial" w:cs="Arial" w:eastAsia="Arial" w:hAnsi="Arial"/>
          <w:sz w:val="18"/>
          <w:szCs w:val="18"/>
          <w:u w:val="single" w:color="auto"/>
          <w:color w:val="000000"/>
        </w:rPr>
        <w:t>Section 2A.6</w:t>
      </w:r>
      <w:r>
        <w:rPr>
          <w:rFonts w:ascii="Arial" w:cs="Arial" w:eastAsia="Arial" w:hAnsi="Arial"/>
          <w:sz w:val="18"/>
          <w:szCs w:val="18"/>
          <w:color w:val="000000"/>
        </w:rPr>
        <w:t xml:space="preserve"> at a rate per annum equal to the Canadian Prime Rate plus the Applicable Canadian Prime Rate Margin.</w:t>
      </w:r>
    </w:p>
    <w:p>
      <w:pPr>
        <w:spacing w:after="0" w:line="79" w:lineRule="exact"/>
        <w:rPr>
          <w:rFonts w:ascii="Arial" w:cs="Arial" w:eastAsia="Arial" w:hAnsi="Arial"/>
          <w:sz w:val="18"/>
          <w:szCs w:val="18"/>
          <w:u w:val="single" w:color="auto"/>
          <w:color w:val="0000FF"/>
        </w:rPr>
      </w:pPr>
    </w:p>
    <w:p>
      <w:pPr>
        <w:ind w:left="-40" w:right="60" w:firstLine="436"/>
        <w:spacing w:after="0" w:line="277" w:lineRule="auto"/>
        <w:tabs>
          <w:tab w:leader="none" w:pos="625" w:val="left"/>
        </w:tabs>
        <w:numPr>
          <w:ilvl w:val="0"/>
          <w:numId w:val="121"/>
        </w:numPr>
        <w:rPr>
          <w:rFonts w:ascii="Arial" w:cs="Arial" w:eastAsia="Arial" w:hAnsi="Arial"/>
          <w:sz w:val="18"/>
          <w:szCs w:val="18"/>
          <w:u w:val="single" w:color="auto"/>
          <w:color w:val="0000FF"/>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B/A Loans</w:t>
      </w:r>
      <w:r>
        <w:rPr>
          <w:rFonts w:ascii="Arial" w:cs="Arial" w:eastAsia="Arial" w:hAnsi="Arial"/>
          <w:sz w:val="18"/>
          <w:szCs w:val="18"/>
          <w:color w:val="000000"/>
        </w:rPr>
        <w:t>. Canadian Borrower agrees to pay the Acceptance Fee on the date of acceptance of a draft or making of a B/A Equivalent Loan</w:t>
      </w:r>
      <w:r>
        <w:rPr>
          <w:rFonts w:ascii="Arial" w:cs="Arial" w:eastAsia="Arial" w:hAnsi="Arial"/>
          <w:sz w:val="18"/>
          <w:szCs w:val="18"/>
          <w:color w:val="FF0000"/>
        </w:rPr>
        <w:t xml:space="preserve"> </w:t>
      </w:r>
      <w:r>
        <w:rPr>
          <w:rFonts w:ascii="Arial" w:cs="Arial" w:eastAsia="Arial" w:hAnsi="Arial"/>
          <w:sz w:val="18"/>
          <w:szCs w:val="18"/>
          <w:color w:val="000000"/>
        </w:rPr>
        <w:t xml:space="preserve">as calculated in the definition of “Acceptance Fee” and in accordance with </w:t>
      </w:r>
      <w:r>
        <w:rPr>
          <w:rFonts w:ascii="Arial" w:cs="Arial" w:eastAsia="Arial" w:hAnsi="Arial"/>
          <w:sz w:val="18"/>
          <w:szCs w:val="18"/>
          <w:u w:val="single" w:color="auto"/>
          <w:color w:val="000000"/>
        </w:rPr>
        <w:t>Section 2A.9(f)</w:t>
      </w:r>
      <w:r>
        <w:rPr>
          <w:rFonts w:ascii="Arial" w:cs="Arial" w:eastAsia="Arial" w:hAnsi="Arial"/>
          <w:sz w:val="18"/>
          <w:szCs w:val="18"/>
          <w:color w:val="000000"/>
        </w:rPr>
        <w:t>.</w:t>
      </w:r>
    </w:p>
    <w:p>
      <w:pPr>
        <w:spacing w:after="0" w:line="62" w:lineRule="exact"/>
        <w:rPr>
          <w:rFonts w:ascii="Arial" w:cs="Arial" w:eastAsia="Arial" w:hAnsi="Arial"/>
          <w:sz w:val="18"/>
          <w:szCs w:val="18"/>
          <w:u w:val="single" w:color="auto"/>
          <w:color w:val="0000FF"/>
        </w:rPr>
      </w:pPr>
    </w:p>
    <w:p>
      <w:pPr>
        <w:ind w:left="-40" w:right="120" w:firstLine="436"/>
        <w:spacing w:after="0" w:line="263" w:lineRule="auto"/>
        <w:tabs>
          <w:tab w:leader="none" w:pos="655" w:val="left"/>
        </w:tabs>
        <w:numPr>
          <w:ilvl w:val="0"/>
          <w:numId w:val="121"/>
        </w:numPr>
        <w:rPr>
          <w:rFonts w:ascii="Arial" w:cs="Arial" w:eastAsia="Arial" w:hAnsi="Arial"/>
          <w:sz w:val="18"/>
          <w:szCs w:val="18"/>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Overnight Rate Loans</w:t>
      </w:r>
      <w:r>
        <w:rPr>
          <w:rFonts w:ascii="Arial" w:cs="Arial" w:eastAsia="Arial" w:hAnsi="Arial"/>
          <w:sz w:val="18"/>
          <w:szCs w:val="18"/>
          <w:color w:val="000000"/>
        </w:rPr>
        <w:t>. Each applicable Borrower agrees to pay interest in respect of the unpaid principal amount of each Overnight Rate</w:t>
      </w:r>
      <w:r>
        <w:rPr>
          <w:rFonts w:ascii="Arial" w:cs="Arial" w:eastAsia="Arial" w:hAnsi="Arial"/>
          <w:sz w:val="18"/>
          <w:szCs w:val="18"/>
          <w:color w:val="FF0000"/>
        </w:rPr>
        <w:t xml:space="preserve"> </w:t>
      </w:r>
      <w:r>
        <w:rPr>
          <w:rFonts w:ascii="Arial" w:cs="Arial" w:eastAsia="Arial" w:hAnsi="Arial"/>
          <w:sz w:val="18"/>
          <w:szCs w:val="18"/>
          <w:color w:val="000000"/>
        </w:rPr>
        <w:t xml:space="preserve">Loan from the date the proceeds thereof are made available to such Borrower until the maturity of such Overnight Rate Loan at a rate per annum equal to the Overnight Euro Rate or Overnight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Sterling</w:t>
      </w:r>
      <w:r>
        <w:rPr>
          <w:rFonts w:ascii="Arial" w:cs="Arial" w:eastAsia="Arial" w:hAnsi="Arial"/>
          <w:sz w:val="18"/>
          <w:szCs w:val="18"/>
          <w:color w:val="000000"/>
        </w:rPr>
        <w:t xml:space="preserve">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5767070</wp:posOffset>
            </wp:positionH>
            <wp:positionV relativeFrom="paragraph">
              <wp:posOffset>-3705860</wp:posOffset>
            </wp:positionV>
            <wp:extent cx="28257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-3431540</wp:posOffset>
            </wp:positionV>
            <wp:extent cx="28257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-3088640</wp:posOffset>
            </wp:positionV>
            <wp:extent cx="28257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-2951480</wp:posOffset>
            </wp:positionV>
            <wp:extent cx="28321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-2951480</wp:posOffset>
            </wp:positionV>
            <wp:extent cx="31750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-2677160</wp:posOffset>
            </wp:positionV>
            <wp:extent cx="28321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-2677160</wp:posOffset>
            </wp:positionV>
            <wp:extent cx="28321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-2540000</wp:posOffset>
            </wp:positionV>
            <wp:extent cx="99441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-2540000</wp:posOffset>
            </wp:positionV>
            <wp:extent cx="99441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-2334260</wp:posOffset>
            </wp:positionV>
            <wp:extent cx="614616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-2197100</wp:posOffset>
            </wp:positionV>
            <wp:extent cx="696912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-2059940</wp:posOffset>
            </wp:positionV>
            <wp:extent cx="542607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42607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-1854200</wp:posOffset>
            </wp:positionV>
            <wp:extent cx="662622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-1717040</wp:posOffset>
            </wp:positionV>
            <wp:extent cx="68408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-1579880</wp:posOffset>
            </wp:positionV>
            <wp:extent cx="456057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-1374140</wp:posOffset>
            </wp:positionV>
            <wp:extent cx="15430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-619760</wp:posOffset>
            </wp:positionV>
            <wp:extent cx="13716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-276860</wp:posOffset>
            </wp:positionV>
            <wp:extent cx="15430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-2540</wp:posOffset>
            </wp:positionV>
            <wp:extent cx="36830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20"/>
          </w:cols>
          <w:pgMar w:left="480" w:top="270" w:right="499" w:bottom="1440" w:gutter="0" w:footer="0" w:header="0"/>
        </w:sectPr>
      </w:pPr>
    </w:p>
    <w:bookmarkStart w:id="259" w:name="page260"/>
    <w:bookmarkEnd w:id="259"/>
    <w:p>
      <w:pPr>
        <w:ind w:right="200" w:firstLine="436"/>
        <w:spacing w:after="0" w:line="291" w:lineRule="auto"/>
        <w:tabs>
          <w:tab w:leader="none" w:pos="695" w:val="left"/>
        </w:tabs>
        <w:numPr>
          <w:ilvl w:val="0"/>
          <w:numId w:val="122"/>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Payment of Interest</w:t>
      </w:r>
      <w:r>
        <w:rPr>
          <w:rFonts w:ascii="Arial" w:cs="Arial" w:eastAsia="Arial" w:hAnsi="Arial"/>
          <w:sz w:val="16"/>
          <w:szCs w:val="16"/>
          <w:color w:val="000000"/>
        </w:rPr>
        <w:t>. Interest on each Loan (other than a B/A Loan) shall be payable in arrears on each Interest Payment Date;</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interest accruing pursuant to </w:t>
      </w:r>
      <w:r>
        <w:rPr>
          <w:rFonts w:ascii="Arial" w:cs="Arial" w:eastAsia="Arial" w:hAnsi="Arial"/>
          <w:sz w:val="16"/>
          <w:szCs w:val="16"/>
          <w:u w:val="single" w:color="auto"/>
          <w:color w:val="000000"/>
        </w:rPr>
        <w:t>Section 3.1(h)</w:t>
      </w:r>
      <w:r>
        <w:rPr>
          <w:rFonts w:ascii="Arial" w:cs="Arial" w:eastAsia="Arial" w:hAnsi="Arial"/>
          <w:sz w:val="16"/>
          <w:szCs w:val="16"/>
          <w:color w:val="000000"/>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Arial" w:cs="Arial" w:eastAsia="Arial" w:hAnsi="Arial"/>
          <w:sz w:val="16"/>
          <w:szCs w:val="16"/>
          <w:u w:val="single" w:color="auto"/>
          <w:color w:val="000000"/>
        </w:rPr>
        <w:t>Section 4.3</w:t>
      </w:r>
      <w:r>
        <w:rPr>
          <w:rFonts w:ascii="Arial" w:cs="Arial" w:eastAsia="Arial" w:hAnsi="Arial"/>
          <w:sz w:val="16"/>
          <w:szCs w:val="16"/>
          <w:color w:val="000000"/>
        </w:rPr>
        <w:t xml:space="preserve"> on any day other than a Quarterly Payment Date or the applicable Revolver Termination Date need not be made with accrued interest from the most recent Quarterly Payment Date,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58" w:lineRule="exact"/>
        <w:rPr>
          <w:rFonts w:ascii="Arial" w:cs="Arial" w:eastAsia="Arial" w:hAnsi="Arial"/>
          <w:sz w:val="16"/>
          <w:szCs w:val="16"/>
          <w:u w:val="single" w:color="auto"/>
          <w:color w:val="0000FF"/>
        </w:rPr>
      </w:pPr>
    </w:p>
    <w:p>
      <w:pPr>
        <w:ind w:right="220" w:firstLine="436"/>
        <w:spacing w:after="0" w:line="263" w:lineRule="auto"/>
        <w:tabs>
          <w:tab w:leader="none" w:pos="655" w:val="left"/>
        </w:tabs>
        <w:numPr>
          <w:ilvl w:val="0"/>
          <w:numId w:val="122"/>
        </w:numPr>
        <w:rPr>
          <w:rFonts w:ascii="Arial" w:cs="Arial" w:eastAsia="Arial" w:hAnsi="Arial"/>
          <w:sz w:val="18"/>
          <w:szCs w:val="18"/>
          <w:u w:val="single" w:color="auto"/>
          <w:color w:val="0000FF"/>
        </w:rPr>
      </w:pPr>
      <w:r>
        <w:rPr>
          <w:rFonts w:ascii="Arial" w:cs="Arial" w:eastAsia="Arial" w:hAnsi="Arial"/>
          <w:sz w:val="18"/>
          <w:szCs w:val="18"/>
          <w:color w:val="FF0000"/>
          <w:strike w:val="1"/>
        </w:rPr>
        <w:t>(g)</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Notification of Rate</w:t>
      </w:r>
      <w:r>
        <w:rPr>
          <w:rFonts w:ascii="Arial" w:cs="Arial" w:eastAsia="Arial" w:hAnsi="Arial"/>
          <w:sz w:val="18"/>
          <w:szCs w:val="18"/>
          <w:color w:val="000000"/>
        </w:rPr>
        <w:t>. Administrative Agent, upon determining the interest rate for any Borrowing of Eurocurrency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SOFR Loans</w:t>
      </w:r>
      <w:r>
        <w:rPr>
          <w:rFonts w:ascii="Arial" w:cs="Arial" w:eastAsia="Arial" w:hAnsi="Arial"/>
          <w:sz w:val="18"/>
          <w:szCs w:val="18"/>
          <w:color w:val="FF0000"/>
        </w:rPr>
        <w:t xml:space="preserve"> </w:t>
      </w:r>
      <w:r>
        <w:rPr>
          <w:rFonts w:ascii="Arial" w:cs="Arial" w:eastAsia="Arial" w:hAnsi="Arial"/>
          <w:sz w:val="18"/>
          <w:szCs w:val="18"/>
          <w:color w:val="000000"/>
        </w:rPr>
        <w:t xml:space="preserve">for any Interest Period or Interest Payment Date, as applicable, shall promptly notify Borrowers and the Lenders thereof. Such determination shall, absent manifest error and subject to </w:t>
      </w:r>
      <w:r>
        <w:rPr>
          <w:rFonts w:ascii="Arial" w:cs="Arial" w:eastAsia="Arial" w:hAnsi="Arial"/>
          <w:sz w:val="18"/>
          <w:szCs w:val="18"/>
          <w:u w:val="single" w:color="auto"/>
          <w:color w:val="000000"/>
        </w:rPr>
        <w:t>Section 3.6</w:t>
      </w:r>
      <w:r>
        <w:rPr>
          <w:rFonts w:ascii="Arial" w:cs="Arial" w:eastAsia="Arial" w:hAnsi="Arial"/>
          <w:sz w:val="18"/>
          <w:szCs w:val="18"/>
          <w:color w:val="000000"/>
        </w:rPr>
        <w:t>, be final, conclusive and binding upon all parties hereto.</w:t>
      </w:r>
    </w:p>
    <w:p>
      <w:pPr>
        <w:spacing w:after="0" w:line="75" w:lineRule="exact"/>
        <w:rPr>
          <w:rFonts w:ascii="Arial" w:cs="Arial" w:eastAsia="Arial" w:hAnsi="Arial"/>
          <w:sz w:val="18"/>
          <w:szCs w:val="18"/>
          <w:u w:val="single" w:color="auto"/>
          <w:color w:val="0000FF"/>
        </w:rPr>
      </w:pPr>
    </w:p>
    <w:p>
      <w:pPr>
        <w:ind w:right="100" w:firstLine="436"/>
        <w:spacing w:after="0" w:line="275" w:lineRule="auto"/>
        <w:tabs>
          <w:tab w:leader="none" w:pos="655" w:val="left"/>
        </w:tabs>
        <w:numPr>
          <w:ilvl w:val="0"/>
          <w:numId w:val="122"/>
        </w:numPr>
        <w:rPr>
          <w:rFonts w:ascii="Arial" w:cs="Arial" w:eastAsia="Arial" w:hAnsi="Arial"/>
          <w:sz w:val="17"/>
          <w:szCs w:val="17"/>
          <w:u w:val="single" w:color="auto"/>
          <w:color w:val="0000FF"/>
        </w:rPr>
      </w:pPr>
      <w:r>
        <w:rPr>
          <w:rFonts w:ascii="Arial" w:cs="Arial" w:eastAsia="Arial" w:hAnsi="Arial"/>
          <w:sz w:val="17"/>
          <w:szCs w:val="17"/>
          <w:color w:val="FF0000"/>
          <w:strike w:val="1"/>
        </w:rPr>
        <w:t>(h)</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Default Interest</w:t>
      </w:r>
      <w:r>
        <w:rPr>
          <w:rFonts w:ascii="Arial" w:cs="Arial" w:eastAsia="Arial" w:hAnsi="Arial"/>
          <w:sz w:val="17"/>
          <w:szCs w:val="17"/>
          <w:color w:val="000000"/>
        </w:rPr>
        <w:t>. Notwithstanding the rates of interest specified herein, effective immediately upon the occurrence and during the</w:t>
      </w:r>
      <w:r>
        <w:rPr>
          <w:rFonts w:ascii="Arial" w:cs="Arial" w:eastAsia="Arial" w:hAnsi="Arial"/>
          <w:sz w:val="17"/>
          <w:szCs w:val="17"/>
          <w:color w:val="FF0000"/>
        </w:rPr>
        <w:t xml:space="preserve"> </w:t>
      </w:r>
      <w:r>
        <w:rPr>
          <w:rFonts w:ascii="Arial" w:cs="Arial" w:eastAsia="Arial" w:hAnsi="Arial"/>
          <w:sz w:val="17"/>
          <w:szCs w:val="17"/>
          <w:color w:val="000000"/>
        </w:rPr>
        <w:t xml:space="preserve">continuation of an Event of Default under </w:t>
      </w:r>
      <w:r>
        <w:rPr>
          <w:rFonts w:ascii="Arial" w:cs="Arial" w:eastAsia="Arial" w:hAnsi="Arial"/>
          <w:sz w:val="17"/>
          <w:szCs w:val="17"/>
          <w:u w:val="single" w:color="auto"/>
          <w:color w:val="000000"/>
        </w:rPr>
        <w:t>Section 10.1(a)</w:t>
      </w:r>
      <w:r>
        <w:rPr>
          <w:rFonts w:ascii="Arial" w:cs="Arial" w:eastAsia="Arial" w:hAnsi="Arial"/>
          <w:sz w:val="17"/>
          <w:szCs w:val="17"/>
          <w:color w:val="000000"/>
        </w:rPr>
        <w:t xml:space="preserve"> (solely with respect to principal, interest and recurring fee payments due under any of the Loan Documents), or </w:t>
      </w:r>
      <w:r>
        <w:rPr>
          <w:rFonts w:ascii="Arial" w:cs="Arial" w:eastAsia="Arial" w:hAnsi="Arial"/>
          <w:sz w:val="17"/>
          <w:szCs w:val="17"/>
          <w:u w:val="single" w:color="auto"/>
          <w:color w:val="000000"/>
        </w:rPr>
        <w:t>Section 10.1(i)</w:t>
      </w:r>
      <w:r>
        <w:rPr>
          <w:rFonts w:ascii="Arial" w:cs="Arial" w:eastAsia="Arial" w:hAnsi="Arial"/>
          <w:sz w:val="17"/>
          <w:szCs w:val="17"/>
          <w:color w:val="000000"/>
        </w:rPr>
        <w:t xml:space="preserve">, overdue principal and other overdue amounts (in each case, other than B/A Loans) shall bear interest payable on demand, after as well as before judgment, at a rate per annum equal to the Default Rate;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amount shall accrue or be payable pursuant to this </w:t>
      </w:r>
      <w:r>
        <w:rPr>
          <w:rFonts w:ascii="Arial" w:cs="Arial" w:eastAsia="Arial" w:hAnsi="Arial"/>
          <w:sz w:val="17"/>
          <w:szCs w:val="17"/>
          <w:u w:val="single" w:color="auto"/>
          <w:color w:val="000000"/>
        </w:rPr>
        <w:t>Section 3.1(h)</w:t>
      </w:r>
      <w:r>
        <w:rPr>
          <w:rFonts w:ascii="Arial" w:cs="Arial" w:eastAsia="Arial" w:hAnsi="Arial"/>
          <w:sz w:val="17"/>
          <w:szCs w:val="17"/>
          <w:color w:val="000000"/>
        </w:rPr>
        <w:t xml:space="preserve"> to a Defaulting Lender so long as such Lender is a Defaulting Lender.</w:t>
      </w:r>
    </w:p>
    <w:p>
      <w:pPr>
        <w:spacing w:after="0" w:line="68" w:lineRule="exact"/>
        <w:rPr>
          <w:rFonts w:ascii="Arial" w:cs="Arial" w:eastAsia="Arial" w:hAnsi="Arial"/>
          <w:sz w:val="17"/>
          <w:szCs w:val="17"/>
          <w:u w:val="single" w:color="auto"/>
          <w:color w:val="0000FF"/>
        </w:rPr>
      </w:pPr>
    </w:p>
    <w:p>
      <w:pPr>
        <w:ind w:right="100" w:firstLine="436"/>
        <w:spacing w:after="0" w:line="287" w:lineRule="auto"/>
        <w:tabs>
          <w:tab w:leader="none" w:pos="695" w:val="left"/>
        </w:tabs>
        <w:numPr>
          <w:ilvl w:val="0"/>
          <w:numId w:val="122"/>
        </w:numPr>
        <w:rPr>
          <w:rFonts w:ascii="Arial" w:cs="Arial" w:eastAsia="Arial" w:hAnsi="Arial"/>
          <w:sz w:val="16"/>
          <w:szCs w:val="16"/>
          <w:u w:val="single" w:color="auto"/>
          <w:color w:val="0000FF"/>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Maximum Interest</w:t>
      </w:r>
      <w:r>
        <w:rPr>
          <w:rFonts w:ascii="Arial" w:cs="Arial" w:eastAsia="Arial" w:hAnsi="Arial"/>
          <w:sz w:val="16"/>
          <w:szCs w:val="16"/>
          <w:color w:val="000000"/>
        </w:rPr>
        <w:t>. If any interest payment or other charge or fee payable hereunder exceeds the maximum amount then permitted by</w:t>
      </w:r>
      <w:r>
        <w:rPr>
          <w:rFonts w:ascii="Arial" w:cs="Arial" w:eastAsia="Arial" w:hAnsi="Arial"/>
          <w:sz w:val="16"/>
          <w:szCs w:val="16"/>
          <w:color w:val="FF0000"/>
        </w:rPr>
        <w:t xml:space="preserve"> </w:t>
      </w:r>
      <w:r>
        <w:rPr>
          <w:rFonts w:ascii="Arial" w:cs="Arial" w:eastAsia="Arial" w:hAnsi="Arial"/>
          <w:sz w:val="16"/>
          <w:szCs w:val="16"/>
          <w:color w:val="000000"/>
        </w:rPr>
        <w:t>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Arial" w:cs="Arial" w:eastAsia="Arial" w:hAnsi="Arial"/>
          <w:sz w:val="16"/>
          <w:szCs w:val="16"/>
          <w:u w:val="single" w:color="auto"/>
          <w:color w:val="000000"/>
        </w:rPr>
        <w:t>Criminal Code Section</w:t>
      </w:r>
      <w:r>
        <w:rPr>
          <w:rFonts w:ascii="Arial" w:cs="Arial" w:eastAsia="Arial" w:hAnsi="Arial"/>
          <w:sz w:val="16"/>
          <w:szCs w:val="16"/>
          <w:color w:val="000000"/>
        </w:rPr>
        <w:t xml:space="preserve">”) of the </w:t>
      </w:r>
      <w:r>
        <w:rPr>
          <w:rFonts w:ascii="Arial" w:cs="Arial" w:eastAsia="Arial" w:hAnsi="Arial"/>
          <w:sz w:val="16"/>
          <w:szCs w:val="16"/>
          <w:i w:val="1"/>
          <w:iCs w:val="1"/>
          <w:color w:val="000000"/>
        </w:rPr>
        <w:t>Criminal Code</w:t>
      </w:r>
      <w:r>
        <w:rPr>
          <w:rFonts w:ascii="Arial" w:cs="Arial" w:eastAsia="Arial" w:hAnsi="Arial"/>
          <w:sz w:val="16"/>
          <w:szCs w:val="16"/>
          <w:color w:val="000000"/>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59" w:lineRule="exact"/>
        <w:rPr>
          <w:rFonts w:ascii="Arial" w:cs="Arial" w:eastAsia="Arial" w:hAnsi="Arial"/>
          <w:sz w:val="16"/>
          <w:szCs w:val="16"/>
          <w:u w:val="single" w:color="auto"/>
          <w:color w:val="0000FF"/>
        </w:rPr>
      </w:pPr>
    </w:p>
    <w:p>
      <w:pPr>
        <w:ind w:firstLine="436"/>
        <w:spacing w:after="0" w:line="272" w:lineRule="auto"/>
        <w:tabs>
          <w:tab w:leader="none" w:pos="655" w:val="left"/>
        </w:tabs>
        <w:numPr>
          <w:ilvl w:val="0"/>
          <w:numId w:val="122"/>
        </w:numPr>
        <w:rPr>
          <w:rFonts w:ascii="Arial" w:cs="Arial" w:eastAsia="Arial" w:hAnsi="Arial"/>
          <w:sz w:val="17"/>
          <w:szCs w:val="17"/>
          <w:u w:val="single" w:color="auto"/>
          <w:color w:val="0000FF"/>
        </w:rPr>
      </w:pPr>
      <w:r>
        <w:rPr>
          <w:rFonts w:ascii="Arial" w:cs="Arial" w:eastAsia="Arial" w:hAnsi="Arial"/>
          <w:sz w:val="17"/>
          <w:szCs w:val="17"/>
          <w:color w:val="FF0000"/>
          <w:strike w:val="1"/>
        </w:rPr>
        <w:t>(j)</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Global Effective Rate (Taux Effectif Global)</w:t>
      </w:r>
      <w:r>
        <w:rPr>
          <w:rFonts w:ascii="Arial" w:cs="Arial" w:eastAsia="Arial" w:hAnsi="Arial"/>
          <w:sz w:val="17"/>
          <w:szCs w:val="17"/>
          <w:color w:val="000000"/>
        </w:rPr>
        <w:t>. For the purposes of Articles L. 313-4 of the French Monetary and Financial Code and L. 314-1</w:t>
      </w:r>
      <w:r>
        <w:rPr>
          <w:rFonts w:ascii="Arial" w:cs="Arial" w:eastAsia="Arial" w:hAnsi="Arial"/>
          <w:sz w:val="17"/>
          <w:szCs w:val="17"/>
          <w:color w:val="FF0000"/>
        </w:rPr>
        <w:t xml:space="preserve"> </w:t>
      </w:r>
      <w:r>
        <w:rPr>
          <w:rFonts w:ascii="Arial" w:cs="Arial" w:eastAsia="Arial" w:hAnsi="Arial"/>
          <w:sz w:val="17"/>
          <w:szCs w:val="17"/>
          <w:color w:val="000000"/>
        </w:rPr>
        <w:t xml:space="preserve">et seq., R. 314-1 and R. 314-14 of the French Consumer Code, the parties acknowledge that by virtue of certain characteristics of the Facilities (and in particular the variable interest rate applicable to Loans and the Borrowers’ right to select the currency and the duration of the Interest Period of each Loan), the </w:t>
      </w:r>
      <w:r>
        <w:rPr>
          <w:rFonts w:ascii="Arial" w:cs="Arial" w:eastAsia="Arial" w:hAnsi="Arial"/>
          <w:sz w:val="17"/>
          <w:szCs w:val="17"/>
          <w:i w:val="1"/>
          <w:iCs w:val="1"/>
          <w:color w:val="000000"/>
        </w:rPr>
        <w:t>taux effectif global</w:t>
      </w:r>
      <w:r>
        <w:rPr>
          <w:rFonts w:ascii="Arial" w:cs="Arial" w:eastAsia="Arial" w:hAnsi="Arial"/>
          <w:sz w:val="17"/>
          <w:szCs w:val="17"/>
          <w:color w:val="000000"/>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Arial" w:cs="Arial" w:eastAsia="Arial" w:hAnsi="Arial"/>
          <w:sz w:val="17"/>
          <w:szCs w:val="17"/>
          <w:i w:val="1"/>
          <w:iCs w:val="1"/>
          <w:color w:val="000000"/>
        </w:rPr>
        <w:t>taux effectif global</w:t>
      </w:r>
      <w:r>
        <w:rPr>
          <w:rFonts w:ascii="Arial" w:cs="Arial" w:eastAsia="Arial" w:hAnsi="Arial"/>
          <w:sz w:val="17"/>
          <w:szCs w:val="17"/>
          <w:color w:val="000000"/>
        </w:rPr>
        <w:t xml:space="preserve"> in a form TEG Letter, with execution of such letter to follow promptly after the Effective Date. The parties acknowledge that the TEG Letters form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-4806950</wp:posOffset>
            </wp:positionV>
            <wp:extent cx="15430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-3778250</wp:posOffset>
            </wp:positionV>
            <wp:extent cx="10287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-3778250</wp:posOffset>
            </wp:positionV>
            <wp:extent cx="7200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-3298190</wp:posOffset>
            </wp:positionV>
            <wp:extent cx="13716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-2543810</wp:posOffset>
            </wp:positionV>
            <wp:extent cx="15430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-829310</wp:posOffset>
            </wp:positionV>
            <wp:extent cx="13716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260" w:name="page261"/>
    <w:bookmarkEnd w:id="260"/>
    <w:p>
      <w:pPr>
        <w:ind w:right="100" w:firstLine="436"/>
        <w:spacing w:after="0" w:line="296" w:lineRule="auto"/>
        <w:tabs>
          <w:tab w:leader="none" w:pos="745" w:val="left"/>
        </w:tabs>
        <w:numPr>
          <w:ilvl w:val="0"/>
          <w:numId w:val="123"/>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Interest Act (Canada) Disclosure</w:t>
      </w:r>
      <w:r>
        <w:rPr>
          <w:rFonts w:ascii="Arial" w:cs="Arial" w:eastAsia="Arial" w:hAnsi="Arial"/>
          <w:sz w:val="16"/>
          <w:szCs w:val="16"/>
          <w:color w:val="000000"/>
        </w:rPr>
        <w:t>. For the purposes of the Interest Act (Canada) and disclosure thereunder, whenever any interest or fee to</w:t>
      </w:r>
      <w:r>
        <w:rPr>
          <w:rFonts w:ascii="Arial" w:cs="Arial" w:eastAsia="Arial" w:hAnsi="Arial"/>
          <w:sz w:val="16"/>
          <w:szCs w:val="16"/>
          <w:color w:val="FF0000"/>
        </w:rPr>
        <w:t xml:space="preserve"> </w:t>
      </w:r>
      <w:r>
        <w:rPr>
          <w:rFonts w:ascii="Arial" w:cs="Arial" w:eastAsia="Arial" w:hAnsi="Arial"/>
          <w:sz w:val="16"/>
          <w:szCs w:val="16"/>
          <w:color w:val="000000"/>
        </w:rPr>
        <w:t>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-565150</wp:posOffset>
            </wp:positionV>
            <wp:extent cx="18859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U.S. Borrower agrees to pay to Administrative Agent for pro rata distribution to each Non-Defaulting Lender having a Dollar Revolving Commitment (based on its Dollar Revolver Pro Rata Share) a commitment fee in Dollars (the “</w:t>
      </w:r>
      <w:r>
        <w:rPr>
          <w:rFonts w:ascii="Arial" w:cs="Arial" w:eastAsia="Arial" w:hAnsi="Arial"/>
          <w:sz w:val="17"/>
          <w:szCs w:val="17"/>
          <w:u w:val="single" w:color="auto"/>
          <w:color w:val="auto"/>
        </w:rPr>
        <w:t>Dollar Commitment Fee</w:t>
      </w:r>
      <w:r>
        <w:rPr>
          <w:rFonts w:ascii="Arial" w:cs="Arial" w:eastAsia="Arial" w:hAnsi="Arial"/>
          <w:sz w:val="17"/>
          <w:szCs w:val="17"/>
          <w:color w:val="auto"/>
        </w:rPr>
        <w:t xml:space="preserve">”) for the period commencing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to and including the Revolver Termination Date for the Dollar Revolving Facility or the earlier termination of the Dollar Revolving Commitments (and, in either case, repayment in full of the Dollar Revolving Loans and payment in full, or collateralization (by the deposit of cash into the Collateral Account or otherwise) in amounts and pursuant to arrangements satisfactory to Administrative Agent and the applicable Facing Agent, of the Dollar LC Obligations), computed at a rate equal to the Applicable 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 (iii) upon any reduction or termination in whole or in part of the Dollar Revolving Commitments (but only, in the case of a reduction, on the portion of the Dollar Revolving Commitments then being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-961390</wp:posOffset>
            </wp:positionV>
            <wp:extent cx="596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-961390</wp:posOffset>
            </wp:positionV>
            <wp:extent cx="21463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57" w:lineRule="exact"/>
        <w:rPr>
          <w:sz w:val="20"/>
          <w:szCs w:val="20"/>
          <w:color w:val="auto"/>
        </w:rPr>
      </w:pPr>
    </w:p>
    <w:p>
      <w:pPr>
        <w:ind w:right="120" w:firstLine="991"/>
        <w:spacing w:after="0" w:line="287" w:lineRule="auto"/>
        <w:rPr>
          <w:sz w:val="20"/>
          <w:szCs w:val="20"/>
          <w:color w:val="auto"/>
        </w:rPr>
      </w:pPr>
      <w:r>
        <w:rPr>
          <w:rFonts w:ascii="Arial" w:cs="Arial" w:eastAsia="Arial" w:hAnsi="Arial"/>
          <w:sz w:val="16"/>
          <w:szCs w:val="16"/>
          <w:color w:val="auto"/>
        </w:rPr>
        <w:t>Each of the European Borrower and the U.S. Borrower agrees to pay to Administrative Agent for pro rata distribution to each Non-Defaulting Lender having a Multicurrency Revolving Commitment (based on its Multicurrency Revolver Pro Rata Share) a commitment fee in Dollars (the “</w:t>
      </w:r>
      <w:r>
        <w:rPr>
          <w:rFonts w:ascii="Arial" w:cs="Arial" w:eastAsia="Arial" w:hAnsi="Arial"/>
          <w:sz w:val="16"/>
          <w:szCs w:val="16"/>
          <w:u w:val="single" w:color="auto"/>
          <w:color w:val="auto"/>
        </w:rPr>
        <w:t>Multicurrency Commitment Fee</w:t>
      </w:r>
      <w:r>
        <w:rPr>
          <w:rFonts w:ascii="Arial" w:cs="Arial" w:eastAsia="Arial" w:hAnsi="Arial"/>
          <w:sz w:val="16"/>
          <w:szCs w:val="16"/>
          <w:color w:val="auto"/>
        </w:rPr>
        <w:t xml:space="preserve">”) for the period commending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 (ii) on the Revolver Termination Date for the Multicurrency Revolving Facility and (iii) upon any reduction or termination in whole or in part of the Multicurrency Revolving Commitments (but only, in the case of a reduction, on the portion of the Multicurrency Revolving Commitments then being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-1246505</wp:posOffset>
            </wp:positionV>
            <wp:extent cx="6032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-1246505</wp:posOffset>
            </wp:positionV>
            <wp:extent cx="22288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261" w:name="page262"/>
    <w:bookmarkEnd w:id="261"/>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Canadian Borrower agrees to pay to Canadian Administrative Agent for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distribution to each Non-Defaulting Lender having a Canadian Revolving Commitment (based on its Canadian Revolver Pro Rata Share) a commitment fee in Canadian Dollars (the “</w:t>
      </w:r>
      <w:r>
        <w:rPr>
          <w:rFonts w:ascii="Arial" w:cs="Arial" w:eastAsia="Arial" w:hAnsi="Arial"/>
          <w:sz w:val="17"/>
          <w:szCs w:val="17"/>
          <w:u w:val="single" w:color="auto"/>
          <w:color w:val="auto"/>
        </w:rPr>
        <w:t>Canadian 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Fee</w:t>
      </w:r>
      <w:r>
        <w:rPr>
          <w:rFonts w:ascii="Arial" w:cs="Arial" w:eastAsia="Arial" w:hAnsi="Arial"/>
          <w:sz w:val="17"/>
          <w:szCs w:val="17"/>
          <w:color w:val="auto"/>
        </w:rPr>
        <w:t xml:space="preserve">”) for the period commencing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 Agent of the Canadian LC Obligations, computed at a rate equal to the Applicable Commitment Fee Percentage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 (iii) upon any reduction or termination in whole or in part of the Canadian Revolving Commitments (but only, in the case of a reduction, on the portion of the Canadian Revolving Commitments then being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-961390</wp:posOffset>
            </wp:positionV>
            <wp:extent cx="6032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-961390</wp:posOffset>
            </wp:positionV>
            <wp:extent cx="21463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57" w:lineRule="exact"/>
        <w:rPr>
          <w:sz w:val="20"/>
          <w:szCs w:val="20"/>
          <w:color w:val="auto"/>
        </w:rPr>
      </w:pPr>
    </w:p>
    <w:p>
      <w:pPr>
        <w:ind w:firstLine="436"/>
        <w:spacing w:after="0" w:line="308" w:lineRule="auto"/>
        <w:tabs>
          <w:tab w:leader="none" w:pos="695"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Agency Fees</w:t>
      </w:r>
      <w:r>
        <w:rPr>
          <w:rFonts w:ascii="Arial" w:cs="Arial" w:eastAsia="Arial" w:hAnsi="Arial"/>
          <w:sz w:val="17"/>
          <w:szCs w:val="17"/>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3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Interest on all Loans (other than B/A Loans) and fees payable hereunder shall be computed on the basis of the actual number of days elapsed over a year of 360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interest on all Base Rate Loans and Canadian Prime Rate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 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7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Interest Periods</w:t>
      </w:r>
      <w:r>
        <w:rPr>
          <w:rFonts w:ascii="Arial" w:cs="Arial" w:eastAsia="Arial" w:hAnsi="Arial"/>
          <w:sz w:val="17"/>
          <w:szCs w:val="17"/>
          <w:color w:val="auto"/>
        </w:rPr>
        <w:t xml:space="preserve">. At the time it gives any Notice of Borrowing or a Notice of Conversion or Continuation with respect to Eurocurrency Loans </w:t>
      </w:r>
      <w:r>
        <w:rPr>
          <w:rFonts w:ascii="Arial" w:cs="Arial" w:eastAsia="Arial" w:hAnsi="Arial"/>
          <w:sz w:val="17"/>
          <w:szCs w:val="17"/>
          <w:color w:val="FF0000"/>
          <w:strike w:val="1"/>
        </w:rPr>
        <w:t>(other than Daily Simple RFR</w:t>
      </w:r>
      <w:r>
        <w:rPr>
          <w:rFonts w:ascii="Arial" w:cs="Arial" w:eastAsia="Arial" w:hAnsi="Arial"/>
          <w:sz w:val="17"/>
          <w:szCs w:val="17"/>
          <w:u w:val="single" w:color="auto"/>
          <w:color w:val="0000FF"/>
        </w:rPr>
        <w:t>or SOFR</w:t>
      </w:r>
      <w:r>
        <w:rPr>
          <w:rFonts w:ascii="Arial" w:cs="Arial" w:eastAsia="Arial" w:hAnsi="Arial"/>
          <w:sz w:val="17"/>
          <w:szCs w:val="17"/>
          <w:color w:val="FF0000"/>
        </w:rPr>
        <w:t xml:space="preserve"> </w:t>
      </w:r>
      <w:r>
        <w:rPr>
          <w:rFonts w:ascii="Arial" w:cs="Arial" w:eastAsia="Arial" w:hAnsi="Arial"/>
          <w:sz w:val="17"/>
          <w:szCs w:val="17"/>
          <w:color w:val="000000"/>
        </w:rPr>
        <w:t>Loans</w:t>
      </w:r>
      <w:r>
        <w:rPr>
          <w:rFonts w:ascii="Arial" w:cs="Arial" w:eastAsia="Arial" w:hAnsi="Arial"/>
          <w:sz w:val="17"/>
          <w:szCs w:val="17"/>
          <w:color w:val="FF0000"/>
          <w:strike w:val="1"/>
        </w:rPr>
        <w:t>)</w:t>
      </w:r>
      <w:r>
        <w:rPr>
          <w:rFonts w:ascii="Arial" w:cs="Arial" w:eastAsia="Arial" w:hAnsi="Arial"/>
          <w:sz w:val="17"/>
          <w:szCs w:val="17"/>
          <w:color w:val="000000"/>
        </w:rPr>
        <w:t>, the applicable Borrower shall elect, by giving Administrative Agent written notice, the interest period</w:t>
      </w:r>
      <w:r>
        <w:rPr>
          <w:rFonts w:ascii="Arial" w:cs="Arial" w:eastAsia="Arial" w:hAnsi="Arial"/>
          <w:sz w:val="17"/>
          <w:szCs w:val="17"/>
          <w:color w:val="FF0000"/>
        </w:rPr>
        <w:t xml:space="preserve"> </w:t>
      </w:r>
      <w:r>
        <w:rPr>
          <w:rFonts w:ascii="Arial" w:cs="Arial" w:eastAsia="Arial" w:hAnsi="Arial"/>
          <w:sz w:val="17"/>
          <w:szCs w:val="17"/>
          <w:color w:val="000000"/>
        </w:rPr>
        <w:t>(each an “</w:t>
      </w:r>
      <w:r>
        <w:rPr>
          <w:rFonts w:ascii="Arial" w:cs="Arial" w:eastAsia="Arial" w:hAnsi="Arial"/>
          <w:sz w:val="17"/>
          <w:szCs w:val="17"/>
          <w:u w:val="single" w:color="auto"/>
          <w:color w:val="000000"/>
        </w:rPr>
        <w:t>Interest Period</w:t>
      </w:r>
      <w:r>
        <w:rPr>
          <w:rFonts w:ascii="Arial" w:cs="Arial" w:eastAsia="Arial" w:hAnsi="Arial"/>
          <w:sz w:val="17"/>
          <w:szCs w:val="17"/>
          <w:color w:val="000000"/>
        </w:rPr>
        <w:t xml:space="preserve">”) which Interest Period shall, at the option of the applicable Borrower, be </w:t>
      </w:r>
      <w:r>
        <w:rPr>
          <w:rFonts w:ascii="Arial" w:cs="Arial" w:eastAsia="Arial" w:hAnsi="Arial"/>
          <w:sz w:val="17"/>
          <w:szCs w:val="17"/>
          <w:u w:val="single" w:color="auto"/>
          <w:color w:val="0000FF"/>
        </w:rPr>
        <w:t>(i) with respect to Eurocurrency Loans,</w:t>
      </w:r>
      <w:r>
        <w:rPr>
          <w:rFonts w:ascii="Arial" w:cs="Arial" w:eastAsia="Arial" w:hAnsi="Arial"/>
          <w:sz w:val="17"/>
          <w:szCs w:val="17"/>
          <w:color w:val="000000"/>
        </w:rPr>
        <w:t xml:space="preserve"> one, two or three weeks or one, </w:t>
      </w:r>
      <w:r>
        <w:rPr>
          <w:rFonts w:ascii="Arial" w:cs="Arial" w:eastAsia="Arial" w:hAnsi="Arial"/>
          <w:sz w:val="17"/>
          <w:szCs w:val="17"/>
          <w:color w:val="FF0000"/>
          <w:strike w:val="1"/>
        </w:rPr>
        <w:t>two,</w:t>
      </w:r>
      <w:r>
        <w:rPr>
          <w:rFonts w:ascii="Arial" w:cs="Arial" w:eastAsia="Arial" w:hAnsi="Arial"/>
          <w:sz w:val="17"/>
          <w:szCs w:val="17"/>
          <w:color w:val="000000"/>
        </w:rPr>
        <w:t xml:space="preserve"> three or six months or, </w:t>
      </w:r>
      <w:r>
        <w:rPr>
          <w:rFonts w:ascii="Arial" w:cs="Arial" w:eastAsia="Arial" w:hAnsi="Arial"/>
          <w:sz w:val="17"/>
          <w:szCs w:val="17"/>
          <w:color w:val="FF0000"/>
          <w:strike w:val="1"/>
        </w:rPr>
        <w:t>if available to each of the applicable Lenders (as determined by each such applicable Lender in its sole</w:t>
      </w:r>
      <w:r>
        <w:rPr>
          <w:rFonts w:ascii="Arial" w:cs="Arial" w:eastAsia="Arial" w:hAnsi="Arial"/>
          <w:sz w:val="17"/>
          <w:szCs w:val="17"/>
          <w:color w:val="000000"/>
        </w:rPr>
        <w:t xml:space="preserve"> </w:t>
      </w:r>
      <w:r>
        <w:rPr>
          <w:rFonts w:ascii="Arial" w:cs="Arial" w:eastAsia="Arial" w:hAnsi="Arial"/>
          <w:sz w:val="17"/>
          <w:szCs w:val="17"/>
          <w:color w:val="FF0000"/>
          <w:strike w:val="1"/>
        </w:rPr>
        <w:t>discretion) twelve</w:t>
      </w:r>
      <w:r>
        <w:rPr>
          <w:rFonts w:ascii="Arial" w:cs="Arial" w:eastAsia="Arial" w:hAnsi="Arial"/>
          <w:sz w:val="17"/>
          <w:szCs w:val="17"/>
          <w:u w:val="single" w:color="auto"/>
          <w:color w:val="0000FF"/>
          <w:strike w:val="1"/>
        </w:rPr>
        <w:t>to the extent agreed by the Administrative Agent, any other period less than one month, and (ii) with respect to SOFR Loans, one three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or six</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months or, to the extent agreed by the Administrative Agent, any other period less than one month;</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00"/>
          <w:strike w:val="1"/>
        </w:rPr>
        <w:t>provided</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-554355</wp:posOffset>
            </wp:positionV>
            <wp:extent cx="4025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-417195</wp:posOffset>
            </wp:positionV>
            <wp:extent cx="180022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-142875</wp:posOffset>
            </wp:positionV>
            <wp:extent cx="616331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25717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50" w:lineRule="exact"/>
        <w:rPr>
          <w:sz w:val="20"/>
          <w:szCs w:val="20"/>
          <w:color w:val="auto"/>
        </w:rPr>
      </w:pPr>
    </w:p>
    <w:p>
      <w:pPr>
        <w:ind w:right="120" w:firstLine="436"/>
        <w:spacing w:after="0" w:line="277" w:lineRule="auto"/>
        <w:tabs>
          <w:tab w:leader="none" w:pos="685" w:val="left"/>
        </w:tabs>
        <w:numPr>
          <w:ilvl w:val="0"/>
          <w:numId w:val="126"/>
        </w:numPr>
        <w:rPr>
          <w:rFonts w:ascii="Arial" w:cs="Arial" w:eastAsia="Arial" w:hAnsi="Arial"/>
          <w:sz w:val="18"/>
          <w:szCs w:val="18"/>
          <w:u w:val="single" w:color="auto"/>
          <w:color w:val="0000FF"/>
        </w:rPr>
      </w:pPr>
      <w:r>
        <w:rPr>
          <w:rFonts w:ascii="Arial" w:cs="Arial" w:eastAsia="Arial" w:hAnsi="Arial"/>
          <w:sz w:val="18"/>
          <w:szCs w:val="18"/>
          <w:color w:val="auto"/>
        </w:rPr>
        <w:t xml:space="preserve">all </w:t>
      </w:r>
      <w:r>
        <w:rPr>
          <w:rFonts w:ascii="Arial" w:cs="Arial" w:eastAsia="Arial" w:hAnsi="Arial"/>
          <w:sz w:val="18"/>
          <w:szCs w:val="18"/>
          <w:u w:val="single" w:color="auto"/>
          <w:color w:val="0000FF"/>
        </w:rPr>
        <w:t>SOFR Loans and</w:t>
      </w:r>
      <w:r>
        <w:rPr>
          <w:rFonts w:ascii="Arial" w:cs="Arial" w:eastAsia="Arial" w:hAnsi="Arial"/>
          <w:sz w:val="18"/>
          <w:szCs w:val="18"/>
          <w:color w:val="auto"/>
        </w:rPr>
        <w:t xml:space="preserve"> Eurocurrency Loans </w:t>
      </w:r>
      <w:r>
        <w:rPr>
          <w:rFonts w:ascii="Arial" w:cs="Arial" w:eastAsia="Arial" w:hAnsi="Arial"/>
          <w:sz w:val="18"/>
          <w:szCs w:val="18"/>
          <w:color w:val="FF0000"/>
          <w:strike w:val="1"/>
        </w:rPr>
        <w:t>(other than Daily Simple RFR Loans)</w:t>
      </w:r>
      <w:r>
        <w:rPr>
          <w:rFonts w:ascii="Arial" w:cs="Arial" w:eastAsia="Arial" w:hAnsi="Arial"/>
          <w:sz w:val="18"/>
          <w:szCs w:val="18"/>
          <w:u w:val="single" w:color="auto"/>
          <w:color w:val="0000FF"/>
        </w:rPr>
        <w:t>, as applicable,</w:t>
      </w:r>
      <w:r>
        <w:rPr>
          <w:rFonts w:ascii="Arial" w:cs="Arial" w:eastAsia="Arial" w:hAnsi="Arial"/>
          <w:sz w:val="18"/>
          <w:szCs w:val="18"/>
          <w:color w:val="auto"/>
        </w:rPr>
        <w:t xml:space="preserve"> comprising a Borrowing shall at all times have the same Interest Period;</w:t>
      </w:r>
    </w:p>
    <w:p>
      <w:pPr>
        <w:spacing w:after="0" w:line="62" w:lineRule="exact"/>
        <w:rPr>
          <w:rFonts w:ascii="Arial" w:cs="Arial" w:eastAsia="Arial" w:hAnsi="Arial"/>
          <w:sz w:val="18"/>
          <w:szCs w:val="18"/>
          <w:u w:val="single" w:color="auto"/>
          <w:color w:val="0000FF"/>
        </w:rPr>
      </w:pPr>
    </w:p>
    <w:p>
      <w:pPr>
        <w:ind w:right="100" w:firstLine="436"/>
        <w:spacing w:after="0" w:line="259" w:lineRule="auto"/>
        <w:tabs>
          <w:tab w:leader="none" w:pos="695" w:val="left"/>
        </w:tabs>
        <w:numPr>
          <w:ilvl w:val="0"/>
          <w:numId w:val="126"/>
        </w:numPr>
        <w:rPr>
          <w:rFonts w:ascii="Arial" w:cs="Arial" w:eastAsia="Arial" w:hAnsi="Arial"/>
          <w:sz w:val="18"/>
          <w:szCs w:val="18"/>
          <w:u w:val="single" w:color="auto"/>
          <w:color w:val="0000FF"/>
        </w:rPr>
      </w:pPr>
      <w:r>
        <w:rPr>
          <w:rFonts w:ascii="Arial" w:cs="Arial" w:eastAsia="Arial" w:hAnsi="Arial"/>
          <w:sz w:val="18"/>
          <w:szCs w:val="18"/>
          <w:color w:val="auto"/>
        </w:rPr>
        <w:t xml:space="preserve">the initial Interest Period for any Eurocurrency Loan </w:t>
      </w:r>
      <w:r>
        <w:rPr>
          <w:rFonts w:ascii="Arial" w:cs="Arial" w:eastAsia="Arial" w:hAnsi="Arial"/>
          <w:sz w:val="18"/>
          <w:szCs w:val="18"/>
          <w:color w:val="FF0000"/>
          <w:strike w:val="1"/>
        </w:rPr>
        <w:t>(other than Daily Simple RFR Loans)</w:t>
      </w:r>
      <w:r>
        <w:rPr>
          <w:rFonts w:ascii="Arial" w:cs="Arial" w:eastAsia="Arial" w:hAnsi="Arial"/>
          <w:sz w:val="18"/>
          <w:szCs w:val="18"/>
          <w:u w:val="single" w:color="auto"/>
          <w:color w:val="0000FF"/>
        </w:rPr>
        <w:t>or SOFR Loan</w:t>
      </w:r>
      <w:r>
        <w:rPr>
          <w:rFonts w:ascii="Arial" w:cs="Arial" w:eastAsia="Arial" w:hAnsi="Arial"/>
          <w:sz w:val="18"/>
          <w:szCs w:val="18"/>
          <w:color w:val="auto"/>
        </w:rPr>
        <w:t xml:space="preserve"> shall commence on the date of such Borrowing of such Eurocurrency Loan </w:t>
      </w:r>
      <w:r>
        <w:rPr>
          <w:rFonts w:ascii="Arial" w:cs="Arial" w:eastAsia="Arial" w:hAnsi="Arial"/>
          <w:sz w:val="18"/>
          <w:szCs w:val="18"/>
          <w:u w:val="single" w:color="auto"/>
          <w:color w:val="0000FF"/>
        </w:rPr>
        <w:t>or SOFR Loan</w:t>
      </w:r>
      <w:r>
        <w:rPr>
          <w:rFonts w:ascii="Arial" w:cs="Arial" w:eastAsia="Arial" w:hAnsi="Arial"/>
          <w:sz w:val="18"/>
          <w:szCs w:val="18"/>
          <w:color w:val="auto"/>
        </w:rPr>
        <w:t xml:space="preserve"> (including the date of any conversion thereto from a Loan of a different Type) and each Interest Period occurring thereafter in respect of such Eurocurrency Loan </w:t>
      </w:r>
      <w:r>
        <w:rPr>
          <w:rFonts w:ascii="Arial" w:cs="Arial" w:eastAsia="Arial" w:hAnsi="Arial"/>
          <w:sz w:val="18"/>
          <w:szCs w:val="18"/>
          <w:u w:val="single" w:color="auto"/>
          <w:color w:val="0000FF"/>
        </w:rPr>
        <w:t>or SOFR Loan</w:t>
      </w:r>
      <w:r>
        <w:rPr>
          <w:rFonts w:ascii="Arial" w:cs="Arial" w:eastAsia="Arial" w:hAnsi="Arial"/>
          <w:sz w:val="18"/>
          <w:szCs w:val="18"/>
          <w:color w:val="auto"/>
        </w:rPr>
        <w:t xml:space="preserve"> shall commence on the last day of the immediately preceding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-755015</wp:posOffset>
            </wp:positionV>
            <wp:extent cx="108013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-755015</wp:posOffset>
            </wp:positionV>
            <wp:extent cx="677545"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-412115</wp:posOffset>
            </wp:positionV>
            <wp:extent cx="154305"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-412115</wp:posOffset>
            </wp:positionV>
            <wp:extent cx="668655"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-274955</wp:posOffset>
            </wp:positionV>
            <wp:extent cx="6686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-137795</wp:posOffset>
            </wp:positionV>
            <wp:extent cx="67754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262" w:name="page263"/>
    <w:bookmarkEnd w:id="262"/>
    <w:p>
      <w:pPr>
        <w:ind w:right="140" w:firstLine="436"/>
        <w:spacing w:after="0" w:line="308" w:lineRule="auto"/>
        <w:tabs>
          <w:tab w:leader="none" w:pos="685" w:val="left"/>
        </w:tabs>
        <w:numPr>
          <w:ilvl w:val="0"/>
          <w:numId w:val="127"/>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Interest Period relating to a Eurocurrency Loan </w:t>
      </w:r>
      <w:r>
        <w:rPr>
          <w:rFonts w:ascii="Arial" w:cs="Arial" w:eastAsia="Arial" w:hAnsi="Arial"/>
          <w:sz w:val="17"/>
          <w:szCs w:val="17"/>
          <w:u w:val="single" w:color="auto"/>
          <w:color w:val="0000FF"/>
        </w:rPr>
        <w:t>or SOFR Loan</w:t>
      </w:r>
      <w:r>
        <w:rPr>
          <w:rFonts w:ascii="Arial" w:cs="Arial" w:eastAsia="Arial" w:hAnsi="Arial"/>
          <w:sz w:val="17"/>
          <w:szCs w:val="17"/>
          <w:color w:val="auto"/>
        </w:rPr>
        <w:t xml:space="preserve"> begins on a day for which there is no numerically corresponding day in the calendar month at the end of such Interest Period, such Interest Period shall end on the last Business Day of such calendar month;</w:t>
      </w:r>
    </w:p>
    <w:p>
      <w:pPr>
        <w:spacing w:after="0" w:line="38" w:lineRule="exact"/>
        <w:rPr>
          <w:rFonts w:ascii="Arial" w:cs="Arial" w:eastAsia="Arial" w:hAnsi="Arial"/>
          <w:sz w:val="17"/>
          <w:szCs w:val="17"/>
          <w:u w:val="single" w:color="auto"/>
          <w:color w:val="0000FF"/>
        </w:rPr>
      </w:pPr>
    </w:p>
    <w:p>
      <w:pPr>
        <w:jc w:val="both"/>
        <w:ind w:right="220" w:firstLine="436"/>
        <w:spacing w:after="0" w:line="259" w:lineRule="auto"/>
        <w:tabs>
          <w:tab w:leader="none" w:pos="695" w:val="left"/>
        </w:tabs>
        <w:numPr>
          <w:ilvl w:val="0"/>
          <w:numId w:val="127"/>
        </w:numPr>
        <w:rPr>
          <w:rFonts w:ascii="Arial" w:cs="Arial" w:eastAsia="Arial" w:hAnsi="Arial"/>
          <w:sz w:val="18"/>
          <w:szCs w:val="18"/>
          <w:u w:val="single" w:color="auto"/>
          <w:color w:val="0000FF"/>
        </w:rPr>
      </w:pPr>
      <w:r>
        <w:rPr>
          <w:rFonts w:ascii="Arial" w:cs="Arial" w:eastAsia="Arial" w:hAnsi="Arial"/>
          <w:sz w:val="18"/>
          <w:szCs w:val="18"/>
          <w:color w:val="auto"/>
        </w:rPr>
        <w:t xml:space="preserve">if any Interest Period would otherwise expire on a day which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Interest Period for a Eurocurrency Loan </w:t>
      </w:r>
      <w:r>
        <w:rPr>
          <w:rFonts w:ascii="Arial" w:cs="Arial" w:eastAsia="Arial" w:hAnsi="Arial"/>
          <w:sz w:val="18"/>
          <w:szCs w:val="18"/>
          <w:u w:val="single" w:color="auto"/>
          <w:color w:val="0000FF"/>
        </w:rPr>
        <w:t>or SOFR Loan</w:t>
      </w:r>
      <w:r>
        <w:rPr>
          <w:rFonts w:ascii="Arial" w:cs="Arial" w:eastAsia="Arial" w:hAnsi="Arial"/>
          <w:sz w:val="18"/>
          <w:szCs w:val="18"/>
          <w:color w:val="auto"/>
        </w:rPr>
        <w:t xml:space="preserve"> would otherwise expire on a day which is not a Business Day but is a day of the month after which no further Business Day occurs in such month, such Interest Period shall expire on the next preceding Business Day;</w:t>
      </w:r>
    </w:p>
    <w:p>
      <w:pPr>
        <w:spacing w:after="0" w:line="78" w:lineRule="exact"/>
        <w:rPr>
          <w:rFonts w:ascii="Arial" w:cs="Arial" w:eastAsia="Arial" w:hAnsi="Arial"/>
          <w:sz w:val="18"/>
          <w:szCs w:val="18"/>
          <w:u w:val="single" w:color="auto"/>
          <w:color w:val="0000FF"/>
        </w:rPr>
      </w:pPr>
    </w:p>
    <w:p>
      <w:pPr>
        <w:ind w:right="260" w:firstLine="436"/>
        <w:spacing w:after="0" w:line="263" w:lineRule="auto"/>
        <w:tabs>
          <w:tab w:leader="none" w:pos="685" w:val="left"/>
        </w:tabs>
        <w:numPr>
          <w:ilvl w:val="0"/>
          <w:numId w:val="127"/>
        </w:numPr>
        <w:rPr>
          <w:rFonts w:ascii="Arial" w:cs="Arial" w:eastAsia="Arial" w:hAnsi="Arial"/>
          <w:sz w:val="18"/>
          <w:szCs w:val="18"/>
          <w:u w:val="single" w:color="auto"/>
          <w:color w:val="0000FF"/>
        </w:rPr>
      </w:pPr>
      <w:r>
        <w:rPr>
          <w:rFonts w:ascii="Arial" w:cs="Arial" w:eastAsia="Arial" w:hAnsi="Arial"/>
          <w:sz w:val="18"/>
          <w:szCs w:val="18"/>
          <w:color w:val="auto"/>
        </w:rPr>
        <w:t xml:space="preserve">no Interest Period may be selected at any time when an Unmatured Event of Default or Event of Default is then in existence; </w:t>
      </w:r>
      <w:r>
        <w:rPr>
          <w:rFonts w:ascii="Arial" w:cs="Arial" w:eastAsia="Arial" w:hAnsi="Arial"/>
          <w:sz w:val="18"/>
          <w:szCs w:val="18"/>
          <w:u w:val="single" w:color="auto"/>
          <w:color w:val="auto"/>
        </w:rPr>
        <w:t>provided</w:t>
      </w:r>
      <w:r>
        <w:rPr>
          <w:rFonts w:ascii="Arial" w:cs="Arial" w:eastAsia="Arial" w:hAnsi="Arial"/>
          <w:sz w:val="18"/>
          <w:szCs w:val="18"/>
          <w:color w:val="auto"/>
        </w:rPr>
        <w:t>, that Alternative Currency Loans shall continue with Interest Periods of one month if any Unmatured Event of Default or Event of Default is then in existence;</w:t>
      </w:r>
    </w:p>
    <w:p>
      <w:pPr>
        <w:spacing w:after="0" w:line="75" w:lineRule="exact"/>
        <w:rPr>
          <w:rFonts w:ascii="Arial" w:cs="Arial" w:eastAsia="Arial" w:hAnsi="Arial"/>
          <w:sz w:val="18"/>
          <w:szCs w:val="18"/>
          <w:u w:val="single" w:color="auto"/>
          <w:color w:val="0000FF"/>
        </w:rPr>
      </w:pPr>
    </w:p>
    <w:p>
      <w:pPr>
        <w:ind w:right="100" w:firstLine="436"/>
        <w:spacing w:after="0" w:line="277" w:lineRule="auto"/>
        <w:tabs>
          <w:tab w:leader="none" w:pos="665" w:val="left"/>
        </w:tabs>
        <w:numPr>
          <w:ilvl w:val="0"/>
          <w:numId w:val="127"/>
        </w:numPr>
        <w:rPr>
          <w:rFonts w:ascii="Arial" w:cs="Arial" w:eastAsia="Arial" w:hAnsi="Arial"/>
          <w:sz w:val="18"/>
          <w:szCs w:val="18"/>
          <w:u w:val="single" w:color="auto"/>
          <w:color w:val="0000FF"/>
        </w:rPr>
      </w:pPr>
      <w:r>
        <w:rPr>
          <w:rFonts w:ascii="Arial" w:cs="Arial" w:eastAsia="Arial" w:hAnsi="Arial"/>
          <w:sz w:val="18"/>
          <w:szCs w:val="18"/>
          <w:color w:val="auto"/>
        </w:rPr>
        <w:t xml:space="preserve">no Interest Period shall extend beyond the applicable Term Maturity Date for any Term Loan or the applicable Revolver Termination Date for any Revolving Loan or the Canadian Revolver Termination Date for any Canadian Revolving Loan; </w:t>
      </w:r>
      <w:r>
        <w:rPr>
          <w:rFonts w:ascii="Arial" w:cs="Arial" w:eastAsia="Arial" w:hAnsi="Arial"/>
          <w:sz w:val="18"/>
          <w:szCs w:val="18"/>
          <w:color w:val="FF0000"/>
          <w:strike w:val="1"/>
        </w:rPr>
        <w:t>and</w:t>
      </w:r>
    </w:p>
    <w:p>
      <w:pPr>
        <w:spacing w:after="0" w:line="62" w:lineRule="exact"/>
        <w:rPr>
          <w:rFonts w:ascii="Arial" w:cs="Arial" w:eastAsia="Arial" w:hAnsi="Arial"/>
          <w:sz w:val="18"/>
          <w:szCs w:val="18"/>
          <w:u w:val="single" w:color="auto"/>
          <w:color w:val="0000FF"/>
        </w:rPr>
      </w:pPr>
    </w:p>
    <w:p>
      <w:pPr>
        <w:ind w:right="120" w:firstLine="436"/>
        <w:spacing w:after="0" w:line="279" w:lineRule="auto"/>
        <w:tabs>
          <w:tab w:leader="none" w:pos="695" w:val="left"/>
        </w:tabs>
        <w:numPr>
          <w:ilvl w:val="0"/>
          <w:numId w:val="127"/>
        </w:numPr>
        <w:rPr>
          <w:rFonts w:ascii="Arial" w:cs="Arial" w:eastAsia="Arial" w:hAnsi="Arial"/>
          <w:sz w:val="17"/>
          <w:szCs w:val="17"/>
          <w:u w:val="single" w:color="auto"/>
          <w:color w:val="0000FF"/>
        </w:rPr>
      </w:pPr>
      <w:r>
        <w:rPr>
          <w:rFonts w:ascii="Arial" w:cs="Arial" w:eastAsia="Arial" w:hAnsi="Arial"/>
          <w:sz w:val="17"/>
          <w:szCs w:val="17"/>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Arial" w:cs="Arial" w:eastAsia="Arial" w:hAnsi="Arial"/>
          <w:sz w:val="17"/>
          <w:szCs w:val="17"/>
          <w:u w:val="single" w:color="auto"/>
          <w:color w:val="auto"/>
        </w:rPr>
        <w:t>Section 4.4(b)</w:t>
      </w:r>
      <w:r>
        <w:rPr>
          <w:rFonts w:ascii="Arial" w:cs="Arial" w:eastAsia="Arial" w:hAnsi="Arial"/>
          <w:sz w:val="17"/>
          <w:szCs w:val="17"/>
          <w:color w:val="auto"/>
        </w:rPr>
        <w:t xml:space="preserv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w:t>
      </w:r>
      <w:r>
        <w:rPr>
          <w:rFonts w:ascii="Arial" w:cs="Arial" w:eastAsia="Arial" w:hAnsi="Arial"/>
          <w:sz w:val="17"/>
          <w:szCs w:val="17"/>
          <w:color w:val="FF0000"/>
          <w:strike w:val="1"/>
        </w:rPr>
        <w:t>.</w:t>
      </w:r>
      <w:r>
        <w:rPr>
          <w:rFonts w:ascii="Arial" w:cs="Arial" w:eastAsia="Arial" w:hAnsi="Arial"/>
          <w:sz w:val="17"/>
          <w:szCs w:val="17"/>
          <w:u w:val="single" w:color="auto"/>
          <w:color w:val="0000FF"/>
        </w:rPr>
        <w:t>; and</w:t>
      </w:r>
    </w:p>
    <w:p>
      <w:pPr>
        <w:spacing w:after="0" w:line="63" w:lineRule="exact"/>
        <w:rPr>
          <w:rFonts w:ascii="Arial" w:cs="Arial" w:eastAsia="Arial" w:hAnsi="Arial"/>
          <w:sz w:val="17"/>
          <w:szCs w:val="17"/>
          <w:u w:val="single" w:color="auto"/>
          <w:color w:val="0000FF"/>
        </w:rPr>
      </w:pPr>
    </w:p>
    <w:p>
      <w:pPr>
        <w:ind w:right="180" w:firstLine="436"/>
        <w:spacing w:after="0" w:line="277" w:lineRule="auto"/>
        <w:tabs>
          <w:tab w:leader="none" w:pos="695" w:val="left"/>
        </w:tabs>
        <w:numPr>
          <w:ilvl w:val="0"/>
          <w:numId w:val="1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 tenor that has been removed from the definition of “Interest Period” pursuant to Section 3.8(d) shall be available for specification in such borrowing request or interest election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-2548255</wp:posOffset>
            </wp:positionV>
            <wp:extent cx="15430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-2548255</wp:posOffset>
            </wp:positionV>
            <wp:extent cx="6686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-2205355</wp:posOffset>
            </wp:positionV>
            <wp:extent cx="15430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-2068195</wp:posOffset>
            </wp:positionV>
            <wp:extent cx="677545"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-1588135</wp:posOffset>
            </wp:positionV>
            <wp:extent cx="15430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-1108075</wp:posOffset>
            </wp:positionV>
            <wp:extent cx="13716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-765175</wp:posOffset>
            </wp:positionV>
            <wp:extent cx="15430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-353695</wp:posOffset>
            </wp:positionV>
            <wp:extent cx="23177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656653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09994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4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Compensation for Funding Losses</w:t>
      </w:r>
      <w:r>
        <w:rPr>
          <w:rFonts w:ascii="Arial" w:cs="Arial" w:eastAsia="Arial" w:hAnsi="Arial"/>
          <w:sz w:val="16"/>
          <w:szCs w:val="16"/>
          <w:color w:val="auto"/>
        </w:rPr>
        <w:t xml:space="preserve">.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w:t>
      </w:r>
      <w:r>
        <w:rPr>
          <w:rFonts w:ascii="Arial" w:cs="Arial" w:eastAsia="Arial" w:hAnsi="Arial"/>
          <w:sz w:val="16"/>
          <w:szCs w:val="16"/>
          <w:u w:val="single" w:color="auto"/>
          <w:color w:val="0000FF"/>
        </w:rPr>
        <w:t>SOFR Loans,</w:t>
      </w:r>
      <w:r>
        <w:rPr>
          <w:rFonts w:ascii="Arial" w:cs="Arial" w:eastAsia="Arial" w:hAnsi="Arial"/>
          <w:sz w:val="16"/>
          <w:szCs w:val="16"/>
          <w:color w:val="auto"/>
        </w:rPr>
        <w:t xml:space="preserve"> Eurocurrency Loans </w:t>
      </w:r>
      <w:r>
        <w:rPr>
          <w:rFonts w:ascii="Arial" w:cs="Arial" w:eastAsia="Arial" w:hAnsi="Arial"/>
          <w:sz w:val="16"/>
          <w:szCs w:val="16"/>
          <w:color w:val="FF0000"/>
          <w:strike w:val="1"/>
        </w:rPr>
        <w:t>(other than</w:t>
      </w:r>
      <w:r>
        <w:rPr>
          <w:rFonts w:ascii="Arial" w:cs="Arial" w:eastAsia="Arial" w:hAnsi="Arial"/>
          <w:sz w:val="16"/>
          <w:szCs w:val="16"/>
          <w:u w:val="single" w:color="auto"/>
          <w:color w:val="0000FF"/>
        </w:rPr>
        <w:t>,</w:t>
      </w:r>
      <w:r>
        <w:rPr>
          <w:rFonts w:ascii="Arial" w:cs="Arial" w:eastAsia="Arial" w:hAnsi="Arial"/>
          <w:sz w:val="16"/>
          <w:szCs w:val="16"/>
          <w:color w:val="auto"/>
        </w:rPr>
        <w:t xml:space="preserve"> Daily Simple RFR Loans</w:t>
      </w:r>
      <w:r>
        <w:rPr>
          <w:rFonts w:ascii="Arial" w:cs="Arial" w:eastAsia="Arial" w:hAnsi="Arial"/>
          <w:sz w:val="16"/>
          <w:szCs w:val="16"/>
          <w:color w:val="FF0000"/>
          <w:strike w:val="1"/>
        </w:rPr>
        <w:t>)</w:t>
      </w:r>
      <w:r>
        <w:rPr>
          <w:rFonts w:ascii="Arial" w:cs="Arial" w:eastAsia="Arial" w:hAnsi="Arial"/>
          <w:sz w:val="16"/>
          <w:szCs w:val="16"/>
          <w:color w:val="auto"/>
        </w:rPr>
        <w:t xml:space="preserve"> or B/A Equivalent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w:t>
      </w:r>
      <w:r>
        <w:rPr>
          <w:rFonts w:ascii="Arial" w:cs="Arial" w:eastAsia="Arial" w:hAnsi="Arial"/>
          <w:sz w:val="16"/>
          <w:szCs w:val="16"/>
          <w:color w:val="0000FF"/>
        </w:rPr>
        <w:t xml:space="preserve"> </w:t>
      </w:r>
      <w:r>
        <w:rPr>
          <w:rFonts w:ascii="Arial" w:cs="Arial" w:eastAsia="Arial" w:hAnsi="Arial"/>
          <w:sz w:val="16"/>
          <w:szCs w:val="16"/>
          <w:color w:val="000000"/>
        </w:rPr>
        <w:t>Eurocurrency Loan</w:t>
      </w:r>
      <w:r>
        <w:rPr>
          <w:rFonts w:ascii="Arial" w:cs="Arial" w:eastAsia="Arial" w:hAnsi="Arial"/>
          <w:sz w:val="16"/>
          <w:szCs w:val="16"/>
          <w:color w:val="0000FF"/>
        </w:rPr>
        <w:t xml:space="preserve"> </w:t>
      </w:r>
      <w:r>
        <w:rPr>
          <w:rFonts w:ascii="Arial" w:cs="Arial" w:eastAsia="Arial" w:hAnsi="Arial"/>
          <w:sz w:val="16"/>
          <w:szCs w:val="16"/>
          <w:color w:val="FF0000"/>
          <w:strike w:val="1"/>
        </w:rPr>
        <w:t>(other than</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Daily Simple RFR</w:t>
      </w:r>
      <w:r>
        <w:rPr>
          <w:rFonts w:ascii="Arial" w:cs="Arial" w:eastAsia="Arial" w:hAnsi="Arial"/>
          <w:sz w:val="16"/>
          <w:szCs w:val="16"/>
          <w:color w:val="0000FF"/>
        </w:rPr>
        <w:t xml:space="preserve"> </w:t>
      </w:r>
      <w:r>
        <w:rPr>
          <w:rFonts w:ascii="Arial" w:cs="Arial" w:eastAsia="Arial" w:hAnsi="Arial"/>
          <w:sz w:val="16"/>
          <w:szCs w:val="16"/>
          <w:color w:val="FF0000"/>
          <w:strike w:val="1"/>
        </w:rPr>
        <w:t>Loans)</w:t>
      </w:r>
      <w:r>
        <w:rPr>
          <w:rFonts w:ascii="Arial" w:cs="Arial" w:eastAsia="Arial" w:hAnsi="Arial"/>
          <w:sz w:val="16"/>
          <w:szCs w:val="16"/>
          <w:u w:val="single" w:color="auto"/>
          <w:color w:val="0000FF"/>
        </w:rPr>
        <w:t>Loan</w:t>
      </w:r>
      <w:r>
        <w:rPr>
          <w:rFonts w:ascii="Arial" w:cs="Arial" w:eastAsia="Arial" w:hAnsi="Arial"/>
          <w:sz w:val="16"/>
          <w:szCs w:val="16"/>
          <w:color w:val="0000FF"/>
        </w:rPr>
        <w:t xml:space="preserve"> </w:t>
      </w:r>
      <w:r>
        <w:rPr>
          <w:rFonts w:ascii="Arial" w:cs="Arial" w:eastAsia="Arial" w:hAnsi="Arial"/>
          <w:sz w:val="16"/>
          <w:szCs w:val="16"/>
          <w:color w:val="000000"/>
        </w:rPr>
        <w:t>or B/A Equivalent Loan remained outstanding until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(x)</w:t>
      </w:r>
      <w:r>
        <w:rPr>
          <w:rFonts w:ascii="Arial" w:cs="Arial" w:eastAsia="Arial" w:hAnsi="Arial"/>
          <w:sz w:val="16"/>
          <w:szCs w:val="16"/>
          <w:color w:val="0000FF"/>
        </w:rPr>
        <w:t xml:space="preserve"> </w:t>
      </w:r>
      <w:r>
        <w:rPr>
          <w:rFonts w:ascii="Arial" w:cs="Arial" w:eastAsia="Arial" w:hAnsi="Arial"/>
          <w:sz w:val="16"/>
          <w:szCs w:val="16"/>
          <w:color w:val="000000"/>
        </w:rPr>
        <w:t>the last day of the Interest</w:t>
      </w:r>
      <w:r>
        <w:rPr>
          <w:rFonts w:ascii="Arial" w:cs="Arial" w:eastAsia="Arial" w:hAnsi="Arial"/>
          <w:sz w:val="16"/>
          <w:szCs w:val="16"/>
          <w:color w:val="0000FF"/>
        </w:rPr>
        <w:t xml:space="preserve"> </w:t>
      </w:r>
      <w:r>
        <w:rPr>
          <w:rFonts w:ascii="Arial" w:cs="Arial" w:eastAsia="Arial" w:hAnsi="Arial"/>
          <w:sz w:val="16"/>
          <w:szCs w:val="16"/>
          <w:color w:val="000000"/>
        </w:rPr>
        <w:t xml:space="preserve">Period applicable to such </w:t>
      </w:r>
      <w:r>
        <w:rPr>
          <w:rFonts w:ascii="Arial" w:cs="Arial" w:eastAsia="Arial" w:hAnsi="Arial"/>
          <w:sz w:val="16"/>
          <w:szCs w:val="16"/>
          <w:u w:val="single" w:color="auto"/>
          <w:color w:val="0000FF"/>
        </w:rPr>
        <w:t>SOFR Loan or</w:t>
      </w:r>
      <w:r>
        <w:rPr>
          <w:rFonts w:ascii="Arial" w:cs="Arial" w:eastAsia="Arial" w:hAnsi="Arial"/>
          <w:sz w:val="16"/>
          <w:szCs w:val="16"/>
          <w:color w:val="000000"/>
        </w:rPr>
        <w:t xml:space="preserve"> Eurocurrency Loans </w:t>
      </w:r>
      <w:r>
        <w:rPr>
          <w:rFonts w:ascii="Arial" w:cs="Arial" w:eastAsia="Arial" w:hAnsi="Arial"/>
          <w:sz w:val="16"/>
          <w:szCs w:val="16"/>
          <w:u w:val="single" w:color="auto"/>
          <w:color w:val="0000FF"/>
        </w:rPr>
        <w:t>or (y) the next Interest Payment Date applicable to such Daily Simple RFR Loans or B/A</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Equivalent Loan,</w:t>
      </w:r>
      <w:r>
        <w:rPr>
          <w:rFonts w:ascii="Arial" w:cs="Arial" w:eastAsia="Arial" w:hAnsi="Arial"/>
          <w:sz w:val="16"/>
          <w:szCs w:val="16"/>
          <w:color w:val="0000FF"/>
        </w:rPr>
        <w:t xml:space="preserve"> </w:t>
      </w:r>
      <w:r>
        <w:rPr>
          <w:rFonts w:ascii="Arial" w:cs="Arial" w:eastAsia="Arial" w:hAnsi="Arial"/>
          <w:sz w:val="16"/>
          <w:szCs w:val="16"/>
          <w:color w:val="000000"/>
        </w:rPr>
        <w:t>but excluding Excluded Taxes) which such Lender may sustain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-836295</wp:posOffset>
            </wp:positionV>
            <wp:extent cx="61722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-836295</wp:posOffset>
            </wp:positionV>
            <wp:extent cx="342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-424815</wp:posOffset>
            </wp:positionV>
            <wp:extent cx="29146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26543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-287655</wp:posOffset>
            </wp:positionV>
            <wp:extent cx="2540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-287655</wp:posOffset>
            </wp:positionV>
            <wp:extent cx="23114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-287655</wp:posOffset>
            </wp:positionV>
            <wp:extent cx="12890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-150495</wp:posOffset>
            </wp:positionV>
            <wp:extent cx="573468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78867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8" w:lineRule="exact"/>
        <w:rPr>
          <w:sz w:val="20"/>
          <w:szCs w:val="20"/>
          <w:color w:val="auto"/>
        </w:rPr>
      </w:pPr>
    </w:p>
    <w:p>
      <w:pPr>
        <w:jc w:val="both"/>
        <w:ind w:right="340" w:firstLine="436"/>
        <w:spacing w:after="0" w:line="259" w:lineRule="auto"/>
        <w:tabs>
          <w:tab w:leader="none" w:pos="685" w:val="left"/>
        </w:tabs>
        <w:numPr>
          <w:ilvl w:val="0"/>
          <w:numId w:val="128"/>
        </w:numPr>
        <w:rPr>
          <w:rFonts w:ascii="Arial" w:cs="Arial" w:eastAsia="Arial" w:hAnsi="Arial"/>
          <w:sz w:val="18"/>
          <w:szCs w:val="18"/>
          <w:u w:val="single" w:color="auto"/>
          <w:color w:val="0000FF"/>
        </w:rPr>
      </w:pPr>
      <w:r>
        <w:rPr>
          <w:rFonts w:ascii="Arial" w:cs="Arial" w:eastAsia="Arial" w:hAnsi="Arial"/>
          <w:sz w:val="18"/>
          <w:szCs w:val="18"/>
          <w:color w:val="auto"/>
        </w:rPr>
        <w:t xml:space="preserve">for any reason (other than a default by such Lender or Administrative Agent) a continuation or Borrowing of, or conversion from or into, </w:t>
      </w:r>
      <w:r>
        <w:rPr>
          <w:rFonts w:ascii="Arial" w:cs="Arial" w:eastAsia="Arial" w:hAnsi="Arial"/>
          <w:sz w:val="18"/>
          <w:szCs w:val="18"/>
          <w:u w:val="single" w:color="auto"/>
          <w:color w:val="0000FF"/>
        </w:rPr>
        <w:t>SOFR Loans,</w:t>
      </w:r>
      <w:r>
        <w:rPr>
          <w:rFonts w:ascii="Arial" w:cs="Arial" w:eastAsia="Arial" w:hAnsi="Arial"/>
          <w:sz w:val="18"/>
          <w:szCs w:val="18"/>
          <w:color w:val="0000FF"/>
        </w:rPr>
        <w:t xml:space="preserve"> </w:t>
      </w:r>
      <w:r>
        <w:rPr>
          <w:rFonts w:ascii="Arial" w:cs="Arial" w:eastAsia="Arial" w:hAnsi="Arial"/>
          <w:sz w:val="18"/>
          <w:szCs w:val="18"/>
          <w:color w:val="000000"/>
        </w:rPr>
        <w:t>Eurocurrency Loans</w:t>
      </w:r>
      <w:r>
        <w:rPr>
          <w:rFonts w:ascii="Arial" w:cs="Arial" w:eastAsia="Arial" w:hAnsi="Arial"/>
          <w:sz w:val="18"/>
          <w:szCs w:val="18"/>
          <w:color w:val="0000FF"/>
        </w:rPr>
        <w:t xml:space="preserve"> </w:t>
      </w:r>
      <w:r>
        <w:rPr>
          <w:rFonts w:ascii="Arial" w:cs="Arial" w:eastAsia="Arial" w:hAnsi="Arial"/>
          <w:sz w:val="18"/>
          <w:szCs w:val="18"/>
          <w:color w:val="FF0000"/>
          <w:strike w:val="1"/>
        </w:rPr>
        <w:t>(other than</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Daily Simple RFR Loans</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color w:val="000000"/>
        </w:rPr>
        <w:t>or B/A Equivalent Loans does not occur on a date specified therefor in a</w:t>
      </w:r>
      <w:r>
        <w:rPr>
          <w:rFonts w:ascii="Arial" w:cs="Arial" w:eastAsia="Arial" w:hAnsi="Arial"/>
          <w:sz w:val="18"/>
          <w:szCs w:val="18"/>
          <w:color w:val="0000FF"/>
        </w:rPr>
        <w:t xml:space="preserve"> </w:t>
      </w:r>
      <w:r>
        <w:rPr>
          <w:rFonts w:ascii="Arial" w:cs="Arial" w:eastAsia="Arial" w:hAnsi="Arial"/>
          <w:sz w:val="18"/>
          <w:szCs w:val="18"/>
          <w:color w:val="000000"/>
        </w:rPr>
        <w:t>Notice of Borrowing or Notice of Conversion or Continuation or Notice of Canadian Borrowing or Notice of Canadian Conversion or Continuation (whether or not withdrawn);</w:t>
      </w:r>
    </w:p>
    <w:p>
      <w:pPr>
        <w:spacing w:after="0" w:line="78" w:lineRule="exact"/>
        <w:rPr>
          <w:rFonts w:ascii="Arial" w:cs="Arial" w:eastAsia="Arial" w:hAnsi="Arial"/>
          <w:sz w:val="18"/>
          <w:szCs w:val="18"/>
          <w:u w:val="single" w:color="auto"/>
          <w:color w:val="0000FF"/>
        </w:rPr>
      </w:pPr>
    </w:p>
    <w:p>
      <w:pPr>
        <w:jc w:val="both"/>
        <w:ind w:firstLine="436"/>
        <w:spacing w:after="0" w:line="259" w:lineRule="auto"/>
        <w:tabs>
          <w:tab w:leader="none" w:pos="695" w:val="left"/>
        </w:tabs>
        <w:numPr>
          <w:ilvl w:val="0"/>
          <w:numId w:val="128"/>
        </w:numPr>
        <w:rPr>
          <w:rFonts w:ascii="Arial" w:cs="Arial" w:eastAsia="Arial" w:hAnsi="Arial"/>
          <w:sz w:val="18"/>
          <w:szCs w:val="18"/>
          <w:u w:val="single" w:color="auto"/>
          <w:color w:val="0000FF"/>
        </w:rPr>
      </w:pPr>
      <w:r>
        <w:rPr>
          <w:rFonts w:ascii="Arial" w:cs="Arial" w:eastAsia="Arial" w:hAnsi="Arial"/>
          <w:sz w:val="18"/>
          <w:szCs w:val="18"/>
          <w:color w:val="auto"/>
        </w:rPr>
        <w:t xml:space="preserve">any payment, prepayment or conversion or continuation of any of its </w:t>
      </w:r>
      <w:r>
        <w:rPr>
          <w:rFonts w:ascii="Arial" w:cs="Arial" w:eastAsia="Arial" w:hAnsi="Arial"/>
          <w:sz w:val="18"/>
          <w:szCs w:val="18"/>
          <w:u w:val="single" w:color="auto"/>
          <w:color w:val="0000FF"/>
        </w:rPr>
        <w:t>SOFR Loans,</w:t>
      </w:r>
      <w:r>
        <w:rPr>
          <w:rFonts w:ascii="Arial" w:cs="Arial" w:eastAsia="Arial" w:hAnsi="Arial"/>
          <w:sz w:val="18"/>
          <w:szCs w:val="18"/>
          <w:color w:val="auto"/>
        </w:rPr>
        <w:t xml:space="preserve"> Eurocurrency Loans </w:t>
      </w:r>
      <w:r>
        <w:rPr>
          <w:rFonts w:ascii="Arial" w:cs="Arial" w:eastAsia="Arial" w:hAnsi="Arial"/>
          <w:sz w:val="18"/>
          <w:szCs w:val="18"/>
          <w:color w:val="FF0000"/>
          <w:strike w:val="1"/>
        </w:rPr>
        <w:t>(other than</w:t>
      </w:r>
      <w:r>
        <w:rPr>
          <w:rFonts w:ascii="Arial" w:cs="Arial" w:eastAsia="Arial" w:hAnsi="Arial"/>
          <w:sz w:val="18"/>
          <w:szCs w:val="18"/>
          <w:u w:val="single" w:color="auto"/>
          <w:color w:val="0000FF"/>
        </w:rPr>
        <w:t>,</w:t>
      </w:r>
      <w:r>
        <w:rPr>
          <w:rFonts w:ascii="Arial" w:cs="Arial" w:eastAsia="Arial" w:hAnsi="Arial"/>
          <w:sz w:val="18"/>
          <w:szCs w:val="18"/>
          <w:color w:val="auto"/>
        </w:rPr>
        <w:t xml:space="preserve"> Daily Simple RFR Loans</w:t>
      </w:r>
      <w:r>
        <w:rPr>
          <w:rFonts w:ascii="Arial" w:cs="Arial" w:eastAsia="Arial" w:hAnsi="Arial"/>
          <w:sz w:val="18"/>
          <w:szCs w:val="18"/>
          <w:color w:val="FF0000"/>
          <w:strike w:val="1"/>
        </w:rPr>
        <w:t>)</w:t>
      </w:r>
      <w:r>
        <w:rPr>
          <w:rFonts w:ascii="Arial" w:cs="Arial" w:eastAsia="Arial" w:hAnsi="Arial"/>
          <w:sz w:val="18"/>
          <w:szCs w:val="18"/>
          <w:color w:val="auto"/>
        </w:rPr>
        <w:t xml:space="preserve"> or B/A Equivalent Loans occurring for any reason whatsoever on a date which is not </w:t>
      </w:r>
      <w:r>
        <w:rPr>
          <w:rFonts w:ascii="Arial" w:cs="Arial" w:eastAsia="Arial" w:hAnsi="Arial"/>
          <w:sz w:val="18"/>
          <w:szCs w:val="18"/>
          <w:u w:val="single" w:color="auto"/>
          <w:color w:val="0000FF"/>
        </w:rPr>
        <w:t>(x) in the case of SOFR Loans or Eurocurrency Loans,</w:t>
      </w:r>
      <w:r>
        <w:rPr>
          <w:rFonts w:ascii="Arial" w:cs="Arial" w:eastAsia="Arial" w:hAnsi="Arial"/>
          <w:sz w:val="18"/>
          <w:szCs w:val="18"/>
          <w:color w:val="auto"/>
        </w:rPr>
        <w:t xml:space="preserve"> the last day of an Interest Period applicable thereto </w:t>
      </w:r>
      <w:r>
        <w:rPr>
          <w:rFonts w:ascii="Arial" w:cs="Arial" w:eastAsia="Arial" w:hAnsi="Arial"/>
          <w:sz w:val="18"/>
          <w:szCs w:val="18"/>
          <w:color w:val="0000FF"/>
        </w:rPr>
        <w:t>or (y) in the case of Daily Simple RFR Loans or B/A Equivalent Loans, an Interest Payment Date with respect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thereto</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-1029335</wp:posOffset>
            </wp:positionV>
            <wp:extent cx="15430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-892175</wp:posOffset>
            </wp:positionV>
            <wp:extent cx="62547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-892175</wp:posOffset>
            </wp:positionV>
            <wp:extent cx="2603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-412115</wp:posOffset>
            </wp:positionV>
            <wp:extent cx="15430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-412115</wp:posOffset>
            </wp:positionV>
            <wp:extent cx="61722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-412115</wp:posOffset>
            </wp:positionV>
            <wp:extent cx="2603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-274955</wp:posOffset>
            </wp:positionV>
            <wp:extent cx="250317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-137795</wp:posOffset>
            </wp:positionV>
            <wp:extent cx="507492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07492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-172085</wp:posOffset>
            </wp:positionV>
            <wp:extent cx="507365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507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1686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0"/>
          </w:cols>
          <w:pgMar w:left="440" w:top="274" w:right="499" w:bottom="1440" w:gutter="0" w:footer="0" w:header="0"/>
        </w:sectPr>
      </w:pPr>
    </w:p>
    <w:bookmarkStart w:id="263" w:name="page264"/>
    <w:bookmarkEnd w:id="263"/>
    <w:p>
      <w:pPr>
        <w:ind w:firstLine="436"/>
        <w:spacing w:after="0" w:line="277" w:lineRule="auto"/>
        <w:tabs>
          <w:tab w:leader="none" w:pos="685" w:val="left"/>
        </w:tabs>
        <w:numPr>
          <w:ilvl w:val="0"/>
          <w:numId w:val="129"/>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repayment of any of its </w:t>
      </w:r>
      <w:r>
        <w:rPr>
          <w:rFonts w:ascii="Arial" w:cs="Arial" w:eastAsia="Arial" w:hAnsi="Arial"/>
          <w:sz w:val="18"/>
          <w:szCs w:val="18"/>
          <w:u w:val="single" w:color="auto"/>
          <w:color w:val="0000FF"/>
        </w:rPr>
        <w:t>SOFR Loans,</w:t>
      </w:r>
      <w:r>
        <w:rPr>
          <w:rFonts w:ascii="Arial" w:cs="Arial" w:eastAsia="Arial" w:hAnsi="Arial"/>
          <w:sz w:val="18"/>
          <w:szCs w:val="18"/>
          <w:color w:val="auto"/>
        </w:rPr>
        <w:t xml:space="preserve"> Eurocurrency Loans </w:t>
      </w:r>
      <w:r>
        <w:rPr>
          <w:rFonts w:ascii="Arial" w:cs="Arial" w:eastAsia="Arial" w:hAnsi="Arial"/>
          <w:sz w:val="18"/>
          <w:szCs w:val="18"/>
          <w:color w:val="FF0000"/>
          <w:strike w:val="1"/>
        </w:rPr>
        <w:t>(other than</w:t>
      </w:r>
      <w:r>
        <w:rPr>
          <w:rFonts w:ascii="Arial" w:cs="Arial" w:eastAsia="Arial" w:hAnsi="Arial"/>
          <w:sz w:val="18"/>
          <w:szCs w:val="18"/>
          <w:u w:val="single" w:color="auto"/>
          <w:color w:val="0000FF"/>
        </w:rPr>
        <w:t>,</w:t>
      </w:r>
      <w:r>
        <w:rPr>
          <w:rFonts w:ascii="Arial" w:cs="Arial" w:eastAsia="Arial" w:hAnsi="Arial"/>
          <w:sz w:val="18"/>
          <w:szCs w:val="18"/>
          <w:color w:val="auto"/>
        </w:rPr>
        <w:t xml:space="preserve"> Daily Simple RFR Loans</w:t>
      </w:r>
      <w:r>
        <w:rPr>
          <w:rFonts w:ascii="Arial" w:cs="Arial" w:eastAsia="Arial" w:hAnsi="Arial"/>
          <w:sz w:val="18"/>
          <w:szCs w:val="18"/>
          <w:color w:val="FF0000"/>
          <w:strike w:val="1"/>
        </w:rPr>
        <w:t>)</w:t>
      </w:r>
      <w:r>
        <w:rPr>
          <w:rFonts w:ascii="Arial" w:cs="Arial" w:eastAsia="Arial" w:hAnsi="Arial"/>
          <w:sz w:val="18"/>
          <w:szCs w:val="18"/>
          <w:color w:val="auto"/>
        </w:rPr>
        <w:t xml:space="preserve"> or B/A Loans not being made on the date specified in a notice of payment given by such Borrower; or</w:t>
      </w:r>
    </w:p>
    <w:p>
      <w:pPr>
        <w:spacing w:after="0" w:line="62" w:lineRule="exact"/>
        <w:rPr>
          <w:rFonts w:ascii="Arial" w:cs="Arial" w:eastAsia="Arial" w:hAnsi="Arial"/>
          <w:sz w:val="18"/>
          <w:szCs w:val="18"/>
          <w:u w:val="single" w:color="auto"/>
          <w:color w:val="0000FF"/>
        </w:rPr>
      </w:pPr>
    </w:p>
    <w:p>
      <w:pPr>
        <w:ind w:right="40" w:firstLine="436"/>
        <w:spacing w:after="0" w:line="269" w:lineRule="auto"/>
        <w:tabs>
          <w:tab w:leader="none" w:pos="695" w:val="left"/>
        </w:tabs>
        <w:numPr>
          <w:ilvl w:val="0"/>
          <w:numId w:val="129"/>
        </w:numPr>
        <w:rPr>
          <w:rFonts w:ascii="Arial" w:cs="Arial" w:eastAsia="Arial" w:hAnsi="Arial"/>
          <w:sz w:val="17"/>
          <w:szCs w:val="17"/>
          <w:u w:val="single" w:color="auto"/>
          <w:color w:val="0000FF"/>
        </w:rPr>
      </w:pPr>
      <w:r>
        <w:rPr>
          <w:rFonts w:ascii="Arial" w:cs="Arial" w:eastAsia="Arial" w:hAnsi="Arial"/>
          <w:sz w:val="17"/>
          <w:szCs w:val="17"/>
          <w:color w:val="auto"/>
        </w:rPr>
        <w:t xml:space="preserve">(i) any other failure by such Borrower to repay such Borrower’s </w:t>
      </w:r>
      <w:r>
        <w:rPr>
          <w:rFonts w:ascii="Arial" w:cs="Arial" w:eastAsia="Arial" w:hAnsi="Arial"/>
          <w:sz w:val="17"/>
          <w:szCs w:val="17"/>
          <w:u w:val="single" w:color="auto"/>
          <w:color w:val="0000FF"/>
        </w:rPr>
        <w:t>SOFR Loans,</w:t>
      </w:r>
      <w:r>
        <w:rPr>
          <w:rFonts w:ascii="Arial" w:cs="Arial" w:eastAsia="Arial" w:hAnsi="Arial"/>
          <w:sz w:val="17"/>
          <w:szCs w:val="17"/>
          <w:color w:val="auto"/>
        </w:rPr>
        <w:t xml:space="preserve"> Eurocurrency Loans </w:t>
      </w:r>
      <w:r>
        <w:rPr>
          <w:rFonts w:ascii="Arial" w:cs="Arial" w:eastAsia="Arial" w:hAnsi="Arial"/>
          <w:sz w:val="17"/>
          <w:szCs w:val="17"/>
          <w:color w:val="FF0000"/>
          <w:strike w:val="1"/>
        </w:rPr>
        <w:t>(other than</w:t>
      </w:r>
      <w:r>
        <w:rPr>
          <w:rFonts w:ascii="Arial" w:cs="Arial" w:eastAsia="Arial" w:hAnsi="Arial"/>
          <w:sz w:val="17"/>
          <w:szCs w:val="17"/>
          <w:u w:val="single" w:color="auto"/>
          <w:color w:val="0000FF"/>
        </w:rPr>
        <w:t>,</w:t>
      </w:r>
      <w:r>
        <w:rPr>
          <w:rFonts w:ascii="Arial" w:cs="Arial" w:eastAsia="Arial" w:hAnsi="Arial"/>
          <w:sz w:val="17"/>
          <w:szCs w:val="17"/>
          <w:color w:val="auto"/>
        </w:rPr>
        <w:t xml:space="preserve"> Daily Simple RFR Loans</w:t>
      </w:r>
      <w:r>
        <w:rPr>
          <w:rFonts w:ascii="Arial" w:cs="Arial" w:eastAsia="Arial" w:hAnsi="Arial"/>
          <w:sz w:val="17"/>
          <w:szCs w:val="17"/>
          <w:color w:val="FF0000"/>
          <w:strike w:val="1"/>
        </w:rPr>
        <w:t>)</w:t>
      </w:r>
      <w:r>
        <w:rPr>
          <w:rFonts w:ascii="Arial" w:cs="Arial" w:eastAsia="Arial" w:hAnsi="Arial"/>
          <w:sz w:val="17"/>
          <w:szCs w:val="17"/>
          <w:color w:val="auto"/>
        </w:rPr>
        <w:t xml:space="preserve"> or B/A Equivalent Loan when required by the terms of this Agreement or (ii) an election made by Borrower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A written notice setting forth in reasonable detail the basis of the incurrence of additional amounts owed such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delivered to such Borrower and Administrative Agent by such Lender shall, absent manifest error, be final, conclusive and binding for all purposes. Calculation of all amounts payable to a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made as though that Lender had actually funded its relevant </w:t>
      </w:r>
      <w:r>
        <w:rPr>
          <w:rFonts w:ascii="Arial" w:cs="Arial" w:eastAsia="Arial" w:hAnsi="Arial"/>
          <w:sz w:val="17"/>
          <w:szCs w:val="17"/>
          <w:u w:val="single" w:color="auto"/>
          <w:color w:val="0000FF"/>
        </w:rPr>
        <w:t>SOFR Loan,</w:t>
      </w:r>
      <w:r>
        <w:rPr>
          <w:rFonts w:ascii="Arial" w:cs="Arial" w:eastAsia="Arial" w:hAnsi="Arial"/>
          <w:sz w:val="17"/>
          <w:szCs w:val="17"/>
          <w:color w:val="auto"/>
        </w:rPr>
        <w:t xml:space="preserve"> Eurocurrency Loan </w:t>
      </w:r>
      <w:r>
        <w:rPr>
          <w:rFonts w:ascii="Arial" w:cs="Arial" w:eastAsia="Arial" w:hAnsi="Arial"/>
          <w:sz w:val="17"/>
          <w:szCs w:val="17"/>
          <w:color w:val="FF0000"/>
          <w:strike w:val="1"/>
        </w:rPr>
        <w:t>(other than</w:t>
      </w:r>
      <w:r>
        <w:rPr>
          <w:rFonts w:ascii="Arial" w:cs="Arial" w:eastAsia="Arial" w:hAnsi="Arial"/>
          <w:sz w:val="17"/>
          <w:szCs w:val="17"/>
          <w:u w:val="single" w:color="auto"/>
          <w:color w:val="0000FF"/>
        </w:rPr>
        <w:t>,</w:t>
      </w:r>
      <w:r>
        <w:rPr>
          <w:rFonts w:ascii="Arial" w:cs="Arial" w:eastAsia="Arial" w:hAnsi="Arial"/>
          <w:sz w:val="17"/>
          <w:szCs w:val="17"/>
          <w:color w:val="auto"/>
        </w:rPr>
        <w:t xml:space="preserve"> Daily Simple RFR Loans</w:t>
      </w:r>
      <w:r>
        <w:rPr>
          <w:rFonts w:ascii="Arial" w:cs="Arial" w:eastAsia="Arial" w:hAnsi="Arial"/>
          <w:sz w:val="17"/>
          <w:szCs w:val="17"/>
          <w:color w:val="FF0000"/>
          <w:strike w:val="1"/>
        </w:rPr>
        <w:t>)</w:t>
      </w:r>
      <w:r>
        <w:rPr>
          <w:rFonts w:ascii="Arial" w:cs="Arial" w:eastAsia="Arial" w:hAnsi="Arial"/>
          <w:sz w:val="17"/>
          <w:szCs w:val="17"/>
          <w:color w:val="auto"/>
        </w:rPr>
        <w:t xml:space="preserve"> or B/A Equivalent Loan through the purchase of a </w:t>
      </w:r>
      <w:r>
        <w:rPr>
          <w:rFonts w:ascii="Arial" w:cs="Arial" w:eastAsia="Arial" w:hAnsi="Arial"/>
          <w:sz w:val="17"/>
          <w:szCs w:val="17"/>
          <w:u w:val="single" w:color="auto"/>
          <w:color w:val="0000FF"/>
        </w:rPr>
        <w:t>Dollar, Canadian Dollar or</w:t>
      </w:r>
      <w:r>
        <w:rPr>
          <w:rFonts w:ascii="Arial" w:cs="Arial" w:eastAsia="Arial" w:hAnsi="Arial"/>
          <w:sz w:val="17"/>
          <w:szCs w:val="17"/>
          <w:color w:val="auto"/>
        </w:rPr>
        <w:t xml:space="preserve"> Eurocurrency deposit bearing interest at </w:t>
      </w:r>
      <w:r>
        <w:rPr>
          <w:rFonts w:ascii="Arial" w:cs="Arial" w:eastAsia="Arial" w:hAnsi="Arial"/>
          <w:sz w:val="17"/>
          <w:szCs w:val="17"/>
          <w:u w:val="single" w:color="auto"/>
          <w:color w:val="0000FF"/>
        </w:rPr>
        <w:t>Adjusted Term SOFR,</w:t>
      </w:r>
      <w:r>
        <w:rPr>
          <w:rFonts w:ascii="Arial" w:cs="Arial" w:eastAsia="Arial" w:hAnsi="Arial"/>
          <w:sz w:val="17"/>
          <w:szCs w:val="17"/>
          <w:color w:val="auto"/>
        </w:rPr>
        <w:t xml:space="preserve"> the Eurocurrency Rate</w:t>
      </w:r>
      <w:r>
        <w:rPr>
          <w:rFonts w:ascii="Arial" w:cs="Arial" w:eastAsia="Arial" w:hAnsi="Arial"/>
          <w:sz w:val="17"/>
          <w:szCs w:val="17"/>
          <w:u w:val="single" w:color="auto"/>
          <w:color w:val="0000FF"/>
        </w:rPr>
        <w:t>, Daily Simple RFR Loans</w:t>
      </w:r>
      <w:r>
        <w:rPr>
          <w:rFonts w:ascii="Arial" w:cs="Arial" w:eastAsia="Arial" w:hAnsi="Arial"/>
          <w:sz w:val="17"/>
          <w:szCs w:val="17"/>
          <w:color w:val="auto"/>
        </w:rPr>
        <w:t xml:space="preserve"> or a B/A in an amount equal to the amount of that Loan, having a maturity comparable to the relevant Interest Period and through the transfer of such </w:t>
      </w:r>
      <w:r>
        <w:rPr>
          <w:rFonts w:ascii="Arial" w:cs="Arial" w:eastAsia="Arial" w:hAnsi="Arial"/>
          <w:sz w:val="17"/>
          <w:szCs w:val="17"/>
          <w:u w:val="single" w:color="auto"/>
          <w:color w:val="0000FF"/>
        </w:rPr>
        <w:t>Dollar, Canadian Dollar or</w:t>
      </w:r>
      <w:r>
        <w:rPr>
          <w:rFonts w:ascii="Arial" w:cs="Arial" w:eastAsia="Arial" w:hAnsi="Arial"/>
          <w:sz w:val="17"/>
          <w:szCs w:val="17"/>
          <w:color w:val="auto"/>
        </w:rPr>
        <w:t xml:space="preserve"> Eurocurrency deposit from an offshore office of that Lender to a domestic office of that Lender in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 may fund each of its </w:t>
      </w:r>
      <w:r>
        <w:rPr>
          <w:rFonts w:ascii="Arial" w:cs="Arial" w:eastAsia="Arial" w:hAnsi="Arial"/>
          <w:sz w:val="17"/>
          <w:szCs w:val="17"/>
          <w:u w:val="single" w:color="auto"/>
          <w:color w:val="0000FF"/>
        </w:rPr>
        <w:t>SOFR Loans,</w:t>
      </w:r>
      <w:r>
        <w:rPr>
          <w:rFonts w:ascii="Arial" w:cs="Arial" w:eastAsia="Arial" w:hAnsi="Arial"/>
          <w:sz w:val="17"/>
          <w:szCs w:val="17"/>
          <w:color w:val="0000FF"/>
        </w:rPr>
        <w:t xml:space="preserve"> </w:t>
      </w:r>
      <w:r>
        <w:rPr>
          <w:rFonts w:ascii="Arial" w:cs="Arial" w:eastAsia="Arial" w:hAnsi="Arial"/>
          <w:sz w:val="17"/>
          <w:szCs w:val="17"/>
          <w:color w:val="000000"/>
        </w:rPr>
        <w:t>Eurocurrency Loans</w:t>
      </w:r>
      <w:r>
        <w:rPr>
          <w:rFonts w:ascii="Arial" w:cs="Arial" w:eastAsia="Arial" w:hAnsi="Arial"/>
          <w:sz w:val="17"/>
          <w:szCs w:val="17"/>
          <w:u w:val="single" w:color="auto"/>
          <w:color w:val="0000FF"/>
        </w:rPr>
        <w:t>, Daily Simple RFR Loans</w:t>
      </w:r>
      <w:r>
        <w:rPr>
          <w:rFonts w:ascii="Arial" w:cs="Arial" w:eastAsia="Arial" w:hAnsi="Arial"/>
          <w:sz w:val="17"/>
          <w:szCs w:val="17"/>
          <w:color w:val="0000FF"/>
        </w:rPr>
        <w:t xml:space="preserve"> </w:t>
      </w:r>
      <w:r>
        <w:rPr>
          <w:rFonts w:ascii="Arial" w:cs="Arial" w:eastAsia="Arial" w:hAnsi="Arial"/>
          <w:sz w:val="17"/>
          <w:szCs w:val="17"/>
          <w:color w:val="000000"/>
        </w:rPr>
        <w:t>and B/A Loans in any manner it sees fit and the foregoing assumption shall be utilized</w:t>
      </w:r>
      <w:r>
        <w:rPr>
          <w:rFonts w:ascii="Arial" w:cs="Arial" w:eastAsia="Arial" w:hAnsi="Arial"/>
          <w:sz w:val="17"/>
          <w:szCs w:val="17"/>
          <w:color w:val="0000FF"/>
        </w:rPr>
        <w:t xml:space="preserve"> </w:t>
      </w:r>
      <w:r>
        <w:rPr>
          <w:rFonts w:ascii="Arial" w:cs="Arial" w:eastAsia="Arial" w:hAnsi="Arial"/>
          <w:sz w:val="17"/>
          <w:szCs w:val="17"/>
          <w:color w:val="000000"/>
        </w:rPr>
        <w:t xml:space="preserve">only for the calculation of amounts payable under this </w:t>
      </w:r>
      <w:r>
        <w:rPr>
          <w:rFonts w:ascii="Arial" w:cs="Arial" w:eastAsia="Arial" w:hAnsi="Arial"/>
          <w:sz w:val="17"/>
          <w:szCs w:val="17"/>
          <w:u w:val="single" w:color="auto"/>
          <w:color w:val="000000"/>
        </w:rPr>
        <w:t>Section 3.5</w:t>
      </w:r>
      <w:r>
        <w:rPr>
          <w:rFonts w:ascii="Arial" w:cs="Arial" w:eastAsia="Arial" w:hAnsi="Arial"/>
          <w:sz w:val="17"/>
          <w:szCs w:val="17"/>
          <w:color w:val="000000"/>
        </w:rPr>
        <w:t>.</w:t>
      </w:r>
    </w:p>
    <w:p>
      <w:pPr>
        <w:spacing w:after="0" w:line="73" w:lineRule="exact"/>
        <w:rPr>
          <w:rFonts w:ascii="Arial" w:cs="Arial" w:eastAsia="Arial" w:hAnsi="Arial"/>
          <w:sz w:val="17"/>
          <w:szCs w:val="17"/>
          <w:u w:val="single" w:color="auto"/>
          <w:color w:val="0000FF"/>
        </w:rPr>
      </w:pPr>
    </w:p>
    <w:p>
      <w:pPr>
        <w:ind w:right="320" w:firstLine="436"/>
        <w:spacing w:after="0" w:line="277" w:lineRule="auto"/>
        <w:tabs>
          <w:tab w:leader="none" w:pos="685" w:val="left"/>
        </w:tabs>
        <w:numPr>
          <w:ilvl w:val="0"/>
          <w:numId w:val="129"/>
        </w:numPr>
        <w:rPr>
          <w:rFonts w:ascii="Arial" w:cs="Arial" w:eastAsia="Arial" w:hAnsi="Arial"/>
          <w:sz w:val="18"/>
          <w:szCs w:val="18"/>
          <w:u w:val="single" w:color="auto"/>
          <w:color w:val="0000FF"/>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apply to Taxes, except any Taxes that represent losses, expenses and liabilities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-2068195</wp:posOffset>
            </wp:positionV>
            <wp:extent cx="15430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-2068195</wp:posOffset>
            </wp:positionV>
            <wp:extent cx="62547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-2068195</wp:posOffset>
            </wp:positionV>
            <wp:extent cx="2540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-1725295</wp:posOffset>
            </wp:positionV>
            <wp:extent cx="15430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-1725295</wp:posOffset>
            </wp:positionV>
            <wp:extent cx="61722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-1725295</wp:posOffset>
            </wp:positionV>
            <wp:extent cx="2540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-1176655</wp:posOffset>
            </wp:positionV>
            <wp:extent cx="58293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-1039495</wp:posOffset>
            </wp:positionV>
            <wp:extent cx="2603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-1039495</wp:posOffset>
            </wp:positionV>
            <wp:extent cx="121729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-902335</wp:posOffset>
            </wp:positionV>
            <wp:extent cx="101981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-902335</wp:posOffset>
            </wp:positionV>
            <wp:extent cx="121729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-765175</wp:posOffset>
            </wp:positionV>
            <wp:extent cx="122555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-490855</wp:posOffset>
            </wp:positionV>
            <wp:extent cx="62547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-490855</wp:posOffset>
            </wp:positionV>
            <wp:extent cx="121729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15430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Alternate Rate of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Illegality,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23495</wp:posOffset>
            </wp:positionV>
            <wp:extent cx="118300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7" w:lineRule="exact"/>
        <w:rPr>
          <w:sz w:val="20"/>
          <w:szCs w:val="20"/>
          <w:color w:val="auto"/>
        </w:rPr>
      </w:pPr>
    </w:p>
    <w:p>
      <w:pPr>
        <w:ind w:left="680" w:hanging="244"/>
        <w:spacing w:after="0"/>
        <w:tabs>
          <w:tab w:leader="none" w:pos="680" w:val="left"/>
        </w:tabs>
        <w:numPr>
          <w:ilvl w:val="0"/>
          <w:numId w:val="1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Generally. If any Change in Law:</w:t>
      </w:r>
    </w:p>
    <w:p>
      <w:pPr>
        <w:spacing w:after="0" w:line="117" w:lineRule="exact"/>
        <w:rPr>
          <w:rFonts w:ascii="Arial" w:cs="Arial" w:eastAsia="Arial" w:hAnsi="Arial"/>
          <w:sz w:val="18"/>
          <w:szCs w:val="18"/>
          <w:u w:val="single" w:color="auto"/>
          <w:color w:val="0000FF"/>
        </w:rPr>
      </w:pPr>
    </w:p>
    <w:p>
      <w:pPr>
        <w:ind w:left="440" w:right="20" w:firstLine="419"/>
        <w:spacing w:after="0" w:line="289" w:lineRule="auto"/>
        <w:tabs>
          <w:tab w:leader="none" w:pos="1078" w:val="left"/>
        </w:tabs>
        <w:numPr>
          <w:ilvl w:val="1"/>
          <w:numId w:val="13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having general applicability to all comparably situated Lenders and Facing Agents within the jurisdiction in which such Lender or Facing Agent operates shall impose, modify or deem applicable any reserve ((x) except,</w:t>
      </w:r>
      <w:r>
        <w:rPr>
          <w:rFonts w:ascii="Arial" w:cs="Arial" w:eastAsia="Arial" w:hAnsi="Arial"/>
          <w:sz w:val="16"/>
          <w:szCs w:val="16"/>
          <w:color w:val="0000FF"/>
        </w:rPr>
        <w:t xml:space="preserve"> </w:t>
      </w:r>
      <w:r>
        <w:rPr>
          <w:rFonts w:ascii="Arial" w:cs="Arial" w:eastAsia="Arial" w:hAnsi="Arial"/>
          <w:sz w:val="16"/>
          <w:szCs w:val="16"/>
          <w:color w:val="008000"/>
        </w:rPr>
        <w:t>in the case of any Eurocurrency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Rate Loan, any reserve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requirement reflected in the Eurocurrency Rate and (y) including, pursuant to regulations issued from time to time (including any emergency, special, supplemental or other marginal reserve requirement)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 special deposit, compulsory loan, insurance charge or similar requirement against assets of, deposits with or for the account of, or credit extended or participated in by, any Lender or any Facing Agent or subject any Recipient to any Taxes (other than (A) Indemnified Taxes and (B) Taxes described in the definition of “Excluded Taxes”); or</w:t>
      </w:r>
    </w:p>
    <w:p>
      <w:pPr>
        <w:spacing w:after="0" w:line="58" w:lineRule="exact"/>
        <w:rPr>
          <w:rFonts w:ascii="Arial" w:cs="Arial" w:eastAsia="Arial" w:hAnsi="Arial"/>
          <w:sz w:val="16"/>
          <w:szCs w:val="16"/>
          <w:u w:val="single" w:color="auto"/>
          <w:color w:val="0000FF"/>
        </w:rPr>
      </w:pPr>
    </w:p>
    <w:p>
      <w:pPr>
        <w:ind w:left="440" w:right="180" w:firstLine="419"/>
        <w:spacing w:after="0" w:line="277" w:lineRule="auto"/>
        <w:tabs>
          <w:tab w:leader="none" w:pos="1128" w:val="left"/>
        </w:tabs>
        <w:numPr>
          <w:ilvl w:val="1"/>
          <w:numId w:val="1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imposes on any Lender or any Facing Agent any other condition, cost or expense (other than Taxes) affecting this Agreement or Loans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-1656715</wp:posOffset>
            </wp:positionV>
            <wp:extent cx="168021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-1450975</wp:posOffset>
            </wp:positionV>
            <wp:extent cx="642048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-1348105</wp:posOffset>
            </wp:positionV>
            <wp:extent cx="6240780" cy="4318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6240780" cy="4318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-1176655</wp:posOffset>
            </wp:positionV>
            <wp:extent cx="645477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-1039495</wp:posOffset>
            </wp:positionV>
            <wp:extent cx="661797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-902335</wp:posOffset>
            </wp:positionV>
            <wp:extent cx="656653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-765175</wp:posOffset>
            </wp:positionV>
            <wp:extent cx="633476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-628015</wp:posOffset>
            </wp:positionV>
            <wp:extent cx="661797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-490855</wp:posOffset>
            </wp:positionV>
            <wp:extent cx="666940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-353695</wp:posOffset>
            </wp:positionV>
            <wp:extent cx="462915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-147955</wp:posOffset>
            </wp:positionV>
            <wp:extent cx="632650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3137535"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4" w:right="459" w:bottom="1440" w:gutter="0" w:footer="0" w:header="0"/>
        </w:sectPr>
      </w:pPr>
    </w:p>
    <w:bookmarkStart w:id="264" w:name="page265"/>
    <w:bookmarkEnd w:id="264"/>
    <w:p>
      <w:pPr>
        <w:ind w:left="4" w:right="240" w:firstLine="436"/>
        <w:spacing w:after="0" w:line="277" w:lineRule="auto"/>
        <w:tabs>
          <w:tab w:leader="none" w:pos="689" w:val="left"/>
        </w:tabs>
        <w:numPr>
          <w:ilvl w:val="0"/>
          <w:numId w:val="131"/>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w:t>
      </w:r>
      <w:r>
        <w:rPr>
          <w:rFonts w:ascii="Arial" w:cs="Arial" w:eastAsia="Arial" w:hAnsi="Arial"/>
          <w:sz w:val="18"/>
          <w:szCs w:val="18"/>
          <w:color w:val="FF0000"/>
          <w:strike w:val="1"/>
        </w:rPr>
        <w:t>. In the event that any Lender shall have determined (which determination shall, absent manifest error, be final and conclusive and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binding upon all parties hereto but, with respect to clause (i) below, may be made only by the applicable Agent):</w:t>
      </w:r>
    </w:p>
    <w:p>
      <w:pPr>
        <w:spacing w:after="0" w:line="62" w:lineRule="exact"/>
        <w:rPr>
          <w:rFonts w:ascii="Arial" w:cs="Arial" w:eastAsia="Arial" w:hAnsi="Arial"/>
          <w:sz w:val="18"/>
          <w:szCs w:val="18"/>
          <w:color w:val="FF0000"/>
          <w:strike w:val="1"/>
        </w:rPr>
      </w:pPr>
    </w:p>
    <w:p>
      <w:pPr>
        <w:jc w:val="both"/>
        <w:ind w:left="444" w:firstLine="419"/>
        <w:spacing w:after="0" w:line="259" w:lineRule="auto"/>
        <w:tabs>
          <w:tab w:leader="none" w:pos="1082" w:val="left"/>
        </w:tabs>
        <w:numPr>
          <w:ilvl w:val="1"/>
          <w:numId w:val="13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on any Interest Rate Determination Date that (x) by reason of any changes arising after the date of this Agreement affecting the interbank Eurocurrency market, adequate and fair means do not exist for ascertaining the applicable interest rate on the basis provided for in the definition of “Eurocurrency Rate” or (y) the Eurocurrency Rate for any requested Interest Period with respect to a proposed Eurocurrency Rate Loan </w:t>
      </w:r>
      <w:r>
        <w:rPr>
          <w:rFonts w:ascii="Arial" w:cs="Arial" w:eastAsia="Arial" w:hAnsi="Arial"/>
          <w:sz w:val="18"/>
          <w:szCs w:val="18"/>
          <w:color w:val="008000"/>
          <w:strike w:val="1"/>
        </w:rPr>
        <w:t>does not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adequately and fairly reflect the cost to </w:t>
      </w:r>
      <w:r>
        <w:rPr>
          <w:rFonts w:ascii="Arial" w:cs="Arial" w:eastAsia="Arial" w:hAnsi="Arial"/>
          <w:sz w:val="18"/>
          <w:szCs w:val="18"/>
          <w:color w:val="FF0000"/>
          <w:strike w:val="1"/>
        </w:rPr>
        <w:t>Required Lenders of funding such Loan; or</w:t>
      </w:r>
    </w:p>
    <w:p>
      <w:pPr>
        <w:spacing w:after="0" w:line="78" w:lineRule="exact"/>
        <w:rPr>
          <w:rFonts w:ascii="Arial" w:cs="Arial" w:eastAsia="Arial" w:hAnsi="Arial"/>
          <w:sz w:val="18"/>
          <w:szCs w:val="18"/>
          <w:color w:val="FF0000"/>
          <w:strike w:val="1"/>
        </w:rPr>
      </w:pPr>
    </w:p>
    <w:p>
      <w:pPr>
        <w:ind w:left="444" w:right="40" w:firstLine="419"/>
        <w:spacing w:after="0" w:line="270" w:lineRule="auto"/>
        <w:tabs>
          <w:tab w:leader="none" w:pos="1132" w:val="left"/>
        </w:tabs>
        <w:numPr>
          <w:ilvl w:val="1"/>
          <w:numId w:val="131"/>
        </w:numPr>
        <w:rPr>
          <w:rFonts w:ascii="Arial" w:cs="Arial" w:eastAsia="Arial" w:hAnsi="Arial"/>
          <w:sz w:val="17"/>
          <w:szCs w:val="17"/>
          <w:color w:val="FF0000"/>
          <w:strike w:val="1"/>
        </w:rPr>
      </w:pPr>
      <w:r>
        <w:rPr>
          <w:rFonts w:ascii="Arial" w:cs="Arial" w:eastAsia="Arial" w:hAnsi="Arial"/>
          <w:sz w:val="17"/>
          <w:szCs w:val="17"/>
          <w:color w:val="FF0000"/>
          <w:strike w:val="1"/>
        </w:rPr>
        <w:t>at any time, that any Recipient shall incur increased costs or reduction in the amounts received or receivable hereunder with respect to any Eurocurrency Loan because of (x) any Change in Law having general applicability to all comparably situated Lenders within the jurisdiction in which such Lender operates since the date of this Agreement such as, for example, but not limited to: (A) the imposition of any Tax of any kind with respect to this Agreement or any Eurocurrency Loan (other than (I) Indemnified Taxes and (II) Excluded Taxes) or (B) a change in official reserve, special deposit, compulsory loan, insurance charge or similar requirements by any Governmental Authority (but, in all events, excluding reserves required under Regulation D to the extent included in the computation of the Eurocurrency Rate) and/or (y) other circumstances since the date of this Agreement affecting such Lender or the interbank Eurocurrency market or the position of such Lender in such market (excluding, however, differences in a Lender’s cost of funds from those of Administrative Agent which are solely the result of credit differences between such Lender and Administrative Agent); or</w:t>
      </w:r>
    </w:p>
    <w:p>
      <w:pPr>
        <w:spacing w:after="0" w:line="72" w:lineRule="exact"/>
        <w:rPr>
          <w:rFonts w:ascii="Arial" w:cs="Arial" w:eastAsia="Arial" w:hAnsi="Arial"/>
          <w:sz w:val="17"/>
          <w:szCs w:val="17"/>
          <w:color w:val="FF0000"/>
          <w:strike w:val="1"/>
        </w:rPr>
      </w:pPr>
    </w:p>
    <w:p>
      <w:pPr>
        <w:ind w:left="444" w:right="120" w:firstLine="419"/>
        <w:spacing w:after="0" w:line="259" w:lineRule="auto"/>
        <w:tabs>
          <w:tab w:leader="none" w:pos="1182" w:val="left"/>
        </w:tabs>
        <w:numPr>
          <w:ilvl w:val="1"/>
          <w:numId w:val="13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at any time, that the making or continuance of any Eurocurrency Loan has been made (x) unlawful by any law, directive or governmental rule, regulation or order, (y) impossible by compliance by any Lender in good faith with any governmental request (whether or not having force of law) or (z) impracticable </w:t>
      </w:r>
      <w:r>
        <w:rPr>
          <w:rFonts w:ascii="Arial" w:cs="Arial" w:eastAsia="Arial" w:hAnsi="Arial"/>
          <w:sz w:val="18"/>
          <w:szCs w:val="18"/>
          <w:color w:val="008000"/>
          <w:strike w:val="1"/>
        </w:rPr>
        <w:t>as a result of a</w:t>
      </w:r>
      <w:r>
        <w:rPr>
          <w:rFonts w:ascii="Arial" w:cs="Arial" w:eastAsia="Arial" w:hAnsi="Arial"/>
          <w:sz w:val="18"/>
          <w:szCs w:val="18"/>
          <w:color w:val="FF0000"/>
          <w:strike w:val="1"/>
        </w:rPr>
        <w:t xml:space="preserve"> contingency occurring after </w:t>
      </w:r>
      <w:r>
        <w:rPr>
          <w:rFonts w:ascii="Arial" w:cs="Arial" w:eastAsia="Arial" w:hAnsi="Arial"/>
          <w:sz w:val="18"/>
          <w:szCs w:val="18"/>
          <w:color w:val="008000"/>
          <w:strike w:val="1"/>
        </w:rPr>
        <w:t>the date of this Agreement</w:t>
      </w:r>
      <w:r>
        <w:rPr>
          <w:rFonts w:ascii="Arial" w:cs="Arial" w:eastAsia="Arial" w:hAnsi="Arial"/>
          <w:sz w:val="18"/>
          <w:szCs w:val="18"/>
          <w:color w:val="FF0000"/>
          <w:strike w:val="1"/>
        </w:rPr>
        <w:t xml:space="preserve"> which materially and adversely affects the interbank Eurocurrency market;</w:t>
      </w:r>
    </w:p>
    <w:p>
      <w:pPr>
        <w:spacing w:after="0" w:line="79"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FF0000"/>
          <w:strike w:val="1"/>
        </w:rPr>
        <w:t xml:space="preserve">then, and in any such event, such Lender (or Administrative Agent, in the case of </w:t>
      </w:r>
      <w:r>
        <w:rPr>
          <w:rFonts w:ascii="Arial" w:cs="Arial" w:eastAsia="Arial" w:hAnsi="Arial"/>
          <w:sz w:val="16"/>
          <w:szCs w:val="16"/>
          <w:u w:val="single" w:color="auto"/>
          <w:color w:val="FF0000"/>
          <w:strike w:val="1"/>
        </w:rPr>
        <w:t>clause (i)</w:t>
      </w:r>
      <w:r>
        <w:rPr>
          <w:rFonts w:ascii="Arial" w:cs="Arial" w:eastAsia="Arial" w:hAnsi="Arial"/>
          <w:sz w:val="16"/>
          <w:szCs w:val="16"/>
          <w:color w:val="FF0000"/>
          <w:strike w:val="1"/>
        </w:rPr>
        <w:t xml:space="preserve"> above) shall promptly give notice (by telephone confirmed in writing) to the Borrowers. Thereafter</w:t>
      </w:r>
      <w:r>
        <w:rPr>
          <w:rFonts w:ascii="Arial" w:cs="Arial" w:eastAsia="Arial" w:hAnsi="Arial"/>
          <w:sz w:val="16"/>
          <w:szCs w:val="16"/>
          <w:color w:val="008000"/>
          <w:strike w:val="1"/>
        </w:rPr>
        <w:t>, (x) in the case of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clause (i)</w:t>
      </w:r>
      <w:r>
        <w:rPr>
          <w:rFonts w:ascii="Arial" w:cs="Arial" w:eastAsia="Arial" w:hAnsi="Arial"/>
          <w:sz w:val="16"/>
          <w:szCs w:val="16"/>
          <w:color w:val="FF0000"/>
          <w:strike w:val="1"/>
        </w:rPr>
        <w:t xml:space="preserve"> above, Eurocurrency Loans shall no longer be available until such time as Administrative </w:t>
      </w:r>
      <w:r>
        <w:rPr>
          <w:rFonts w:ascii="Arial" w:cs="Arial" w:eastAsia="Arial" w:hAnsi="Arial"/>
          <w:sz w:val="16"/>
          <w:szCs w:val="16"/>
          <w:color w:val="008000"/>
          <w:strike w:val="1"/>
        </w:rPr>
        <w:t>Agent notifies Crown Holdings and the Lenders that the circumstances giving rise to such notice</w:t>
      </w:r>
      <w:r>
        <w:rPr>
          <w:rFonts w:ascii="Arial" w:cs="Arial" w:eastAsia="Arial" w:hAnsi="Arial"/>
          <w:sz w:val="16"/>
          <w:szCs w:val="16"/>
          <w:color w:val="FF0000"/>
          <w:strike w:val="1"/>
        </w:rPr>
        <w:t xml:space="preserve"> by Administrative Agent no longer exist, and any Notice of Borrowing or Notice of Conversion or Continuation given by any Borrower with respect to Eurocurrency Loans (other than with respect to conversions to Base Rate Loans) which have not yet been incurred (including by way of conversion) shall be deemed rescinded by such Borrower and, in the case of Alternative Currency Loans, such Loans shall thereafter bear interest at a rate equal to Administrative Agent’s cost of funds for such Alternative Currency plus the Applicable Eurocurrency Margin, which shall not in any event be less than zero</w:t>
      </w:r>
      <w:r>
        <w:rPr>
          <w:rFonts w:ascii="Arial" w:cs="Arial" w:eastAsia="Arial" w:hAnsi="Arial"/>
          <w:sz w:val="16"/>
          <w:szCs w:val="16"/>
          <w:color w:val="008000"/>
          <w:strike w:val="1"/>
        </w:rPr>
        <w:t>, (y) in the case of</w:t>
      </w:r>
      <w:r>
        <w:rPr>
          <w:rFonts w:ascii="Arial" w:cs="Arial" w:eastAsia="Arial" w:hAnsi="Arial"/>
          <w:sz w:val="16"/>
          <w:szCs w:val="16"/>
          <w:color w:val="FF0000"/>
          <w:strike w:val="1"/>
        </w:rPr>
        <w:t xml:space="preserve"> clause</w:t>
      </w:r>
    </w:p>
    <w:p>
      <w:pPr>
        <w:spacing w:after="0" w:line="2" w:lineRule="exact"/>
        <w:rPr>
          <w:sz w:val="20"/>
          <w:szCs w:val="20"/>
          <w:color w:val="auto"/>
        </w:rPr>
      </w:pPr>
    </w:p>
    <w:p>
      <w:pPr>
        <w:ind w:left="4" w:right="20" w:hanging="4"/>
        <w:spacing w:after="0" w:line="288" w:lineRule="auto"/>
        <w:tabs>
          <w:tab w:leader="none" w:pos="269" w:val="left"/>
        </w:tabs>
        <w:numPr>
          <w:ilvl w:val="0"/>
          <w:numId w:val="132"/>
        </w:numPr>
        <w:rPr>
          <w:rFonts w:ascii="Arial" w:cs="Arial" w:eastAsia="Arial" w:hAnsi="Arial"/>
          <w:sz w:val="16"/>
          <w:szCs w:val="16"/>
          <w:color w:val="FF0000"/>
          <w:strike w:val="1"/>
        </w:rPr>
      </w:pPr>
      <w:r>
        <w:rPr>
          <w:rFonts w:ascii="Arial" w:cs="Arial" w:eastAsia="Arial" w:hAnsi="Arial"/>
          <w:sz w:val="16"/>
          <w:szCs w:val="16"/>
          <w:color w:val="FF0000"/>
          <w:strike w:val="1"/>
        </w:rPr>
        <w:t>above, such Borrower shall</w:t>
      </w:r>
      <w:r>
        <w:rPr>
          <w:rFonts w:ascii="Arial" w:cs="Arial" w:eastAsia="Arial" w:hAnsi="Arial"/>
          <w:sz w:val="16"/>
          <w:szCs w:val="16"/>
          <w:u w:val="single" w:color="auto"/>
          <w:color w:val="0000FF"/>
          <w:strike w:val="1"/>
        </w:rPr>
        <w:t>and the result of any of the foregoing shall be to increase the cost to such Lender or such other Recipient of making,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converting to, continuing or maintaining any Loan or of maintaining its obligation to make any such Loan, or to increase the cost to such Lender, such Facing Agent or such other Recipient of participating in, issuing or maintaining any Letter of Credit (or of maintaining its obligation to participate in or to issue any Letter of Credit), or to reduce the amount of any sum received or receivable by such Lender, Facing Agent or other Recipient hereunder (whether of principal, interest or any other amount) then, upon written request of such Lender, Facing Agent or other Recipient, the applicable Borrower will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pay to such Lender,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within ten days of written demand therefor</w:t>
      </w:r>
      <w:r>
        <w:rPr>
          <w:rFonts w:ascii="Arial" w:cs="Arial" w:eastAsia="Arial" w:hAnsi="Arial"/>
          <w:sz w:val="16"/>
          <w:szCs w:val="16"/>
          <w:u w:val="single" w:color="auto"/>
          <w:color w:val="0000FF"/>
          <w:strike w:val="1"/>
        </w:rPr>
        <w:t>Facing Agent or other Recipient, as the case may be</w:t>
      </w:r>
      <w:r>
        <w:rPr>
          <w:rFonts w:ascii="Arial" w:cs="Arial" w:eastAsia="Arial" w:hAnsi="Arial"/>
          <w:sz w:val="16"/>
          <w:szCs w:val="16"/>
          <w:color w:val="000000"/>
          <w:strike w:val="1"/>
        </w:rPr>
        <w:t>, such additional</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amounts (in the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form of an increased rate of, or a different method of calculating, interest or otherwise as such Lender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-835025</wp:posOffset>
            </wp:positionV>
            <wp:extent cx="530606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-697865</wp:posOffset>
            </wp:positionV>
            <wp:extent cx="6866255"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692658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677227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696912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17970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-149225</wp:posOffset>
            </wp:positionV>
            <wp:extent cx="23831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4"/>
          </w:cols>
          <w:pgMar w:left="436" w:top="274" w:right="459" w:bottom="1440" w:gutter="0" w:footer="0" w:header="0"/>
        </w:sectPr>
      </w:pPr>
    </w:p>
    <w:bookmarkStart w:id="265" w:name="page266"/>
    <w:bookmarkEnd w:id="265"/>
    <w:p>
      <w:pPr>
        <w:ind w:right="20"/>
        <w:spacing w:after="0" w:line="286"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 shall determine) as shall be required to</w:t>
      </w:r>
      <w:r>
        <w:rPr>
          <w:rFonts w:ascii="Arial" w:cs="Arial" w:eastAsia="Arial" w:hAnsi="Arial"/>
          <w:sz w:val="16"/>
          <w:szCs w:val="16"/>
          <w:u w:val="single" w:color="auto"/>
          <w:color w:val="0000FF"/>
        </w:rPr>
        <w:t>amount or amounts as will</w:t>
      </w:r>
      <w:r>
        <w:rPr>
          <w:rFonts w:ascii="Arial" w:cs="Arial" w:eastAsia="Arial" w:hAnsi="Arial"/>
          <w:sz w:val="16"/>
          <w:szCs w:val="16"/>
          <w:color w:val="FF0000"/>
        </w:rPr>
        <w:t xml:space="preserve"> </w:t>
      </w:r>
      <w:r>
        <w:rPr>
          <w:rFonts w:ascii="Arial" w:cs="Arial" w:eastAsia="Arial" w:hAnsi="Arial"/>
          <w:sz w:val="16"/>
          <w:szCs w:val="16"/>
          <w:color w:val="000000"/>
        </w:rPr>
        <w:t>compensate such Lender</w:t>
      </w:r>
      <w:r>
        <w:rPr>
          <w:rFonts w:ascii="Arial" w:cs="Arial" w:eastAsia="Arial" w:hAnsi="Arial"/>
          <w:sz w:val="16"/>
          <w:szCs w:val="16"/>
          <w:color w:val="FF0000"/>
        </w:rPr>
        <w:t xml:space="preserve"> for such increased costs or reductions in amounts </w:t>
      </w:r>
      <w:r>
        <w:rPr>
          <w:rFonts w:ascii="Arial" w:cs="Arial" w:eastAsia="Arial" w:hAnsi="Arial"/>
          <w:sz w:val="16"/>
          <w:szCs w:val="16"/>
          <w:color w:val="FF0000"/>
          <w:strike w:val="1"/>
        </w:rPr>
        <w:t xml:space="preserve">received or receivable hereunder </w:t>
      </w:r>
      <w:r>
        <w:rPr>
          <w:rFonts w:ascii="Arial" w:cs="Arial" w:eastAsia="Arial" w:hAnsi="Arial"/>
          <w:sz w:val="16"/>
          <w:szCs w:val="16"/>
          <w:color w:val="008000"/>
          <w:strike w:val="1"/>
        </w:rPr>
        <w:t>and (z) in the case of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clause (iii)</w:t>
      </w:r>
      <w:r>
        <w:rPr>
          <w:rFonts w:ascii="Arial" w:cs="Arial" w:eastAsia="Arial" w:hAnsi="Arial"/>
          <w:sz w:val="16"/>
          <w:szCs w:val="16"/>
          <w:color w:val="FF0000"/>
          <w:strike w:val="1"/>
        </w:rPr>
        <w:t xml:space="preserve"> above, such Borrower shall take one of the actions specified in </w:t>
      </w:r>
      <w:r>
        <w:rPr>
          <w:rFonts w:ascii="Arial" w:cs="Arial" w:eastAsia="Arial" w:hAnsi="Arial"/>
          <w:sz w:val="16"/>
          <w:szCs w:val="16"/>
          <w:u w:val="single" w:color="auto"/>
          <w:color w:val="FF0000"/>
          <w:strike w:val="1"/>
        </w:rPr>
        <w:t>Section 3.6(b)</w:t>
      </w:r>
      <w:r>
        <w:rPr>
          <w:rFonts w:ascii="Arial" w:cs="Arial" w:eastAsia="Arial" w:hAnsi="Arial"/>
          <w:sz w:val="16"/>
          <w:szCs w:val="16"/>
          <w:color w:val="FF0000"/>
          <w:strike w:val="1"/>
        </w:rPr>
        <w:t xml:space="preserve"> as promptly as possible and, in any event, within the time period required by law. In determining such additional amounts pursuant to clause (y) of the immediately preceding sentence, each Lender shall act reasonably and in good faith and will, to the extent the increased costs or reductions in amounts receivable relate to such Lender’s loans in general and are not specifically attributable to a Loan hereunder, use averaging and attribution methods which are reasonable and which cover all loans similar to the Loans made by such Lender whether or not the loan documentation for such other loans permits the Lender to receive increased costs of the type described in this </w:t>
      </w:r>
      <w:r>
        <w:rPr>
          <w:rFonts w:ascii="Arial" w:cs="Arial" w:eastAsia="Arial" w:hAnsi="Arial"/>
          <w:sz w:val="16"/>
          <w:szCs w:val="16"/>
          <w:u w:val="single" w:color="auto"/>
          <w:color w:val="FF0000"/>
          <w:strike w:val="1"/>
        </w:rPr>
        <w:t>Section 3.6(a)</w:t>
      </w:r>
      <w:r>
        <w:rPr>
          <w:rFonts w:ascii="Arial" w:cs="Arial" w:eastAsia="Arial" w:hAnsi="Arial"/>
          <w:sz w:val="16"/>
          <w:szCs w:val="16"/>
          <w:u w:val="single" w:color="auto"/>
          <w:color w:val="0000FF"/>
          <w:strike w:val="1"/>
        </w:rPr>
        <w:t>, Facing Agent or other Recipient, as the case may be, for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additional costs incurred or reduction suffered</w:t>
      </w:r>
      <w:r>
        <w:rPr>
          <w:rFonts w:ascii="Arial" w:cs="Arial" w:eastAsia="Arial" w:hAnsi="Arial"/>
          <w:sz w:val="16"/>
          <w:szCs w:val="16"/>
          <w:color w:val="000000"/>
          <w:strike w:val="1"/>
        </w:rPr>
        <w:t>; provided that such amounts shall be proportionate to the amounts that such Lender</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or Facing Agent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charges other borrowers or account parties for such additional costs incurred or reductions suffered on loans similarly situated to Borrowers in connection with substantially similar facilities as reasonably determined by such Lender </w:t>
      </w:r>
      <w:r>
        <w:rPr>
          <w:rFonts w:ascii="Arial" w:cs="Arial" w:eastAsia="Arial" w:hAnsi="Arial"/>
          <w:sz w:val="16"/>
          <w:szCs w:val="16"/>
          <w:u w:val="single" w:color="auto"/>
          <w:color w:val="0000FF"/>
          <w:strike w:val="1"/>
        </w:rPr>
        <w:t>or such Facing Agent</w:t>
      </w:r>
      <w:r>
        <w:rPr>
          <w:rFonts w:ascii="Arial" w:cs="Arial" w:eastAsia="Arial" w:hAnsi="Arial"/>
          <w:sz w:val="16"/>
          <w:szCs w:val="16"/>
          <w:color w:val="000000"/>
          <w:strike w:val="1"/>
        </w:rPr>
        <w:t xml:space="preserve"> acting in good faith</w:t>
      </w:r>
      <w:r>
        <w:rPr>
          <w:rFonts w:ascii="Arial" w:cs="Arial" w:eastAsia="Arial" w:hAnsi="Arial"/>
          <w:sz w:val="16"/>
          <w:szCs w:val="16"/>
          <w:color w:val="FF0000"/>
          <w:strike w:val="1"/>
        </w:rPr>
        <w:t>.</w:t>
      </w:r>
      <w:r>
        <w:rPr>
          <w:rFonts w:ascii="Arial" w:cs="Arial" w:eastAsia="Arial" w:hAnsi="Arial"/>
          <w:sz w:val="16"/>
          <w:szCs w:val="16"/>
          <w:u w:val="single" w:color="auto"/>
          <w:color w:val="0000FF"/>
          <w:strike w:val="1"/>
        </w:rPr>
        <w:t>; provided, further,</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that if such increased costs described under clause (i) are determined by a court of competent jurisdiction in a final non-appealable judgment to have been imposed</w:t>
      </w:r>
      <w:r>
        <w:rPr>
          <w:rFonts w:ascii="Arial" w:cs="Arial" w:eastAsia="Arial" w:hAnsi="Arial"/>
          <w:sz w:val="16"/>
          <w:szCs w:val="16"/>
          <w:color w:val="0000FF"/>
          <w:strike w:val="1"/>
        </w:rPr>
        <w:t xml:space="preserve"> </w:t>
      </w:r>
      <w:r>
        <w:rPr>
          <w:rFonts w:ascii="Arial" w:cs="Arial" w:eastAsia="Arial" w:hAnsi="Arial"/>
          <w:sz w:val="16"/>
          <w:szCs w:val="16"/>
          <w:color w:val="008000"/>
          <w:strike w:val="1"/>
        </w:rPr>
        <w:t>as a result of a</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Lender’s or Facing Agent’s gross negligence or willful misconduct, such Lender or Facing Agent will promptly repay to</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the applicable Borrower the amount of any increased costs paid to such Lender or such Facing Agent by such Borrower under this Section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-1654175</wp:posOffset>
            </wp:positionV>
            <wp:extent cx="1217295"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-1739900</wp:posOffset>
            </wp:positionV>
            <wp:extent cx="227838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2278380" cy="88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-831215</wp:posOffset>
            </wp:positionV>
            <wp:extent cx="286321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-694055</wp:posOffset>
            </wp:positionV>
            <wp:extent cx="210883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-694055</wp:posOffset>
            </wp:positionV>
            <wp:extent cx="73723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-419735</wp:posOffset>
            </wp:positionV>
            <wp:extent cx="9861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-419735</wp:posOffset>
            </wp:positionV>
            <wp:extent cx="86550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678942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849110" cy="4318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684911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65233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46" w:lineRule="exact"/>
        <w:rPr>
          <w:sz w:val="20"/>
          <w:szCs w:val="20"/>
          <w:color w:val="auto"/>
        </w:rPr>
      </w:pPr>
    </w:p>
    <w:p>
      <w:pPr>
        <w:ind w:left="700" w:hanging="264"/>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FF0000"/>
          <w:strike w:val="1"/>
        </w:rPr>
        <w:t>Eurocurrency Loans</w:t>
      </w:r>
      <w:r>
        <w:rPr>
          <w:rFonts w:ascii="Arial" w:cs="Arial" w:eastAsia="Arial" w:hAnsi="Arial"/>
          <w:sz w:val="18"/>
          <w:szCs w:val="18"/>
          <w:u w:val="single" w:color="auto"/>
          <w:color w:val="0000FF"/>
        </w:rPr>
        <w:t>Alternate Rate of Interest</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440" w:firstLine="419"/>
        <w:spacing w:after="0" w:line="291" w:lineRule="auto"/>
        <w:tabs>
          <w:tab w:leader="none" w:pos="1078" w:val="left"/>
        </w:tabs>
        <w:numPr>
          <w:ilvl w:val="1"/>
          <w:numId w:val="133"/>
        </w:numPr>
        <w:rPr>
          <w:rFonts w:ascii="Arial" w:cs="Arial" w:eastAsia="Arial" w:hAnsi="Arial"/>
          <w:sz w:val="16"/>
          <w:szCs w:val="16"/>
          <w:color w:val="FF0000"/>
          <w:strike w:val="1"/>
        </w:rPr>
      </w:pPr>
      <w:r>
        <w:rPr>
          <w:rFonts w:ascii="Arial" w:cs="Arial" w:eastAsia="Arial" w:hAnsi="Arial"/>
          <w:sz w:val="16"/>
          <w:szCs w:val="16"/>
          <w:color w:val="FF0000"/>
          <w:strike w:val="1"/>
        </w:rPr>
        <w:t xml:space="preserve">At any time that any Eurocurrency Loan is affected by the circumstances described in </w:t>
      </w:r>
      <w:r>
        <w:rPr>
          <w:rFonts w:ascii="Arial" w:cs="Arial" w:eastAsia="Arial" w:hAnsi="Arial"/>
          <w:sz w:val="16"/>
          <w:szCs w:val="16"/>
          <w:u w:val="single" w:color="auto"/>
          <w:color w:val="FF0000"/>
          <w:strike w:val="1"/>
        </w:rPr>
        <w:t>Section 3.6(a)(ii)</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(iii)</w:t>
      </w:r>
      <w:r>
        <w:rPr>
          <w:rFonts w:ascii="Arial" w:cs="Arial" w:eastAsia="Arial" w:hAnsi="Arial"/>
          <w:sz w:val="16"/>
          <w:szCs w:val="16"/>
          <w:color w:val="FF0000"/>
          <w:strike w:val="1"/>
        </w:rPr>
        <w:t xml:space="preserve">, any Borrower may </w:t>
      </w:r>
      <w:r>
        <w:rPr>
          <w:rFonts w:ascii="Arial" w:cs="Arial" w:eastAsia="Arial" w:hAnsi="Arial"/>
          <w:sz w:val="16"/>
          <w:szCs w:val="16"/>
          <w:color w:val="008000"/>
          <w:strike w:val="1"/>
        </w:rPr>
        <w:t>(and,</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in the case of </w:t>
      </w:r>
      <w:r>
        <w:rPr>
          <w:rFonts w:ascii="Arial" w:cs="Arial" w:eastAsia="Arial" w:hAnsi="Arial"/>
          <w:sz w:val="16"/>
          <w:szCs w:val="16"/>
          <w:color w:val="FF0000"/>
          <w:strike w:val="1"/>
        </w:rPr>
        <w:t>a Eurocurrency Loan affected by the circumstances described in</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FF0000"/>
          <w:strike w:val="1"/>
        </w:rPr>
        <w:t>Section 3.6(a)(iii)</w:t>
      </w:r>
      <w:r>
        <w:rPr>
          <w:rFonts w:ascii="Arial" w:cs="Arial" w:eastAsia="Arial" w:hAnsi="Arial"/>
          <w:sz w:val="16"/>
          <w:szCs w:val="16"/>
          <w:color w:val="FF0000"/>
          <w:strike w:val="1"/>
        </w:rPr>
        <w:t>, shall) either (i) if the affected Eurocurrency Loan</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is then being made initially or pursuant to a conversion, by giving Administrative Agent telephonic notice (confirmed in writing) on the same date that Crown Holdings, as the applicable Borrower, was notified by the affected Lender or Administrative Agent pursuant to </w:t>
      </w:r>
      <w:r>
        <w:rPr>
          <w:rFonts w:ascii="Arial" w:cs="Arial" w:eastAsia="Arial" w:hAnsi="Arial"/>
          <w:sz w:val="16"/>
          <w:szCs w:val="16"/>
          <w:u w:val="single" w:color="auto"/>
          <w:color w:val="FF0000"/>
          <w:strike w:val="1"/>
        </w:rPr>
        <w:t>Section 3.6(a)(ii)</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iii</w:t>
      </w:r>
      <w:r>
        <w:rPr>
          <w:rFonts w:ascii="Arial" w:cs="Arial" w:eastAsia="Arial" w:hAnsi="Arial"/>
          <w:sz w:val="16"/>
          <w:szCs w:val="16"/>
          <w:color w:val="FF0000"/>
          <w:strike w:val="1"/>
        </w:rPr>
        <w:t xml:space="preserve">), cancel the respective Borrowing, or (ii) if the affected Eurocurrency Loan is then outstanding, upon at least three Business Days’ written notice to Administrative Agent, require the affected Lender to convert such Eurocurrency Loan into a Base Rate Loan,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if more than one Lender is affected at any time, then all affected Lenders must be treated the same pursuant to this </w:t>
      </w:r>
      <w:r>
        <w:rPr>
          <w:rFonts w:ascii="Arial" w:cs="Arial" w:eastAsia="Arial" w:hAnsi="Arial"/>
          <w:sz w:val="16"/>
          <w:szCs w:val="16"/>
          <w:u w:val="single" w:color="auto"/>
          <w:color w:val="FF0000"/>
          <w:strike w:val="1"/>
        </w:rPr>
        <w:t>Section 3.6(b)(i)</w:t>
      </w:r>
      <w:r>
        <w:rPr>
          <w:rFonts w:ascii="Arial" w:cs="Arial" w:eastAsia="Arial" w:hAnsi="Arial"/>
          <w:sz w:val="16"/>
          <w:szCs w:val="16"/>
          <w:color w:val="FF0000"/>
          <w:strike w:val="1"/>
        </w:rPr>
        <w:t>.</w:t>
      </w:r>
    </w:p>
    <w:p>
      <w:pPr>
        <w:spacing w:after="0" w:line="58" w:lineRule="exact"/>
        <w:rPr>
          <w:rFonts w:ascii="Arial" w:cs="Arial" w:eastAsia="Arial" w:hAnsi="Arial"/>
          <w:sz w:val="16"/>
          <w:szCs w:val="16"/>
          <w:color w:val="FF0000"/>
          <w:strike w:val="1"/>
        </w:rPr>
      </w:pPr>
    </w:p>
    <w:p>
      <w:pPr>
        <w:ind w:left="440" w:right="20" w:firstLine="419"/>
        <w:spacing w:after="0" w:line="270" w:lineRule="auto"/>
        <w:tabs>
          <w:tab w:leader="none" w:pos="1128" w:val="left"/>
        </w:tabs>
        <w:numPr>
          <w:ilvl w:val="1"/>
          <w:numId w:val="133"/>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If at any time the Administrative Agent determines (which determination shall be conclusive absent manifest error) that (x) the circumstances set forth in </w:t>
      </w:r>
      <w:r>
        <w:rPr>
          <w:rFonts w:ascii="Arial" w:cs="Arial" w:eastAsia="Arial" w:hAnsi="Arial"/>
          <w:sz w:val="17"/>
          <w:szCs w:val="17"/>
          <w:u w:val="single" w:color="auto"/>
          <w:color w:val="FF0000"/>
          <w:strike w:val="1"/>
        </w:rPr>
        <w:t>Section 3.6(a)(i)(x)</w:t>
      </w:r>
      <w:r>
        <w:rPr>
          <w:rFonts w:ascii="Arial" w:cs="Arial" w:eastAsia="Arial" w:hAnsi="Arial"/>
          <w:sz w:val="17"/>
          <w:szCs w:val="17"/>
          <w:color w:val="FF0000"/>
          <w:strike w:val="1"/>
        </w:rPr>
        <w:t xml:space="preserve"> have arisen and such circumstances are unlikely to be temporary or (y) the circumstances set forth in </w:t>
      </w:r>
      <w:r>
        <w:rPr>
          <w:rFonts w:ascii="Arial" w:cs="Arial" w:eastAsia="Arial" w:hAnsi="Arial"/>
          <w:sz w:val="17"/>
          <w:szCs w:val="17"/>
          <w:u w:val="single" w:color="auto"/>
          <w:color w:val="FF0000"/>
          <w:strike w:val="1"/>
        </w:rPr>
        <w:t xml:space="preserve">Section 3.6(a)(i)(x) </w:t>
      </w:r>
      <w:r>
        <w:rPr>
          <w:rFonts w:ascii="Arial" w:cs="Arial" w:eastAsia="Arial" w:hAnsi="Arial"/>
          <w:sz w:val="17"/>
          <w:szCs w:val="17"/>
          <w:color w:val="FF0000"/>
          <w:strike w:val="1"/>
        </w:rPr>
        <w:t>have not arisen but the supervisor for the administrator of the Eurocurrency Rate or a Governmental Authority having</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jurisdiction over the Administrative Agent has made a public statement identifying a specific date after which the Eurocurrency Rate shall no longer be used for determining interest rates for loans, then the Administrative Agent and Crown Holdings shall endeavor to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Eurocurrency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-2335530</wp:posOffset>
            </wp:positionV>
            <wp:extent cx="115697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440" w:top="274" w:right="439" w:bottom="1440" w:gutter="0" w:footer="0" w:header="0"/>
        </w:sectPr>
      </w:pPr>
    </w:p>
    <w:bookmarkStart w:id="266" w:name="page267"/>
    <w:bookmarkEnd w:id="266"/>
    <w:p>
      <w:pPr>
        <w:ind w:left="4" w:right="20" w:firstLine="423"/>
        <w:spacing w:after="0" w:line="284"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the first paragraph of Section 12.1,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(ii) (but, in the case of circumstances described in Section 3.6(a), only to the extent the Eurocurrency Rate for such Interest Period is not available or published at such time on a current basis), (x) any Notice of Conversion or Continuation that requests the conversion of any Borrowing denominated in Dollars to, or continuation of any Borrowing as, a Eurocurrency Loan shall be ineffective, (y) if any Notice of Borrowing requests a Borrowing of Eurocurrency Loans denominated in Dollars, such Borrowing shall be made as a request for a Borrowing of Base Rate Loans and</w:t>
      </w:r>
    </w:p>
    <w:p>
      <w:pPr>
        <w:spacing w:after="0" w:line="1" w:lineRule="exact"/>
        <w:rPr>
          <w:sz w:val="20"/>
          <w:szCs w:val="20"/>
          <w:color w:val="auto"/>
        </w:rPr>
      </w:pPr>
    </w:p>
    <w:p>
      <w:pPr>
        <w:ind w:left="4" w:right="60" w:hanging="4"/>
        <w:spacing w:after="0" w:line="255" w:lineRule="auto"/>
        <w:tabs>
          <w:tab w:leader="none" w:pos="248" w:val="left"/>
        </w:tabs>
        <w:numPr>
          <w:ilvl w:val="0"/>
          <w:numId w:val="13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any Notice of Borrowing requests a Borrowing of Alternative Currency Loans, such Loans shall thereafter bear interest at a rate equal to Administrative Agent’s cost of funds for such Alternative Currency plus the Applicable Eurocurrency Margin;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such alternate rate of interest shall be less than zero, such rate shall be deemed to be zero for the purposes of this Agreement.</w:t>
      </w:r>
    </w:p>
    <w:p>
      <w:pPr>
        <w:spacing w:after="0" w:line="81" w:lineRule="exact"/>
        <w:rPr>
          <w:rFonts w:ascii="Arial" w:cs="Arial" w:eastAsia="Arial" w:hAnsi="Arial"/>
          <w:sz w:val="18"/>
          <w:szCs w:val="18"/>
          <w:color w:val="FF0000"/>
          <w:strike w:val="1"/>
        </w:rPr>
      </w:pPr>
    </w:p>
    <w:p>
      <w:pPr>
        <w:ind w:left="4" w:right="140" w:firstLine="419"/>
        <w:spacing w:after="0" w:line="277" w:lineRule="auto"/>
        <w:tabs>
          <w:tab w:leader="none" w:pos="641" w:val="left"/>
        </w:tabs>
        <w:numPr>
          <w:ilvl w:val="1"/>
          <w:numId w:val="1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prior to the commencement of any Interest Period for a Borrowing of Eurocurrency Loans or SOFR Loans (or at any time,</w:t>
      </w:r>
      <w:r>
        <w:rPr>
          <w:rFonts w:ascii="Arial" w:cs="Arial" w:eastAsia="Arial" w:hAnsi="Arial"/>
          <w:sz w:val="18"/>
          <w:szCs w:val="18"/>
          <w:color w:val="0000FF"/>
        </w:rPr>
        <w:t xml:space="preserve"> </w:t>
      </w:r>
      <w:r>
        <w:rPr>
          <w:rFonts w:ascii="Arial" w:cs="Arial" w:eastAsia="Arial" w:hAnsi="Arial"/>
          <w:sz w:val="18"/>
          <w:szCs w:val="18"/>
          <w:color w:val="008000"/>
        </w:rPr>
        <w:t>in the case</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of a Borrowing </w:t>
      </w:r>
      <w:r>
        <w:rPr>
          <w:rFonts w:ascii="Arial" w:cs="Arial" w:eastAsia="Arial" w:hAnsi="Arial"/>
          <w:sz w:val="18"/>
          <w:szCs w:val="18"/>
          <w:u w:val="single" w:color="auto"/>
          <w:color w:val="0000FF"/>
        </w:rPr>
        <w:t>of Daily Simple RFR Loans):</w:t>
      </w:r>
    </w:p>
    <w:p>
      <w:pPr>
        <w:spacing w:after="0" w:line="62" w:lineRule="exact"/>
        <w:rPr>
          <w:rFonts w:ascii="Arial" w:cs="Arial" w:eastAsia="Arial" w:hAnsi="Arial"/>
          <w:sz w:val="18"/>
          <w:szCs w:val="18"/>
          <w:u w:val="single" w:color="auto"/>
          <w:color w:val="0000FF"/>
        </w:rPr>
      </w:pPr>
    </w:p>
    <w:p>
      <w:pPr>
        <w:ind w:left="544" w:right="500" w:firstLine="408"/>
        <w:spacing w:after="0" w:line="311" w:lineRule="auto"/>
        <w:tabs>
          <w:tab w:leader="none" w:pos="1239" w:val="left"/>
        </w:tabs>
        <w:numPr>
          <w:ilvl w:val="2"/>
          <w:numId w:val="13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(1) the Administrative Agent reasonably determines (which determination shall be conclusive absent manifest error) that adequate and reasonable means do not exist for ascertaining (x) the Eurocurrency Rate for such Eurocurrency Loan for such Interest Period, (y) Adjusted Term SOFR for such SOFR Loan for such Interest Period or (z) Daily Simple SONIA for such RFR Loan; or</w:t>
      </w:r>
    </w:p>
    <w:p>
      <w:pPr>
        <w:spacing w:after="0" w:line="40" w:lineRule="exact"/>
        <w:rPr>
          <w:rFonts w:ascii="Arial" w:cs="Arial" w:eastAsia="Arial" w:hAnsi="Arial"/>
          <w:sz w:val="16"/>
          <w:szCs w:val="16"/>
          <w:u w:val="single" w:color="auto"/>
          <w:color w:val="0000FF"/>
        </w:rPr>
      </w:pPr>
    </w:p>
    <w:p>
      <w:pPr>
        <w:ind w:left="544" w:firstLine="408"/>
        <w:spacing w:after="0" w:line="293" w:lineRule="auto"/>
        <w:tabs>
          <w:tab w:leader="none" w:pos="1229" w:val="left"/>
        </w:tabs>
        <w:numPr>
          <w:ilvl w:val="2"/>
          <w:numId w:val="13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(2) the Administrative Agent is advised by the Majority Lenders in respect of each of the Facilities with affected Eurocurrency Loans, SOFR Loans or Daily Simple RFR Loans (as applicable) that (x) the Eurocurrency Rate for such Eurocurrency Loan for such Interest Period will not adequately and fairly reflect the cost to Lenders of making or maintaining their Loans included in such Borrowing for such Interest Period, (y) Adjusted Term SOFR for such SOFR Loan for such Interest Period will not adequately or fairly reflect the cost to Lenders of making or maintaining their Loans included in such Borrowing for such Interest Period or (z) Daily Simple RFR will not adequately and fairly reflect the cost to Lenders of making or maintaining their RFR Loans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-1523365</wp:posOffset>
            </wp:positionV>
            <wp:extent cx="634365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-1557655</wp:posOffset>
            </wp:positionV>
            <wp:extent cx="51054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105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207454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-1180465</wp:posOffset>
            </wp:positionV>
            <wp:extent cx="570039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-1043305</wp:posOffset>
            </wp:positionV>
            <wp:extent cx="604329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-906145</wp:posOffset>
            </wp:positionV>
            <wp:extent cx="594042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-700405</wp:posOffset>
            </wp:positionV>
            <wp:extent cx="596646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-563245</wp:posOffset>
            </wp:positionV>
            <wp:extent cx="606933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-426085</wp:posOffset>
            </wp:positionV>
            <wp:extent cx="630047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-288925</wp:posOffset>
            </wp:positionV>
            <wp:extent cx="636079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-151765</wp:posOffset>
            </wp:positionV>
            <wp:extent cx="616331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-14605</wp:posOffset>
            </wp:positionV>
            <wp:extent cx="550354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6" w:lineRule="exact"/>
        <w:rPr>
          <w:sz w:val="20"/>
          <w:szCs w:val="20"/>
          <w:color w:val="auto"/>
        </w:rPr>
      </w:pPr>
    </w:p>
    <w:p>
      <w:pPr>
        <w:ind w:left="4" w:firstLine="423"/>
        <w:spacing w:after="0" w:line="286" w:lineRule="auto"/>
        <w:rPr>
          <w:sz w:val="20"/>
          <w:szCs w:val="20"/>
          <w:color w:val="auto"/>
        </w:rPr>
      </w:pPr>
      <w:r>
        <w:rPr>
          <w:rFonts w:ascii="Arial" w:cs="Arial" w:eastAsia="Arial" w:hAnsi="Arial"/>
          <w:sz w:val="16"/>
          <w:szCs w:val="16"/>
          <w:u w:val="single" w:color="auto"/>
          <w:color w:val="0000FF"/>
        </w:rPr>
        <w:t xml:space="preserve">then the Administrative Agent shall give written notice thereof to Crown Holdings and the Lenders as promptly as practicable thereafter and, until the Administrative </w:t>
      </w:r>
      <w:r>
        <w:rPr>
          <w:rFonts w:ascii="Arial" w:cs="Arial" w:eastAsia="Arial" w:hAnsi="Arial"/>
          <w:sz w:val="16"/>
          <w:szCs w:val="16"/>
          <w:u w:val="single" w:color="auto"/>
          <w:color w:val="008000"/>
        </w:rPr>
        <w:t>Agent notifies Crown Holdings and the Lenders that the circumstances giving rise to such notice</w:t>
      </w:r>
      <w:r>
        <w:rPr>
          <w:rFonts w:ascii="Arial" w:cs="Arial" w:eastAsia="Arial" w:hAnsi="Arial"/>
          <w:sz w:val="16"/>
          <w:szCs w:val="16"/>
          <w:u w:val="single" w:color="auto"/>
          <w:color w:val="0000FF"/>
        </w:rPr>
        <w:t xml:space="preserve"> no longer exist, (x) any Notice of Conversion or Continuation that requests the conversion of any Loan to, or continuation of any Loan as, a Eurocurrency Loan or SOFR Loan in the Eurocurrency Rate or Adjusted Term SOFR (as applicable) that is unavailable because the conditions described in clauses (i)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-401320</wp:posOffset>
            </wp:positionV>
            <wp:extent cx="644652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-264160</wp:posOffset>
            </wp:positionV>
            <wp:extent cx="661797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664337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ind w:left="4" w:hanging="4"/>
        <w:spacing w:after="0" w:line="290" w:lineRule="auto"/>
        <w:tabs>
          <w:tab w:leader="none" w:pos="268" w:val="left"/>
        </w:tabs>
        <w:numPr>
          <w:ilvl w:val="0"/>
          <w:numId w:val="13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above have been satisfied (such unavailable rate, the “Unavailable Rate”), shall be ineffective, and (y) if any Notice of Borrowing requests a Eurocurrency Loan, SOFR Loan or an Daily Simple RFR Loan with an Unavailable Rate, (1) if such Notice of Borrowing is for a Loan in Dollars or if an alternative rate of interest is not in effect pursuant to clause (2) below, then notwithstanding anything to the contrary in this Agreement, the applicable Borrower may cancel such Loan or such Loan shall be made as a Base Rate Loan in Dollars or (2) if such Notice of Borrowing is for an Alternative Currency Loan, then notwithstanding anything to the contrary in this Agreement, the applicable Borrower may cancel such Loan or the Administrative Agent may, in consultation with Crown Holdings , propose to Crown Holdings in writing an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-837565</wp:posOffset>
            </wp:positionV>
            <wp:extent cx="644652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-700405</wp:posOffset>
            </wp:positionV>
            <wp:extent cx="658368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-563245</wp:posOffset>
            </wp:positionV>
            <wp:extent cx="667766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-426085</wp:posOffset>
            </wp:positionV>
            <wp:extent cx="671195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wp:posOffset>
            </wp:positionV>
            <wp:extent cx="670369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-151765</wp:posOffset>
            </wp:positionV>
            <wp:extent cx="65493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559752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7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64"/>
          </w:cols>
          <w:pgMar w:left="876" w:top="274" w:right="459" w:bottom="1440" w:gutter="0" w:footer="0" w:header="0"/>
        </w:sectPr>
      </w:pPr>
    </w:p>
    <w:bookmarkStart w:id="267" w:name="page268"/>
    <w:bookmarkEnd w:id="267"/>
    <w:p>
      <w:pPr>
        <w:ind w:left="440"/>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rate for the affected Loan that, if accepted by Crown Holdings in a writing delivered to the Administrative Agent within 1 Business Day of Crown Holdings’ receipt of such written proposal, shall apply with respect to the affected Loan until (A) the Administrative Agent notifies Crown Holdings and the Lenders that the circumstances giving rise to the notice described above no longer exist, (B) the Administrative Agent is advised by the applicable Majority Lenders that such alternative interest rate </w:t>
      </w:r>
      <w:r>
        <w:rPr>
          <w:rFonts w:ascii="Arial" w:cs="Arial" w:eastAsia="Arial" w:hAnsi="Arial"/>
          <w:sz w:val="17"/>
          <w:szCs w:val="17"/>
          <w:u w:val="single" w:color="auto"/>
          <w:color w:val="008000"/>
        </w:rPr>
        <w:t>does not adequately and fairly reflect the cost to</w:t>
      </w:r>
      <w:r>
        <w:rPr>
          <w:rFonts w:ascii="Arial" w:cs="Arial" w:eastAsia="Arial" w:hAnsi="Arial"/>
          <w:sz w:val="17"/>
          <w:szCs w:val="17"/>
          <w:u w:val="single" w:color="auto"/>
          <w:color w:val="0000FF"/>
        </w:rPr>
        <w:t xml:space="preserve"> such Lenders of making or maintaining their Loans included in the affected Borrowing or (C) solely with respect to such Borrowing such Lender determines that any law or regulation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Crown Holdings written notice thereof; provided that, notwithstanding the foregoing, all Eurocurrency Rates, Adjusted Term SOFR and Daily Simple RFR (other than any then applicable Unavailable Rates) shall remain available for Borrowings until such rate shall be an Unavailable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-1374775</wp:posOffset>
            </wp:positionV>
            <wp:extent cx="670369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-1237615</wp:posOffset>
            </wp:positionV>
            <wp:extent cx="667766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-1100455</wp:posOffset>
            </wp:positionV>
            <wp:extent cx="667766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-963295</wp:posOffset>
            </wp:positionV>
            <wp:extent cx="659193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-826135</wp:posOffset>
            </wp:positionV>
            <wp:extent cx="660908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-688975</wp:posOffset>
            </wp:positionV>
            <wp:extent cx="646366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-551815</wp:posOffset>
            </wp:positionV>
            <wp:extent cx="644652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-414655</wp:posOffset>
            </wp:positionV>
            <wp:extent cx="660908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-277495</wp:posOffset>
            </wp:positionV>
            <wp:extent cx="667766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-140335</wp:posOffset>
            </wp:positionV>
            <wp:extent cx="656653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258000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4" w:lineRule="exact"/>
        <w:rPr>
          <w:sz w:val="20"/>
          <w:szCs w:val="20"/>
          <w:color w:val="auto"/>
        </w:rPr>
      </w:pPr>
    </w:p>
    <w:p>
      <w:pPr>
        <w:ind w:firstLine="436"/>
        <w:spacing w:after="0" w:line="268" w:lineRule="auto"/>
        <w:tabs>
          <w:tab w:leader="none" w:pos="685" w:val="left"/>
        </w:tabs>
        <w:numPr>
          <w:ilvl w:val="0"/>
          <w:numId w:val="13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Illegality. Subject to Section 3.8, if any Lender shall provide written notice to the Administrative Agent and Crown Holdings that any Change in Law since</w:t>
      </w:r>
      <w:r>
        <w:rPr>
          <w:rFonts w:ascii="Arial" w:cs="Arial" w:eastAsia="Arial" w:hAnsi="Arial"/>
          <w:sz w:val="17"/>
          <w:szCs w:val="17"/>
          <w:color w:val="0000FF"/>
        </w:rPr>
        <w:t xml:space="preserve"> </w:t>
      </w:r>
      <w:r>
        <w:rPr>
          <w:rFonts w:ascii="Arial" w:cs="Arial" w:eastAsia="Arial" w:hAnsi="Arial"/>
          <w:sz w:val="17"/>
          <w:szCs w:val="17"/>
          <w:color w:val="008000"/>
        </w:rPr>
        <w:t>the date of this Agreement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makes it unlawful, or any central bank or other Governmental Authority asserts that it is unlawful, for such</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 xml:space="preserve">Lender or its applicable lending office to make SOFR Loans, Eurocurrency Loans or Daily Simple RFR Loans or to fund or maintain SOFR Loans, Eurocurrency Loans or RFR Loans hereunder (i) with respect to Loans denominated in Dollars (A) upon receipt of such notification, the Borrowers may revoke any pending request for a Borrowing of, conversion to or continuation of SOFR Loans, (B) each SOFR Loan of such Lender will automatically be converted to Base Rate Loans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SOFR Loans or to convert Loans into SOFR Loans shall be suspended until the Administrative Agent or such Lender shall notify Crown Holdings that the circumstances causing such suspension no longer exist and (ii) with respect to Loans </w:t>
      </w:r>
      <w:r>
        <w:rPr>
          <w:rFonts w:ascii="Arial" w:cs="Arial" w:eastAsia="Arial" w:hAnsi="Arial"/>
          <w:sz w:val="17"/>
          <w:szCs w:val="17"/>
          <w:u w:val="single" w:color="auto"/>
          <w:color w:val="008000"/>
        </w:rPr>
        <w:t>denominated in an</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Alternative Currency</w:t>
      </w:r>
      <w:r>
        <w:rPr>
          <w:rFonts w:ascii="Arial" w:cs="Arial" w:eastAsia="Arial" w:hAnsi="Arial"/>
          <w:sz w:val="17"/>
          <w:szCs w:val="17"/>
          <w:u w:val="single" w:color="auto"/>
          <w:color w:val="0000FF"/>
        </w:rPr>
        <w:t>, (A) upon receipt of such notification, the Borrowers may revoke any pending request for a Borrowing of, conversion to or</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continuation of Eurocurrency Loans, B/A Equivalent Loans and Daily Simple RFR Loans, (B) each Eurocurrency Loan of such Lender, B/A Equivalent Loan or RFR Loan (as applicable) will automatically be converted to a Daily Rate Loan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Eurocurrency Loans or RFR Loans (as applicable) or to convert Loans into Eurocurrency Loans shall be suspended until the Administrative Agent or such Lender shall notify Crown Holdings that the circumstances causing such suspension no longer exist.</w:t>
      </w:r>
    </w:p>
    <w:p>
      <w:pPr>
        <w:spacing w:after="0" w:line="71" w:lineRule="exact"/>
        <w:rPr>
          <w:rFonts w:ascii="Arial" w:cs="Arial" w:eastAsia="Arial" w:hAnsi="Arial"/>
          <w:sz w:val="17"/>
          <w:szCs w:val="17"/>
          <w:u w:val="single" w:color="auto"/>
          <w:color w:val="0000FF"/>
        </w:rPr>
      </w:pPr>
    </w:p>
    <w:p>
      <w:pPr>
        <w:ind w:right="80" w:firstLine="436"/>
        <w:spacing w:after="0" w:line="253" w:lineRule="auto"/>
        <w:tabs>
          <w:tab w:leader="none" w:pos="695" w:val="left"/>
        </w:tabs>
        <w:numPr>
          <w:ilvl w:val="0"/>
          <w:numId w:val="136"/>
        </w:numPr>
        <w:rPr>
          <w:rFonts w:ascii="Arial" w:cs="Arial" w:eastAsia="Arial" w:hAnsi="Arial"/>
          <w:sz w:val="18"/>
          <w:szCs w:val="18"/>
          <w:u w:val="single" w:color="auto"/>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Capital Requirements</w:t>
      </w:r>
      <w:r>
        <w:rPr>
          <w:rFonts w:ascii="Arial" w:cs="Arial" w:eastAsia="Arial" w:hAnsi="Arial"/>
          <w:sz w:val="18"/>
          <w:szCs w:val="18"/>
          <w:color w:val="000000"/>
        </w:rPr>
        <w:t>. Without duplication of</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3.6(a)</w:t>
      </w:r>
      <w:r>
        <w:rPr>
          <w:rFonts w:ascii="Arial" w:cs="Arial" w:eastAsia="Arial" w:hAnsi="Arial"/>
          <w:sz w:val="18"/>
          <w:szCs w:val="18"/>
          <w:color w:val="000000"/>
        </w:rPr>
        <w:t>, if any Lender determines that any Change in Law concerning capital</w:t>
      </w:r>
      <w:r>
        <w:rPr>
          <w:rFonts w:ascii="Arial" w:cs="Arial" w:eastAsia="Arial" w:hAnsi="Arial"/>
          <w:sz w:val="18"/>
          <w:szCs w:val="18"/>
          <w:color w:val="FF0000"/>
        </w:rPr>
        <w:t xml:space="preserve"> </w:t>
      </w:r>
      <w:r>
        <w:rPr>
          <w:rFonts w:ascii="Arial" w:cs="Arial" w:eastAsia="Arial" w:hAnsi="Arial"/>
          <w:sz w:val="18"/>
          <w:szCs w:val="18"/>
          <w:color w:val="000000"/>
        </w:rPr>
        <w:t xml:space="preserve">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-3354705</wp:posOffset>
            </wp:positionV>
            <wp:extent cx="662622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-3251835</wp:posOffset>
            </wp:positionV>
            <wp:extent cx="6737985" cy="4318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73798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-3080385</wp:posOffset>
            </wp:positionV>
            <wp:extent cx="673798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-2943225</wp:posOffset>
            </wp:positionV>
            <wp:extent cx="696912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-2806065</wp:posOffset>
            </wp:positionV>
            <wp:extent cx="68922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-2668905</wp:posOffset>
            </wp:positionV>
            <wp:extent cx="679767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-2531745</wp:posOffset>
            </wp:positionV>
            <wp:extent cx="685800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-2394585</wp:posOffset>
            </wp:positionV>
            <wp:extent cx="670369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-2257425</wp:posOffset>
            </wp:positionV>
            <wp:extent cx="679767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-2120265</wp:posOffset>
            </wp:positionV>
            <wp:extent cx="660908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-1983105</wp:posOffset>
            </wp:positionV>
            <wp:extent cx="695198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-1845945</wp:posOffset>
            </wp:positionV>
            <wp:extent cx="690943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-1708785</wp:posOffset>
            </wp:positionV>
            <wp:extent cx="698627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-1571625</wp:posOffset>
            </wp:positionV>
            <wp:extent cx="686625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-1434465</wp:posOffset>
            </wp:positionV>
            <wp:extent cx="684911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-1297305</wp:posOffset>
            </wp:positionV>
            <wp:extent cx="185166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-1091565</wp:posOffset>
            </wp:positionV>
            <wp:extent cx="15430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268" w:name="page269"/>
    <w:bookmarkEnd w:id="268"/>
    <w:p>
      <w:pPr>
        <w:ind w:right="40" w:firstLine="436"/>
        <w:spacing w:after="0" w:line="286" w:lineRule="auto"/>
        <w:tabs>
          <w:tab w:leader="none" w:pos="685" w:val="left"/>
        </w:tabs>
        <w:numPr>
          <w:ilvl w:val="0"/>
          <w:numId w:val="137"/>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Certificates for Reimbursement</w:t>
      </w:r>
      <w:r>
        <w:rPr>
          <w:rFonts w:ascii="Arial" w:cs="Arial" w:eastAsia="Arial" w:hAnsi="Arial"/>
          <w:sz w:val="16"/>
          <w:szCs w:val="16"/>
          <w:color w:val="000000"/>
        </w:rPr>
        <w:t>. Each Lender, upon determining that any additional amounts will be payable pursuant to this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3.6</w:t>
      </w:r>
      <w:r>
        <w:rPr>
          <w:rFonts w:ascii="Arial" w:cs="Arial" w:eastAsia="Arial" w:hAnsi="Arial"/>
          <w:sz w:val="16"/>
          <w:szCs w:val="16"/>
          <w:color w:val="FF0000"/>
        </w:rPr>
        <w:t xml:space="preserve"> </w:t>
      </w:r>
      <w:r>
        <w:rPr>
          <w:rFonts w:ascii="Arial" w:cs="Arial" w:eastAsia="Arial" w:hAnsi="Arial"/>
          <w:sz w:val="16"/>
          <w:szCs w:val="16"/>
          <w:color w:val="000000"/>
        </w:rPr>
        <w:t xml:space="preserve">(other than </w:t>
      </w:r>
      <w:r>
        <w:rPr>
          <w:rFonts w:ascii="Arial" w:cs="Arial" w:eastAsia="Arial" w:hAnsi="Arial"/>
          <w:sz w:val="16"/>
          <w:szCs w:val="16"/>
          <w:u w:val="single" w:color="auto"/>
          <w:color w:val="000000"/>
        </w:rPr>
        <w:t>Section 3.6(a)(i))</w:t>
      </w:r>
      <w:r>
        <w:rPr>
          <w:rFonts w:ascii="Arial" w:cs="Arial" w:eastAsia="Arial" w:hAnsi="Arial"/>
          <w:sz w:val="16"/>
          <w:szCs w:val="16"/>
          <w:color w:val="000000"/>
        </w:rPr>
        <w:t xml:space="preserve">, will give prompt written notice thereof to Crown Holdings and Administrative Agent (which notice Administrative Agent 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xml:space="preserve"> for periods occurring prior to the 135th day before the giving of such notice) shall not release or diminish any of any Borrower’s obligations to pay additional amounts pursuant to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Such determination shall, absent manifest error, be final and conclusive and binding on all parties hereto. It is understood and agreed that this paragraph (d) shall not require any Lender to disclose any confidential or price sensitive information or any information, the disclosure of which, would be prohibited by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-1654175</wp:posOffset>
            </wp:positionV>
            <wp:extent cx="15430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Mitigation Obligations; Replacement of Affected Lenders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6" w:lineRule="auto"/>
        <w:tabs>
          <w:tab w:leader="none" w:pos="68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Change of Lending Office</w:t>
      </w:r>
      <w:r>
        <w:rPr>
          <w:rFonts w:ascii="Arial" w:cs="Arial" w:eastAsia="Arial" w:hAnsi="Arial"/>
          <w:sz w:val="16"/>
          <w:szCs w:val="16"/>
          <w:color w:val="auto"/>
        </w:rPr>
        <w:t xml:space="preserve">. </w:t>
      </w:r>
      <w:r>
        <w:rPr>
          <w:rFonts w:ascii="Arial" w:cs="Arial" w:eastAsia="Arial" w:hAnsi="Arial"/>
          <w:sz w:val="16"/>
          <w:szCs w:val="16"/>
          <w:color w:val="FF0000"/>
          <w:strike w:val="1"/>
        </w:rPr>
        <w:t>Each</w:t>
      </w:r>
      <w:r>
        <w:rPr>
          <w:rFonts w:ascii="Arial" w:cs="Arial" w:eastAsia="Arial" w:hAnsi="Arial"/>
          <w:sz w:val="16"/>
          <w:szCs w:val="16"/>
          <w:u w:val="single" w:color="auto"/>
          <w:color w:val="0000FF"/>
        </w:rPr>
        <w:t>If any</w:t>
      </w:r>
      <w:r>
        <w:rPr>
          <w:rFonts w:ascii="Arial" w:cs="Arial" w:eastAsia="Arial" w:hAnsi="Arial"/>
          <w:sz w:val="16"/>
          <w:szCs w:val="16"/>
          <w:color w:val="auto"/>
        </w:rPr>
        <w:t xml:space="preserve"> Lender </w:t>
      </w:r>
      <w:r>
        <w:rPr>
          <w:rFonts w:ascii="Arial" w:cs="Arial" w:eastAsia="Arial" w:hAnsi="Arial"/>
          <w:sz w:val="16"/>
          <w:szCs w:val="16"/>
          <w:color w:val="FF0000"/>
          <w:strike w:val="1"/>
        </w:rPr>
        <w:t>which</w:t>
      </w:r>
      <w:r>
        <w:rPr>
          <w:rFonts w:ascii="Arial" w:cs="Arial" w:eastAsia="Arial" w:hAnsi="Arial"/>
          <w:sz w:val="16"/>
          <w:szCs w:val="16"/>
          <w:u w:val="single" w:color="auto"/>
          <w:color w:val="0000FF"/>
        </w:rPr>
        <w:t>or Facing Agent</w:t>
      </w:r>
      <w:r>
        <w:rPr>
          <w:rFonts w:ascii="Arial" w:cs="Arial" w:eastAsia="Arial" w:hAnsi="Arial"/>
          <w:sz w:val="16"/>
          <w:szCs w:val="16"/>
          <w:color w:val="auto"/>
        </w:rPr>
        <w:t xml:space="preserve"> is or will be owed compensation pursuant to </w:t>
      </w:r>
      <w:r>
        <w:rPr>
          <w:rFonts w:ascii="Arial" w:cs="Arial" w:eastAsia="Arial" w:hAnsi="Arial"/>
          <w:sz w:val="16"/>
          <w:szCs w:val="16"/>
          <w:u w:val="single" w:color="auto"/>
          <w:color w:val="auto"/>
        </w:rPr>
        <w:t>Section 3.6</w:t>
      </w:r>
      <w:r>
        <w:rPr>
          <w:rFonts w:ascii="Arial" w:cs="Arial" w:eastAsia="Arial" w:hAnsi="Arial"/>
          <w:sz w:val="16"/>
          <w:szCs w:val="16"/>
          <w:color w:val="FF0000"/>
          <w:strike w:val="1"/>
        </w:rPr>
        <w:t>(a) or (c) or</w:t>
      </w:r>
      <w:r>
        <w:rPr>
          <w:rFonts w:ascii="Arial" w:cs="Arial" w:eastAsia="Arial" w:hAnsi="Arial"/>
          <w:sz w:val="16"/>
          <w:szCs w:val="16"/>
          <w:u w:val="single" w:color="auto"/>
          <w:color w:val="0000FF"/>
        </w:rPr>
        <w:t>, 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ceases to make, fund or maintain Eurocurrency Loans, SOFR Loans or Daily Simple RFR Loans, or to convert Loans into Eurocurrency Loans or SOFR Loans, as a result of any condition described in Section 3.6, or if any Borrower is required to pay any additional amount to any Lender, Facing Agent or any Governmental Authority for the account of any Lender or Facing Agent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4.7</w:t>
      </w:r>
      <w:r>
        <w:rPr>
          <w:rFonts w:ascii="Arial" w:cs="Arial" w:eastAsia="Arial" w:hAnsi="Arial"/>
          <w:sz w:val="16"/>
          <w:szCs w:val="16"/>
          <w:color w:val="FF0000"/>
          <w:strike w:val="1"/>
        </w:rPr>
        <w:t>(a) or (c)</w:t>
      </w:r>
      <w:r>
        <w:rPr>
          <w:rFonts w:ascii="Arial" w:cs="Arial" w:eastAsia="Arial" w:hAnsi="Arial"/>
          <w:sz w:val="16"/>
          <w:szCs w:val="16"/>
          <w:u w:val="single" w:color="auto"/>
          <w:color w:val="0000FF"/>
        </w:rPr>
        <w:t>, then such Lender or Facing Agent</w:t>
      </w:r>
      <w:r>
        <w:rPr>
          <w:rFonts w:ascii="Arial" w:cs="Arial" w:eastAsia="Arial" w:hAnsi="Arial"/>
          <w:sz w:val="16"/>
          <w:szCs w:val="16"/>
          <w:color w:val="0000FF"/>
        </w:rPr>
        <w:t xml:space="preserve"> </w:t>
      </w:r>
      <w:r>
        <w:rPr>
          <w:rFonts w:ascii="Arial" w:cs="Arial" w:eastAsia="Arial" w:hAnsi="Arial"/>
          <w:sz w:val="16"/>
          <w:szCs w:val="16"/>
          <w:color w:val="000000"/>
        </w:rPr>
        <w:t>will use</w:t>
      </w:r>
      <w:r>
        <w:rPr>
          <w:rFonts w:ascii="Arial" w:cs="Arial" w:eastAsia="Arial" w:hAnsi="Arial"/>
          <w:sz w:val="16"/>
          <w:szCs w:val="16"/>
          <w:color w:val="0000FF"/>
        </w:rPr>
        <w:t xml:space="preserve"> </w:t>
      </w:r>
      <w:r>
        <w:rPr>
          <w:rFonts w:ascii="Arial" w:cs="Arial" w:eastAsia="Arial" w:hAnsi="Arial"/>
          <w:sz w:val="16"/>
          <w:szCs w:val="16"/>
          <w:color w:val="000000"/>
        </w:rPr>
        <w:t xml:space="preserve">reasonable efforts (subject to overall policy considerations of such Lender </w:t>
      </w:r>
      <w:r>
        <w:rPr>
          <w:rFonts w:ascii="Arial" w:cs="Arial" w:eastAsia="Arial" w:hAnsi="Arial"/>
          <w:sz w:val="16"/>
          <w:szCs w:val="16"/>
          <w:color w:val="0000FF"/>
        </w:rPr>
        <w:t>or Facing Agent</w:t>
      </w:r>
      <w:r>
        <w:rPr>
          <w:rFonts w:ascii="Arial" w:cs="Arial" w:eastAsia="Arial" w:hAnsi="Arial"/>
          <w:sz w:val="16"/>
          <w:szCs w:val="16"/>
          <w:color w:val="000000"/>
        </w:rPr>
        <w:t xml:space="preserve">) to cause a different branch or Affiliate to make or continue a Loan or Letter of Credit or to assign its rights and obligations hereunder to another of its branches or Affiliates if in the judgment of such Lender </w:t>
      </w:r>
      <w:r>
        <w:rPr>
          <w:rFonts w:ascii="Arial" w:cs="Arial" w:eastAsia="Arial" w:hAnsi="Arial"/>
          <w:sz w:val="16"/>
          <w:szCs w:val="16"/>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Facing Agent</w:t>
      </w:r>
      <w:r>
        <w:rPr>
          <w:rFonts w:ascii="Arial" w:cs="Arial" w:eastAsia="Arial" w:hAnsi="Arial"/>
          <w:sz w:val="16"/>
          <w:szCs w:val="16"/>
          <w:color w:val="0000FF"/>
        </w:rPr>
        <w:t xml:space="preserve"> </w:t>
      </w:r>
      <w:r>
        <w:rPr>
          <w:rFonts w:ascii="Arial" w:cs="Arial" w:eastAsia="Arial" w:hAnsi="Arial"/>
          <w:sz w:val="16"/>
          <w:szCs w:val="16"/>
          <w:color w:val="000000"/>
        </w:rPr>
        <w:t>such designation or assignment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w:t>
      </w:r>
      <w:r>
        <w:rPr>
          <w:rFonts w:ascii="Arial" w:cs="Arial" w:eastAsia="Arial" w:hAnsi="Arial"/>
          <w:sz w:val="16"/>
          <w:szCs w:val="16"/>
          <w:color w:val="0000FF"/>
        </w:rPr>
        <w:t xml:space="preserve"> </w:t>
      </w:r>
      <w:r>
        <w:rPr>
          <w:rFonts w:ascii="Arial" w:cs="Arial" w:eastAsia="Arial" w:hAnsi="Arial"/>
          <w:sz w:val="16"/>
          <w:szCs w:val="16"/>
          <w:color w:val="000000"/>
        </w:rPr>
        <w:t>will avoid the need for, or reduce the amount of, such compensation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payment</w:t>
      </w:r>
      <w:r>
        <w:rPr>
          <w:rFonts w:ascii="Arial" w:cs="Arial" w:eastAsia="Arial" w:hAnsi="Arial"/>
          <w:sz w:val="16"/>
          <w:szCs w:val="16"/>
          <w:color w:val="0000FF"/>
        </w:rPr>
        <w:t xml:space="preserve"> </w:t>
      </w:r>
      <w:r>
        <w:rPr>
          <w:rFonts w:ascii="Arial" w:cs="Arial" w:eastAsia="Arial" w:hAnsi="Arial"/>
          <w:sz w:val="16"/>
          <w:szCs w:val="16"/>
          <w:color w:val="000000"/>
        </w:rPr>
        <w:t>to such Lender</w:t>
      </w:r>
      <w:r>
        <w:rPr>
          <w:rFonts w:ascii="Arial" w:cs="Arial" w:eastAsia="Arial" w:hAnsi="Arial"/>
          <w:sz w:val="16"/>
          <w:szCs w:val="16"/>
          <w:color w:val="0000FF"/>
        </w:rPr>
        <w:t xml:space="preserve">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Facing Agent or Governmental Authority, (ii) would permit such Lender to continue to make, fund, and maintain Eurocurrency Loans, SOFR Loans or Daily Simple RFR Loans and to convert Loans into Eurocurrency Loans or SOFR Loans, and (iii)</w:t>
      </w:r>
      <w:r>
        <w:rPr>
          <w:rFonts w:ascii="Arial" w:cs="Arial" w:eastAsia="Arial" w:hAnsi="Arial"/>
          <w:sz w:val="16"/>
          <w:szCs w:val="16"/>
          <w:color w:val="0000FF"/>
        </w:rPr>
        <w:t xml:space="preserve"> </w:t>
      </w:r>
      <w:r>
        <w:rPr>
          <w:rFonts w:ascii="Arial" w:cs="Arial" w:eastAsia="Arial" w:hAnsi="Arial"/>
          <w:sz w:val="16"/>
          <w:szCs w:val="16"/>
          <w:color w:val="000000"/>
        </w:rPr>
        <w:t>will not, in the judgment of such Lender</w:t>
      </w:r>
      <w:r>
        <w:rPr>
          <w:rFonts w:ascii="Arial" w:cs="Arial" w:eastAsia="Arial" w:hAnsi="Arial"/>
          <w:sz w:val="16"/>
          <w:szCs w:val="16"/>
          <w:color w:val="0000FF"/>
        </w:rPr>
        <w:t xml:space="preserve"> or Facing </w:t>
      </w:r>
      <w:r>
        <w:rPr>
          <w:rFonts w:ascii="Arial" w:cs="Arial" w:eastAsia="Arial" w:hAnsi="Arial"/>
          <w:sz w:val="16"/>
          <w:szCs w:val="16"/>
          <w:u w:val="single" w:color="auto"/>
          <w:color w:val="0000FF"/>
        </w:rPr>
        <w:t>Agent</w:t>
      </w:r>
      <w:r>
        <w:rPr>
          <w:rFonts w:ascii="Arial" w:cs="Arial" w:eastAsia="Arial" w:hAnsi="Arial"/>
          <w:sz w:val="16"/>
          <w:szCs w:val="16"/>
          <w:color w:val="000000"/>
        </w:rPr>
        <w:t>, be otherwise disadvantageous in any significant respect to such Lender</w:t>
      </w:r>
      <w:r>
        <w:rPr>
          <w:rFonts w:ascii="Arial" w:cs="Arial" w:eastAsia="Arial" w:hAnsi="Arial"/>
          <w:sz w:val="16"/>
          <w:szCs w:val="16"/>
          <w:color w:val="FF0000"/>
          <w:strike w:val="1"/>
        </w:rPr>
        <w:t>. Crown Holdings</w:t>
      </w:r>
      <w:r>
        <w:rPr>
          <w:rFonts w:ascii="Arial" w:cs="Arial" w:eastAsia="Arial" w:hAnsi="Arial"/>
          <w:sz w:val="16"/>
          <w:szCs w:val="16"/>
          <w:color w:val="0000FF"/>
        </w:rPr>
        <w:t xml:space="preserve"> or Facing Agent. The applicable Borrower </w:t>
      </w:r>
      <w:r>
        <w:rPr>
          <w:rFonts w:ascii="Arial" w:cs="Arial" w:eastAsia="Arial" w:hAnsi="Arial"/>
          <w:sz w:val="16"/>
          <w:szCs w:val="16"/>
          <w:color w:val="000000"/>
        </w:rPr>
        <w:t>hereby</w:t>
      </w:r>
      <w:r>
        <w:rPr>
          <w:rFonts w:ascii="Arial" w:cs="Arial" w:eastAsia="Arial" w:hAnsi="Arial"/>
          <w:sz w:val="16"/>
          <w:szCs w:val="16"/>
          <w:color w:val="0000FF"/>
        </w:rPr>
        <w:t xml:space="preserve"> </w:t>
      </w:r>
      <w:r>
        <w:rPr>
          <w:rFonts w:ascii="Arial" w:cs="Arial" w:eastAsia="Arial" w:hAnsi="Arial"/>
          <w:sz w:val="16"/>
          <w:szCs w:val="16"/>
          <w:color w:val="000000"/>
        </w:rPr>
        <w:t>agrees to pay</w:t>
      </w:r>
      <w:r>
        <w:rPr>
          <w:rFonts w:ascii="Arial" w:cs="Arial" w:eastAsia="Arial" w:hAnsi="Arial"/>
          <w:sz w:val="16"/>
          <w:szCs w:val="16"/>
          <w:color w:val="FF0000"/>
          <w:strike w:val="1"/>
        </w:rPr>
        <w:t>, or to cause the applicable Borrower to pay,</w:t>
      </w:r>
      <w:r>
        <w:rPr>
          <w:rFonts w:ascii="Arial" w:cs="Arial" w:eastAsia="Arial" w:hAnsi="Arial"/>
          <w:sz w:val="16"/>
          <w:szCs w:val="16"/>
          <w:color w:val="000000"/>
        </w:rPr>
        <w:t xml:space="preserve"> all reasonable </w:t>
      </w:r>
      <w:r>
        <w:rPr>
          <w:rFonts w:ascii="Arial" w:cs="Arial" w:eastAsia="Arial" w:hAnsi="Arial"/>
          <w:sz w:val="16"/>
          <w:szCs w:val="16"/>
          <w:color w:val="FF0000"/>
          <w:strike w:val="1"/>
        </w:rPr>
        <w:t>costs</w:t>
      </w:r>
      <w:r>
        <w:rPr>
          <w:rFonts w:ascii="Arial" w:cs="Arial" w:eastAsia="Arial" w:hAnsi="Arial"/>
          <w:sz w:val="16"/>
          <w:szCs w:val="16"/>
          <w:color w:val="000000"/>
        </w:rPr>
        <w:t xml:space="preserve"> and </w:t>
      </w:r>
      <w:r>
        <w:rPr>
          <w:rFonts w:ascii="Arial" w:cs="Arial" w:eastAsia="Arial" w:hAnsi="Arial"/>
          <w:sz w:val="16"/>
          <w:szCs w:val="16"/>
          <w:u w:val="single" w:color="auto"/>
          <w:color w:val="0000FF"/>
        </w:rPr>
        <w:t>documented</w:t>
      </w:r>
      <w:r>
        <w:rPr>
          <w:rFonts w:ascii="Arial" w:cs="Arial" w:eastAsia="Arial" w:hAnsi="Arial"/>
          <w:sz w:val="16"/>
          <w:szCs w:val="16"/>
          <w:color w:val="000000"/>
        </w:rPr>
        <w:t xml:space="preserve"> expenses incurred by any Lender </w:t>
      </w:r>
      <w:r>
        <w:rPr>
          <w:rFonts w:ascii="Arial" w:cs="Arial" w:eastAsia="Arial" w:hAnsi="Arial"/>
          <w:sz w:val="16"/>
          <w:szCs w:val="16"/>
          <w:color w:val="FF0000"/>
          <w:strike w:val="1"/>
        </w:rPr>
        <w:t>in connection with such</w:t>
      </w:r>
      <w:r>
        <w:rPr>
          <w:rFonts w:ascii="Arial" w:cs="Arial" w:eastAsia="Arial" w:hAnsi="Arial"/>
          <w:sz w:val="16"/>
          <w:szCs w:val="16"/>
          <w:color w:val="000000"/>
        </w:rPr>
        <w:t xml:space="preserve"> </w:t>
      </w:r>
      <w:r>
        <w:rPr>
          <w:rFonts w:ascii="Arial" w:cs="Arial" w:eastAsia="Arial" w:hAnsi="Arial"/>
          <w:sz w:val="16"/>
          <w:szCs w:val="16"/>
          <w:color w:val="FF0000"/>
          <w:strike w:val="1"/>
        </w:rPr>
        <w:t>designation or assignment</w:t>
      </w:r>
      <w:r>
        <w:rPr>
          <w:rFonts w:ascii="Arial" w:cs="Arial" w:eastAsia="Arial" w:hAnsi="Arial"/>
          <w:sz w:val="16"/>
          <w:szCs w:val="16"/>
          <w:u w:val="single" w:color="auto"/>
          <w:color w:val="0000FF"/>
        </w:rPr>
        <w:t>or Facing Agent in utilizing a different branch or Affiliate pursuant to this Section 3.7(a)</w:t>
      </w:r>
      <w:r>
        <w:rPr>
          <w:rFonts w:ascii="Arial" w:cs="Arial" w:eastAsia="Arial" w:hAnsi="Arial"/>
          <w:sz w:val="16"/>
          <w:szCs w:val="16"/>
          <w:color w:val="000000"/>
        </w:rPr>
        <w:t>. Nothing in this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3.7(a)</w:t>
      </w:r>
      <w:r>
        <w:rPr>
          <w:rFonts w:ascii="Arial" w:cs="Arial" w:eastAsia="Arial" w:hAnsi="Arial"/>
          <w:sz w:val="16"/>
          <w:szCs w:val="16"/>
          <w:color w:val="FF0000"/>
        </w:rPr>
        <w:t xml:space="preserve"> </w:t>
      </w:r>
      <w:r>
        <w:rPr>
          <w:rFonts w:ascii="Arial" w:cs="Arial" w:eastAsia="Arial" w:hAnsi="Arial"/>
          <w:sz w:val="16"/>
          <w:szCs w:val="16"/>
          <w:color w:val="000000"/>
        </w:rPr>
        <w:t>shall</w:t>
      </w:r>
      <w:r>
        <w:rPr>
          <w:rFonts w:ascii="Arial" w:cs="Arial" w:eastAsia="Arial" w:hAnsi="Arial"/>
          <w:sz w:val="16"/>
          <w:szCs w:val="16"/>
          <w:color w:val="FF0000"/>
        </w:rPr>
        <w:t xml:space="preserve"> </w:t>
      </w:r>
      <w:r>
        <w:rPr>
          <w:rFonts w:ascii="Arial" w:cs="Arial" w:eastAsia="Arial" w:hAnsi="Arial"/>
          <w:sz w:val="16"/>
          <w:szCs w:val="16"/>
          <w:color w:val="000000"/>
        </w:rPr>
        <w:t xml:space="preserve">affect or postpone any of the obligations of </w:t>
      </w:r>
      <w:r>
        <w:rPr>
          <w:rFonts w:ascii="Arial" w:cs="Arial" w:eastAsia="Arial" w:hAnsi="Arial"/>
          <w:sz w:val="16"/>
          <w:szCs w:val="16"/>
          <w:color w:val="FF0000"/>
          <w:strike w:val="1"/>
        </w:rPr>
        <w:t>any Borrower</w:t>
      </w:r>
      <w:r>
        <w:rPr>
          <w:rFonts w:ascii="Arial" w:cs="Arial" w:eastAsia="Arial" w:hAnsi="Arial"/>
          <w:sz w:val="16"/>
          <w:szCs w:val="16"/>
          <w:u w:val="single" w:color="auto"/>
          <w:color w:val="0000FF"/>
        </w:rPr>
        <w:t>Borrowers</w:t>
      </w:r>
      <w:r>
        <w:rPr>
          <w:rFonts w:ascii="Arial" w:cs="Arial" w:eastAsia="Arial" w:hAnsi="Arial"/>
          <w:sz w:val="16"/>
          <w:szCs w:val="16"/>
          <w:color w:val="000000"/>
        </w:rPr>
        <w:t xml:space="preserve"> or the right of any Lender </w:t>
      </w:r>
      <w:r>
        <w:rPr>
          <w:rFonts w:ascii="Arial" w:cs="Arial" w:eastAsia="Arial" w:hAnsi="Arial"/>
          <w:sz w:val="16"/>
          <w:szCs w:val="16"/>
          <w:u w:val="single" w:color="auto"/>
          <w:color w:val="0000FF"/>
        </w:rPr>
        <w:t>or Facing Agent</w:t>
      </w:r>
      <w:r>
        <w:rPr>
          <w:rFonts w:ascii="Arial" w:cs="Arial" w:eastAsia="Arial" w:hAnsi="Arial"/>
          <w:sz w:val="16"/>
          <w:szCs w:val="16"/>
          <w:color w:val="000000"/>
        </w:rPr>
        <w:t xml:space="preserve"> provided for herein.</w:t>
      </w:r>
      <w:r>
        <w:rPr>
          <w:rFonts w:ascii="Arial" w:cs="Arial" w:eastAsia="Arial" w:hAnsi="Arial"/>
          <w:sz w:val="16"/>
          <w:szCs w:val="16"/>
          <w:u w:val="single" w:color="auto"/>
          <w:color w:val="0000FF"/>
        </w:rPr>
        <w:t>.</w:t>
      </w:r>
    </w:p>
    <w:p>
      <w:pPr>
        <w:spacing w:after="0" w:line="65" w:lineRule="exact"/>
        <w:rPr>
          <w:rFonts w:ascii="Arial" w:cs="Arial" w:eastAsia="Arial" w:hAnsi="Arial"/>
          <w:sz w:val="16"/>
          <w:szCs w:val="16"/>
          <w:color w:val="auto"/>
        </w:rPr>
      </w:pPr>
    </w:p>
    <w:p>
      <w:pPr>
        <w:ind w:firstLine="436"/>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-2263775</wp:posOffset>
            </wp:positionV>
            <wp:extent cx="26543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-2263775</wp:posOffset>
            </wp:positionV>
            <wp:extent cx="73723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-2263775</wp:posOffset>
            </wp:positionV>
            <wp:extent cx="14541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-2126615</wp:posOffset>
            </wp:positionV>
            <wp:extent cx="6978015"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-1989455</wp:posOffset>
            </wp:positionV>
            <wp:extent cx="694372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-1852295</wp:posOffset>
            </wp:positionV>
            <wp:extent cx="65747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-1715135</wp:posOffset>
            </wp:positionV>
            <wp:extent cx="77152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-1749425</wp:posOffset>
            </wp:positionV>
            <wp:extent cx="770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-1577975</wp:posOffset>
            </wp:positionV>
            <wp:extent cx="9398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-1440815</wp:posOffset>
            </wp:positionV>
            <wp:extent cx="61722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-1440815</wp:posOffset>
            </wp:positionV>
            <wp:extent cx="10287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-1440815</wp:posOffset>
            </wp:positionV>
            <wp:extent cx="51435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-1526540</wp:posOffset>
            </wp:positionV>
            <wp:extent cx="19367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-1440815</wp:posOffset>
            </wp:positionV>
            <wp:extent cx="2540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-1303655</wp:posOffset>
            </wp:positionV>
            <wp:extent cx="690054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-1166495</wp:posOffset>
            </wp:positionV>
            <wp:extent cx="448310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-1166495</wp:posOffset>
            </wp:positionV>
            <wp:extent cx="46291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-1200785</wp:posOffset>
            </wp:positionV>
            <wp:extent cx="46291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-1029335</wp:posOffset>
            </wp:positionV>
            <wp:extent cx="28257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-1029335</wp:posOffset>
            </wp:positionV>
            <wp:extent cx="197167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-1063625</wp:posOffset>
            </wp:positionV>
            <wp:extent cx="197040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970405" cy="8255"/>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-892175</wp:posOffset>
            </wp:positionV>
            <wp:extent cx="56578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-755015</wp:posOffset>
            </wp:positionV>
            <wp:extent cx="404622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-617855</wp:posOffset>
            </wp:positionV>
            <wp:extent cx="48006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-617855</wp:posOffset>
            </wp:positionV>
            <wp:extent cx="73723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-617855</wp:posOffset>
            </wp:positionV>
            <wp:extent cx="254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440" w:top="274" w:right="439" w:bottom="1440" w:gutter="0" w:footer="0" w:header="0"/>
        </w:sectPr>
      </w:pPr>
    </w:p>
    <w:bookmarkStart w:id="269" w:name="page270"/>
    <w:bookmarkEnd w:id="26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 its obligations to make Loans or fund Unpaid Drawings, (y) any Lender is owed increased costs under </w:t>
      </w:r>
      <w:r>
        <w:rPr>
          <w:rFonts w:ascii="Arial" w:cs="Arial" w:eastAsia="Arial" w:hAnsi="Arial"/>
          <w:sz w:val="16"/>
          <w:szCs w:val="16"/>
          <w:u w:val="single" w:color="auto"/>
          <w:color w:val="auto"/>
        </w:rPr>
        <w:t>Section 3.6(a)</w:t>
      </w:r>
      <w:r>
        <w:rPr>
          <w:rFonts w:ascii="Arial" w:cs="Arial" w:eastAsia="Arial" w:hAnsi="Arial"/>
          <w:sz w:val="16"/>
          <w:szCs w:val="16"/>
          <w:color w:val="FF0000"/>
          <w:strike w:val="1"/>
        </w:rPr>
        <w:t>(ii) or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(z) as provided in the last sentence of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12.1(b)</w:t>
      </w:r>
      <w:r>
        <w:rPr>
          <w:rFonts w:ascii="Arial" w:cs="Arial" w:eastAsia="Arial" w:hAnsi="Arial"/>
          <w:sz w:val="16"/>
          <w:szCs w:val="16"/>
          <w:color w:val="auto"/>
        </w:rPr>
        <w:t xml:space="preserve"> any Lender refuses to consent to certain proposed amendments, changes, supplements, waivers, discharges or terminations with respect to this Agreement, Crown Holdings shall have the right to replace such Lender (the “</w:t>
      </w:r>
      <w:r>
        <w:rPr>
          <w:rFonts w:ascii="Arial" w:cs="Arial" w:eastAsia="Arial" w:hAnsi="Arial"/>
          <w:sz w:val="16"/>
          <w:szCs w:val="16"/>
          <w:u w:val="single" w:color="auto"/>
          <w:color w:val="auto"/>
        </w:rPr>
        <w:t>Replaced Lender</w:t>
      </w:r>
      <w:r>
        <w:rPr>
          <w:rFonts w:ascii="Arial" w:cs="Arial" w:eastAsia="Arial" w:hAnsi="Arial"/>
          <w:sz w:val="16"/>
          <w:szCs w:val="16"/>
          <w:color w:val="auto"/>
        </w:rPr>
        <w:t>”) with one or more other Eligible Assignee or Eligible Assignees, none of whom shall constitute a Defaulting Lender at the time of such replacement (collectively, the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reasonably acceptable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replacement made pursuant to clause (y), such replacement will reduce the amount of any compensation payable by the Credit Parties under </w:t>
      </w:r>
      <w:r>
        <w:rPr>
          <w:rFonts w:ascii="Arial" w:cs="Arial" w:eastAsia="Arial" w:hAnsi="Arial"/>
          <w:sz w:val="16"/>
          <w:szCs w:val="16"/>
          <w:u w:val="single" w:color="auto"/>
          <w:color w:val="auto"/>
        </w:rPr>
        <w:t>Section 3.6(a)</w:t>
      </w:r>
      <w:r>
        <w:rPr>
          <w:rFonts w:ascii="Arial" w:cs="Arial" w:eastAsia="Arial" w:hAnsi="Arial"/>
          <w:sz w:val="16"/>
          <w:szCs w:val="16"/>
          <w:color w:val="FF0000"/>
          <w:strike w:val="1"/>
        </w:rPr>
        <w:t>(ii) or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(ii) at the time of any replacement pursuant to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 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Arial" w:cs="Arial" w:eastAsia="Arial" w:hAnsi="Arial"/>
          <w:sz w:val="16"/>
          <w:szCs w:val="16"/>
          <w:u w:val="single" w:color="auto"/>
          <w:color w:val="auto"/>
        </w:rPr>
        <w:t>Section 4.7</w:t>
      </w:r>
      <w:r>
        <w:rPr>
          <w:rFonts w:ascii="Arial" w:cs="Arial" w:eastAsia="Arial" w:hAnsi="Arial"/>
          <w:sz w:val="16"/>
          <w:szCs w:val="16"/>
          <w:color w:val="auto"/>
        </w:rPr>
        <w:t>), which shall survive as to 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3.8 Benchmark Replacement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6973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97" w:lineRule="exact"/>
        <w:rPr>
          <w:sz w:val="20"/>
          <w:szCs w:val="20"/>
          <w:color w:val="auto"/>
        </w:rPr>
      </w:pPr>
    </w:p>
    <w:p>
      <w:pPr>
        <w:ind w:right="200" w:firstLine="436"/>
        <w:spacing w:after="0" w:line="254" w:lineRule="auto"/>
        <w:tabs>
          <w:tab w:leader="none" w:pos="685" w:val="left"/>
        </w:tabs>
        <w:numPr>
          <w:ilvl w:val="0"/>
          <w:numId w:val="13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Benchmark Replacement.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-818515</wp:posOffset>
            </wp:positionV>
            <wp:extent cx="65747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82371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68655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653224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655764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77227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52260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270" w:name="page271"/>
    <w:bookmarkEnd w:id="270"/>
    <w:p>
      <w:pPr>
        <w:jc w:val="both"/>
        <w:ind w:left="4" w:right="60"/>
        <w:spacing w:after="0" w:line="29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-565150</wp:posOffset>
            </wp:positionV>
            <wp:extent cx="690943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693483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694372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9176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619760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33" w:lineRule="exact"/>
        <w:rPr>
          <w:sz w:val="20"/>
          <w:szCs w:val="20"/>
          <w:color w:val="auto"/>
        </w:rPr>
      </w:pPr>
    </w:p>
    <w:p>
      <w:pPr>
        <w:ind w:left="4" w:right="20" w:firstLine="436"/>
        <w:spacing w:after="0" w:line="279" w:lineRule="auto"/>
        <w:tabs>
          <w:tab w:leader="none" w:pos="699" w:val="left"/>
        </w:tabs>
        <w:numPr>
          <w:ilvl w:val="1"/>
          <w:numId w:val="14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Benchmark Replacement Conforming Changes. In connection with the use, administration, adoption or implementation of a Benchmark Replacement, the Administrative Agent will have the right in consultation with Crown Holdings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63" w:lineRule="exact"/>
        <w:rPr>
          <w:rFonts w:ascii="Arial" w:cs="Arial" w:eastAsia="Arial" w:hAnsi="Arial"/>
          <w:sz w:val="17"/>
          <w:szCs w:val="17"/>
          <w:u w:val="single" w:color="auto"/>
          <w:color w:val="0000FF"/>
        </w:rPr>
      </w:pPr>
    </w:p>
    <w:p>
      <w:pPr>
        <w:ind w:left="684" w:hanging="244"/>
        <w:spacing w:after="0"/>
        <w:tabs>
          <w:tab w:leader="none" w:pos="684" w:val="left"/>
        </w:tabs>
        <w:numPr>
          <w:ilvl w:val="1"/>
          <w:numId w:val="14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Notices; Standards for Decisions and Determinations. The Administrative Agent will promptly notify Crown Holdings and the Lenders of</w:t>
      </w:r>
    </w:p>
    <w:p>
      <w:pPr>
        <w:spacing w:after="0" w:line="34" w:lineRule="exact"/>
        <w:rPr>
          <w:rFonts w:ascii="Arial" w:cs="Arial" w:eastAsia="Arial" w:hAnsi="Arial"/>
          <w:sz w:val="17"/>
          <w:szCs w:val="17"/>
          <w:u w:val="single" w:color="auto"/>
          <w:color w:val="0000FF"/>
        </w:rPr>
      </w:pPr>
    </w:p>
    <w:p>
      <w:pPr>
        <w:ind w:left="4" w:hanging="4"/>
        <w:spacing w:after="0" w:line="251" w:lineRule="auto"/>
        <w:tabs>
          <w:tab w:leader="none" w:pos="219" w:val="left"/>
        </w:tabs>
        <w:numPr>
          <w:ilvl w:val="0"/>
          <w:numId w:val="14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implementation of any Benchmark Replacement and (ii) the effectiveness of any Conforming Changes in connection with the use, administration, adoption or implementation of a Benchmark Replacement. The Administrative Agent will notify Crown Holdings of (x) the removal or reinstatement of any tenor of a Benchmark pursuant to Section 3.8(d) and (y) the commencement of any Benchmark Unavailability Period. Any determination, decision or election that may be made by the Administrative Agent or, if applicable, any Lender (or group of Lenders) pursuant to this Section 3.8,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3.8.</w:t>
      </w:r>
    </w:p>
    <w:p>
      <w:pPr>
        <w:spacing w:after="0" w:line="89" w:lineRule="exact"/>
        <w:rPr>
          <w:rFonts w:ascii="Arial" w:cs="Arial" w:eastAsia="Arial" w:hAnsi="Arial"/>
          <w:sz w:val="18"/>
          <w:szCs w:val="18"/>
          <w:u w:val="single" w:color="auto"/>
          <w:color w:val="0000FF"/>
        </w:rPr>
      </w:pPr>
    </w:p>
    <w:p>
      <w:pPr>
        <w:ind w:left="4" w:firstLine="436"/>
        <w:spacing w:after="0" w:line="284" w:lineRule="auto"/>
        <w:tabs>
          <w:tab w:leader="none" w:pos="699" w:val="left"/>
        </w:tabs>
        <w:numPr>
          <w:ilvl w:val="1"/>
          <w:numId w:val="14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or the Eurocurrency Rate) and either (A) any tenor for such Benchmark is not displayed on a screen or </w:t>
      </w:r>
      <w:r>
        <w:rPr>
          <w:rFonts w:ascii="Arial" w:cs="Arial" w:eastAsia="Arial" w:hAnsi="Arial"/>
          <w:sz w:val="16"/>
          <w:szCs w:val="16"/>
          <w:u w:val="single" w:color="auto"/>
          <w:color w:val="008000"/>
        </w:rPr>
        <w:t>other information service that</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publishes such rate </w:t>
      </w:r>
      <w:r>
        <w:rPr>
          <w:rFonts w:ascii="Arial" w:cs="Arial" w:eastAsia="Arial" w:hAnsi="Arial"/>
          <w:sz w:val="16"/>
          <w:szCs w:val="16"/>
          <w:u w:val="single" w:color="auto"/>
          <w:color w:val="0000FF"/>
        </w:rPr>
        <w:t>from time to time as</w:t>
      </w:r>
      <w:r>
        <w:rPr>
          <w:rFonts w:ascii="Arial" w:cs="Arial" w:eastAsia="Arial" w:hAnsi="Arial"/>
          <w:sz w:val="16"/>
          <w:szCs w:val="16"/>
          <w:u w:val="single" w:color="auto"/>
          <w:color w:val="008000"/>
        </w:rPr>
        <w:t xml:space="preserve"> selected by the Administrative Agent </w:t>
      </w:r>
      <w:r>
        <w:rPr>
          <w:rFonts w:ascii="Arial" w:cs="Arial" w:eastAsia="Arial" w:hAnsi="Arial"/>
          <w:sz w:val="16"/>
          <w:szCs w:val="16"/>
          <w:u w:val="single" w:color="auto"/>
          <w:color w:val="0000FF"/>
        </w:rPr>
        <w:t>in its reasonable discretion or (B) the regulatory supervisor for the</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2" w:lineRule="exact"/>
        <w:rPr>
          <w:rFonts w:ascii="Arial" w:cs="Arial" w:eastAsia="Arial" w:hAnsi="Arial"/>
          <w:sz w:val="16"/>
          <w:szCs w:val="16"/>
          <w:u w:val="single" w:color="auto"/>
          <w:color w:val="0000FF"/>
        </w:rPr>
      </w:pPr>
    </w:p>
    <w:p>
      <w:pPr>
        <w:jc w:val="both"/>
        <w:ind w:left="4" w:right="100" w:hanging="4"/>
        <w:spacing w:after="0" w:line="253" w:lineRule="auto"/>
        <w:tabs>
          <w:tab w:leader="none" w:pos="219" w:val="left"/>
        </w:tabs>
        <w:numPr>
          <w:ilvl w:val="0"/>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4" w:lineRule="exact"/>
        <w:rPr>
          <w:rFonts w:ascii="Arial" w:cs="Arial" w:eastAsia="Arial" w:hAnsi="Arial"/>
          <w:sz w:val="18"/>
          <w:szCs w:val="18"/>
          <w:u w:val="single" w:color="auto"/>
          <w:color w:val="0000FF"/>
        </w:rPr>
      </w:pPr>
    </w:p>
    <w:p>
      <w:pPr>
        <w:ind w:left="4" w:firstLine="436"/>
        <w:spacing w:after="0" w:line="263" w:lineRule="auto"/>
        <w:tabs>
          <w:tab w:leader="none" w:pos="689"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Benchmark Unavailability Period. Upon Crown Holdings’ receipt of notice of the commencement of a Benchmark Unavailability Period, the relevant Borrower may revoke any pending request for a Borrowing of, conversion to or continuation of Loans based on the applicable Benchmark to be made, converted or continued during any Benchmark Unavailability Period and, failing that</w:t>
      </w:r>
      <w:r>
        <w:rPr>
          <w:rFonts w:ascii="Arial" w:cs="Arial" w:eastAsia="Arial" w:hAnsi="Arial"/>
          <w:sz w:val="18"/>
          <w:szCs w:val="18"/>
          <w:u w:val="single" w:color="auto"/>
          <w:color w:val="008000"/>
        </w:rPr>
        <w:t>, (x)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-3774440</wp:posOffset>
            </wp:positionV>
            <wp:extent cx="638619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-3637280</wp:posOffset>
            </wp:positionV>
            <wp:extent cx="685800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-3500120</wp:posOffset>
            </wp:positionV>
            <wp:extent cx="6969125"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-3362960</wp:posOffset>
            </wp:positionV>
            <wp:extent cx="518604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518604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-3157220</wp:posOffset>
            </wp:positionV>
            <wp:extent cx="646366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-3020060</wp:posOffset>
            </wp:positionV>
            <wp:extent cx="696912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-2882900</wp:posOffset>
            </wp:positionV>
            <wp:extent cx="695198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-2745740</wp:posOffset>
            </wp:positionV>
            <wp:extent cx="690943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-2608580</wp:posOffset>
            </wp:positionV>
            <wp:extent cx="694372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-2471420</wp:posOffset>
            </wp:positionV>
            <wp:extent cx="681482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-2334260</wp:posOffset>
            </wp:positionV>
            <wp:extent cx="65747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-2197100</wp:posOffset>
            </wp:positionV>
            <wp:extent cx="696912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-2059940</wp:posOffset>
            </wp:positionV>
            <wp:extent cx="85725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-1854200</wp:posOffset>
            </wp:positionV>
            <wp:extent cx="669480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-1717040</wp:posOffset>
            </wp:positionV>
            <wp:extent cx="662622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-1579880</wp:posOffset>
            </wp:positionV>
            <wp:extent cx="679767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-1442720</wp:posOffset>
            </wp:positionV>
            <wp:extent cx="660908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-1305560</wp:posOffset>
            </wp:positionV>
            <wp:extent cx="693483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-1168400</wp:posOffset>
            </wp:positionV>
            <wp:extent cx="693483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-1031240</wp:posOffset>
            </wp:positionV>
            <wp:extent cx="688340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-894080</wp:posOffset>
            </wp:positionV>
            <wp:extent cx="687514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-756920</wp:posOffset>
            </wp:positionV>
            <wp:extent cx="688340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-619760</wp:posOffset>
            </wp:positionV>
            <wp:extent cx="69176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-482600</wp:posOffset>
            </wp:positionV>
            <wp:extent cx="220281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-276860</wp:posOffset>
            </wp:positionV>
            <wp:extent cx="6600825"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7801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66344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4"/>
          </w:cols>
          <w:pgMar w:left="436" w:top="274" w:right="479" w:bottom="1440" w:gutter="0" w:footer="0" w:header="0"/>
        </w:sectPr>
      </w:pPr>
    </w:p>
    <w:bookmarkStart w:id="271" w:name="page272"/>
    <w:bookmarkEnd w:id="271"/>
    <w:p>
      <w:pPr>
        <w:ind w:right="140"/>
        <w:spacing w:after="0" w:line="296" w:lineRule="auto"/>
        <w:rPr>
          <w:sz w:val="20"/>
          <w:szCs w:val="20"/>
          <w:color w:val="auto"/>
        </w:rPr>
      </w:pPr>
      <w:r>
        <w:rPr>
          <w:rFonts w:ascii="Arial" w:cs="Arial" w:eastAsia="Arial" w:hAnsi="Arial"/>
          <w:sz w:val="16"/>
          <w:szCs w:val="16"/>
          <w:u w:val="single" w:color="auto"/>
          <w:color w:val="008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case of </w:t>
      </w:r>
      <w:r>
        <w:rPr>
          <w:rFonts w:ascii="Arial" w:cs="Arial" w:eastAsia="Arial" w:hAnsi="Arial"/>
          <w:sz w:val="16"/>
          <w:szCs w:val="16"/>
          <w:u w:val="single" w:color="auto"/>
          <w:color w:val="0000FF"/>
        </w:rPr>
        <w:t>Loans denominated in Dollars, the applicable Borrower will be deemed to have converted any such request into a request for a Borrowing of or</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conversion to Base Rate Loans and (y) in the case of Loans denominated in Euros, the applicable Borrower will be deemed to have converted any such request into a request for a Borrowing of or conversion to Overnight Euro Rate Loans. During a Benchmark Unavailability Period or at any time that a tenor for the then-current Benchmark is not an Available Tenor, in the case of Loans denominated in Dollars, the component of Base Rate based upon the then-current Benchmark or such tenor for such Benchmark, as applicable, will not be used in any determination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-565150</wp:posOffset>
            </wp:positionV>
            <wp:extent cx="690054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90054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688340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8408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91502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REDUCTION OF COMMITMENTS; PAYMENTS AND PREPAYMENTS</w:t>
      </w:r>
    </w:p>
    <w:p>
      <w:pPr>
        <w:spacing w:after="0" w:line="21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Voluntary Reduction of Commitments</w:t>
      </w:r>
      <w:r>
        <w:rPr>
          <w:rFonts w:ascii="Arial" w:cs="Arial" w:eastAsia="Arial" w:hAnsi="Arial"/>
          <w:sz w:val="16"/>
          <w:szCs w:val="16"/>
          <w:color w:val="auto"/>
        </w:rPr>
        <w:t xml:space="preserve">. Upon at least two (2) Business Days’ prior written notice (or telephonic notice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 partial voluntary reduction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such that the total of the Dollar Revolving Commitment, Multicurrency Revolving Commitment or Canadian Revolving Commitment shall not be reduced below (1) the aggregate principal amount of outstanding Dollar Revolving Loans plus the aggregate Effective Amount of Dollar LC Obligations, in the case of the Dollar Revolving Commitment; (2) 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6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Mandatory Reductions of Term Commitments</w:t>
      </w:r>
      <w:r>
        <w:rPr>
          <w:rFonts w:ascii="Arial" w:cs="Arial" w:eastAsia="Arial" w:hAnsi="Arial"/>
          <w:sz w:val="18"/>
          <w:szCs w:val="18"/>
          <w:color w:val="auto"/>
        </w:rPr>
        <w:t xml:space="preserve">. The Term Commitments terminate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after giving effect to the Borrowing of the Term A Loans and Term Euro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-147955</wp:posOffset>
            </wp:positionV>
            <wp:extent cx="5143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-147955</wp:posOffset>
            </wp:positionV>
            <wp:extent cx="22288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272" w:name="page273"/>
    <w:bookmarkEnd w:id="272"/>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Voluntary Prepayments</w:t>
      </w:r>
      <w:r>
        <w:rPr>
          <w:rFonts w:ascii="Arial" w:cs="Arial" w:eastAsia="Arial" w:hAnsi="Arial"/>
          <w:sz w:val="18"/>
          <w:szCs w:val="18"/>
          <w:color w:val="auto"/>
        </w:rPr>
        <w:t>. Each Borrower shall have the right to prepay the Loans without premium or penalty in whole or in part from time to time on the following terms and conditions:</w:t>
      </w:r>
    </w:p>
    <w:p>
      <w:pPr>
        <w:spacing w:after="0" w:line="62" w:lineRule="exact"/>
        <w:rPr>
          <w:sz w:val="20"/>
          <w:szCs w:val="20"/>
          <w:color w:val="auto"/>
        </w:rPr>
      </w:pPr>
    </w:p>
    <w:p>
      <w:pPr>
        <w:ind w:right="60" w:firstLine="436"/>
        <w:spacing w:after="0" w:line="254" w:lineRule="auto"/>
        <w:tabs>
          <w:tab w:leader="none" w:pos="685" w:val="left"/>
        </w:tabs>
        <w:numPr>
          <w:ilvl w:val="0"/>
          <w:numId w:val="143"/>
        </w:numPr>
        <w:rPr>
          <w:rFonts w:ascii="Arial" w:cs="Arial" w:eastAsia="Arial" w:hAnsi="Arial"/>
          <w:sz w:val="18"/>
          <w:szCs w:val="18"/>
          <w:u w:val="single" w:color="auto"/>
          <w:color w:val="0000FF"/>
        </w:rPr>
      </w:pPr>
      <w:r>
        <w:rPr>
          <w:rFonts w:ascii="Arial" w:cs="Arial" w:eastAsia="Arial" w:hAnsi="Arial"/>
          <w:sz w:val="18"/>
          <w:szCs w:val="18"/>
          <w:color w:val="auto"/>
        </w:rPr>
        <w:t xml:space="preserve">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 applicable Borrower to Administrative Agent or Canadian Administrative Agent, as applicable, by 12:00 noon (New York City time) at least three (3) Business Days prior in the case of </w:t>
      </w:r>
      <w:r>
        <w:rPr>
          <w:rFonts w:ascii="Arial" w:cs="Arial" w:eastAsia="Arial" w:hAnsi="Arial"/>
          <w:sz w:val="18"/>
          <w:szCs w:val="18"/>
          <w:u w:val="single" w:color="auto"/>
          <w:color w:val="0000FF"/>
        </w:rPr>
        <w:t>SOFR Loans,</w:t>
      </w:r>
      <w:r>
        <w:rPr>
          <w:rFonts w:ascii="Arial" w:cs="Arial" w:eastAsia="Arial" w:hAnsi="Arial"/>
          <w:sz w:val="18"/>
          <w:szCs w:val="18"/>
          <w:color w:val="auto"/>
        </w:rPr>
        <w:t xml:space="preserve"> Eurocurrency Loans</w:t>
      </w:r>
      <w:r>
        <w:rPr>
          <w:rFonts w:ascii="Arial" w:cs="Arial" w:eastAsia="Arial" w:hAnsi="Arial"/>
          <w:sz w:val="18"/>
          <w:szCs w:val="18"/>
          <w:u w:val="single" w:color="auto"/>
          <w:color w:val="0000FF"/>
        </w:rPr>
        <w:t>, Daily Simple RFR Loans</w:t>
      </w:r>
      <w:r>
        <w:rPr>
          <w:rFonts w:ascii="Arial" w:cs="Arial" w:eastAsia="Arial" w:hAnsi="Arial"/>
          <w:sz w:val="18"/>
          <w:szCs w:val="18"/>
          <w:color w:val="auto"/>
        </w:rPr>
        <w:t xml:space="preserve">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pacing w:after="0" w:line="83" w:lineRule="exact"/>
        <w:rPr>
          <w:rFonts w:ascii="Arial" w:cs="Arial" w:eastAsia="Arial" w:hAnsi="Arial"/>
          <w:sz w:val="18"/>
          <w:szCs w:val="18"/>
          <w:u w:val="single" w:color="auto"/>
          <w:color w:val="0000FF"/>
        </w:rPr>
      </w:pPr>
    </w:p>
    <w:p>
      <w:pPr>
        <w:ind w:right="60" w:firstLine="436"/>
        <w:spacing w:after="0" w:line="257" w:lineRule="auto"/>
        <w:tabs>
          <w:tab w:leader="none" w:pos="695" w:val="left"/>
        </w:tabs>
        <w:numPr>
          <w:ilvl w:val="0"/>
          <w:numId w:val="143"/>
        </w:numPr>
        <w:rPr>
          <w:rFonts w:ascii="Arial" w:cs="Arial" w:eastAsia="Arial" w:hAnsi="Arial"/>
          <w:sz w:val="18"/>
          <w:szCs w:val="18"/>
          <w:u w:val="single" w:color="auto"/>
          <w:color w:val="0000FF"/>
        </w:rPr>
      </w:pPr>
      <w:r>
        <w:rPr>
          <w:rFonts w:ascii="Arial" w:cs="Arial" w:eastAsia="Arial" w:hAnsi="Arial"/>
          <w:sz w:val="18"/>
          <w:szCs w:val="18"/>
          <w:color w:val="auto"/>
        </w:rPr>
        <w:t xml:space="preserve">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partial prepayment of </w:t>
      </w:r>
      <w:r>
        <w:rPr>
          <w:rFonts w:ascii="Arial" w:cs="Arial" w:eastAsia="Arial" w:hAnsi="Arial"/>
          <w:sz w:val="18"/>
          <w:szCs w:val="18"/>
          <w:u w:val="single" w:color="auto"/>
          <w:color w:val="0000FF"/>
        </w:rPr>
        <w:t>SOFR Loans or</w:t>
      </w:r>
      <w:r>
        <w:rPr>
          <w:rFonts w:ascii="Arial" w:cs="Arial" w:eastAsia="Arial" w:hAnsi="Arial"/>
          <w:sz w:val="18"/>
          <w:szCs w:val="18"/>
          <w:color w:val="auto"/>
        </w:rPr>
        <w:t xml:space="preserve"> Eurocurrency Loans made pursuant to a single Borrowing shall reduce the aggregate principal amount of the outstanding Loans made pursuant to such Borrowing to an amount less than the Minimum Borrowing Amount applicable thereto;</w:t>
      </w:r>
    </w:p>
    <w:p>
      <w:pPr>
        <w:spacing w:after="0" w:line="79" w:lineRule="exact"/>
        <w:rPr>
          <w:rFonts w:ascii="Arial" w:cs="Arial" w:eastAsia="Arial" w:hAnsi="Arial"/>
          <w:sz w:val="18"/>
          <w:szCs w:val="18"/>
          <w:u w:val="single" w:color="auto"/>
          <w:color w:val="0000FF"/>
        </w:rPr>
      </w:pPr>
    </w:p>
    <w:p>
      <w:pPr>
        <w:ind w:firstLine="436"/>
        <w:spacing w:after="0" w:line="277" w:lineRule="auto"/>
        <w:tabs>
          <w:tab w:leader="none" w:pos="685" w:val="left"/>
        </w:tabs>
        <w:numPr>
          <w:ilvl w:val="0"/>
          <w:numId w:val="14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SOFR Loans and</w:t>
      </w:r>
      <w:r>
        <w:rPr>
          <w:rFonts w:ascii="Arial" w:cs="Arial" w:eastAsia="Arial" w:hAnsi="Arial"/>
          <w:sz w:val="18"/>
          <w:szCs w:val="18"/>
          <w:color w:val="0000FF"/>
        </w:rPr>
        <w:t xml:space="preserve"> </w:t>
      </w:r>
      <w:r>
        <w:rPr>
          <w:rFonts w:ascii="Arial" w:cs="Arial" w:eastAsia="Arial" w:hAnsi="Arial"/>
          <w:sz w:val="18"/>
          <w:szCs w:val="18"/>
          <w:color w:val="000000"/>
        </w:rPr>
        <w:t>Eurocurrency Loans</w:t>
      </w:r>
      <w:r>
        <w:rPr>
          <w:rFonts w:ascii="Arial" w:cs="Arial" w:eastAsia="Arial" w:hAnsi="Arial"/>
          <w:sz w:val="18"/>
          <w:szCs w:val="18"/>
          <w:color w:val="0000FF"/>
        </w:rPr>
        <w:t xml:space="preserve"> </w:t>
      </w:r>
      <w:r>
        <w:rPr>
          <w:rFonts w:ascii="Arial" w:cs="Arial" w:eastAsia="Arial" w:hAnsi="Arial"/>
          <w:sz w:val="18"/>
          <w:szCs w:val="18"/>
          <w:color w:val="FF0000"/>
          <w:strike w:val="1"/>
        </w:rPr>
        <w:t>(other than Daily Simple RFR Loans)</w:t>
      </w:r>
      <w:r>
        <w:rPr>
          <w:rFonts w:ascii="Arial" w:cs="Arial" w:eastAsia="Arial" w:hAnsi="Arial"/>
          <w:sz w:val="18"/>
          <w:szCs w:val="18"/>
          <w:color w:val="0000FF"/>
        </w:rPr>
        <w:t xml:space="preserve"> </w:t>
      </w:r>
      <w:r>
        <w:rPr>
          <w:rFonts w:ascii="Arial" w:cs="Arial" w:eastAsia="Arial" w:hAnsi="Arial"/>
          <w:sz w:val="18"/>
          <w:szCs w:val="18"/>
          <w:color w:val="000000"/>
        </w:rPr>
        <w:t>may only be prepaid pursuant to this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4.3</w:t>
      </w:r>
      <w:r>
        <w:rPr>
          <w:rFonts w:ascii="Arial" w:cs="Arial" w:eastAsia="Arial" w:hAnsi="Arial"/>
          <w:sz w:val="18"/>
          <w:szCs w:val="18"/>
          <w:color w:val="0000FF"/>
        </w:rPr>
        <w:t xml:space="preserve"> </w:t>
      </w:r>
      <w:r>
        <w:rPr>
          <w:rFonts w:ascii="Arial" w:cs="Arial" w:eastAsia="Arial" w:hAnsi="Arial"/>
          <w:sz w:val="18"/>
          <w:szCs w:val="18"/>
          <w:color w:val="000000"/>
        </w:rPr>
        <w:t>on the last day of</w:t>
      </w:r>
      <w:r>
        <w:rPr>
          <w:rFonts w:ascii="Arial" w:cs="Arial" w:eastAsia="Arial" w:hAnsi="Arial"/>
          <w:sz w:val="18"/>
          <w:szCs w:val="18"/>
          <w:color w:val="0000FF"/>
        </w:rPr>
        <w:t xml:space="preserve"> </w:t>
      </w:r>
      <w:r>
        <w:rPr>
          <w:rFonts w:ascii="Arial" w:cs="Arial" w:eastAsia="Arial" w:hAnsi="Arial"/>
          <w:sz w:val="18"/>
          <w:szCs w:val="18"/>
          <w:color w:val="000000"/>
        </w:rPr>
        <w:t xml:space="preserve">an Interest Period applicable thereto or on any other day subject to </w:t>
      </w:r>
      <w:r>
        <w:rPr>
          <w:rFonts w:ascii="Arial" w:cs="Arial" w:eastAsia="Arial" w:hAnsi="Arial"/>
          <w:sz w:val="18"/>
          <w:szCs w:val="18"/>
          <w:u w:val="single" w:color="auto"/>
          <w:color w:val="000000"/>
        </w:rPr>
        <w:t>Section 3.5</w:t>
      </w:r>
      <w:r>
        <w:rPr>
          <w:rFonts w:ascii="Arial" w:cs="Arial" w:eastAsia="Arial" w:hAnsi="Arial"/>
          <w:sz w:val="18"/>
          <w:szCs w:val="18"/>
          <w:color w:val="000000"/>
        </w:rPr>
        <w:t>;</w:t>
      </w:r>
    </w:p>
    <w:p>
      <w:pPr>
        <w:spacing w:after="0" w:line="62" w:lineRule="exact"/>
        <w:rPr>
          <w:rFonts w:ascii="Arial" w:cs="Arial" w:eastAsia="Arial" w:hAnsi="Arial"/>
          <w:sz w:val="18"/>
          <w:szCs w:val="18"/>
          <w:u w:val="single" w:color="auto"/>
          <w:color w:val="0000FF"/>
        </w:rPr>
      </w:pPr>
    </w:p>
    <w:p>
      <w:pPr>
        <w:ind w:right="20" w:firstLine="436"/>
        <w:spacing w:after="0" w:line="279" w:lineRule="auto"/>
        <w:tabs>
          <w:tab w:leader="none" w:pos="695" w:val="left"/>
        </w:tabs>
        <w:numPr>
          <w:ilvl w:val="0"/>
          <w:numId w:val="143"/>
        </w:numPr>
        <w:rPr>
          <w:rFonts w:ascii="Arial" w:cs="Arial" w:eastAsia="Arial" w:hAnsi="Arial"/>
          <w:sz w:val="17"/>
          <w:szCs w:val="17"/>
          <w:u w:val="single" w:color="auto"/>
          <w:color w:val="0000FF"/>
        </w:rPr>
      </w:pPr>
      <w:r>
        <w:rPr>
          <w:rFonts w:ascii="Arial" w:cs="Arial" w:eastAsia="Arial" w:hAnsi="Arial"/>
          <w:sz w:val="17"/>
          <w:szCs w:val="17"/>
          <w:color w:val="auto"/>
        </w:rPr>
        <w:t xml:space="preserve">each prepayment in respect of any Borrowing shall be applied pro rata among the Loans comprising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Canadian Borrower may defease any B/A by depositing with Canadian Administrative Agent an amount equal to the face amount of such maturing B/A,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63" w:lineRule="exact"/>
        <w:rPr>
          <w:rFonts w:ascii="Arial" w:cs="Arial" w:eastAsia="Arial" w:hAnsi="Arial"/>
          <w:sz w:val="17"/>
          <w:szCs w:val="17"/>
          <w:u w:val="single" w:color="auto"/>
          <w:color w:val="0000FF"/>
        </w:rPr>
      </w:pPr>
    </w:p>
    <w:p>
      <w:pPr>
        <w:ind w:right="140" w:firstLine="436"/>
        <w:spacing w:after="0" w:line="257" w:lineRule="auto"/>
        <w:tabs>
          <w:tab w:leader="none" w:pos="685" w:val="left"/>
        </w:tabs>
        <w:numPr>
          <w:ilvl w:val="0"/>
          <w:numId w:val="143"/>
        </w:numPr>
        <w:rPr>
          <w:rFonts w:ascii="Arial" w:cs="Arial" w:eastAsia="Arial" w:hAnsi="Arial"/>
          <w:sz w:val="18"/>
          <w:szCs w:val="18"/>
          <w:u w:val="single" w:color="auto"/>
          <w:color w:val="0000FF"/>
        </w:rPr>
      </w:pPr>
      <w:r>
        <w:rPr>
          <w:rFonts w:ascii="Arial" w:cs="Arial" w:eastAsia="Arial" w:hAnsi="Arial"/>
          <w:sz w:val="18"/>
          <w:szCs w:val="18"/>
          <w:color w:val="auto"/>
        </w:rPr>
        <w:t xml:space="preserve">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w:t>
      </w:r>
      <w:r>
        <w:rPr>
          <w:rFonts w:ascii="Arial" w:cs="Arial" w:eastAsia="Arial" w:hAnsi="Arial"/>
          <w:sz w:val="18"/>
          <w:szCs w:val="18"/>
          <w:u w:val="single" w:color="auto"/>
          <w:color w:val="0000FF"/>
        </w:rPr>
        <w:t>SOFR Loans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0000FF"/>
        </w:rPr>
        <w:t xml:space="preserve"> </w:t>
      </w:r>
      <w:r>
        <w:rPr>
          <w:rFonts w:ascii="Arial" w:cs="Arial" w:eastAsia="Arial" w:hAnsi="Arial"/>
          <w:sz w:val="18"/>
          <w:szCs w:val="18"/>
          <w:color w:val="000000"/>
        </w:rPr>
        <w:t>Eurocurrency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-3428365</wp:posOffset>
            </wp:positionV>
            <wp:extent cx="15430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-2879725</wp:posOffset>
            </wp:positionV>
            <wp:extent cx="61722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-2742565</wp:posOffset>
            </wp:positionV>
            <wp:extent cx="1217295"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-2262505</wp:posOffset>
            </wp:positionV>
            <wp:extent cx="15430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-1988185</wp:posOffset>
            </wp:positionV>
            <wp:extent cx="7200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-1508125</wp:posOffset>
            </wp:positionV>
            <wp:extent cx="96837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-1165225</wp:posOffset>
            </wp:positionV>
            <wp:extent cx="15430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-548005</wp:posOffset>
            </wp:positionV>
            <wp:extent cx="154305"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-136525</wp:posOffset>
            </wp:positionV>
            <wp:extent cx="59182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591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6256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notice provisions, the provisions with respect to the minimum amount of any prepayment and the provisions requiring prepayments in integral multiples above such minimum amount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for the benefit of Administrative Agent and may be waived unilaterally by Administrative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273" w:name="page274"/>
    <w:bookmarkEnd w:id="27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Prepayment Upon Overadvance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69" w:lineRule="auto"/>
        <w:tabs>
          <w:tab w:leader="none" w:pos="641" w:val="left"/>
        </w:tabs>
        <w:numPr>
          <w:ilvl w:val="1"/>
          <w:numId w:val="144"/>
        </w:numPr>
        <w:rPr>
          <w:rFonts w:ascii="Arial" w:cs="Arial" w:eastAsia="Arial" w:hAnsi="Arial"/>
          <w:sz w:val="17"/>
          <w:szCs w:val="17"/>
          <w:u w:val="single" w:color="auto"/>
          <w:color w:val="0000FF"/>
        </w:rPr>
      </w:pPr>
      <w:r>
        <w:rPr>
          <w:rFonts w:ascii="Arial" w:cs="Arial" w:eastAsia="Arial" w:hAnsi="Arial"/>
          <w:sz w:val="17"/>
          <w:szCs w:val="17"/>
          <w:color w:val="auto"/>
        </w:rPr>
        <w:t>U.S. Borrower shall prepay the outstanding principal amount of the Loans under the Dollar Revolving Facility on any date on which the aggregate Effective Amount of such Loans, together with the aggregate Effective Amount of Dollar LC Obligations, exceeds the aggregate Dollar Revolving Commitments, in the amount of such excess. If, after giving effect to the prepayment of all outstanding Dollar Revolving Loans, the outstanding principal amount of Dollar 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w:t>
      </w:r>
      <w:r>
        <w:rPr>
          <w:rFonts w:ascii="Arial" w:cs="Arial" w:eastAsia="Arial" w:hAnsi="Arial"/>
          <w:sz w:val="17"/>
          <w:szCs w:val="17"/>
          <w:u w:val="single" w:color="auto"/>
          <w:color w:val="auto"/>
        </w:rPr>
        <w:t>Dollar Collateral Account</w:t>
      </w:r>
      <w:r>
        <w:rPr>
          <w:rFonts w:ascii="Arial" w:cs="Arial" w:eastAsia="Arial" w:hAnsi="Arial"/>
          <w:sz w:val="17"/>
          <w:szCs w:val="17"/>
          <w:color w:val="auto"/>
        </w:rPr>
        <w:t>”) into which it shall deposit such cash to hold as collateral security for the outstanding Dollar LC Obligations.</w:t>
      </w:r>
    </w:p>
    <w:p>
      <w:pPr>
        <w:spacing w:after="0" w:line="77" w:lineRule="exact"/>
        <w:rPr>
          <w:rFonts w:ascii="Arial" w:cs="Arial" w:eastAsia="Arial" w:hAnsi="Arial"/>
          <w:sz w:val="17"/>
          <w:szCs w:val="17"/>
          <w:u w:val="single" w:color="auto"/>
          <w:color w:val="0000FF"/>
        </w:rPr>
      </w:pPr>
    </w:p>
    <w:p>
      <w:pPr>
        <w:ind w:left="4" w:firstLine="419"/>
        <w:spacing w:after="0" w:line="286" w:lineRule="auto"/>
        <w:tabs>
          <w:tab w:leader="none" w:pos="691" w:val="left"/>
        </w:tabs>
        <w:numPr>
          <w:ilvl w:val="1"/>
          <w:numId w:val="144"/>
        </w:numPr>
        <w:rPr>
          <w:rFonts w:ascii="Arial" w:cs="Arial" w:eastAsia="Arial" w:hAnsi="Arial"/>
          <w:sz w:val="16"/>
          <w:szCs w:val="16"/>
          <w:u w:val="single" w:color="auto"/>
          <w:color w:val="0000FF"/>
        </w:rPr>
      </w:pPr>
      <w:r>
        <w:rPr>
          <w:rFonts w:ascii="Arial" w:cs="Arial" w:eastAsia="Arial" w:hAnsi="Arial"/>
          <w:sz w:val="16"/>
          <w:szCs w:val="16"/>
          <w:color w:val="auto"/>
        </w:rPr>
        <w:t>European Borrower or U.S. Borrower, as applicable, shall prepay the outstanding principal amount of the Loans under the Multicurrency Revolving Facility on any date on which the aggregate Effective Amount of such Loans, together with the aggregate Effective Amount of Multicurrency LC Obligations and Effective Amount of Swing Line Loans, exceeds the aggregate Multicurrency Revolving Commitments, in the amount of such excess. If, after giving effect to the prepayment of all outstanding, Multicurrency Revolving Loans, the outstanding principal amount of Multicurrency Revolving Loans together with the aggregate Effective Amount of Multicurrency LC Obligations plus the aggregate Effective Amount of Swing Line Loans,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Multicurrency Revolving Loans plus the aggregate Effective Amount of such Multicurrency LC Obligations and the aggregate Multicurrency Revolving Commitments then in effect. Administrative Agent shall establish in its name for the benefit of the Multicurrency Revolving Lenders a cash collateral account (the “</w:t>
      </w:r>
      <w:r>
        <w:rPr>
          <w:rFonts w:ascii="Arial" w:cs="Arial" w:eastAsia="Arial" w:hAnsi="Arial"/>
          <w:sz w:val="16"/>
          <w:szCs w:val="16"/>
          <w:u w:val="single" w:color="auto"/>
          <w:color w:val="auto"/>
        </w:rPr>
        <w:t>Multicurrency Collateral Account</w:t>
      </w:r>
      <w:r>
        <w:rPr>
          <w:rFonts w:ascii="Arial" w:cs="Arial" w:eastAsia="Arial" w:hAnsi="Arial"/>
          <w:sz w:val="16"/>
          <w:szCs w:val="16"/>
          <w:color w:val="auto"/>
        </w:rPr>
        <w:t>” and, together with the Dollar Collateral Account, each a “</w:t>
      </w:r>
      <w:r>
        <w:rPr>
          <w:rFonts w:ascii="Arial" w:cs="Arial" w:eastAsia="Arial" w:hAnsi="Arial"/>
          <w:sz w:val="16"/>
          <w:szCs w:val="16"/>
          <w:u w:val="single" w:color="auto"/>
          <w:color w:val="auto"/>
        </w:rPr>
        <w:t>Collateral Account</w:t>
      </w:r>
      <w:r>
        <w:rPr>
          <w:rFonts w:ascii="Arial" w:cs="Arial" w:eastAsia="Arial" w:hAnsi="Arial"/>
          <w:sz w:val="16"/>
          <w:szCs w:val="16"/>
          <w:color w:val="auto"/>
        </w:rPr>
        <w:t>”) into which it shall deposit such cash to hold as collateral security for the outstanding Multicurrency LC Obligations.</w:t>
      </w:r>
    </w:p>
    <w:p>
      <w:pPr>
        <w:spacing w:after="0" w:line="65" w:lineRule="exact"/>
        <w:rPr>
          <w:rFonts w:ascii="Arial" w:cs="Arial" w:eastAsia="Arial" w:hAnsi="Arial"/>
          <w:sz w:val="16"/>
          <w:szCs w:val="16"/>
          <w:u w:val="single" w:color="auto"/>
          <w:color w:val="0000FF"/>
        </w:rPr>
      </w:pPr>
    </w:p>
    <w:p>
      <w:pPr>
        <w:ind w:left="4" w:right="60" w:firstLine="419"/>
        <w:spacing w:after="0" w:line="293" w:lineRule="auto"/>
        <w:tabs>
          <w:tab w:leader="none" w:pos="741" w:val="left"/>
        </w:tabs>
        <w:numPr>
          <w:ilvl w:val="1"/>
          <w:numId w:val="144"/>
        </w:numPr>
        <w:rPr>
          <w:rFonts w:ascii="Arial" w:cs="Arial" w:eastAsia="Arial" w:hAnsi="Arial"/>
          <w:sz w:val="16"/>
          <w:szCs w:val="16"/>
          <w:u w:val="single" w:color="auto"/>
          <w:color w:val="0000FF"/>
        </w:rPr>
      </w:pPr>
      <w:r>
        <w:rPr>
          <w:rFonts w:ascii="Arial" w:cs="Arial" w:eastAsia="Arial" w:hAnsi="Arial"/>
          <w:sz w:val="16"/>
          <w:szCs w:val="16"/>
          <w:color w:val="auto"/>
        </w:rPr>
        <w:t>Canadian Borrower shall prepay the outstanding principal amount of the Loans under the Canadian Revolving Facility on any date on which the aggregate Effective Amount of such Loans, together with the aggregate Effective Amount of the Canadian LC Obligations, exceeds the aggregate Canadian Revolving Commitments, in the amount of such excess. If, after giving effect to the prepayment of all outstanding Canadian Prime Rate Loans, the outstanding principal amount of Canadian Revolving Loans together with the aggregate Effective Amount of the Canadian LC Obligations exceeds the aggregate Canadian Revolving Commitments then in effect, the Canadian Borrower shall cash collateralize the Canadian LC Obligations and cash collateralize outstanding B/A Loans by depositing pursuant to a cash collateral agreement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-3992245</wp:posOffset>
            </wp:positionV>
            <wp:extent cx="13716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-2552065</wp:posOffset>
            </wp:positionV>
            <wp:extent cx="17145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-700405</wp:posOffset>
            </wp:positionV>
            <wp:extent cx="19748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7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564"/>
          </w:cols>
          <w:pgMar w:left="876" w:top="274" w:right="459" w:bottom="1440" w:gutter="0" w:footer="0" w:header="0"/>
        </w:sectPr>
      </w:pPr>
    </w:p>
    <w:bookmarkStart w:id="274" w:name="page275"/>
    <w:bookmarkEnd w:id="274"/>
    <w:p>
      <w:pPr>
        <w:ind w:left="44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 and/or B/A Loans.</w:t>
      </w:r>
    </w:p>
    <w:p>
      <w:pPr>
        <w:spacing w:after="0" w:line="68" w:lineRule="exact"/>
        <w:rPr>
          <w:sz w:val="20"/>
          <w:szCs w:val="20"/>
          <w:color w:val="auto"/>
        </w:rPr>
      </w:pPr>
    </w:p>
    <w:p>
      <w:pPr>
        <w:ind w:firstLine="436"/>
        <w:spacing w:after="0" w:line="259"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Scheduled Term Repayments</w:t>
      </w:r>
      <w:r>
        <w:rPr>
          <w:rFonts w:ascii="Arial" w:cs="Arial" w:eastAsia="Arial" w:hAnsi="Arial"/>
          <w:sz w:val="18"/>
          <w:szCs w:val="18"/>
          <w:color w:val="auto"/>
        </w:rPr>
        <w:t>. The applicable Borrower shall cause to be paid Scheduled Term Repayments for each Term Facility on the Term Loans until the Term Loans are paid in full in the amounts and currencies and at the times specified in each of the Scheduled Term Repayment definitions to the extent that prepayments have not previously been applied to such Scheduled Term Repayments (and such Scheduled Term Repayments have not otherwise been reduced) pursuant to the terms hereof.</w:t>
      </w:r>
    </w:p>
    <w:p>
      <w:pPr>
        <w:spacing w:after="0" w:line="78" w:lineRule="exact"/>
        <w:rPr>
          <w:rFonts w:ascii="Arial" w:cs="Arial" w:eastAsia="Arial" w:hAnsi="Arial"/>
          <w:sz w:val="18"/>
          <w:szCs w:val="18"/>
          <w:color w:val="auto"/>
        </w:rPr>
      </w:pPr>
    </w:p>
    <w:p>
      <w:pPr>
        <w:ind w:firstLine="436"/>
        <w:spacing w:after="0" w:line="285" w:lineRule="auto"/>
        <w:tabs>
          <w:tab w:leader="none" w:pos="68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Asset Disposition</w:t>
      </w:r>
      <w:r>
        <w:rPr>
          <w:rFonts w:ascii="Arial" w:cs="Arial" w:eastAsia="Arial" w:hAnsi="Arial"/>
          <w:sz w:val="16"/>
          <w:szCs w:val="16"/>
          <w:color w:val="auto"/>
        </w:rPr>
        <w:t xml:space="preserve">. From and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on the tenth Business Day after the date of receipt thereof by Crown Holdings and/or any of its Subsidiaries of Net Proceeds from any Asset Disposition (other than an Asset Disposition permitted by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8.5(a)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8.5(g)</w:t>
      </w:r>
      <w:r>
        <w:rPr>
          <w:rFonts w:ascii="Arial" w:cs="Arial" w:eastAsia="Arial" w:hAnsi="Arial"/>
          <w:sz w:val="16"/>
          <w:szCs w:val="16"/>
          <w:color w:val="auto"/>
        </w:rPr>
        <w:t xml:space="preserve">, </w:t>
      </w:r>
      <w:r>
        <w:rPr>
          <w:rFonts w:ascii="Arial" w:cs="Arial" w:eastAsia="Arial" w:hAnsi="Arial"/>
          <w:sz w:val="16"/>
          <w:szCs w:val="16"/>
          <w:u w:val="single" w:color="auto"/>
          <w:color w:val="auto"/>
        </w:rPr>
        <w:t>8.5(j)</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8.5(l)</w:t>
      </w:r>
      <w:r>
        <w:rPr>
          <w:rFonts w:ascii="Arial" w:cs="Arial" w:eastAsia="Arial" w:hAnsi="Arial"/>
          <w:sz w:val="16"/>
          <w:szCs w:val="16"/>
          <w:color w:val="auto"/>
        </w:rPr>
        <w:t xml:space="preserve">, 8.5(m)(1), </w:t>
      </w:r>
      <w:r>
        <w:rPr>
          <w:rFonts w:ascii="Arial" w:cs="Arial" w:eastAsia="Arial" w:hAnsi="Arial"/>
          <w:sz w:val="16"/>
          <w:szCs w:val="16"/>
          <w:u w:val="single" w:color="auto"/>
          <w:color w:val="auto"/>
        </w:rPr>
        <w:t>8.5(n)</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subclause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8.5(o)</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8.5(u)</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8.5(w)</w:t>
      </w:r>
      <w:r>
        <w:rPr>
          <w:rFonts w:ascii="Arial" w:cs="Arial" w:eastAsia="Arial" w:hAnsi="Arial"/>
          <w:sz w:val="16"/>
          <w:szCs w:val="16"/>
          <w:color w:val="auto"/>
        </w:rPr>
        <w:t xml:space="preserve">), Borrowers shall apply an amount equal to 100% of the Net Proceeds from such Asset Disposition as a mandatory repayment of principal of the Term Loans, pursuant to the terms of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Proceeds therefrom shall not be required to be so applied on such date to the extent that (i) no Credit Party would be obligated to make an offer to purchase any Indebtedness if such Net Proceeds were not used to repay Term Loans and (ii) no Event of Default then exists and Crown Holdings delivers a certificate to Administrative Agent on or prior to such date stating that such Net Proceeds shall be used to purchase assets used or to be used in the businesses referred to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within 365 days following the date of such Asset Disposition (which certificate shall set forth the estimates of the proceeds to be so expended),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700" w:hanging="264"/>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36"/>
        <w:spacing w:after="0" w:line="257" w:lineRule="auto"/>
        <w:tabs>
          <w:tab w:leader="none" w:pos="66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Recovery Event</w:t>
      </w:r>
      <w:r>
        <w:rPr>
          <w:rFonts w:ascii="Arial" w:cs="Arial" w:eastAsia="Arial" w:hAnsi="Arial"/>
          <w:sz w:val="18"/>
          <w:szCs w:val="18"/>
          <w:color w:val="auto"/>
        </w:rPr>
        <w:t xml:space="preserve">. From and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within ten (10) days following each date on which Crown Holdings or any of its Subsidiaries receives any Net Proceeds, Borrowers shall apply an amount equal to 100% of the Net Proceeds of such Recovery Event as a mandatory repayment of principal of the Term Loans pursuant to the terms of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then exists, such proceeds shall not be required to be so applied on such date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-3496945</wp:posOffset>
            </wp:positionV>
            <wp:extent cx="51435"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-3496945</wp:posOffset>
            </wp:positionV>
            <wp:extent cx="222885"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-548005</wp:posOffset>
            </wp:positionV>
            <wp:extent cx="6032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-548005</wp:posOffset>
            </wp:positionV>
            <wp:extent cx="22288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275" w:name="page276"/>
    <w:bookmarkEnd w:id="275"/>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76" w:lineRule="exact"/>
        <w:rPr>
          <w:sz w:val="20"/>
          <w:szCs w:val="20"/>
          <w:color w:val="auto"/>
        </w:rPr>
      </w:pPr>
    </w:p>
    <w:p>
      <w:pPr>
        <w:ind w:left="440" w:right="180" w:firstLine="419"/>
        <w:spacing w:after="0" w:line="259" w:lineRule="auto"/>
        <w:tabs>
          <w:tab w:leader="none" w:pos="10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Proceeds not required to be applied to the repayment of Term Loans pursuant to the first proviso of this </w:t>
      </w:r>
      <w:r>
        <w:rPr>
          <w:rFonts w:ascii="Arial" w:cs="Arial" w:eastAsia="Arial" w:hAnsi="Arial"/>
          <w:sz w:val="18"/>
          <w:szCs w:val="18"/>
          <w:u w:val="single" w:color="auto"/>
          <w:color w:val="auto"/>
        </w:rPr>
        <w:t>Section 4.4(f)</w:t>
      </w:r>
      <w:r>
        <w:rPr>
          <w:rFonts w:ascii="Arial" w:cs="Arial" w:eastAsia="Arial" w:hAnsi="Arial"/>
          <w:sz w:val="18"/>
          <w:szCs w:val="18"/>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Arial" w:cs="Arial" w:eastAsia="Arial" w:hAnsi="Arial"/>
          <w:sz w:val="18"/>
          <w:szCs w:val="18"/>
          <w:u w:val="single" w:color="auto"/>
          <w:color w:val="auto"/>
        </w:rPr>
        <w:t>Section 4.4(f)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440" w:right="300" w:firstLine="419"/>
        <w:spacing w:after="0" w:line="259" w:lineRule="auto"/>
        <w:tabs>
          <w:tab w:leader="none" w:pos="112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Arial" w:cs="Arial" w:eastAsia="Arial" w:hAnsi="Arial"/>
          <w:sz w:val="18"/>
          <w:szCs w:val="18"/>
          <w:u w:val="single" w:color="auto"/>
          <w:color w:val="auto"/>
        </w:rPr>
        <w:t>Section 4.4(f)</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440" w:right="360" w:firstLine="419"/>
        <w:spacing w:after="0" w:line="286" w:lineRule="auto"/>
        <w:tabs>
          <w:tab w:leader="none" w:pos="1178"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Arial" w:cs="Arial" w:eastAsia="Arial" w:hAnsi="Arial"/>
          <w:sz w:val="17"/>
          <w:szCs w:val="17"/>
          <w:u w:val="single" w:color="auto"/>
          <w:color w:val="auto"/>
        </w:rPr>
        <w:t>Section 7.14</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436"/>
        <w:spacing w:after="0" w:line="268" w:lineRule="auto"/>
        <w:tabs>
          <w:tab w:leader="none" w:pos="69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Repatriation of Proceeds</w:t>
      </w:r>
      <w:r>
        <w:rPr>
          <w:rFonts w:ascii="Arial" w:cs="Arial" w:eastAsia="Arial" w:hAnsi="Arial"/>
          <w:sz w:val="17"/>
          <w:szCs w:val="17"/>
          <w:color w:val="auto"/>
        </w:rPr>
        <w:t xml:space="preserve">. Notwithstanding any other provisions of </w:t>
      </w:r>
      <w:r>
        <w:rPr>
          <w:rFonts w:ascii="Arial" w:cs="Arial" w:eastAsia="Arial" w:hAnsi="Arial"/>
          <w:sz w:val="17"/>
          <w:szCs w:val="17"/>
          <w:u w:val="single" w:color="auto"/>
          <w:color w:val="auto"/>
        </w:rPr>
        <w:t>Sections 4.4(c)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4.4(f)</w:t>
      </w:r>
      <w:r>
        <w:rPr>
          <w:rFonts w:ascii="Arial" w:cs="Arial" w:eastAsia="Arial" w:hAnsi="Arial"/>
          <w:sz w:val="17"/>
          <w:szCs w:val="17"/>
          <w:color w:val="auto"/>
        </w:rPr>
        <w:t>, to the extent that any of or all the Net Proceeds of any Asset Disposition or any Recovery Event are received by a Non-U.S. Subsidiary (in each case, “</w:t>
      </w:r>
      <w:r>
        <w:rPr>
          <w:rFonts w:ascii="Arial" w:cs="Arial" w:eastAsia="Arial" w:hAnsi="Arial"/>
          <w:sz w:val="17"/>
          <w:szCs w:val="17"/>
          <w:u w:val="single" w:color="auto"/>
          <w:color w:val="auto"/>
        </w:rPr>
        <w:t>Foreign Proceeds</w:t>
      </w:r>
      <w:r>
        <w:rPr>
          <w:rFonts w:ascii="Arial" w:cs="Arial" w:eastAsia="Arial" w:hAnsi="Arial"/>
          <w:sz w:val="17"/>
          <w:szCs w:val="17"/>
          <w:color w:val="auto"/>
        </w:rPr>
        <w:t>”) and the repatriation of such Foreign Proceeds would (x) result in material adverse Tax consequences to Crown Holdings or any other Subsidiary or (y) would be prohibited or restricted by applicable law, rule or regulation or contract (each, a “</w:t>
      </w:r>
      <w:r>
        <w:rPr>
          <w:rFonts w:ascii="Arial" w:cs="Arial" w:eastAsia="Arial" w:hAnsi="Arial"/>
          <w:sz w:val="17"/>
          <w:szCs w:val="17"/>
          <w:u w:val="single" w:color="auto"/>
          <w:color w:val="auto"/>
        </w:rPr>
        <w:t>Repatriation Limitation</w:t>
      </w:r>
      <w:r>
        <w:rPr>
          <w:rFonts w:ascii="Arial" w:cs="Arial" w:eastAsia="Arial" w:hAnsi="Arial"/>
          <w:sz w:val="17"/>
          <w:szCs w:val="17"/>
          <w:color w:val="auto"/>
        </w:rPr>
        <w:t>”), the portion of such Foreign Proceeds so affected will not be required to be applied to repay Loans or reduce any Commitments hereunder but may be retained by the applicable Foreign Subsidiary so long as such Repatriation Limitation exists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4.4(f)</w:t>
      </w:r>
      <w:r>
        <w:rPr>
          <w:rFonts w:ascii="Arial" w:cs="Arial" w:eastAsia="Arial" w:hAnsi="Arial"/>
          <w:sz w:val="17"/>
          <w:szCs w:val="17"/>
          <w:color w:val="auto"/>
        </w:rPr>
        <w:t xml:space="preserve">. For the avoidance of doubt, nothing in this </w:t>
      </w:r>
      <w:r>
        <w:rPr>
          <w:rFonts w:ascii="Arial" w:cs="Arial" w:eastAsia="Arial" w:hAnsi="Arial"/>
          <w:sz w:val="17"/>
          <w:szCs w:val="17"/>
          <w:u w:val="single" w:color="auto"/>
          <w:color w:val="auto"/>
        </w:rPr>
        <w:t>Section 4.4(g)</w:t>
      </w:r>
      <w:r>
        <w:rPr>
          <w:rFonts w:ascii="Arial" w:cs="Arial" w:eastAsia="Arial" w:hAnsi="Arial"/>
          <w:sz w:val="17"/>
          <w:szCs w:val="17"/>
          <w:color w:val="auto"/>
        </w:rPr>
        <w:t xml:space="preserve">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 Event of Default or an Event of Default and such amounts shall be available by Crown Holdings and its Subsidiaries for purposes not prohibited by this Agreement.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Application of Prepayments; Waiver of Certain Prepayments</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263"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rPr>
        <w:t xml:space="preserve">. Except as expressly provided in this Agreement, all prepayments of principal made by Borrowers (1)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4.4(a)</w:t>
      </w:r>
      <w:r>
        <w:rPr>
          <w:rFonts w:ascii="Arial" w:cs="Arial" w:eastAsia="Arial" w:hAnsi="Arial"/>
          <w:sz w:val="18"/>
          <w:szCs w:val="18"/>
          <w:color w:val="auto"/>
        </w:rPr>
        <w:t>) shall be applied (i) as directed by the applicable Borrower under any Term Facility to any or all of the remaining Scheduled Term Repayments of such Term Facility (in the amounts and in the order of maturity designated by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276" w:name="page277"/>
    <w:bookmarkEnd w:id="27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order is designated, such prepayments shall be applied to the remaining Scheduled Term Prepayments in direct order of maturity); (ii) within each Term Facility, first to the payment of Base Rate Loans and second to the payment of </w:t>
      </w:r>
      <w:r>
        <w:rPr>
          <w:rFonts w:ascii="Arial" w:cs="Arial" w:eastAsia="Arial" w:hAnsi="Arial"/>
          <w:sz w:val="16"/>
          <w:szCs w:val="16"/>
          <w:u w:val="single" w:color="auto"/>
          <w:color w:val="0000FF"/>
        </w:rPr>
        <w:t>SOFR Loans and</w:t>
      </w:r>
      <w:r>
        <w:rPr>
          <w:rFonts w:ascii="Arial" w:cs="Arial" w:eastAsia="Arial" w:hAnsi="Arial"/>
          <w:sz w:val="16"/>
          <w:szCs w:val="16"/>
          <w:color w:val="auto"/>
        </w:rPr>
        <w:t xml:space="preserve"> Eurocurrency Loans; and (iii) with respect to </w:t>
      </w:r>
      <w:r>
        <w:rPr>
          <w:rFonts w:ascii="Arial" w:cs="Arial" w:eastAsia="Arial" w:hAnsi="Arial"/>
          <w:sz w:val="16"/>
          <w:szCs w:val="16"/>
          <w:u w:val="single" w:color="auto"/>
          <w:color w:val="0000FF"/>
        </w:rPr>
        <w:t>SOFR Loans and</w:t>
      </w:r>
      <w:r>
        <w:rPr>
          <w:rFonts w:ascii="Arial" w:cs="Arial" w:eastAsia="Arial" w:hAnsi="Arial"/>
          <w:sz w:val="16"/>
          <w:szCs w:val="16"/>
          <w:color w:val="auto"/>
        </w:rPr>
        <w:t xml:space="preserve"> Eurocurrency Loans, in such order as Borrowers shall request (and in the absence of such request, as Administrative Agent shall determine) and (2) pursuant to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shall be applied (i) within each Revolving Facility, first to the payment of Base Rate Loans and second to the payment of </w:t>
      </w:r>
      <w:r>
        <w:rPr>
          <w:rFonts w:ascii="Arial" w:cs="Arial" w:eastAsia="Arial" w:hAnsi="Arial"/>
          <w:sz w:val="16"/>
          <w:szCs w:val="16"/>
          <w:u w:val="single" w:color="auto"/>
          <w:color w:val="0000FF"/>
        </w:rPr>
        <w:t>SOFR Loans and</w:t>
      </w:r>
      <w:r>
        <w:rPr>
          <w:rFonts w:ascii="Arial" w:cs="Arial" w:eastAsia="Arial" w:hAnsi="Arial"/>
          <w:sz w:val="16"/>
          <w:szCs w:val="16"/>
          <w:color w:val="auto"/>
        </w:rPr>
        <w:t xml:space="preserve"> Eurocurrency Loans; and (ii) with respect to </w:t>
      </w:r>
      <w:r>
        <w:rPr>
          <w:rFonts w:ascii="Arial" w:cs="Arial" w:eastAsia="Arial" w:hAnsi="Arial"/>
          <w:sz w:val="16"/>
          <w:szCs w:val="16"/>
          <w:u w:val="single" w:color="auto"/>
          <w:color w:val="0000FF"/>
        </w:rPr>
        <w:t>SOFR Loans and</w:t>
      </w:r>
      <w:r>
        <w:rPr>
          <w:rFonts w:ascii="Arial" w:cs="Arial" w:eastAsia="Arial" w:hAnsi="Arial"/>
          <w:sz w:val="16"/>
          <w:szCs w:val="16"/>
          <w:color w:val="auto"/>
        </w:rPr>
        <w:t xml:space="preserve"> Eurocurrency Loans, in such order as Borrowers shall request (and in the absence of such request, as Administrative Agent shall determine); and (iii) within Canadian Revolving Loans, first to the payment of Canadian Prime Rate Loans and second to the cash collateralization of outstanding B/A Loans in accordance with the cash collateralization provisions set forth in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in which case, the aggregate amount of the prepayment that would have been applied to prepay Term Loans but was so declined may be retained by the Borrower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xml:space="preserve">”). All prepayments shall include payment of accrued interest on the principal amount so prepaid, shall be applied to the payment of interest before application to principal and shall include amounts payable, if any, under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-1517015</wp:posOffset>
            </wp:positionV>
            <wp:extent cx="78867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-1379855</wp:posOffset>
            </wp:positionV>
            <wp:extent cx="78867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-1105535</wp:posOffset>
            </wp:positionV>
            <wp:extent cx="77978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-1105535</wp:posOffset>
            </wp:positionV>
            <wp:extent cx="78867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6" w:lineRule="exact"/>
        <w:rPr>
          <w:sz w:val="20"/>
          <w:szCs w:val="20"/>
          <w:color w:val="auto"/>
        </w:rPr>
      </w:pPr>
    </w:p>
    <w:p>
      <w:pPr>
        <w:ind w:right="80" w:firstLine="436"/>
        <w:spacing w:after="0" w:line="257"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regular installment payments of principal on the Term Loans shall be applied (i) first to the payment of Base Rate Loans and second to the payment of </w:t>
      </w:r>
      <w:r>
        <w:rPr>
          <w:rFonts w:ascii="Arial" w:cs="Arial" w:eastAsia="Arial" w:hAnsi="Arial"/>
          <w:sz w:val="18"/>
          <w:szCs w:val="18"/>
          <w:u w:val="single" w:color="auto"/>
          <w:color w:val="0000FF"/>
        </w:rPr>
        <w:t>SOFR Loans and</w:t>
      </w:r>
      <w:r>
        <w:rPr>
          <w:rFonts w:ascii="Arial" w:cs="Arial" w:eastAsia="Arial" w:hAnsi="Arial"/>
          <w:sz w:val="18"/>
          <w:szCs w:val="18"/>
          <w:color w:val="auto"/>
        </w:rPr>
        <w:t xml:space="preserve"> Eurocurrency Loans and (ii) with respect to </w:t>
      </w:r>
      <w:r>
        <w:rPr>
          <w:rFonts w:ascii="Arial" w:cs="Arial" w:eastAsia="Arial" w:hAnsi="Arial"/>
          <w:sz w:val="18"/>
          <w:szCs w:val="18"/>
          <w:u w:val="single" w:color="auto"/>
          <w:color w:val="0000FF"/>
        </w:rPr>
        <w:t>SOFR Loans and</w:t>
      </w:r>
      <w:r>
        <w:rPr>
          <w:rFonts w:ascii="Arial" w:cs="Arial" w:eastAsia="Arial" w:hAnsi="Arial"/>
          <w:sz w:val="18"/>
          <w:szCs w:val="18"/>
          <w:color w:val="auto"/>
        </w:rPr>
        <w:t xml:space="preserve"> Eurocurrency Loans, in such order as Borrowers shall request (and in the absence of such request, as Administrative Agent shall determine). All payments shall include payment of accrued and unpaid interest on the principal amount so paid, shall be applied to the payment of interest before application to principal and shall include amounts payable, if any, under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-410845</wp:posOffset>
            </wp:positionV>
            <wp:extent cx="78867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-410845</wp:posOffset>
            </wp:positionV>
            <wp:extent cx="78867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Method and Place of Payment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0000FF"/>
        </w:rPr>
        <w:t xml:space="preserve">(i) </w:t>
      </w:r>
      <w:r>
        <w:rPr>
          <w:rFonts w:ascii="Arial" w:cs="Arial" w:eastAsia="Arial" w:hAnsi="Arial"/>
          <w:sz w:val="16"/>
          <w:szCs w:val="16"/>
          <w:color w:val="000000"/>
        </w:rPr>
        <w:t>Except as otherwise specifically provided herein, all payments under this Agreement shall be made to Administrative Agent, for the ratable</w:t>
      </w:r>
      <w:r>
        <w:rPr>
          <w:rFonts w:ascii="Arial" w:cs="Arial" w:eastAsia="Arial" w:hAnsi="Arial"/>
          <w:sz w:val="16"/>
          <w:szCs w:val="16"/>
          <w:color w:val="0000FF"/>
        </w:rPr>
        <w:t xml:space="preserve"> </w:t>
      </w:r>
      <w:r>
        <w:rPr>
          <w:rFonts w:ascii="Arial" w:cs="Arial" w:eastAsia="Arial" w:hAnsi="Arial"/>
          <w:sz w:val="16"/>
          <w:szCs w:val="16"/>
          <w:color w:val="000000"/>
        </w:rPr>
        <w:t>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-1793875</wp:posOffset>
            </wp:positionV>
            <wp:extent cx="17145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-1828165</wp:posOffset>
            </wp:positionV>
            <wp:extent cx="16510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277" w:name="page278"/>
    <w:bookmarkEnd w:id="277"/>
    <w:p>
      <w:pPr>
        <w:ind w:firstLine="436"/>
        <w:spacing w:after="0" w:line="286" w:lineRule="auto"/>
        <w:tabs>
          <w:tab w:leader="none" w:pos="705" w:val="left"/>
        </w:tabs>
        <w:numPr>
          <w:ilvl w:val="0"/>
          <w:numId w:val="151"/>
        </w:numPr>
        <w:rPr>
          <w:rFonts w:ascii="Arial" w:cs="Arial" w:eastAsia="Arial" w:hAnsi="Arial"/>
          <w:sz w:val="16"/>
          <w:szCs w:val="16"/>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 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-1932940</wp:posOffset>
            </wp:positionV>
            <wp:extent cx="16256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39" w:lineRule="exact"/>
        <w:rPr>
          <w:sz w:val="20"/>
          <w:szCs w:val="20"/>
          <w:color w:val="auto"/>
        </w:rPr>
      </w:pPr>
    </w:p>
    <w:p>
      <w:pPr>
        <w:ind w:right="200" w:firstLine="436"/>
        <w:spacing w:after="0" w:line="291" w:lineRule="auto"/>
        <w:tabs>
          <w:tab w:leader="none" w:pos="6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w:t>
      </w:r>
      <w:r>
        <w:rPr>
          <w:rFonts w:ascii="Arial" w:cs="Arial" w:eastAsia="Arial" w:hAnsi="Arial"/>
          <w:sz w:val="16"/>
          <w:szCs w:val="16"/>
          <w:u w:val="single" w:color="auto"/>
          <w:color w:val="0000FF"/>
        </w:rPr>
        <w:t>SOFR Loans,</w:t>
      </w:r>
      <w:r>
        <w:rPr>
          <w:rFonts w:ascii="Arial" w:cs="Arial" w:eastAsia="Arial" w:hAnsi="Arial"/>
          <w:sz w:val="16"/>
          <w:szCs w:val="16"/>
          <w:color w:val="auto"/>
        </w:rPr>
        <w:t xml:space="preserve"> Eurocurrency Loans </w:t>
      </w:r>
      <w:r>
        <w:rPr>
          <w:rFonts w:ascii="Arial" w:cs="Arial" w:eastAsia="Arial" w:hAnsi="Arial"/>
          <w:sz w:val="16"/>
          <w:szCs w:val="16"/>
          <w:color w:val="0000FF"/>
        </w:rPr>
        <w:t>and Daily Simple RFR Loans</w:t>
      </w:r>
      <w:r>
        <w:rPr>
          <w:rFonts w:ascii="Arial" w:cs="Arial" w:eastAsia="Arial" w:hAnsi="Arial"/>
          <w:sz w:val="16"/>
          <w:szCs w:val="16"/>
          <w:color w:val="auto"/>
        </w:rPr>
        <w:t>, if such next succeeding Business Day is not in the same month as the date on which such payment would otherwise be due hereunder or under any Note, the due date with respect thereto shall be the next preceding applicable Business Day.</w:t>
      </w:r>
    </w:p>
    <w:p>
      <w:pPr>
        <w:spacing w:after="0" w:line="58" w:lineRule="exact"/>
        <w:rPr>
          <w:rFonts w:ascii="Arial" w:cs="Arial" w:eastAsia="Arial" w:hAnsi="Arial"/>
          <w:sz w:val="16"/>
          <w:szCs w:val="16"/>
          <w:color w:val="auto"/>
        </w:rPr>
      </w:pPr>
    </w:p>
    <w:p>
      <w:pPr>
        <w:ind w:right="40" w:firstLine="436"/>
        <w:spacing w:after="0" w:line="270" w:lineRule="auto"/>
        <w:tabs>
          <w:tab w:leader="none" w:pos="68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 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 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Canadian Dollars or any Alternative Currency) for the first three days and thereafter at the Federal Funds Rate (or such cost of funds rate) plus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-1581150</wp:posOffset>
            </wp:positionV>
            <wp:extent cx="62547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-1581150</wp:posOffset>
            </wp:positionV>
            <wp:extent cx="13798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-1615440</wp:posOffset>
            </wp:positionV>
            <wp:extent cx="13804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0"/>
          </w:cols>
          <w:pgMar w:left="440" w:top="274" w:right="459" w:bottom="1440" w:gutter="0" w:footer="0" w:header="0"/>
        </w:sectPr>
      </w:pPr>
    </w:p>
    <w:bookmarkStart w:id="278" w:name="page279"/>
    <w:bookmarkEnd w:id="2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Arial" w:cs="Arial" w:eastAsia="Arial" w:hAnsi="Arial"/>
          <w:sz w:val="18"/>
          <w:szCs w:val="18"/>
          <w:u w:val="single" w:color="auto"/>
          <w:color w:val="auto"/>
        </w:rPr>
        <w:t>Net Payments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4.7(f)</w:t>
      </w:r>
      <w:r>
        <w:rPr>
          <w:rFonts w:ascii="Arial" w:cs="Arial" w:eastAsia="Arial" w:hAnsi="Arial"/>
          <w:sz w:val="17"/>
          <w:szCs w:val="17"/>
          <w:color w:val="auto"/>
        </w:rPr>
        <w:t xml:space="preserve">,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Credit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7"/>
          <w:szCs w:val="17"/>
          <w:u w:val="single" w:color="auto"/>
          <w:color w:val="auto"/>
        </w:rPr>
        <w:t>Section 4.7(a)</w:t>
      </w:r>
      <w:r>
        <w:rPr>
          <w:rFonts w:ascii="Arial" w:cs="Arial" w:eastAsia="Arial" w:hAnsi="Arial"/>
          <w:sz w:val="17"/>
          <w:szCs w:val="17"/>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76" w:lineRule="exact"/>
        <w:rPr>
          <w:rFonts w:ascii="Arial" w:cs="Arial" w:eastAsia="Arial" w:hAnsi="Arial"/>
          <w:sz w:val="17"/>
          <w:szCs w:val="17"/>
          <w:color w:val="auto"/>
        </w:rPr>
      </w:pPr>
    </w:p>
    <w:p>
      <w:pPr>
        <w:ind w:right="106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Credit Parties shall timely pay to the relevant Governmental Authority in accordance with applicable law, or at the option of Administrative Agent timely reimburse it for the payment of, any Other Taxes.</w:t>
      </w:r>
    </w:p>
    <w:p>
      <w:pPr>
        <w:spacing w:after="0" w:line="62" w:lineRule="exact"/>
        <w:rPr>
          <w:rFonts w:ascii="Arial" w:cs="Arial" w:eastAsia="Arial" w:hAnsi="Arial"/>
          <w:sz w:val="18"/>
          <w:szCs w:val="18"/>
          <w:color w:val="auto"/>
        </w:rPr>
      </w:pPr>
    </w:p>
    <w:p>
      <w:pPr>
        <w:ind w:firstLine="436"/>
        <w:spacing w:after="0" w:line="288" w:lineRule="auto"/>
        <w:tabs>
          <w:tab w:leader="none" w:pos="6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4.7(f)</w:t>
      </w:r>
      <w:r>
        <w:rPr>
          <w:rFonts w:ascii="Arial" w:cs="Arial" w:eastAsia="Arial" w:hAnsi="Arial"/>
          <w:sz w:val="16"/>
          <w:szCs w:val="16"/>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Recipient does not notify the applicable Credit Party of any indemnification claim under this </w:t>
      </w:r>
      <w:r>
        <w:rPr>
          <w:rFonts w:ascii="Arial" w:cs="Arial" w:eastAsia="Arial" w:hAnsi="Arial"/>
          <w:sz w:val="16"/>
          <w:szCs w:val="16"/>
          <w:u w:val="single" w:color="auto"/>
          <w:color w:val="auto"/>
        </w:rPr>
        <w:t>Section 4.7(c)</w:t>
      </w:r>
      <w:r>
        <w:rPr>
          <w:rFonts w:ascii="Arial" w:cs="Arial" w:eastAsia="Arial" w:hAnsi="Arial"/>
          <w:sz w:val="16"/>
          <w:szCs w:val="16"/>
          <w:color w:val="auto"/>
        </w:rPr>
        <w:t xml:space="preserve"> within 120 days after such Recipient has received written notice of the 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60" w:lineRule="exact"/>
        <w:rPr>
          <w:rFonts w:ascii="Arial" w:cs="Arial" w:eastAsia="Arial" w:hAnsi="Arial"/>
          <w:sz w:val="16"/>
          <w:szCs w:val="16"/>
          <w:color w:val="auto"/>
        </w:rPr>
      </w:pPr>
    </w:p>
    <w:p>
      <w:pPr>
        <w:ind w:right="100" w:firstLine="436"/>
        <w:spacing w:after="0" w:line="255"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4.7(f)</w:t>
      </w:r>
      <w:r>
        <w:rPr>
          <w:rFonts w:ascii="Arial" w:cs="Arial" w:eastAsia="Arial" w:hAnsi="Arial"/>
          <w:sz w:val="18"/>
          <w:szCs w:val="18"/>
          <w:color w:val="auto"/>
        </w:rPr>
        <w:t>,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74" w:right="459" w:bottom="1440" w:gutter="0" w:footer="0" w:header="0"/>
        </w:sectPr>
      </w:pPr>
    </w:p>
    <w:bookmarkStart w:id="279" w:name="page280"/>
    <w:bookmarkEnd w:id="27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change in circumstances renders such documentation (including any specific documents required below in this </w:t>
      </w:r>
      <w:r>
        <w:rPr>
          <w:rFonts w:ascii="Arial" w:cs="Arial" w:eastAsia="Arial" w:hAnsi="Arial"/>
          <w:sz w:val="18"/>
          <w:szCs w:val="18"/>
          <w:u w:val="single" w:color="auto"/>
          <w:color w:val="auto"/>
        </w:rPr>
        <w:t>Section 4.7(d)</w:t>
      </w:r>
      <w:r>
        <w:rPr>
          <w:rFonts w:ascii="Arial" w:cs="Arial" w:eastAsia="Arial" w:hAnsi="Arial"/>
          <w:sz w:val="18"/>
          <w:szCs w:val="18"/>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79" w:lineRule="exact"/>
        <w:rPr>
          <w:sz w:val="20"/>
          <w:szCs w:val="20"/>
          <w:color w:val="auto"/>
        </w:rPr>
      </w:pPr>
    </w:p>
    <w:p>
      <w:pPr>
        <w:ind w:right="140" w:firstLine="436"/>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with respect to each Lender receiving payments in respect of any Loans, Letters of Credit, or Commitments provided to U.S. Borrower:</w:t>
      </w:r>
    </w:p>
    <w:p>
      <w:pPr>
        <w:spacing w:after="0" w:line="62" w:lineRule="exact"/>
        <w:rPr>
          <w:sz w:val="20"/>
          <w:szCs w:val="20"/>
          <w:color w:val="auto"/>
        </w:rPr>
      </w:pPr>
    </w:p>
    <w:p>
      <w:pPr>
        <w:ind w:left="440" w:right="200" w:firstLine="952"/>
        <w:spacing w:after="0" w:line="263" w:lineRule="auto"/>
        <w:rPr>
          <w:sz w:val="20"/>
          <w:szCs w:val="20"/>
          <w:color w:val="auto"/>
        </w:rPr>
      </w:pPr>
      <w:r>
        <w:rPr>
          <w:rFonts w:ascii="Arial" w:cs="Arial" w:eastAsia="Arial" w:hAnsi="Arial"/>
          <w:sz w:val="18"/>
          <w:szCs w:val="18"/>
          <w:color w:val="auto"/>
        </w:rPr>
        <w:t>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76" w:lineRule="exact"/>
        <w:rPr>
          <w:sz w:val="20"/>
          <w:szCs w:val="20"/>
          <w:color w:val="auto"/>
        </w:rPr>
      </w:pPr>
    </w:p>
    <w:p>
      <w:pPr>
        <w:ind w:left="440" w:right="280" w:firstLine="952"/>
        <w:spacing w:after="0" w:line="259" w:lineRule="auto"/>
        <w:rPr>
          <w:sz w:val="20"/>
          <w:szCs w:val="20"/>
          <w:color w:val="auto"/>
        </w:rPr>
      </w:pPr>
      <w:r>
        <w:rPr>
          <w:rFonts w:ascii="Arial" w:cs="Arial" w:eastAsia="Arial" w:hAnsi="Arial"/>
          <w:sz w:val="18"/>
          <w:szCs w:val="18"/>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79" w:lineRule="exact"/>
        <w:rPr>
          <w:sz w:val="20"/>
          <w:szCs w:val="20"/>
          <w:color w:val="auto"/>
        </w:rPr>
      </w:pPr>
    </w:p>
    <w:p>
      <w:pPr>
        <w:ind w:left="980" w:right="140" w:firstLine="408"/>
        <w:spacing w:after="0" w:line="277" w:lineRule="auto"/>
        <w:tabs>
          <w:tab w:leader="none" w:pos="160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duly executed, properly completed originals of IRS Form W-8BEN or Form W-8BEN-E, as applicable, or any successor thereto, claiming eligibility for benefits of an income tax treaty to which the United States is a party;</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duly executed, properly completed originals of IRS Form W-8ECI or any successor thereto;</w:t>
      </w:r>
    </w:p>
    <w:p>
      <w:pPr>
        <w:spacing w:after="0" w:line="117" w:lineRule="exact"/>
        <w:rPr>
          <w:sz w:val="20"/>
          <w:szCs w:val="20"/>
          <w:color w:val="auto"/>
        </w:rPr>
      </w:pPr>
    </w:p>
    <w:p>
      <w:pPr>
        <w:ind w:left="1740" w:hanging="352"/>
        <w:spacing w:after="0"/>
        <w:tabs>
          <w:tab w:leader="none" w:pos="174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jc w:val="center"/>
        <w:ind w:left="980" w:right="220" w:firstLine="7"/>
        <w:spacing w:after="0" w:line="281" w:lineRule="auto"/>
        <w:tabs>
          <w:tab w:leader="none" w:pos="12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 certificate, in substantially the form of </w:t>
      </w:r>
      <w:r>
        <w:rPr>
          <w:rFonts w:ascii="Arial" w:cs="Arial" w:eastAsia="Arial" w:hAnsi="Arial"/>
          <w:sz w:val="16"/>
          <w:szCs w:val="16"/>
          <w:u w:val="single" w:color="auto"/>
          <w:color w:val="auto"/>
        </w:rPr>
        <w:t>Exhibit 4.7(d)</w:t>
      </w:r>
      <w:r>
        <w:rPr>
          <w:rFonts w:ascii="Arial" w:cs="Arial" w:eastAsia="Arial" w:hAnsi="Arial"/>
          <w:sz w:val="16"/>
          <w:szCs w:val="16"/>
          <w:color w:val="auto"/>
        </w:rPr>
        <w:t>, to the effect that (i) such Non-U.S. Lender is not (A) a “bank” within the meaning of Section 881(c)(3)(A) of the Code, (B) a “10 percent shareholder” of U.S. Borrower within the meaning of Section 881(c)(3)</w:t>
      </w:r>
    </w:p>
    <w:p>
      <w:pPr>
        <w:spacing w:after="0" w:line="1" w:lineRule="exact"/>
        <w:rPr>
          <w:rFonts w:ascii="Arial" w:cs="Arial" w:eastAsia="Arial" w:hAnsi="Arial"/>
          <w:sz w:val="16"/>
          <w:szCs w:val="16"/>
          <w:color w:val="auto"/>
        </w:rPr>
      </w:pPr>
    </w:p>
    <w:p>
      <w:pPr>
        <w:ind w:left="980"/>
        <w:spacing w:after="0" w:line="277" w:lineRule="auto"/>
        <w:rPr>
          <w:rFonts w:ascii="Arial" w:cs="Arial" w:eastAsia="Arial" w:hAnsi="Arial"/>
          <w:sz w:val="16"/>
          <w:szCs w:val="16"/>
          <w:color w:val="auto"/>
        </w:rPr>
      </w:pPr>
      <w:r>
        <w:rPr>
          <w:rFonts w:ascii="Arial" w:cs="Arial" w:eastAsia="Arial" w:hAnsi="Arial"/>
          <w:sz w:val="17"/>
          <w:szCs w:val="17"/>
          <w:color w:val="auto"/>
        </w:rPr>
        <w:t>(B) of the Code, or (C) a “controlled foreign corporation” described in Section 881(c)(3)(C) of the Code, and (ii) interest payments on the Loans are not effectively connected with the Non-U.S. Lender’s conduct of a U.S. trade or business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duly executed, properly completed copies of IRS Form W-8BEN or Form W-8BEN-E, as applicable;</w:t>
      </w:r>
    </w:p>
    <w:p>
      <w:pPr>
        <w:spacing w:after="0" w:line="65" w:lineRule="exact"/>
        <w:rPr>
          <w:sz w:val="20"/>
          <w:szCs w:val="20"/>
          <w:color w:val="auto"/>
        </w:rPr>
      </w:pPr>
    </w:p>
    <w:p>
      <w:pPr>
        <w:ind w:left="980" w:right="140" w:firstLine="401"/>
        <w:spacing w:after="0" w:line="269" w:lineRule="auto"/>
        <w:rPr>
          <w:sz w:val="20"/>
          <w:szCs w:val="20"/>
          <w:color w:val="auto"/>
        </w:rPr>
      </w:pPr>
      <w:r>
        <w:rPr>
          <w:rFonts w:ascii="Arial" w:cs="Arial" w:eastAsia="Arial" w:hAnsi="Arial"/>
          <w:sz w:val="17"/>
          <w:szCs w:val="17"/>
          <w:color w:val="auto"/>
        </w:rPr>
        <w:t>(IV)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Form W-8BEN-E, a U.S. Tax Compliance Certificate, Form W-8IMY, or any other required information, or any successor forms, from each beneficial owner that would be required under this</w:t>
      </w:r>
    </w:p>
    <w:p>
      <w:pPr>
        <w:spacing w:after="0" w:line="2"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if such beneficial owner were a Lender,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for U.S. federal income tax purposes (and not a participating Lender), and one or more beneficial owners are claiming the portfolio interest exemption, the U.S. Tax Compliance Certificate may be provided by such Non-U.S. Lender on behalf of such beneficial owners, provided such certificates are duly executed and properly completed originals), or any other form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280" w:name="page281"/>
    <w:bookmarkEnd w:id="280"/>
    <w:p>
      <w:pPr>
        <w:ind w:left="940"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76" w:lineRule="exact"/>
        <w:rPr>
          <w:sz w:val="20"/>
          <w:szCs w:val="20"/>
          <w:color w:val="auto"/>
        </w:rPr>
      </w:pPr>
    </w:p>
    <w:p>
      <w:pPr>
        <w:ind w:left="940" w:firstLine="408"/>
        <w:spacing w:after="0" w:line="311" w:lineRule="auto"/>
        <w:tabs>
          <w:tab w:leader="none" w:pos="163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41" w:lineRule="exact"/>
        <w:rPr>
          <w:sz w:val="20"/>
          <w:szCs w:val="20"/>
          <w:color w:val="auto"/>
        </w:rPr>
      </w:pPr>
    </w:p>
    <w:p>
      <w:pPr>
        <w:ind w:left="400" w:right="100" w:firstLine="952"/>
        <w:spacing w:after="0" w:line="270" w:lineRule="auto"/>
        <w:rPr>
          <w:sz w:val="20"/>
          <w:szCs w:val="20"/>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73" w:lineRule="exact"/>
        <w:rPr>
          <w:sz w:val="20"/>
          <w:szCs w:val="20"/>
          <w:color w:val="auto"/>
        </w:rPr>
      </w:pPr>
    </w:p>
    <w:p>
      <w:pPr>
        <w:ind w:left="-40" w:right="160" w:firstLine="436"/>
        <w:spacing w:after="0" w:line="277" w:lineRule="auto"/>
        <w:tabs>
          <w:tab w:leader="none" w:pos="6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4.7(d)</w:t>
      </w:r>
      <w:r>
        <w:rPr>
          <w:rFonts w:ascii="Arial" w:cs="Arial" w:eastAsia="Arial" w:hAnsi="Arial"/>
          <w:sz w:val="18"/>
          <w:szCs w:val="18"/>
          <w:color w:val="auto"/>
        </w:rPr>
        <w:t>, a Lender shall not be required to deliver any form that such Lender is not legally eligible to deliver.</w:t>
      </w:r>
    </w:p>
    <w:p>
      <w:pPr>
        <w:spacing w:after="0" w:line="62" w:lineRule="exact"/>
        <w:rPr>
          <w:rFonts w:ascii="Arial" w:cs="Arial" w:eastAsia="Arial" w:hAnsi="Arial"/>
          <w:sz w:val="18"/>
          <w:szCs w:val="18"/>
          <w:color w:val="auto"/>
        </w:rPr>
      </w:pPr>
    </w:p>
    <w:p>
      <w:pPr>
        <w:ind w:left="-40" w:right="380" w:firstLine="436"/>
        <w:spacing w:after="0" w:line="277" w:lineRule="auto"/>
        <w:tabs>
          <w:tab w:leader="none" w:pos="71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Each Lender hereby authorizes each Agent to deliver to the Credit Parties and to any other Agent or successor Agent any documentation provided by such Lender to the Agent pursuant to this </w:t>
      </w:r>
      <w:r>
        <w:rPr>
          <w:rFonts w:ascii="Arial" w:cs="Arial" w:eastAsia="Arial" w:hAnsi="Arial"/>
          <w:sz w:val="18"/>
          <w:szCs w:val="18"/>
          <w:u w:val="single" w:color="auto"/>
          <w:color w:val="auto"/>
        </w:rPr>
        <w:t>Section 4.7(d)</w:t>
      </w:r>
      <w:r>
        <w:rPr>
          <w:rFonts w:ascii="Arial" w:cs="Arial" w:eastAsia="Arial" w:hAnsi="Arial"/>
          <w:sz w:val="18"/>
          <w:szCs w:val="18"/>
          <w:color w:val="auto"/>
        </w:rPr>
        <w:t>.</w:t>
      </w:r>
    </w:p>
    <w:p>
      <w:pPr>
        <w:spacing w:after="0" w:line="62" w:lineRule="exact"/>
        <w:rPr>
          <w:sz w:val="20"/>
          <w:szCs w:val="20"/>
          <w:color w:val="auto"/>
        </w:rPr>
      </w:pPr>
    </w:p>
    <w:p>
      <w:pPr>
        <w:ind w:left="640" w:hanging="244"/>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117" w:lineRule="exact"/>
        <w:rPr>
          <w:sz w:val="20"/>
          <w:szCs w:val="20"/>
          <w:color w:val="auto"/>
        </w:rPr>
      </w:pPr>
    </w:p>
    <w:p>
      <w:pPr>
        <w:ind w:left="-40" w:right="40" w:firstLine="436"/>
        <w:spacing w:after="0" w:line="255" w:lineRule="auto"/>
        <w:tabs>
          <w:tab w:leader="none" w:pos="61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pacing w:after="0" w:line="84" w:lineRule="exact"/>
        <w:rPr>
          <w:rFonts w:ascii="Arial" w:cs="Arial" w:eastAsia="Arial" w:hAnsi="Arial"/>
          <w:sz w:val="18"/>
          <w:szCs w:val="18"/>
          <w:color w:val="auto"/>
        </w:rPr>
      </w:pPr>
    </w:p>
    <w:p>
      <w:pPr>
        <w:ind w:left="-40" w:right="40" w:firstLine="436"/>
        <w:spacing w:after="0" w:line="279" w:lineRule="auto"/>
        <w:tabs>
          <w:tab w:leader="none" w:pos="66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If VAT is or becomes chargeable on any supply made by any Recipient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Supplier</w:t>
      </w:r>
      <w:r>
        <w:rPr>
          <w:rFonts w:ascii="Arial" w:cs="Arial" w:eastAsia="Arial" w:hAnsi="Arial"/>
          <w:sz w:val="17"/>
          <w:szCs w:val="17"/>
          <w:color w:val="auto"/>
        </w:rPr>
        <w:t xml:space="preserve">”) to any other Recipient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Customer</w:t>
      </w:r>
      <w:r>
        <w:rPr>
          <w:rFonts w:ascii="Arial" w:cs="Arial" w:eastAsia="Arial" w:hAnsi="Arial"/>
          <w:sz w:val="17"/>
          <w:szCs w:val="17"/>
          <w:color w:val="auto"/>
        </w:rPr>
        <w:t xml:space="preserve">”) under a Loan Document, and any party other than the Customer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Relevant Party</w:t>
      </w:r>
      <w:r>
        <w:rPr>
          <w:rFonts w:ascii="Arial" w:cs="Arial" w:eastAsia="Arial" w:hAnsi="Arial"/>
          <w:sz w:val="17"/>
          <w:szCs w:val="17"/>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20"/>
          </w:cols>
          <w:pgMar w:left="480" w:top="274" w:right="499" w:bottom="1440" w:gutter="0" w:footer="0" w:header="0"/>
        </w:sectPr>
      </w:pPr>
    </w:p>
    <w:bookmarkStart w:id="281" w:name="page282"/>
    <w:bookmarkEnd w:id="281"/>
    <w:p>
      <w:pPr>
        <w:ind w:left="420" w:firstLine="419"/>
        <w:spacing w:after="0" w:line="291" w:lineRule="auto"/>
        <w:tabs>
          <w:tab w:leader="none" w:pos="1138" w:val="left"/>
        </w:tabs>
        <w:numPr>
          <w:ilvl w:val="1"/>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Supplier is the person required to account to the relevant tax authority for the VAT) the Relevant Party must also pay to the Supplier (at the same time as paying that amount) an additional amount equal to the amount of the VAT. The Customer must (where this paragraph</w:t>
      </w:r>
    </w:p>
    <w:p>
      <w:pPr>
        <w:ind w:left="420" w:right="40" w:hanging="4"/>
        <w:spacing w:after="0" w:line="260" w:lineRule="auto"/>
        <w:tabs>
          <w:tab w:leader="none" w:pos="7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applies) promptly pay to the Relevant Party an amount equal to any credit or repayment the Customer receives from the relevant tax authority which the Customer reasonably determines relates to the VAT chargeable on that supply; and</w:t>
      </w:r>
    </w:p>
    <w:p>
      <w:pPr>
        <w:spacing w:after="0" w:line="77" w:lineRule="exact"/>
        <w:rPr>
          <w:rFonts w:ascii="Arial" w:cs="Arial" w:eastAsia="Arial" w:hAnsi="Arial"/>
          <w:sz w:val="18"/>
          <w:szCs w:val="18"/>
          <w:color w:val="auto"/>
        </w:rPr>
      </w:pPr>
    </w:p>
    <w:p>
      <w:pPr>
        <w:ind w:left="420" w:right="200" w:firstLine="419"/>
        <w:spacing w:after="0" w:line="311" w:lineRule="auto"/>
        <w:tabs>
          <w:tab w:leader="none" w:pos="112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40" w:lineRule="exact"/>
        <w:rPr>
          <w:rFonts w:ascii="Arial" w:cs="Arial" w:eastAsia="Arial" w:hAnsi="Arial"/>
          <w:sz w:val="16"/>
          <w:szCs w:val="16"/>
          <w:color w:val="auto"/>
        </w:rPr>
      </w:pPr>
    </w:p>
    <w:p>
      <w:pPr>
        <w:ind w:left="420" w:right="60" w:firstLine="419"/>
        <w:spacing w:after="0" w:line="259" w:lineRule="auto"/>
        <w:tabs>
          <w:tab w:leader="none" w:pos="112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78" w:lineRule="exact"/>
        <w:rPr>
          <w:rFonts w:ascii="Arial" w:cs="Arial" w:eastAsia="Arial" w:hAnsi="Arial"/>
          <w:sz w:val="18"/>
          <w:szCs w:val="18"/>
          <w:color w:val="auto"/>
        </w:rPr>
      </w:pPr>
    </w:p>
    <w:p>
      <w:pPr>
        <w:ind w:left="420" w:right="60" w:firstLine="419"/>
        <w:spacing w:after="0" w:line="286" w:lineRule="auto"/>
        <w:tabs>
          <w:tab w:leader="none" w:pos="113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Any reference in this </w:t>
      </w:r>
      <w:r>
        <w:rPr>
          <w:rFonts w:ascii="Arial" w:cs="Arial" w:eastAsia="Arial" w:hAnsi="Arial"/>
          <w:sz w:val="17"/>
          <w:szCs w:val="17"/>
          <w:u w:val="single" w:color="auto"/>
          <w:color w:val="auto"/>
        </w:rPr>
        <w:t>Section 4.7(e)</w:t>
      </w:r>
      <w:r>
        <w:rPr>
          <w:rFonts w:ascii="Arial" w:cs="Arial" w:eastAsia="Arial" w:hAnsi="Arial"/>
          <w:sz w:val="17"/>
          <w:szCs w:val="17"/>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Arial" w:cs="Arial" w:eastAsia="Arial" w:hAnsi="Arial"/>
          <w:sz w:val="17"/>
          <w:szCs w:val="17"/>
          <w:u w:val="single" w:color="auto"/>
          <w:color w:val="auto"/>
        </w:rPr>
        <w:t>representative member</w:t>
      </w:r>
      <w:r>
        <w:rPr>
          <w:rFonts w:ascii="Arial" w:cs="Arial" w:eastAsia="Arial" w:hAnsi="Arial"/>
          <w:sz w:val="17"/>
          <w:szCs w:val="17"/>
          <w:color w:val="auto"/>
        </w:rPr>
        <w:t>” to have the same meaning as in the Value Added Tax Act 1994).</w:t>
      </w:r>
    </w:p>
    <w:p>
      <w:pPr>
        <w:spacing w:after="0" w:line="57" w:lineRule="exact"/>
        <w:rPr>
          <w:rFonts w:ascii="Arial" w:cs="Arial" w:eastAsia="Arial" w:hAnsi="Arial"/>
          <w:sz w:val="17"/>
          <w:szCs w:val="17"/>
          <w:color w:val="auto"/>
        </w:rPr>
      </w:pPr>
    </w:p>
    <w:p>
      <w:pPr>
        <w:ind w:left="420" w:right="240" w:firstLine="419"/>
        <w:spacing w:after="0" w:line="286" w:lineRule="auto"/>
        <w:tabs>
          <w:tab w:leader="none" w:pos="111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In relation to any supply made by a Recipient to any Credit Party under a Loan Document, if reasonably requested by such Recipient, such Credit Party must promptly provide such Recipient with details of such Credit Party’s VAT registration and such other information as is reasonably requested in connection with such Lender’s VAT reporting requirements in relation to such supply.</w:t>
      </w:r>
    </w:p>
    <w:p>
      <w:pPr>
        <w:spacing w:after="0" w:line="57" w:lineRule="exact"/>
        <w:rPr>
          <w:sz w:val="20"/>
          <w:szCs w:val="20"/>
          <w:color w:val="auto"/>
        </w:rPr>
      </w:pPr>
    </w:p>
    <w:p>
      <w:pPr>
        <w:ind w:left="-20" w:right="280" w:firstLine="436"/>
        <w:spacing w:after="0" w:line="263" w:lineRule="auto"/>
        <w:tabs>
          <w:tab w:leader="none" w:pos="64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United Kingdom Tax Matters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4.7(a)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not apply, and instead the provisions of this </w:t>
      </w:r>
      <w:r>
        <w:rPr>
          <w:rFonts w:ascii="Arial" w:cs="Arial" w:eastAsia="Arial" w:hAnsi="Arial"/>
          <w:sz w:val="18"/>
          <w:szCs w:val="18"/>
          <w:u w:val="single" w:color="auto"/>
          <w:color w:val="auto"/>
        </w:rPr>
        <w:t>Section 4.7(f)</w:t>
      </w:r>
      <w:r>
        <w:rPr>
          <w:rFonts w:ascii="Arial" w:cs="Arial" w:eastAsia="Arial" w:hAnsi="Arial"/>
          <w:sz w:val="18"/>
          <w:szCs w:val="18"/>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Solely for the purposes of this </w:t>
      </w:r>
      <w:r>
        <w:rPr>
          <w:rFonts w:ascii="Arial" w:cs="Arial" w:eastAsia="Arial" w:hAnsi="Arial"/>
          <w:sz w:val="18"/>
          <w:szCs w:val="18"/>
          <w:u w:val="single" w:color="auto"/>
          <w:color w:val="auto"/>
        </w:rPr>
        <w:t>Section 4.7(f)</w:t>
      </w:r>
      <w:r>
        <w:rPr>
          <w:rFonts w:ascii="Arial" w:cs="Arial" w:eastAsia="Arial" w:hAnsi="Arial"/>
          <w:sz w:val="18"/>
          <w:szCs w:val="18"/>
          <w:color w:val="auto"/>
        </w:rPr>
        <w:t>, the following terms shall have the following meanings: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DTTP Filing</w:t>
      </w:r>
      <w:r>
        <w:rPr>
          <w:rFonts w:ascii="Arial" w:cs="Arial" w:eastAsia="Arial" w:hAnsi="Arial"/>
          <w:sz w:val="18"/>
          <w:szCs w:val="18"/>
          <w:color w:val="auto"/>
        </w:rPr>
        <w:t>” means an HM Revenue &amp; Customs’ Form DTTP2 duly completed and filed by a U.K. Borrower, which:</w:t>
      </w:r>
    </w:p>
    <w:p>
      <w:pPr>
        <w:spacing w:after="0" w:line="117" w:lineRule="exact"/>
        <w:rPr>
          <w:sz w:val="20"/>
          <w:szCs w:val="20"/>
          <w:color w:val="auto"/>
        </w:rPr>
      </w:pPr>
    </w:p>
    <w:p>
      <w:pPr>
        <w:ind w:left="960" w:right="380" w:firstLine="408"/>
        <w:spacing w:after="0" w:line="308" w:lineRule="auto"/>
        <w:tabs>
          <w:tab w:leader="none" w:pos="165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where it relates to a Treaty Lender that becomes a Lender on the date of this Agreement is entered into, contains the scheme reference number and jurisdiction of tax residence notified by the Lender to the Administrative Agent, and</w:t>
      </w:r>
    </w:p>
    <w:p>
      <w:pPr>
        <w:spacing w:after="0" w:line="38" w:lineRule="exact"/>
        <w:rPr>
          <w:rFonts w:ascii="Arial" w:cs="Arial" w:eastAsia="Arial" w:hAnsi="Arial"/>
          <w:sz w:val="17"/>
          <w:szCs w:val="17"/>
          <w:color w:val="auto"/>
        </w:rPr>
      </w:pPr>
    </w:p>
    <w:p>
      <w:pPr>
        <w:ind w:left="1400" w:right="380" w:firstLine="391"/>
        <w:spacing w:after="0" w:line="277" w:lineRule="auto"/>
        <w:tabs>
          <w:tab w:leader="none" w:pos="200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where the U.K. Borrower becomes a Borrower on the date this Agreement is entered into, is filed with HM Revenue &amp; Customs within 30 days of the date of this Agreement;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60"/>
          </w:cols>
          <w:pgMar w:left="460" w:top="274" w:right="479" w:bottom="1440" w:gutter="0" w:footer="0" w:header="0"/>
        </w:sectPr>
      </w:pPr>
    </w:p>
    <w:bookmarkStart w:id="282" w:name="page283"/>
    <w:bookmarkEnd w:id="282"/>
    <w:p>
      <w:pPr>
        <w:ind w:left="440" w:right="160" w:firstLine="391"/>
        <w:spacing w:after="0" w:line="277" w:lineRule="auto"/>
        <w:tabs>
          <w:tab w:leader="none" w:pos="1108" w:val="left"/>
        </w:tabs>
        <w:numPr>
          <w:ilvl w:val="1"/>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U.K. Borrower becomes a Borrower after the date this Agreement is entered into, is filed with HM Revenue &amp; Customs within 30 days of the date on which that U.K. Borrower becomes a Borrower; or</w:t>
      </w:r>
    </w:p>
    <w:p>
      <w:pPr>
        <w:spacing w:after="0" w:line="62" w:lineRule="exact"/>
        <w:rPr>
          <w:rFonts w:ascii="Arial" w:cs="Arial" w:eastAsia="Arial" w:hAnsi="Arial"/>
          <w:sz w:val="18"/>
          <w:szCs w:val="18"/>
          <w:color w:val="auto"/>
        </w:rPr>
      </w:pPr>
    </w:p>
    <w:p>
      <w:pPr>
        <w:ind w:firstLine="408"/>
        <w:spacing w:after="0" w:line="263" w:lineRule="auto"/>
        <w:tabs>
          <w:tab w:leader="none" w:pos="6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75" w:lineRule="exact"/>
        <w:rPr>
          <w:rFonts w:ascii="Arial" w:cs="Arial" w:eastAsia="Arial" w:hAnsi="Arial"/>
          <w:sz w:val="18"/>
          <w:szCs w:val="18"/>
          <w:color w:val="auto"/>
        </w:rPr>
      </w:pPr>
    </w:p>
    <w:p>
      <w:pPr>
        <w:ind w:left="440" w:right="420" w:firstLine="391"/>
        <w:spacing w:after="0" w:line="277" w:lineRule="auto"/>
        <w:tabs>
          <w:tab w:leader="none" w:pos="104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where the U.K. Borrower is a Borrower as at the date on which the Treaty Lender becomes a Lender, is filed with HM Revenue &amp; Customs within 30 days of that date; or</w:t>
      </w:r>
    </w:p>
    <w:p>
      <w:pPr>
        <w:spacing w:after="0" w:line="62" w:lineRule="exact"/>
        <w:rPr>
          <w:sz w:val="20"/>
          <w:szCs w:val="20"/>
          <w:color w:val="auto"/>
        </w:rPr>
      </w:pPr>
    </w:p>
    <w:p>
      <w:pPr>
        <w:ind w:left="440" w:right="80" w:firstLine="391"/>
        <w:spacing w:after="0" w:line="277" w:lineRule="auto"/>
        <w:tabs>
          <w:tab w:leader="none" w:pos="110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where the U.K. Borrower is not a Borrower as at the date on which the Treaty Lender becomes a Lender, is filed with HM Revenue &amp; Customs within 30 days of the date on which that U.K. Borrower becomes a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means:</w:t>
      </w:r>
    </w:p>
    <w:p>
      <w:pPr>
        <w:spacing w:after="0" w:line="117" w:lineRule="exact"/>
        <w:rPr>
          <w:sz w:val="20"/>
          <w:szCs w:val="20"/>
          <w:color w:val="auto"/>
        </w:rPr>
      </w:pPr>
    </w:p>
    <w:p>
      <w:pPr>
        <w:ind w:right="220" w:firstLine="408"/>
        <w:spacing w:after="0" w:line="277" w:lineRule="auto"/>
        <w:tabs>
          <w:tab w:leader="none" w:pos="6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Loan Document to a U.K. Borrower and is:</w:t>
      </w:r>
    </w:p>
    <w:p>
      <w:pPr>
        <w:spacing w:after="0" w:line="62" w:lineRule="exact"/>
        <w:rPr>
          <w:rFonts w:ascii="Arial" w:cs="Arial" w:eastAsia="Arial" w:hAnsi="Arial"/>
          <w:sz w:val="18"/>
          <w:szCs w:val="18"/>
          <w:color w:val="auto"/>
        </w:rPr>
      </w:pPr>
    </w:p>
    <w:p>
      <w:pPr>
        <w:ind w:left="1060" w:hanging="229"/>
        <w:spacing w:after="0"/>
        <w:tabs>
          <w:tab w:leader="none" w:pos="10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Lender:</w:t>
      </w:r>
    </w:p>
    <w:p>
      <w:pPr>
        <w:spacing w:after="0" w:line="117" w:lineRule="exact"/>
        <w:rPr>
          <w:rFonts w:ascii="Arial" w:cs="Arial" w:eastAsia="Arial" w:hAnsi="Arial"/>
          <w:sz w:val="18"/>
          <w:szCs w:val="18"/>
          <w:color w:val="auto"/>
        </w:rPr>
      </w:pPr>
    </w:p>
    <w:p>
      <w:pPr>
        <w:ind w:left="1000" w:right="140" w:firstLine="360"/>
        <w:spacing w:after="0" w:line="259" w:lineRule="auto"/>
        <w:tabs>
          <w:tab w:leader="none" w:pos="1616" w:val="left"/>
        </w:tabs>
        <w:numPr>
          <w:ilvl w:val="2"/>
          <w:numId w:val="169"/>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ITA-UK) making an advance to a U.K. Borrower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78" w:lineRule="exact"/>
        <w:rPr>
          <w:rFonts w:ascii="Arial" w:cs="Arial" w:eastAsia="Arial" w:hAnsi="Arial"/>
          <w:sz w:val="18"/>
          <w:szCs w:val="18"/>
          <w:color w:val="auto"/>
        </w:rPr>
      </w:pPr>
    </w:p>
    <w:p>
      <w:pPr>
        <w:ind w:left="1000" w:right="100" w:firstLine="360"/>
        <w:spacing w:after="0" w:line="286" w:lineRule="auto"/>
        <w:tabs>
          <w:tab w:leader="none" w:pos="1616" w:val="left"/>
        </w:tabs>
        <w:numPr>
          <w:ilvl w:val="2"/>
          <w:numId w:val="169"/>
        </w:numPr>
        <w:rPr>
          <w:rFonts w:ascii="Arial" w:cs="Arial" w:eastAsia="Arial" w:hAnsi="Arial"/>
          <w:sz w:val="17"/>
          <w:szCs w:val="17"/>
          <w:color w:val="auto"/>
        </w:rPr>
      </w:pPr>
      <w:r>
        <w:rPr>
          <w:rFonts w:ascii="Arial" w:cs="Arial" w:eastAsia="Arial" w:hAnsi="Arial"/>
          <w:sz w:val="17"/>
          <w:szCs w:val="17"/>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57" w:lineRule="exact"/>
        <w:rPr>
          <w:sz w:val="20"/>
          <w:szCs w:val="20"/>
          <w:color w:val="auto"/>
        </w:rPr>
      </w:pPr>
    </w:p>
    <w:p>
      <w:pPr>
        <w:ind w:left="1120" w:hanging="289"/>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117" w:lineRule="exact"/>
        <w:rPr>
          <w:rFonts w:ascii="Arial" w:cs="Arial" w:eastAsia="Arial" w:hAnsi="Arial"/>
          <w:sz w:val="18"/>
          <w:szCs w:val="18"/>
          <w:color w:val="auto"/>
        </w:rPr>
      </w:pPr>
    </w:p>
    <w:p>
      <w:pPr>
        <w:ind w:left="1620" w:hanging="260"/>
        <w:spacing w:after="0"/>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rFonts w:ascii="Arial" w:cs="Arial" w:eastAsia="Arial" w:hAnsi="Arial"/>
          <w:sz w:val="18"/>
          <w:szCs w:val="18"/>
          <w:color w:val="auto"/>
        </w:rPr>
      </w:pPr>
    </w:p>
    <w:p>
      <w:pPr>
        <w:ind w:left="1620" w:hanging="260"/>
        <w:spacing w:after="0"/>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rFonts w:ascii="Arial" w:cs="Arial" w:eastAsia="Arial" w:hAnsi="Arial"/>
          <w:sz w:val="18"/>
          <w:szCs w:val="18"/>
          <w:color w:val="auto"/>
        </w:rPr>
      </w:pPr>
    </w:p>
    <w:p>
      <w:pPr>
        <w:ind w:left="2020" w:hanging="237"/>
        <w:spacing w:after="0"/>
        <w:tabs>
          <w:tab w:leader="none" w:pos="202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9980"/>
          </w:cols>
          <w:pgMar w:left="1420" w:top="274" w:right="499" w:bottom="1440" w:gutter="0" w:footer="0" w:header="0"/>
        </w:sectPr>
      </w:pPr>
    </w:p>
    <w:bookmarkStart w:id="283" w:name="page284"/>
    <w:bookmarkEnd w:id="283"/>
    <w:p>
      <w:pPr>
        <w:ind w:left="1980" w:firstLine="343"/>
        <w:spacing w:after="0" w:line="259" w:lineRule="auto"/>
        <w:tabs>
          <w:tab w:leader="none" w:pos="2578" w:val="left"/>
        </w:tabs>
        <w:numPr>
          <w:ilvl w:val="3"/>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78" w:lineRule="exact"/>
        <w:rPr>
          <w:rFonts w:ascii="Arial" w:cs="Arial" w:eastAsia="Arial" w:hAnsi="Arial"/>
          <w:sz w:val="18"/>
          <w:szCs w:val="18"/>
          <w:color w:val="auto"/>
        </w:rPr>
      </w:pPr>
    </w:p>
    <w:p>
      <w:pPr>
        <w:ind w:left="1540" w:right="580" w:firstLine="360"/>
        <w:spacing w:after="0" w:line="286" w:lineRule="auto"/>
        <w:tabs>
          <w:tab w:leader="none" w:pos="2156" w:val="left"/>
        </w:tabs>
        <w:numPr>
          <w:ilvl w:val="2"/>
          <w:numId w:val="172"/>
        </w:numPr>
        <w:rPr>
          <w:rFonts w:ascii="Arial" w:cs="Arial" w:eastAsia="Arial" w:hAnsi="Arial"/>
          <w:sz w:val="17"/>
          <w:szCs w:val="17"/>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57" w:lineRule="exact"/>
        <w:rPr>
          <w:rFonts w:ascii="Arial" w:cs="Arial" w:eastAsia="Arial" w:hAnsi="Arial"/>
          <w:sz w:val="17"/>
          <w:szCs w:val="17"/>
          <w:color w:val="auto"/>
        </w:rPr>
      </w:pPr>
    </w:p>
    <w:p>
      <w:pPr>
        <w:ind w:left="1720" w:hanging="349"/>
        <w:spacing w:after="0"/>
        <w:tabs>
          <w:tab w:leader="none" w:pos="17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Treaty Lender; or</w:t>
      </w:r>
    </w:p>
    <w:p>
      <w:pPr>
        <w:spacing w:after="0" w:line="117" w:lineRule="exact"/>
        <w:rPr>
          <w:rFonts w:ascii="Arial" w:cs="Arial" w:eastAsia="Arial" w:hAnsi="Arial"/>
          <w:sz w:val="18"/>
          <w:szCs w:val="18"/>
          <w:color w:val="auto"/>
        </w:rPr>
      </w:pPr>
    </w:p>
    <w:p>
      <w:pPr>
        <w:ind w:left="540" w:right="20" w:firstLine="408"/>
        <w:spacing w:after="0" w:line="277" w:lineRule="auto"/>
        <w:tabs>
          <w:tab w:leader="none" w:pos="122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ITA-UK) making an advance under a Loan Document.</w:t>
      </w:r>
    </w:p>
    <w:p>
      <w:pPr>
        <w:spacing w:after="0" w:line="62"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Confirmation</w:t>
      </w:r>
      <w:r>
        <w:rPr>
          <w:rFonts w:ascii="Arial" w:cs="Arial" w:eastAsia="Arial" w:hAnsi="Arial"/>
          <w:sz w:val="18"/>
          <w:szCs w:val="18"/>
          <w:color w:val="auto"/>
        </w:rPr>
        <w:t>” means a confirmation by a Lender that the person beneficially entitled to interest payable to that Lender in respect of an advance under a Loan Document to a U.K. Borrower is either:</w:t>
      </w:r>
    </w:p>
    <w:p>
      <w:pPr>
        <w:spacing w:after="0" w:line="62" w:lineRule="exact"/>
        <w:rPr>
          <w:sz w:val="20"/>
          <w:szCs w:val="20"/>
          <w:color w:val="auto"/>
        </w:rPr>
      </w:pPr>
    </w:p>
    <w:p>
      <w:pPr>
        <w:ind w:left="1240" w:hanging="292"/>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rFonts w:ascii="Arial" w:cs="Arial" w:eastAsia="Arial" w:hAnsi="Arial"/>
          <w:sz w:val="18"/>
          <w:szCs w:val="18"/>
          <w:color w:val="auto"/>
        </w:rPr>
      </w:pPr>
    </w:p>
    <w:p>
      <w:pPr>
        <w:ind w:left="1240" w:hanging="292"/>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 a company so resident in the United Kingdom; or</w:t>
      </w:r>
    </w:p>
    <w:p>
      <w:pPr>
        <w:spacing w:after="0" w:line="117" w:lineRule="exact"/>
        <w:rPr>
          <w:sz w:val="20"/>
          <w:szCs w:val="20"/>
          <w:color w:val="auto"/>
        </w:rPr>
      </w:pPr>
    </w:p>
    <w:p>
      <w:pPr>
        <w:ind w:left="980" w:right="100" w:firstLine="391"/>
        <w:spacing w:after="0" w:line="311" w:lineRule="auto"/>
        <w:tabs>
          <w:tab w:leader="none" w:pos="164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40" w:lineRule="exact"/>
        <w:rPr>
          <w:rFonts w:ascii="Arial" w:cs="Arial" w:eastAsia="Arial" w:hAnsi="Arial"/>
          <w:sz w:val="16"/>
          <w:szCs w:val="16"/>
          <w:color w:val="auto"/>
        </w:rPr>
      </w:pPr>
    </w:p>
    <w:p>
      <w:pPr>
        <w:ind w:left="540" w:right="280" w:firstLine="408"/>
        <w:spacing w:after="0" w:line="263" w:lineRule="auto"/>
        <w:tabs>
          <w:tab w:leader="none" w:pos="122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76" w:lineRule="exact"/>
        <w:rPr>
          <w:sz w:val="20"/>
          <w:szCs w:val="20"/>
          <w:color w:val="auto"/>
        </w:rPr>
      </w:pPr>
    </w:p>
    <w:p>
      <w:pPr>
        <w:ind w:right="5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Deduction</w:t>
      </w:r>
      <w:r>
        <w:rPr>
          <w:rFonts w:ascii="Arial" w:cs="Arial" w:eastAsia="Arial" w:hAnsi="Arial"/>
          <w:sz w:val="18"/>
          <w:szCs w:val="18"/>
          <w:color w:val="auto"/>
        </w:rPr>
        <w:t>” means a deduction or withholding for or on account of Taxes from a payment under a Loan Document, other than a deduction under FATCA.</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Lender</w:t>
      </w:r>
      <w:r>
        <w:rPr>
          <w:rFonts w:ascii="Arial" w:cs="Arial" w:eastAsia="Arial" w:hAnsi="Arial"/>
          <w:sz w:val="18"/>
          <w:szCs w:val="18"/>
          <w:color w:val="auto"/>
        </w:rPr>
        <w:t>” means a Lender which:</w:t>
      </w:r>
    </w:p>
    <w:p>
      <w:pPr>
        <w:spacing w:after="0" w:line="117" w:lineRule="exact"/>
        <w:rPr>
          <w:sz w:val="20"/>
          <w:szCs w:val="20"/>
          <w:color w:val="auto"/>
        </w:rPr>
      </w:pPr>
    </w:p>
    <w:p>
      <w:pPr>
        <w:ind w:left="1240" w:hanging="292"/>
        <w:spacing w:after="0"/>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relevant Treaty;</w:t>
      </w:r>
    </w:p>
    <w:p>
      <w:pPr>
        <w:spacing w:after="0" w:line="117" w:lineRule="exact"/>
        <w:rPr>
          <w:rFonts w:ascii="Arial" w:cs="Arial" w:eastAsia="Arial" w:hAnsi="Arial"/>
          <w:sz w:val="18"/>
          <w:szCs w:val="18"/>
          <w:color w:val="auto"/>
        </w:rPr>
      </w:pPr>
    </w:p>
    <w:p>
      <w:pPr>
        <w:ind w:left="540" w:firstLine="408"/>
        <w:spacing w:after="0" w:line="277" w:lineRule="auto"/>
        <w:tabs>
          <w:tab w:leader="none" w:pos="122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that Lender’s participation in a Loan to a U.K. Borrower is effectively connected; and</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520"/>
          </w:cols>
          <w:pgMar w:left="880" w:top="274" w:right="499" w:bottom="1440" w:gutter="0" w:footer="0" w:header="0"/>
        </w:sectPr>
      </w:pPr>
    </w:p>
    <w:bookmarkStart w:id="284" w:name="page285"/>
    <w:bookmarkEnd w:id="284"/>
    <w:p>
      <w:pPr>
        <w:ind w:left="980" w:firstLine="408"/>
        <w:spacing w:after="0" w:line="255" w:lineRule="auto"/>
        <w:tabs>
          <w:tab w:leader="none" w:pos="1666"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84" w:lineRule="exact"/>
        <w:rPr>
          <w:sz w:val="20"/>
          <w:szCs w:val="20"/>
          <w:color w:val="auto"/>
        </w:rPr>
      </w:pPr>
    </w:p>
    <w:p>
      <w:pPr>
        <w:ind w:left="440"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Treaty</w:t>
      </w:r>
      <w:r>
        <w:rPr>
          <w:rFonts w:ascii="Arial" w:cs="Arial" w:eastAsia="Arial" w:hAnsi="Arial"/>
          <w:sz w:val="18"/>
          <w:szCs w:val="18"/>
          <w:color w:val="auto"/>
        </w:rPr>
        <w:t>”) which makes provision for full exemption from tax imposed by the United Kingdom on interest.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Non-Bank Lender</w:t>
      </w:r>
      <w:r>
        <w:rPr>
          <w:rFonts w:ascii="Arial" w:cs="Arial" w:eastAsia="Arial" w:hAnsi="Arial"/>
          <w:sz w:val="18"/>
          <w:szCs w:val="18"/>
          <w:color w:val="auto"/>
        </w:rPr>
        <w:t>” means:</w:t>
      </w:r>
    </w:p>
    <w:p>
      <w:pPr>
        <w:spacing w:after="0" w:line="117" w:lineRule="exact"/>
        <w:rPr>
          <w:sz w:val="20"/>
          <w:szCs w:val="20"/>
          <w:color w:val="auto"/>
        </w:rPr>
      </w:pPr>
    </w:p>
    <w:p>
      <w:pPr>
        <w:ind w:left="980" w:right="200" w:firstLine="408"/>
        <w:spacing w:after="0" w:line="308" w:lineRule="auto"/>
        <w:tabs>
          <w:tab w:leader="none" w:pos="167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38" w:lineRule="exact"/>
        <w:rPr>
          <w:rFonts w:ascii="Arial" w:cs="Arial" w:eastAsia="Arial" w:hAnsi="Arial"/>
          <w:sz w:val="17"/>
          <w:szCs w:val="17"/>
          <w:color w:val="auto"/>
        </w:rPr>
      </w:pPr>
    </w:p>
    <w:p>
      <w:pPr>
        <w:ind w:left="980" w:right="880" w:firstLine="408"/>
        <w:spacing w:after="0" w:line="277" w:lineRule="auto"/>
        <w:tabs>
          <w:tab w:leader="none" w:pos="16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where a Lender becomes a Lender after the day on which this Agreement is entered into, a Lender which gives a Tax Confirmation in the Assignment and Assumption Agreement which it executes on becoming a Lender.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Tax gross-up with respect to any advance</w:t>
      </w:r>
      <w:r>
        <w:rPr>
          <w:rFonts w:ascii="Arial" w:cs="Arial" w:eastAsia="Arial" w:hAnsi="Arial"/>
          <w:sz w:val="18"/>
          <w:szCs w:val="18"/>
          <w:color w:val="auto"/>
        </w:rPr>
        <w:t>.</w:t>
      </w:r>
    </w:p>
    <w:p>
      <w:pPr>
        <w:spacing w:after="0" w:line="117"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All payments under any Loan Document, with respect to any Loan to a U.K. Borrower or in respect of any Letter of Credit issued with respect to any U.K. Borrower, shall be made without any Tax Deduction, unless a Tax Deduction is required by law.</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A U.K. Borrower shall promptly upon becoming aware that it must make a Tax Deduction (or that there is any change in the rate or the basis of a Tax Deduction) notify the Administrative Agent accordingly.</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1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76" w:lineRule="exact"/>
        <w:rPr>
          <w:sz w:val="20"/>
          <w:szCs w:val="20"/>
          <w:color w:val="auto"/>
        </w:rPr>
      </w:pPr>
    </w:p>
    <w:p>
      <w:pPr>
        <w:ind w:left="440" w:right="100" w:firstLine="419"/>
        <w:spacing w:after="0" w:line="259" w:lineRule="auto"/>
        <w:tabs>
          <w:tab w:leader="none" w:pos="108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60"/>
          </w:cols>
          <w:pgMar w:left="440" w:top="274" w:right="499" w:bottom="1440" w:gutter="0" w:footer="0" w:header="0"/>
        </w:sectPr>
      </w:pPr>
    </w:p>
    <w:bookmarkStart w:id="285" w:name="page286"/>
    <w:bookmarkEnd w:id="285"/>
    <w:p>
      <w:pPr>
        <w:ind w:left="1140" w:hanging="281"/>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relevant Lender is a Qualifying Lender solely by virtue of paragraph (A)(II) of the definition of “Qualifying Lender” and:</w:t>
      </w:r>
    </w:p>
    <w:p>
      <w:pPr>
        <w:spacing w:after="0" w:line="117" w:lineRule="exact"/>
        <w:rPr>
          <w:rFonts w:ascii="Arial" w:cs="Arial" w:eastAsia="Arial" w:hAnsi="Arial"/>
          <w:sz w:val="18"/>
          <w:szCs w:val="18"/>
          <w:color w:val="auto"/>
        </w:rPr>
      </w:pPr>
    </w:p>
    <w:p>
      <w:pPr>
        <w:ind w:left="980" w:right="40" w:firstLine="408"/>
        <w:spacing w:after="0" w:line="263" w:lineRule="auto"/>
        <w:tabs>
          <w:tab w:leader="none" w:pos="163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an officer of H.M. Revenue &amp; Customs has given (and not revoked) a direction (solely for purposes of this </w:t>
      </w:r>
      <w:r>
        <w:rPr>
          <w:rFonts w:ascii="Arial" w:cs="Arial" w:eastAsia="Arial" w:hAnsi="Arial"/>
          <w:sz w:val="18"/>
          <w:szCs w:val="18"/>
          <w:u w:val="single" w:color="auto"/>
          <w:color w:val="auto"/>
        </w:rPr>
        <w:t>Section 4.7(f)</w:t>
      </w:r>
      <w:r>
        <w:rPr>
          <w:rFonts w:ascii="Arial" w:cs="Arial" w:eastAsia="Arial" w:hAnsi="Arial"/>
          <w:sz w:val="18"/>
          <w:szCs w:val="18"/>
          <w:color w:val="auto"/>
        </w:rPr>
        <w:t>, a “Direction”) under Section 931 of the ITA-UK which relates to the payment and that Lender has received from the U.K. Borrower making the payment a certified copy of that Direction; and</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 been made; or</w:t>
      </w:r>
    </w:p>
    <w:p>
      <w:pPr>
        <w:spacing w:after="0" w:line="117" w:lineRule="exact"/>
        <w:rPr>
          <w:sz w:val="20"/>
          <w:szCs w:val="20"/>
          <w:color w:val="auto"/>
        </w:rPr>
      </w:pPr>
    </w:p>
    <w:p>
      <w:pPr>
        <w:ind w:left="1200" w:hanging="341"/>
        <w:spacing w:after="0"/>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U.K. Borrower; and</w:t>
      </w:r>
    </w:p>
    <w:p>
      <w:pPr>
        <w:spacing w:after="0" w:line="117" w:lineRule="exact"/>
        <w:rPr>
          <w:rFonts w:ascii="Arial" w:cs="Arial" w:eastAsia="Arial" w:hAnsi="Arial"/>
          <w:sz w:val="18"/>
          <w:szCs w:val="18"/>
          <w:color w:val="auto"/>
        </w:rPr>
      </w:pPr>
    </w:p>
    <w:p>
      <w:pPr>
        <w:ind w:left="980" w:right="100" w:firstLine="408"/>
        <w:spacing w:after="0" w:line="263" w:lineRule="auto"/>
        <w:tabs>
          <w:tab w:leader="none" w:pos="163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76" w:lineRule="exact"/>
        <w:rPr>
          <w:sz w:val="20"/>
          <w:szCs w:val="20"/>
          <w:color w:val="auto"/>
        </w:rPr>
      </w:pPr>
    </w:p>
    <w:p>
      <w:pPr>
        <w:ind w:left="440" w:right="120" w:firstLine="423"/>
        <w:spacing w:after="0" w:line="263" w:lineRule="auto"/>
        <w:rPr>
          <w:sz w:val="20"/>
          <w:szCs w:val="20"/>
          <w:color w:val="auto"/>
        </w:rPr>
      </w:pPr>
      <w:r>
        <w:rPr>
          <w:rFonts w:ascii="Arial" w:cs="Arial" w:eastAsia="Arial" w:hAnsi="Arial"/>
          <w:sz w:val="18"/>
          <w:szCs w:val="18"/>
          <w:color w:val="auto"/>
        </w:rPr>
        <w:t>(IV) the relevant Lender is a Treaty Lender and the U.K. Borrower making the payment is able to demonstrate that the payment could have been made to the Lender without the Tax Deduction had that Lender complied with its obligations under paragraph (G) or (H) (as applicable) below.</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If a U.K. Borrower is required to make a Tax Deduction, that U.K. Borrower shall make that Tax Deduction and any payment required in connection with that Tax Deduction within the time allowed and in the minimum amount required by law.</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79" w:lineRule="exact"/>
        <w:rPr>
          <w:sz w:val="20"/>
          <w:szCs w:val="20"/>
          <w:color w:val="auto"/>
        </w:rPr>
      </w:pPr>
    </w:p>
    <w:p>
      <w:pPr>
        <w:ind w:firstLine="987"/>
        <w:spacing w:after="0" w:line="263" w:lineRule="auto"/>
        <w:tabs>
          <w:tab w:leader="none" w:pos="121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75" w:lineRule="exact"/>
        <w:rPr>
          <w:rFonts w:ascii="Arial" w:cs="Arial" w:eastAsia="Arial" w:hAnsi="Arial"/>
          <w:sz w:val="18"/>
          <w:szCs w:val="18"/>
          <w:color w:val="auto"/>
        </w:rPr>
      </w:pPr>
    </w:p>
    <w:p>
      <w:pPr>
        <w:ind w:right="180" w:firstLine="436"/>
        <w:spacing w:after="0" w:line="259" w:lineRule="auto"/>
        <w:tabs>
          <w:tab w:leader="none" w:pos="72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under the heading “Amount of Multicurrency Revolving Commitment”; and</w:t>
      </w:r>
    </w:p>
    <w:p>
      <w:pPr>
        <w:spacing w:after="0" w:line="79" w:lineRule="exact"/>
        <w:rPr>
          <w:sz w:val="20"/>
          <w:szCs w:val="20"/>
          <w:color w:val="auto"/>
        </w:rPr>
      </w:pPr>
    </w:p>
    <w:p>
      <w:pPr>
        <w:ind w:right="80" w:firstLine="436"/>
        <w:spacing w:after="0" w:line="263"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440" w:top="274" w:right="459" w:bottom="1440" w:gutter="0" w:footer="0" w:header="0"/>
        </w:sectPr>
      </w:pPr>
    </w:p>
    <w:bookmarkStart w:id="286" w:name="page287"/>
    <w:bookmarkEnd w:id="2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having done so, that Lender shall be under no obligation pursuant to paragraph (G)(I) above.</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If a Lender has confirmed its scheme reference number and its jurisdiction of tax residence in accordance with paragraph (G)(II) above and a U.K. Borrower making a payment to that Lender has made a Borrower DTTP Filing in respect of that Lender but:</w:t>
      </w:r>
    </w:p>
    <w:p>
      <w:pPr>
        <w:spacing w:after="0" w:line="62" w:lineRule="exact"/>
        <w:rPr>
          <w:sz w:val="20"/>
          <w:szCs w:val="20"/>
          <w:color w:val="auto"/>
        </w:rPr>
      </w:pPr>
    </w:p>
    <w:p>
      <w:pPr>
        <w:ind w:left="1640" w:hanging="252"/>
        <w:spacing w:after="0"/>
        <w:tabs>
          <w:tab w:leader="none" w:pos="1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 or</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HM Revenue &amp; Customs has not given the U.K. Borrower authority to make payments to that Lender without a Tax Deduction within 60 days of the date of the Borrower DTTP Filing,</w:t>
      </w:r>
    </w:p>
    <w:p>
      <w:pPr>
        <w:spacing w:after="0" w:line="62" w:lineRule="exact"/>
        <w:rPr>
          <w:sz w:val="20"/>
          <w:szCs w:val="20"/>
          <w:color w:val="auto"/>
        </w:rPr>
      </w:pPr>
    </w:p>
    <w:p>
      <w:pPr>
        <w:ind w:left="440" w:right="280"/>
        <w:spacing w:after="0" w:line="342" w:lineRule="auto"/>
        <w:rPr>
          <w:sz w:val="20"/>
          <w:szCs w:val="20"/>
          <w:color w:val="auto"/>
        </w:rPr>
      </w:pPr>
      <w:r>
        <w:rPr>
          <w:rFonts w:ascii="Arial" w:cs="Arial" w:eastAsia="Arial" w:hAnsi="Arial"/>
          <w:sz w:val="16"/>
          <w:szCs w:val="16"/>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12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184"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A U.K. Borrower shall, promptly on making a Borrower DTTP Filing, deliver a copy of that Borrower DTTP Filing to the Agent for delivery to the relevant Lender.</w:t>
      </w:r>
    </w:p>
    <w:p>
      <w:pPr>
        <w:spacing w:after="0" w:line="17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A UK Non-Bank Lender which becomes a Lender on the day on which this Agreement is entered into gives a Tax Confirmation to the Administrative Agent by entering into this Agreement.</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A UK Non-Bank Lender shall promptly notify the Administrative Agent if there is any change in the position from that set out in the Tax Confirmation.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Nothing in </w:t>
      </w:r>
      <w:r>
        <w:rPr>
          <w:rFonts w:ascii="Arial" w:cs="Arial" w:eastAsia="Arial" w:hAnsi="Arial"/>
          <w:sz w:val="18"/>
          <w:szCs w:val="18"/>
          <w:u w:val="single" w:color="auto"/>
          <w:color w:val="auto"/>
        </w:rPr>
        <w:t>Section 4.7(f)(ii)(G)</w:t>
      </w:r>
      <w:r>
        <w:rPr>
          <w:rFonts w:ascii="Arial" w:cs="Arial" w:eastAsia="Arial" w:hAnsi="Arial"/>
          <w:sz w:val="18"/>
          <w:szCs w:val="18"/>
          <w:color w:val="auto"/>
        </w:rPr>
        <w:t xml:space="preserve"> above shall require a Lender to (I) register under the HMRC DT Treaty Passport scheme, (II) 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Lender does not notify the U.K. Borrower of any indemnification claim under this </w:t>
      </w:r>
      <w:r>
        <w:rPr>
          <w:rFonts w:ascii="Arial" w:cs="Arial" w:eastAsia="Arial" w:hAnsi="Arial"/>
          <w:sz w:val="18"/>
          <w:szCs w:val="18"/>
          <w:u w:val="single" w:color="auto"/>
          <w:color w:val="auto"/>
        </w:rPr>
        <w:t>Section 4.7(f)(iii)</w:t>
      </w:r>
      <w:r>
        <w:rPr>
          <w:rFonts w:ascii="Arial" w:cs="Arial" w:eastAsia="Arial" w:hAnsi="Arial"/>
          <w:sz w:val="18"/>
          <w:szCs w:val="18"/>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80"/>
          </w:cols>
          <w:pgMar w:left="440" w:top="274" w:right="479" w:bottom="1440" w:gutter="0" w:footer="0" w:header="0"/>
        </w:sectPr>
      </w:pPr>
    </w:p>
    <w:bookmarkStart w:id="287" w:name="page288"/>
    <w:bookmarkEnd w:id="28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above shall not apply:</w:t>
      </w:r>
    </w:p>
    <w:p>
      <w:pPr>
        <w:spacing w:after="0" w:line="117" w:lineRule="exact"/>
        <w:rPr>
          <w:sz w:val="20"/>
          <w:szCs w:val="20"/>
          <w:color w:val="auto"/>
        </w:rPr>
      </w:pPr>
    </w:p>
    <w:p>
      <w:pPr>
        <w:ind w:left="1080" w:hanging="221"/>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 respect to any Taxes assessed on a Lender:</w:t>
      </w:r>
    </w:p>
    <w:p>
      <w:pPr>
        <w:spacing w:after="0" w:line="117" w:lineRule="exact"/>
        <w:rPr>
          <w:rFonts w:ascii="Arial" w:cs="Arial" w:eastAsia="Arial" w:hAnsi="Arial"/>
          <w:sz w:val="18"/>
          <w:szCs w:val="18"/>
          <w:color w:val="auto"/>
        </w:rPr>
      </w:pPr>
    </w:p>
    <w:p>
      <w:pPr>
        <w:ind w:left="980" w:right="280" w:firstLine="408"/>
        <w:spacing w:after="0" w:line="277" w:lineRule="auto"/>
        <w:tabs>
          <w:tab w:leader="none" w:pos="163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under the law of the jurisdiction in which that Lender is incorporated or, if different, the jurisdiction (or jurisdictions) in which that Lender is treated as resident for tax purposes; or</w:t>
      </w:r>
    </w:p>
    <w:p>
      <w:pPr>
        <w:spacing w:after="0" w:line="62" w:lineRule="exact"/>
        <w:rPr>
          <w:rFonts w:ascii="Arial" w:cs="Arial" w:eastAsia="Arial" w:hAnsi="Arial"/>
          <w:sz w:val="18"/>
          <w:szCs w:val="18"/>
          <w:color w:val="auto"/>
        </w:rPr>
      </w:pPr>
    </w:p>
    <w:p>
      <w:pPr>
        <w:ind w:left="980" w:right="160" w:firstLine="408"/>
        <w:spacing w:after="0" w:line="277" w:lineRule="auto"/>
        <w:tabs>
          <w:tab w:leader="none" w:pos="163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under the law of the jurisdiction in which such Lender’s lending office is located in respect of amounts received or receivable in that jurisdiction,</w:t>
      </w:r>
    </w:p>
    <w:p>
      <w:pPr>
        <w:spacing w:after="0" w:line="62"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if such Taxes are imposed on or calculated by reference to the net income received or receivable (but not any sum deemed to be received or receivable) by that Lender; or</w:t>
      </w:r>
    </w:p>
    <w:p>
      <w:pPr>
        <w:spacing w:after="0" w:line="62" w:lineRule="exact"/>
        <w:rPr>
          <w:sz w:val="20"/>
          <w:szCs w:val="20"/>
          <w:color w:val="auto"/>
        </w:rPr>
      </w:pPr>
    </w:p>
    <w:p>
      <w:pPr>
        <w:ind w:left="1140" w:hanging="281"/>
        <w:spacing w:after="0"/>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is compensated for by an increased payment under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40" w:firstLine="408"/>
        <w:spacing w:after="0" w:line="277" w:lineRule="auto"/>
        <w:tabs>
          <w:tab w:leader="none" w:pos="163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would have been compensated for by an increased payment under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4.7(f)(ii)(D)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relates to a deduction pursuant to FATCA required to be made by a party.</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Lender shall, on receiving a payment from a U.K. Borrower under this </w:t>
      </w:r>
      <w:r>
        <w:rPr>
          <w:rFonts w:ascii="Arial" w:cs="Arial" w:eastAsia="Arial" w:hAnsi="Arial"/>
          <w:sz w:val="18"/>
          <w:szCs w:val="18"/>
          <w:u w:val="single" w:color="auto"/>
          <w:color w:val="auto"/>
        </w:rPr>
        <w:t>Section 4.7(f)(iii)</w:t>
      </w:r>
      <w:r>
        <w:rPr>
          <w:rFonts w:ascii="Arial" w:cs="Arial" w:eastAsia="Arial" w:hAnsi="Arial"/>
          <w:sz w:val="18"/>
          <w:szCs w:val="18"/>
          <w:color w:val="auto"/>
        </w:rPr>
        <w:t>, notify the Agent.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u w:val="single" w:color="auto"/>
          <w:color w:val="auto"/>
        </w:rPr>
        <w:t>Lender Status Confirmation</w:t>
      </w:r>
      <w:r>
        <w:rPr>
          <w:rFonts w:ascii="Arial" w:cs="Arial" w:eastAsia="Arial" w:hAnsi="Arial"/>
          <w:sz w:val="18"/>
          <w:szCs w:val="18"/>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 Qualifying Lender;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Qualifying Lender (other than a Treaty Lender); or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Treaty Lender.</w:t>
      </w:r>
    </w:p>
    <w:p>
      <w:pPr>
        <w:spacing w:after="0" w:line="225"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 xml:space="preserve">If such a Lender fails to indicate its status in accordance with this </w:t>
      </w:r>
      <w:r>
        <w:rPr>
          <w:rFonts w:ascii="Arial" w:cs="Arial" w:eastAsia="Arial" w:hAnsi="Arial"/>
          <w:sz w:val="17"/>
          <w:szCs w:val="17"/>
          <w:u w:val="single" w:color="auto"/>
          <w:color w:val="auto"/>
        </w:rPr>
        <w:t>Section 4.7(f)(iv)</w:t>
      </w:r>
      <w:r>
        <w:rPr>
          <w:rFonts w:ascii="Arial" w:cs="Arial" w:eastAsia="Arial" w:hAnsi="Arial"/>
          <w:sz w:val="17"/>
          <w:szCs w:val="17"/>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an Assignment and Assumption Agreement shall not be invalidated by any failure of a Lender to comply with this </w:t>
      </w:r>
      <w:r>
        <w:rPr>
          <w:rFonts w:ascii="Arial" w:cs="Arial" w:eastAsia="Arial" w:hAnsi="Arial"/>
          <w:sz w:val="17"/>
          <w:szCs w:val="17"/>
          <w:u w:val="single" w:color="auto"/>
          <w:color w:val="auto"/>
        </w:rPr>
        <w:t>Section 4.7(f)(iv)</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288" w:name="page289"/>
    <w:bookmarkEnd w:id="288"/>
    <w:p>
      <w:pPr>
        <w:ind w:left="700" w:hanging="264"/>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4.7</w:t>
      </w:r>
      <w:r>
        <w:rPr>
          <w:rFonts w:ascii="Arial" w:cs="Arial" w:eastAsia="Arial" w:hAnsi="Arial"/>
          <w:sz w:val="18"/>
          <w:szCs w:val="18"/>
          <w:color w:val="auto"/>
        </w:rPr>
        <w:t>, the term “Lender” shall include any Swing Line Lender and any Facing Agent.</w:t>
      </w:r>
    </w:p>
    <w:p>
      <w:pPr>
        <w:spacing w:after="0" w:line="117"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shall survive the resignation or replacement of any Agent or any assignment of rights by, or the replacement of, a Lender.</w:t>
      </w:r>
    </w:p>
    <w:p>
      <w:pPr>
        <w:spacing w:after="0" w:line="62" w:lineRule="exact"/>
        <w:rPr>
          <w:rFonts w:ascii="Arial" w:cs="Arial" w:eastAsia="Arial" w:hAnsi="Arial"/>
          <w:sz w:val="18"/>
          <w:szCs w:val="18"/>
          <w:color w:val="auto"/>
        </w:rPr>
      </w:pPr>
    </w:p>
    <w:p>
      <w:pPr>
        <w:jc w:val="both"/>
        <w:ind w:right="80" w:firstLine="436"/>
        <w:spacing w:after="0" w:line="286" w:lineRule="auto"/>
        <w:tabs>
          <w:tab w:leader="none" w:pos="65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For the avoidance of doubt, for purposes of FATCA, from and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the Borrowers and the Administrative Agent agree to treat (and the Lenders hereby authorize the Agent to treat) this Agreement and the Loans as not qualifying as “grandfathered obligations” within the meaning of Treasury Regulations Section 1.1471-2(b)(2)(i).</w:t>
      </w:r>
    </w:p>
    <w:p>
      <w:pPr>
        <w:spacing w:after="0" w:line="57" w:lineRule="exact"/>
        <w:rPr>
          <w:rFonts w:ascii="Arial" w:cs="Arial" w:eastAsia="Arial" w:hAnsi="Arial"/>
          <w:sz w:val="17"/>
          <w:szCs w:val="17"/>
          <w:color w:val="auto"/>
        </w:rPr>
      </w:pPr>
    </w:p>
    <w:p>
      <w:pPr>
        <w:ind w:right="80" w:firstLine="436"/>
        <w:spacing w:after="0" w:line="263"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For the avoidance of doubt, from and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the Term A Loans will constitute a single separate, fungible tranche for U.S. federal income tax purposes and the Term Euro Loans will constitute a single separate, fungible tranche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-756920</wp:posOffset>
            </wp:positionV>
            <wp:extent cx="6032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-756920</wp:posOffset>
            </wp:positionV>
            <wp:extent cx="22288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-276860</wp:posOffset>
            </wp:positionV>
            <wp:extent cx="6032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-276860</wp:posOffset>
            </wp:positionV>
            <wp:extent cx="22288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OF CREDIT</w:t>
      </w:r>
    </w:p>
    <w:p>
      <w:pPr>
        <w:spacing w:after="0" w:line="21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Conditions Precedent to the Effective Date</w:t>
      </w:r>
      <w:r>
        <w:rPr>
          <w:rFonts w:ascii="Arial" w:cs="Arial" w:eastAsia="Arial" w:hAnsi="Arial"/>
          <w:sz w:val="17"/>
          <w:szCs w:val="17"/>
          <w:color w:val="auto"/>
        </w:rPr>
        <w:t xml:space="preserv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set forth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57" w:lineRule="exact"/>
        <w:rPr>
          <w:sz w:val="20"/>
          <w:szCs w:val="20"/>
          <w:color w:val="auto"/>
        </w:rPr>
      </w:pPr>
    </w:p>
    <w:p>
      <w:pPr>
        <w:ind w:left="680" w:hanging="244"/>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Principal Loan Documents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u w:val="single" w:color="auto"/>
          <w:color w:val="auto"/>
        </w:rPr>
        <w:t>Credit Agreement and Notes</w:t>
      </w:r>
      <w:r>
        <w:rPr>
          <w:rFonts w:ascii="Arial" w:cs="Arial" w:eastAsia="Arial" w:hAnsi="Arial"/>
          <w:sz w:val="18"/>
          <w:szCs w:val="18"/>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79" w:lineRule="exact"/>
        <w:rPr>
          <w:sz w:val="20"/>
          <w:szCs w:val="20"/>
          <w:color w:val="auto"/>
        </w:rPr>
      </w:pPr>
    </w:p>
    <w:p>
      <w:pPr>
        <w:ind w:right="160" w:firstLine="436"/>
        <w:spacing w:after="0" w:line="277"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Reaffirmation Agreement</w:t>
      </w:r>
      <w:r>
        <w:rPr>
          <w:rFonts w:ascii="Arial" w:cs="Arial" w:eastAsia="Arial" w:hAnsi="Arial"/>
          <w:sz w:val="18"/>
          <w:szCs w:val="18"/>
          <w:color w:val="auto"/>
        </w:rPr>
        <w:t>. Each applicable Credit Party shall have duly authorized, executed and delivered counterparts to the Reaffirmation Agreement in form and substance reasonably acceptable to the Administrative Agent.</w:t>
      </w:r>
    </w:p>
    <w:p>
      <w:pPr>
        <w:spacing w:after="0" w:line="62" w:lineRule="exact"/>
        <w:rPr>
          <w:rFonts w:ascii="Arial" w:cs="Arial" w:eastAsia="Arial" w:hAnsi="Arial"/>
          <w:sz w:val="18"/>
          <w:szCs w:val="18"/>
          <w:color w:val="auto"/>
        </w:rPr>
      </w:pPr>
    </w:p>
    <w:p>
      <w:pPr>
        <w:ind w:right="240" w:firstLine="436"/>
        <w:spacing w:after="0" w:line="263" w:lineRule="auto"/>
        <w:tabs>
          <w:tab w:leader="none" w:pos="75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Euro Security Documents</w:t>
      </w:r>
      <w:r>
        <w:rPr>
          <w:rFonts w:ascii="Arial" w:cs="Arial" w:eastAsia="Arial" w:hAnsi="Arial"/>
          <w:sz w:val="18"/>
          <w:szCs w:val="18"/>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76" w:lineRule="exact"/>
        <w:rPr>
          <w:sz w:val="20"/>
          <w:szCs w:val="20"/>
          <w:color w:val="auto"/>
        </w:rPr>
      </w:pPr>
    </w:p>
    <w:p>
      <w:pPr>
        <w:ind w:left="440" w:firstLine="952"/>
        <w:spacing w:after="0" w:line="277" w:lineRule="auto"/>
        <w:rPr>
          <w:sz w:val="20"/>
          <w:szCs w:val="20"/>
          <w:color w:val="auto"/>
        </w:rPr>
      </w:pPr>
      <w:r>
        <w:rPr>
          <w:rFonts w:ascii="Arial" w:cs="Arial" w:eastAsia="Arial" w:hAnsi="Arial"/>
          <w:sz w:val="18"/>
          <w:szCs w:val="18"/>
          <w:color w:val="auto"/>
        </w:rPr>
        <w:t>to the extent applicable, certificates representing all certificated Pledged Securities, together with executed and undated stock powers and/or assignments in blank or other instruments of transfer customary in the applicable jurisdiction;</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80"/>
          </w:cols>
          <w:pgMar w:left="440" w:top="274" w:right="479" w:bottom="1440" w:gutter="0" w:footer="0" w:header="0"/>
        </w:sectPr>
      </w:pPr>
    </w:p>
    <w:bookmarkStart w:id="289" w:name="page290"/>
    <w:bookmarkEnd w:id="289"/>
    <w:p>
      <w:pPr>
        <w:ind w:left="4" w:firstLine="9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79" w:lineRule="exact"/>
        <w:rPr>
          <w:sz w:val="20"/>
          <w:szCs w:val="20"/>
          <w:color w:val="auto"/>
        </w:rPr>
      </w:pPr>
    </w:p>
    <w:p>
      <w:pPr>
        <w:ind w:left="4" w:right="140" w:firstLine="952"/>
        <w:spacing w:after="0" w:line="257" w:lineRule="auto"/>
        <w:rPr>
          <w:sz w:val="20"/>
          <w:szCs w:val="20"/>
          <w:color w:val="auto"/>
        </w:rPr>
      </w:pPr>
      <w:r>
        <w:rPr>
          <w:rFonts w:ascii="Arial" w:cs="Arial" w:eastAsia="Arial" w:hAnsi="Arial"/>
          <w:sz w:val="18"/>
          <w:szCs w:val="18"/>
          <w:color w:val="auto"/>
        </w:rPr>
        <w:t>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80" w:lineRule="exact"/>
        <w:rPr>
          <w:sz w:val="20"/>
          <w:szCs w:val="20"/>
          <w:color w:val="auto"/>
        </w:rPr>
      </w:pPr>
    </w:p>
    <w:p>
      <w:pPr>
        <w:ind w:left="4" w:right="720" w:firstLine="952"/>
        <w:spacing w:after="0" w:line="277" w:lineRule="auto"/>
        <w:rPr>
          <w:sz w:val="20"/>
          <w:szCs w:val="20"/>
          <w:color w:val="auto"/>
        </w:rPr>
      </w:pPr>
      <w:r>
        <w:rPr>
          <w:rFonts w:ascii="Arial" w:cs="Arial" w:eastAsia="Arial" w:hAnsi="Arial"/>
          <w:sz w:val="18"/>
          <w:szCs w:val="18"/>
          <w:color w:val="auto"/>
        </w:rPr>
        <w:t>evidence that all other actions reasonably necessary or desirable to perfect the security interest created by the Euro Security Documents have been taken.</w:t>
      </w:r>
    </w:p>
    <w:p>
      <w:pPr>
        <w:spacing w:after="0" w:line="62" w:lineRule="exact"/>
        <w:rPr>
          <w:sz w:val="20"/>
          <w:szCs w:val="20"/>
          <w:color w:val="auto"/>
        </w:rPr>
      </w:pPr>
    </w:p>
    <w:p>
      <w:pPr>
        <w:ind w:left="304" w:hanging="304"/>
        <w:spacing w:after="0"/>
        <w:tabs>
          <w:tab w:leader="none" w:pos="3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264" w:hanging="264"/>
        <w:spacing w:after="0"/>
        <w:tabs>
          <w:tab w:leader="none" w:pos="264"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Perfection on Personal Property Collateral</w:t>
      </w:r>
      <w:r>
        <w:rPr>
          <w:rFonts w:ascii="Arial" w:cs="Arial" w:eastAsia="Arial" w:hAnsi="Arial"/>
          <w:sz w:val="18"/>
          <w:szCs w:val="18"/>
          <w:color w:val="auto"/>
        </w:rPr>
        <w:t>. Administrative Agent shall have received:</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64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from U.S. Borrower, Crown Holdings and all of the U.S. Subsidiaries of Crown Holdings, executed and delivered Perfection Certificates dated the Effective Date;</w:t>
      </w:r>
    </w:p>
    <w:p>
      <w:pPr>
        <w:spacing w:after="0" w:line="62" w:lineRule="exact"/>
        <w:rPr>
          <w:rFonts w:ascii="Arial" w:cs="Arial" w:eastAsia="Arial" w:hAnsi="Arial"/>
          <w:sz w:val="18"/>
          <w:szCs w:val="18"/>
          <w:color w:val="auto"/>
        </w:rPr>
      </w:pPr>
    </w:p>
    <w:p>
      <w:pPr>
        <w:jc w:val="both"/>
        <w:ind w:left="4" w:right="160" w:firstLine="419"/>
        <w:spacing w:after="0" w:line="279" w:lineRule="auto"/>
        <w:tabs>
          <w:tab w:leader="none" w:pos="69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from U.S. Borrower, Crown Holdings and all of the U.S. Subsidiaries of Crown Holdings party to the U.S. Security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63" w:lineRule="exact"/>
        <w:rPr>
          <w:rFonts w:ascii="Arial" w:cs="Arial" w:eastAsia="Arial" w:hAnsi="Arial"/>
          <w:sz w:val="17"/>
          <w:szCs w:val="17"/>
          <w:color w:val="auto"/>
        </w:rPr>
      </w:pPr>
    </w:p>
    <w:p>
      <w:pPr>
        <w:ind w:left="4" w:right="20" w:firstLine="419"/>
        <w:spacing w:after="0" w:line="272" w:lineRule="auto"/>
        <w:tabs>
          <w:tab w:leader="none" w:pos="74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from U.S. Borrower, Crown Holdings and all of the U.S. Subsidiaries of Crown Holdings party to the U.S. Security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69" w:lineRule="exact"/>
        <w:rPr>
          <w:rFonts w:ascii="Arial" w:cs="Arial" w:eastAsia="Arial" w:hAnsi="Arial"/>
          <w:sz w:val="17"/>
          <w:szCs w:val="17"/>
          <w:color w:val="auto"/>
        </w:rPr>
      </w:pPr>
    </w:p>
    <w:p>
      <w:pPr>
        <w:ind w:left="4" w:right="220" w:firstLine="419"/>
        <w:spacing w:after="0" w:line="259" w:lineRule="auto"/>
        <w:tabs>
          <w:tab w:leader="none" w:pos="73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evidence of the completion of, or arrangements satisfactory to U.S. Collateral Agent for, all other recordings and filings of, or with respect to, the Security 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564"/>
          </w:cols>
          <w:pgMar w:left="876" w:top="274" w:right="459" w:bottom="1440" w:gutter="0" w:footer="0" w:header="0"/>
        </w:sectPr>
      </w:pPr>
    </w:p>
    <w:bookmarkStart w:id="290" w:name="page291"/>
    <w:bookmarkEnd w:id="290"/>
    <w:p>
      <w:pPr>
        <w:ind w:left="444" w:right="260" w:firstLine="419"/>
        <w:spacing w:after="0" w:line="277" w:lineRule="auto"/>
        <w:tabs>
          <w:tab w:leader="none" w:pos="1122" w:val="left"/>
        </w:tabs>
        <w:numPr>
          <w:ilvl w:val="2"/>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that all other actions necessary, or in the reasonable opinion of U.S. Collateral Agent and the Required Lenders, desirable to perfect the security interests purported to be taken by the U.S. Security Documents have been taken.</w:t>
      </w:r>
    </w:p>
    <w:p>
      <w:pPr>
        <w:spacing w:after="0" w:line="62" w:lineRule="exact"/>
        <w:rPr>
          <w:rFonts w:ascii="Arial" w:cs="Arial" w:eastAsia="Arial" w:hAnsi="Arial"/>
          <w:sz w:val="18"/>
          <w:szCs w:val="18"/>
          <w:color w:val="auto"/>
        </w:rPr>
      </w:pPr>
    </w:p>
    <w:p>
      <w:pPr>
        <w:ind w:left="4" w:right="100" w:firstLine="436"/>
        <w:spacing w:after="0" w:line="287" w:lineRule="auto"/>
        <w:tabs>
          <w:tab w:leader="none" w:pos="689"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xml:space="preserve">. All commitments under the Existing Credit Agreement shall have been terminated, and all loans and accrued and unpaid interest, fees and any other amounts outstanding under the Existing Credit Agreement shall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accrued and unpaid interest, fees and other amounts outstanding under the Existing Credit Agreement (other than principal amount of loans) may be paid within ten</w:t>
      </w:r>
    </w:p>
    <w:p>
      <w:pPr>
        <w:spacing w:after="0" w:line="2" w:lineRule="exact"/>
        <w:rPr>
          <w:rFonts w:ascii="Arial" w:cs="Arial" w:eastAsia="Arial" w:hAnsi="Arial"/>
          <w:sz w:val="16"/>
          <w:szCs w:val="16"/>
          <w:color w:val="auto"/>
        </w:rPr>
      </w:pPr>
    </w:p>
    <w:p>
      <w:pPr>
        <w:ind w:left="4" w:right="60" w:hanging="4"/>
        <w:spacing w:after="0" w:line="255" w:lineRule="auto"/>
        <w:tabs>
          <w:tab w:leader="none" w:pos="34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Business Days following the receipt by Crown Holdings of an invoice from the Administrative Agent regarding any such accrued and unpaid interest, fees or other amounts outstanding (it being understood that such amounts shall be due and payable on such tenth Business Day if not paid prior to such date).</w:t>
      </w:r>
    </w:p>
    <w:p>
      <w:pPr>
        <w:spacing w:after="0" w:line="81" w:lineRule="exact"/>
        <w:rPr>
          <w:rFonts w:ascii="Arial" w:cs="Arial" w:eastAsia="Arial" w:hAnsi="Arial"/>
          <w:sz w:val="18"/>
          <w:szCs w:val="18"/>
          <w:color w:val="auto"/>
        </w:rPr>
      </w:pPr>
    </w:p>
    <w:p>
      <w:pPr>
        <w:ind w:left="4" w:firstLine="436"/>
        <w:spacing w:after="0" w:line="272" w:lineRule="auto"/>
        <w:tabs>
          <w:tab w:leader="none" w:pos="699"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Opinions of Counsel</w:t>
      </w:r>
      <w:r>
        <w:rPr>
          <w:rFonts w:ascii="Arial" w:cs="Arial" w:eastAsia="Arial" w:hAnsi="Arial"/>
          <w:sz w:val="17"/>
          <w:szCs w:val="17"/>
          <w:color w:val="auto"/>
        </w:rPr>
        <w:t>.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(ii) opinions of local counsel to the Credit Parties and/or the Administrative Agent, as is customary in the respective jurisdiction and as specified on </w:t>
      </w:r>
      <w:r>
        <w:rPr>
          <w:rFonts w:ascii="Arial" w:cs="Arial" w:eastAsia="Arial" w:hAnsi="Arial"/>
          <w:sz w:val="17"/>
          <w:szCs w:val="17"/>
          <w:u w:val="single" w:color="auto"/>
          <w:color w:val="auto"/>
        </w:rPr>
        <w:t>Schedule 5.1(d)</w:t>
      </w:r>
      <w:r>
        <w:rPr>
          <w:rFonts w:ascii="Arial" w:cs="Arial" w:eastAsia="Arial" w:hAnsi="Arial"/>
          <w:sz w:val="17"/>
          <w:szCs w:val="17"/>
          <w:color w:val="auto"/>
        </w:rPr>
        <w:t>, addressed to Administrative Agent and each of the Lenders dated the Effective Date, each of which shall be in form and substance reasonably satisfactory to Administrative Agent, which opinions shall cover such matters related to the transactions contemplated herein and in the other Loan Documents as Administrative Agent may reasonably request.</w:t>
      </w:r>
    </w:p>
    <w:p>
      <w:pPr>
        <w:spacing w:after="0" w:line="69" w:lineRule="exact"/>
        <w:rPr>
          <w:rFonts w:ascii="Arial" w:cs="Arial" w:eastAsia="Arial" w:hAnsi="Arial"/>
          <w:sz w:val="17"/>
          <w:szCs w:val="17"/>
          <w:color w:val="auto"/>
        </w:rPr>
      </w:pPr>
    </w:p>
    <w:p>
      <w:pPr>
        <w:ind w:left="684" w:hanging="244"/>
        <w:spacing w:after="0"/>
        <w:tabs>
          <w:tab w:leader="none" w:pos="684"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Corporate Documents and Financial Matters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Arial" w:cs="Arial" w:eastAsia="Arial" w:hAnsi="Arial"/>
          <w:sz w:val="16"/>
          <w:szCs w:val="16"/>
          <w:u w:val="single" w:color="auto"/>
          <w:color w:val="auto"/>
        </w:rPr>
        <w:t>Exhibit 5.1(e)(i)</w:t>
      </w:r>
      <w:r>
        <w:rPr>
          <w:rFonts w:ascii="Arial" w:cs="Arial" w:eastAsia="Arial" w:hAnsi="Arial"/>
          <w:sz w:val="16"/>
          <w:szCs w:val="16"/>
          <w:color w:val="auto"/>
        </w:rPr>
        <w:t xml:space="preserve">, stating that the representations and warranties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are true and correct in all material respects as of the date of the certificate, except to the extent such representations and warranties are expressly made as of a specified date in which event such representations and warranties were true and correct in all material respects as of such specified date, that no Event of Default or Unmatured Event of Default has occurred and is continuing and that the conditions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have been fully satisfied or waived, subject to the proviso at the end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(except that no opinion need be expressed as to Administrative Agent’s or Required Lenders’ satisfaction with any document, instrument or other matter).</w:t>
      </w:r>
    </w:p>
    <w:p>
      <w:pPr>
        <w:spacing w:after="0" w:line="166"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authorized signatory), of such Credit Party, in the form of </w:t>
      </w:r>
      <w:r>
        <w:rPr>
          <w:rFonts w:ascii="Arial" w:cs="Arial" w:eastAsia="Arial" w:hAnsi="Arial"/>
          <w:sz w:val="17"/>
          <w:szCs w:val="17"/>
          <w:u w:val="single" w:color="auto"/>
          <w:color w:val="auto"/>
        </w:rPr>
        <w:t>Exhibit 5.1(e)(ii)</w:t>
      </w:r>
      <w:r>
        <w:rPr>
          <w:rFonts w:ascii="Arial" w:cs="Arial" w:eastAsia="Arial" w:hAnsi="Arial"/>
          <w:sz w:val="17"/>
          <w:szCs w:val="17"/>
          <w:color w:val="auto"/>
        </w:rPr>
        <w:t xml:space="preserve"> with appropriate insertions, as to the incumbency and signature of the officers/managers of each such Credit Party executing any Loan Document 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Arial" w:cs="Arial" w:eastAsia="Arial" w:hAnsi="Arial"/>
          <w:sz w:val="17"/>
          <w:szCs w:val="17"/>
          <w:i w:val="1"/>
          <w:iCs w:val="1"/>
          <w:color w:val="auto"/>
        </w:rPr>
        <w:t>extrait</w:t>
      </w:r>
      <w:r>
        <w:rPr>
          <w:rFonts w:ascii="Arial" w:cs="Arial" w:eastAsia="Arial" w:hAnsi="Arial"/>
          <w:sz w:val="17"/>
          <w:szCs w:val="17"/>
          <w:color w:val="auto"/>
        </w:rPr>
        <w:t>) and a certificate of non-inscription of a judicial decision (</w:t>
      </w:r>
      <w:r>
        <w:rPr>
          <w:rFonts w:ascii="Arial" w:cs="Arial" w:eastAsia="Arial" w:hAnsi="Arial"/>
          <w:sz w:val="17"/>
          <w:szCs w:val="17"/>
          <w:i w:val="1"/>
          <w:iCs w:val="1"/>
          <w:color w:val="auto"/>
        </w:rPr>
        <w:t>certificat de</w:t>
      </w:r>
      <w:r>
        <w:rPr>
          <w:rFonts w:ascii="Arial" w:cs="Arial" w:eastAsia="Arial" w:hAnsi="Arial"/>
          <w:sz w:val="17"/>
          <w:szCs w:val="17"/>
          <w:color w:val="auto"/>
        </w:rPr>
        <w:t xml:space="preserve"> </w:t>
      </w:r>
      <w:r>
        <w:rPr>
          <w:rFonts w:ascii="Arial" w:cs="Arial" w:eastAsia="Arial" w:hAnsi="Arial"/>
          <w:sz w:val="17"/>
          <w:szCs w:val="17"/>
          <w:i w:val="1"/>
          <w:iCs w:val="1"/>
          <w:color w:val="auto"/>
        </w:rPr>
        <w:t>non-inscription d’une decision judiciaire</w:t>
      </w:r>
      <w:r>
        <w:rPr>
          <w:rFonts w:ascii="Arial" w:cs="Arial" w:eastAsia="Arial" w:hAnsi="Arial"/>
          <w:sz w:val="17"/>
          <w:szCs w:val="17"/>
          <w:color w:val="auto"/>
        </w:rPr>
        <w:t>) issued by the</w:t>
      </w:r>
      <w:r>
        <w:rPr>
          <w:rFonts w:ascii="Arial" w:cs="Arial" w:eastAsia="Arial" w:hAnsi="Arial"/>
          <w:sz w:val="17"/>
          <w:szCs w:val="17"/>
          <w:i w:val="1"/>
          <w:iCs w:val="1"/>
          <w:color w:val="auto"/>
        </w:rPr>
        <w:t xml:space="preserve"> Registre de Commerce et Sociétes, Luxembourg </w:t>
      </w:r>
      <w:r>
        <w:rPr>
          <w:rFonts w:ascii="Arial" w:cs="Arial" w:eastAsia="Arial" w:hAnsi="Arial"/>
          <w:sz w:val="17"/>
          <w:szCs w:val="17"/>
          <w:color w:val="auto"/>
        </w:rPr>
        <w:t>for any Credit Party incorporated under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Luxembourg and the resolutions of such Credit Party and, to the extent required, of the equity holders of such Credit Party, referred to in such certificate.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84"/>
          </w:cols>
          <w:pgMar w:left="436" w:top="274" w:right="479" w:bottom="1440" w:gutter="0" w:footer="0" w:header="0"/>
        </w:sectPr>
      </w:pPr>
    </w:p>
    <w:bookmarkStart w:id="291" w:name="page292"/>
    <w:bookmarkEnd w:id="291"/>
    <w:p>
      <w:pPr>
        <w:ind w:right="80" w:firstLine="991"/>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Arial" w:cs="Arial" w:eastAsia="Arial" w:hAnsi="Arial"/>
          <w:sz w:val="18"/>
          <w:szCs w:val="18"/>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187"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On the Effective Date, Administrative Agent shall have received a solvency certificate substantially in the form of </w:t>
      </w:r>
      <w:r>
        <w:rPr>
          <w:rFonts w:ascii="Arial" w:cs="Arial" w:eastAsia="Arial" w:hAnsi="Arial"/>
          <w:sz w:val="18"/>
          <w:szCs w:val="18"/>
          <w:u w:val="single" w:color="auto"/>
          <w:color w:val="auto"/>
        </w:rPr>
        <w:t>Exhibit 5.1(e)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and signed by the chief financial officer of Crown Holdings confirming the solvency of (i) Crown Holdings and its Subsidiaries, (ii) U.S. Borrower and its Subsidiaries, (iii) European Borrower and its Subsidiaries, and (iv) Canadian Borrower and its Subsidiaries, in each case, on a consolidated basis after giving effect to the Transactions.</w:t>
      </w:r>
    </w:p>
    <w:p>
      <w:pPr>
        <w:spacing w:after="0" w:line="79" w:lineRule="exact"/>
        <w:rPr>
          <w:sz w:val="20"/>
          <w:szCs w:val="20"/>
          <w:color w:val="auto"/>
        </w:rPr>
      </w:pPr>
    </w:p>
    <w:p>
      <w:pPr>
        <w:ind w:left="700" w:hanging="264"/>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Other Closing Conditions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63"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pacing w:after="0" w:line="75" w:lineRule="exact"/>
        <w:rPr>
          <w:rFonts w:ascii="Arial" w:cs="Arial" w:eastAsia="Arial" w:hAnsi="Arial"/>
          <w:sz w:val="18"/>
          <w:szCs w:val="18"/>
          <w:color w:val="auto"/>
        </w:rPr>
      </w:pPr>
    </w:p>
    <w:p>
      <w:pPr>
        <w:ind w:right="100" w:firstLine="436"/>
        <w:spacing w:after="0" w:line="259"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Arial" w:cs="Arial" w:eastAsia="Arial" w:hAnsi="Arial"/>
          <w:sz w:val="18"/>
          <w:szCs w:val="18"/>
          <w:i w:val="1"/>
          <w:iCs w:val="1"/>
          <w:color w:val="auto"/>
        </w:rPr>
        <w:t>know your customer</w:t>
      </w:r>
      <w:r>
        <w:rPr>
          <w:rFonts w:ascii="Arial" w:cs="Arial" w:eastAsia="Arial" w:hAnsi="Arial"/>
          <w:sz w:val="18"/>
          <w:szCs w:val="18"/>
          <w:color w:val="auto"/>
        </w:rPr>
        <w:t>” and anti-money laundering rules and regulations, including, without limitation, the Patriot Act.</w:t>
      </w:r>
    </w:p>
    <w:p>
      <w:pPr>
        <w:spacing w:after="0" w:line="78" w:lineRule="exact"/>
        <w:rPr>
          <w:rFonts w:ascii="Arial" w:cs="Arial" w:eastAsia="Arial" w:hAnsi="Arial"/>
          <w:sz w:val="18"/>
          <w:szCs w:val="18"/>
          <w:color w:val="auto"/>
        </w:rPr>
      </w:pPr>
    </w:p>
    <w:p>
      <w:pPr>
        <w:ind w:right="780" w:firstLine="436"/>
        <w:spacing w:after="0" w:line="277" w:lineRule="auto"/>
        <w:tabs>
          <w:tab w:leader="none" w:pos="75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Prior to the making of each Loan on the Effective Date, Administrative Agent shall have received a Notice of Borrowing meeting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62"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Conditions Precedent to All Credit Events</w:t>
      </w:r>
      <w:r>
        <w:rPr>
          <w:rFonts w:ascii="Arial" w:cs="Arial" w:eastAsia="Arial" w:hAnsi="Arial"/>
          <w:sz w:val="17"/>
          <w:szCs w:val="17"/>
          <w:color w:val="auto"/>
        </w:rPr>
        <w:t>. The obligation of each Lender to make Loans (other than Loans made on the Effective Date) and the obligation of any Facing Agent to issue or any Lender to participate in any Letter of Credit hereunder in each case shall be subject to the fulfillment at or prior to the time of each such Credit Event of each of the following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Additional Facility incurred in connection with a Limited Condition Transaction, such conditions shall be limited as set forth in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63" w:lineRule="exact"/>
        <w:rPr>
          <w:sz w:val="20"/>
          <w:szCs w:val="20"/>
          <w:color w:val="auto"/>
        </w:rPr>
      </w:pPr>
    </w:p>
    <w:p>
      <w:pPr>
        <w:ind w:left="440" w:right="20" w:firstLine="952"/>
        <w:spacing w:after="0" w:line="259" w:lineRule="auto"/>
        <w:rPr>
          <w:sz w:val="20"/>
          <w:szCs w:val="20"/>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in this Agreement and the other Loan Documents shall each be true and correct in all material respects at and as of such time, as though made on and as of such time except to the extent such representations and warranties are expressly made as of a specified date in which event such representation and warranties shall be true and correct in all material respects as of such specified date.</w:t>
      </w:r>
    </w:p>
    <w:p>
      <w:pPr>
        <w:spacing w:after="0" w:line="79" w:lineRule="exact"/>
        <w:rPr>
          <w:sz w:val="20"/>
          <w:szCs w:val="20"/>
          <w:color w:val="auto"/>
        </w:rPr>
      </w:pPr>
    </w:p>
    <w:p>
      <w:pPr>
        <w:ind w:left="440" w:right="300" w:firstLine="952"/>
        <w:spacing w:after="0" w:line="277" w:lineRule="auto"/>
        <w:rPr>
          <w:sz w:val="20"/>
          <w:szCs w:val="20"/>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or Unmatured Event of Default shall have occurred and shall then be continuing on such date or will occur after giving effect to such Credit Event.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292" w:name="page293"/>
    <w:bookmarkEnd w:id="292"/>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Borrowing; Notice of Issuance</w:t>
      </w:r>
      <w:r>
        <w:rPr>
          <w:rFonts w:ascii="Arial" w:cs="Arial" w:eastAsia="Arial" w:hAnsi="Arial"/>
          <w:sz w:val="18"/>
          <w:szCs w:val="18"/>
          <w:color w:val="auto"/>
        </w:rPr>
        <w:t>.</w:t>
      </w:r>
    </w:p>
    <w:p>
      <w:pPr>
        <w:spacing w:after="0" w:line="117" w:lineRule="exact"/>
        <w:rPr>
          <w:sz w:val="20"/>
          <w:szCs w:val="20"/>
          <w:color w:val="auto"/>
        </w:rPr>
      </w:pPr>
    </w:p>
    <w:p>
      <w:pPr>
        <w:ind w:left="1080" w:hanging="221"/>
        <w:spacing w:after="0"/>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Prior to the making of each Loan, Administrative Agent shall have received a Notice of Borrowing meeting the requirements of</w:t>
      </w:r>
    </w:p>
    <w:p>
      <w:pPr>
        <w:spacing w:after="0" w:line="34" w:lineRule="exact"/>
        <w:rPr>
          <w:rFonts w:ascii="Arial" w:cs="Arial" w:eastAsia="Arial" w:hAnsi="Arial"/>
          <w:sz w:val="17"/>
          <w:szCs w:val="17"/>
          <w:color w:val="auto"/>
        </w:rPr>
      </w:pPr>
    </w:p>
    <w:p>
      <w:pPr>
        <w:ind w:left="440" w:right="120"/>
        <w:spacing w:after="0" w:line="260" w:lineRule="auto"/>
        <w:rPr>
          <w:rFonts w:ascii="Arial" w:cs="Arial" w:eastAsia="Arial" w:hAnsi="Arial"/>
          <w:sz w:val="17"/>
          <w:szCs w:val="17"/>
          <w:color w:val="auto"/>
        </w:rPr>
      </w:pP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Canadian Administrative Agent shall have received a Notice of Canadian Borrowing meeting the requirements of </w:t>
      </w:r>
      <w:r>
        <w:rPr>
          <w:rFonts w:ascii="Arial" w:cs="Arial" w:eastAsia="Arial" w:hAnsi="Arial"/>
          <w:sz w:val="18"/>
          <w:szCs w:val="18"/>
          <w:u w:val="single" w:color="auto"/>
          <w:color w:val="auto"/>
        </w:rPr>
        <w:t>Section 2A.5</w:t>
      </w:r>
      <w:r>
        <w:rPr>
          <w:rFonts w:ascii="Arial" w:cs="Arial" w:eastAsia="Arial" w:hAnsi="Arial"/>
          <w:sz w:val="18"/>
          <w:szCs w:val="18"/>
          <w:color w:val="auto"/>
        </w:rPr>
        <w:t>, as applicable.</w:t>
      </w:r>
    </w:p>
    <w:p>
      <w:pPr>
        <w:spacing w:after="0" w:line="77" w:lineRule="exact"/>
        <w:rPr>
          <w:rFonts w:ascii="Arial" w:cs="Arial" w:eastAsia="Arial" w:hAnsi="Arial"/>
          <w:sz w:val="17"/>
          <w:szCs w:val="17"/>
          <w:color w:val="auto"/>
        </w:rPr>
      </w:pPr>
    </w:p>
    <w:p>
      <w:pPr>
        <w:ind w:left="440" w:right="400" w:firstLine="419"/>
        <w:spacing w:after="0" w:line="277" w:lineRule="auto"/>
        <w:tabs>
          <w:tab w:leader="none" w:pos="11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Administrative Agent and the respective Facing Agent shall have received a Notice of Issuance meeting the requirements of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The acceptance of the benefits of each such Credit Event by the applicable Borrower shall be deemed to constitute a representation and warranty by it to the effect of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(except that no opinion need be expressed as to Administrative Agent’s or Required Lenders’ satisfaction with any document, instrument or other matter).</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which must be approved by, or which must be satisfactory to, Administrative Agent or the Required Lenders or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In order to induce the Lenders to enter into this Agreement and to make the Loans, and issue (or participate in) the Letters of Credit as provided herein, each Credit Party makes the following representations and warranties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-545465</wp:posOffset>
            </wp:positionV>
            <wp:extent cx="5143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-545465</wp:posOffset>
            </wp:positionV>
            <wp:extent cx="222885"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6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conduct of its business requires such qualification, except in the case of clauses (a) (as to good standing), (b) and (c), where such failures in the aggregate would not reasonably be expected to have a Material Adverse Effect.</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Corporate Power and Authority</w:t>
      </w:r>
      <w:r>
        <w:rPr>
          <w:rFonts w:ascii="Arial" w:cs="Arial" w:eastAsia="Arial" w:hAnsi="Arial"/>
          <w:sz w:val="18"/>
          <w:szCs w:val="18"/>
          <w:color w:val="auto"/>
        </w:rPr>
        <w:t>.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4" w:right="459" w:bottom="1440" w:gutter="0" w:footer="0" w:header="0"/>
        </w:sectPr>
      </w:pPr>
    </w:p>
    <w:bookmarkStart w:id="293" w:name="page294"/>
    <w:bookmarkEnd w:id="293"/>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76"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conflict with or result in any breach of any material Contractual Obligation or other material instrument binding upon such Credit Party, or result in the creation or imposition of (or the obligation to create or impose) any Lien (except pursuant to the Security Documents or Permitted Liens) upon any of the property or assets of any Credit Party pursuant to the terms of any Contractual Obligation to which any Credit Party is a party or by which it or any of its property or assets is bound, or violate any provision of any Organic Document of any Credit Party, except, in each case, for any contravention, conflict, breach, default or violation that would not reasonably be expected to have a Material Adverse Effect.</w:t>
      </w:r>
    </w:p>
    <w:p>
      <w:pPr>
        <w:spacing w:after="0" w:line="84" w:lineRule="exact"/>
        <w:rPr>
          <w:sz w:val="20"/>
          <w:szCs w:val="20"/>
          <w:color w:val="auto"/>
        </w:rPr>
      </w:pPr>
    </w:p>
    <w:p>
      <w:pPr>
        <w:ind w:right="240" w:firstLine="440"/>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Governmental and Other Approvals</w:t>
      </w:r>
      <w:r>
        <w:rPr>
          <w:rFonts w:ascii="Arial" w:cs="Arial" w:eastAsia="Arial" w:hAnsi="Arial"/>
          <w:sz w:val="16"/>
          <w:szCs w:val="16"/>
          <w:color w:val="auto"/>
        </w:rPr>
        <w:t xml:space="preserve">. Except for filings necessary to create or perfect security interests in the Collateral, except as have been obtained, waived or made prior to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except any such failure that would not reasonably be expected to have a Material Adverse Effect, no material order, consent, approval, license, authorization or validation of, or filing, recording or registration with (except as have been obtained or made on or prior to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except for any reports required to be filed by any Credit Party with the SEC), or exemption by, any Governmental Authority, is required to authorize, or is required in connection with, (i) the execution and delivery of any Loan Document or the performance of the obligations thereunder or (ii) the legality, validity, binding effect or enforceability of any such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-699135</wp:posOffset>
            </wp:positionV>
            <wp:extent cx="5143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-699135</wp:posOffset>
            </wp:positionV>
            <wp:extent cx="22288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-424815</wp:posOffset>
            </wp:positionV>
            <wp:extent cx="5143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-424815</wp:posOffset>
            </wp:positionV>
            <wp:extent cx="22288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Financial Statements; Financial Condition; Undisclosed Liabilities Projections; Etc.</w:t>
      </w:r>
    </w:p>
    <w:p>
      <w:pPr>
        <w:spacing w:after="0" w:line="117" w:lineRule="exact"/>
        <w:rPr>
          <w:sz w:val="20"/>
          <w:szCs w:val="20"/>
          <w:color w:val="auto"/>
        </w:rPr>
      </w:pPr>
    </w:p>
    <w:p>
      <w:pPr>
        <w:ind w:left="680" w:hanging="244"/>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consolidated balance sheets of Crown Holdings and its consolidated Subsidiaries and the related statements of income, cash flows and shareholders’ equity of Crown Holdings for December 31, 2016, fairly present in all material respects the consolidated financial condition and results of operation and cash flows of Crown Holdings and its consolidated Subsidiaries as of such date and for such period. Copies of such statements have been furnished to the Lenders prior to the Effective Date and, in the case of the December 31, 2016 statements, have been reported on by Pricewaterhouse Coopers LLP, independent certified public accountants.</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On and as of the Effective Date, immediately following the making of each Loan and after giving effect to the application of the proceeds of such Loans, (I) (a) the sum of the assets of Crown Holdings and its Subsidiaries (taken as a whole), at a fair valuation, will exceed its debts; (b) the present fair saleable value of the property of Crown Holdings and its Subsidiaries (taken as a whole) will be greater than the amount that will be required to pay the probable liability of its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Arial" w:cs="Arial" w:eastAsia="Arial" w:hAnsi="Arial"/>
          <w:sz w:val="17"/>
          <w:szCs w:val="17"/>
          <w:i w:val="1"/>
          <w:iCs w:val="1"/>
          <w:color w:val="auto"/>
        </w:rPr>
        <w:t>Insolvenzordnung</w:t>
      </w:r>
      <w:r>
        <w:rPr>
          <w:rFonts w:ascii="Arial" w:cs="Arial" w:eastAsia="Arial" w:hAnsi="Arial"/>
          <w:sz w:val="17"/>
          <w:szCs w:val="17"/>
          <w:color w:val="auto"/>
        </w:rPr>
        <w:t>), or overindebted within the meaning of the German proper accounting standards (</w:t>
      </w:r>
      <w:r>
        <w:rPr>
          <w:rFonts w:ascii="Arial" w:cs="Arial" w:eastAsia="Arial" w:hAnsi="Arial"/>
          <w:sz w:val="17"/>
          <w:szCs w:val="17"/>
          <w:i w:val="1"/>
          <w:iCs w:val="1"/>
          <w:color w:val="auto"/>
        </w:rPr>
        <w:t>Grundsätze ordentlicher Buchführung</w:t>
      </w:r>
      <w:r>
        <w:rPr>
          <w:rFonts w:ascii="Arial" w:cs="Arial" w:eastAsia="Arial" w:hAnsi="Arial"/>
          <w:sz w:val="17"/>
          <w:szCs w:val="17"/>
          <w:color w:val="auto"/>
        </w:rPr>
        <w:t>); (c) Crown Holdings and its Subsidiaries (taken as a whole) will be able to pay its debts and liabilities,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294" w:name="page295"/>
    <w:bookmarkEnd w:id="29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Arial" w:cs="Arial" w:eastAsia="Arial" w:hAnsi="Arial"/>
          <w:sz w:val="16"/>
          <w:szCs w:val="16"/>
          <w:i w:val="1"/>
          <w:iCs w:val="1"/>
          <w:color w:val="auto"/>
        </w:rPr>
        <w:t>redressement judiciaire</w:t>
      </w:r>
      <w:r>
        <w:rPr>
          <w:rFonts w:ascii="Arial" w:cs="Arial" w:eastAsia="Arial" w:hAnsi="Arial"/>
          <w:sz w:val="16"/>
          <w:szCs w:val="16"/>
          <w:color w:val="auto"/>
        </w:rPr>
        <w:t xml:space="preserve">), or will be subject to a plan for the transfer of the whole or part of its business, or is or will be subject to liquidation (with respect to a Credit Party organized under the laws of France, </w:t>
      </w:r>
      <w:r>
        <w:rPr>
          <w:rFonts w:ascii="Arial" w:cs="Arial" w:eastAsia="Arial" w:hAnsi="Arial"/>
          <w:sz w:val="16"/>
          <w:szCs w:val="16"/>
          <w:i w:val="1"/>
          <w:iCs w:val="1"/>
          <w:color w:val="auto"/>
        </w:rPr>
        <w:t>liquidation judiciaire</w:t>
      </w:r>
      <w:r>
        <w:rPr>
          <w:rFonts w:ascii="Arial" w:cs="Arial" w:eastAsia="Arial" w:hAnsi="Arial"/>
          <w:sz w:val="16"/>
          <w:szCs w:val="16"/>
          <w:color w:val="auto"/>
        </w:rPr>
        <w:t>) and no claim has been made requesting implementation of such proceedings; (ii) no Credit Party will be subject to the administration of a court appointed mediator (</w:t>
      </w:r>
      <w:r>
        <w:rPr>
          <w:rFonts w:ascii="Arial" w:cs="Arial" w:eastAsia="Arial" w:hAnsi="Arial"/>
          <w:sz w:val="16"/>
          <w:szCs w:val="16"/>
          <w:i w:val="1"/>
          <w:iCs w:val="1"/>
          <w:color w:val="auto"/>
        </w:rPr>
        <w:t>conciliateur</w:t>
      </w:r>
      <w:r>
        <w:rPr>
          <w:rFonts w:ascii="Arial" w:cs="Arial" w:eastAsia="Arial" w:hAnsi="Arial"/>
          <w:sz w:val="16"/>
          <w:szCs w:val="16"/>
          <w:color w:val="auto"/>
        </w:rPr>
        <w:t>), judicial condition, compulsory manager, receiver (</w:t>
      </w:r>
      <w:r>
        <w:rPr>
          <w:rFonts w:ascii="Arial" w:cs="Arial" w:eastAsia="Arial" w:hAnsi="Arial"/>
          <w:sz w:val="16"/>
          <w:szCs w:val="16"/>
          <w:i w:val="1"/>
          <w:iCs w:val="1"/>
          <w:color w:val="auto"/>
        </w:rPr>
        <w:t>administrateur judiciaire</w:t>
      </w:r>
      <w:r>
        <w:rPr>
          <w:rFonts w:ascii="Arial" w:cs="Arial" w:eastAsia="Arial" w:hAnsi="Arial"/>
          <w:sz w:val="16"/>
          <w:szCs w:val="16"/>
          <w:color w:val="auto"/>
        </w:rPr>
        <w:t>), administrator, liquidator (</w:t>
      </w:r>
      <w:r>
        <w:rPr>
          <w:rFonts w:ascii="Arial" w:cs="Arial" w:eastAsia="Arial" w:hAnsi="Arial"/>
          <w:sz w:val="16"/>
          <w:szCs w:val="16"/>
          <w:i w:val="1"/>
          <w:iCs w:val="1"/>
          <w:color w:val="auto"/>
        </w:rPr>
        <w:t>liquidateur judiciaire</w:t>
      </w:r>
      <w:r>
        <w:rPr>
          <w:rFonts w:ascii="Arial" w:cs="Arial" w:eastAsia="Arial" w:hAnsi="Arial"/>
          <w:sz w:val="16"/>
          <w:szCs w:val="16"/>
          <w:color w:val="auto"/>
        </w:rPr>
        <w:t xml:space="preserve">) or other similar office (with respect to a Credit Party organized under the laws of France, </w:t>
      </w:r>
      <w:r>
        <w:rPr>
          <w:rFonts w:ascii="Arial" w:cs="Arial" w:eastAsia="Arial" w:hAnsi="Arial"/>
          <w:sz w:val="16"/>
          <w:szCs w:val="16"/>
          <w:i w:val="1"/>
          <w:iCs w:val="1"/>
          <w:color w:val="auto"/>
        </w:rPr>
        <w:t>mandataire ad hoc</w:t>
      </w:r>
      <w:r>
        <w:rPr>
          <w:rFonts w:ascii="Arial" w:cs="Arial" w:eastAsia="Arial" w:hAnsi="Arial"/>
          <w:sz w:val="16"/>
          <w:szCs w:val="16"/>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Arial" w:cs="Arial" w:eastAsia="Arial" w:hAnsi="Arial"/>
          <w:sz w:val="16"/>
          <w:szCs w:val="16"/>
          <w:i w:val="1"/>
          <w:iCs w:val="1"/>
          <w:color w:val="auto"/>
        </w:rPr>
        <w:t xml:space="preserve">en état de cessation des paiements </w:t>
      </w:r>
      <w:r>
        <w:rPr>
          <w:rFonts w:ascii="Arial" w:cs="Arial" w:eastAsia="Arial" w:hAnsi="Arial"/>
          <w:sz w:val="16"/>
          <w:szCs w:val="16"/>
          <w:color w:val="auto"/>
        </w:rPr>
        <w:t>within the meaning of article L 631-1 of the French Commercial Code) or will have admitted in writing its inability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pay its debts as they fall due; (iv) no Credit Party organized under the laws of France will be subject to safeguard proceedings (</w:t>
      </w:r>
      <w:r>
        <w:rPr>
          <w:rFonts w:ascii="Arial" w:cs="Arial" w:eastAsia="Arial" w:hAnsi="Arial"/>
          <w:sz w:val="16"/>
          <w:szCs w:val="16"/>
          <w:i w:val="1"/>
          <w:iCs w:val="1"/>
          <w:color w:val="auto"/>
        </w:rPr>
        <w:t>procédure de</w:t>
      </w:r>
      <w:r>
        <w:rPr>
          <w:rFonts w:ascii="Arial" w:cs="Arial" w:eastAsia="Arial" w:hAnsi="Arial"/>
          <w:sz w:val="16"/>
          <w:szCs w:val="16"/>
          <w:color w:val="auto"/>
        </w:rPr>
        <w:t xml:space="preserve"> </w:t>
      </w:r>
      <w:r>
        <w:rPr>
          <w:rFonts w:ascii="Arial" w:cs="Arial" w:eastAsia="Arial" w:hAnsi="Arial"/>
          <w:sz w:val="16"/>
          <w:szCs w:val="16"/>
          <w:i w:val="1"/>
          <w:iCs w:val="1"/>
          <w:color w:val="auto"/>
        </w:rPr>
        <w:t>sauvegarde</w:t>
      </w:r>
      <w:r>
        <w:rPr>
          <w:rFonts w:ascii="Arial" w:cs="Arial" w:eastAsia="Arial" w:hAnsi="Arial"/>
          <w:sz w:val="16"/>
          <w:szCs w:val="16"/>
          <w:color w:val="auto"/>
        </w:rPr>
        <w:t>), within the meaning of Article L. 620-1</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et seq</w:t>
      </w:r>
      <w:r>
        <w:rPr>
          <w:rFonts w:ascii="Arial" w:cs="Arial" w:eastAsia="Arial" w:hAnsi="Arial"/>
          <w:sz w:val="16"/>
          <w:szCs w:val="16"/>
          <w:color w:val="auto"/>
        </w:rPr>
        <w:t>. of the French Commercial Code (which shall include, for the avoidance of doubt,</w:t>
      </w:r>
      <w:r>
        <w:rPr>
          <w:rFonts w:ascii="Arial" w:cs="Arial" w:eastAsia="Arial" w:hAnsi="Arial"/>
          <w:sz w:val="16"/>
          <w:szCs w:val="16"/>
          <w:i w:val="1"/>
          <w:iCs w:val="1"/>
          <w:color w:val="auto"/>
        </w:rPr>
        <w:t xml:space="preserve"> sauvegarde accélérée </w:t>
      </w:r>
      <w:r>
        <w:rPr>
          <w:rFonts w:ascii="Arial" w:cs="Arial" w:eastAsia="Arial" w:hAnsi="Arial"/>
          <w:sz w:val="16"/>
          <w:szCs w:val="16"/>
          <w:color w:val="auto"/>
        </w:rPr>
        <w:t>and</w:t>
      </w:r>
      <w:r>
        <w:rPr>
          <w:rFonts w:ascii="Arial" w:cs="Arial" w:eastAsia="Arial" w:hAnsi="Arial"/>
          <w:sz w:val="16"/>
          <w:szCs w:val="16"/>
          <w:i w:val="1"/>
          <w:iCs w:val="1"/>
          <w:color w:val="auto"/>
        </w:rPr>
        <w:t xml:space="preserve"> sauvegarde financière accélérée</w:t>
      </w:r>
      <w:r>
        <w:rPr>
          <w:rFonts w:ascii="Arial" w:cs="Arial" w:eastAsia="Arial" w:hAnsi="Arial"/>
          <w:sz w:val="16"/>
          <w:szCs w:val="16"/>
          <w:color w:val="auto"/>
        </w:rPr>
        <w:t>); and (v) no Credit Party will have commenced negotiations with any of its creditors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view to the general readjustment or 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Arial" w:cs="Arial" w:eastAsia="Arial" w:hAnsi="Arial"/>
          <w:sz w:val="16"/>
          <w:szCs w:val="16"/>
          <w:i w:val="1"/>
          <w:iCs w:val="1"/>
          <w:color w:val="auto"/>
        </w:rPr>
        <w:t>accord de conciliation</w:t>
      </w:r>
      <w:r>
        <w:rPr>
          <w:rFonts w:ascii="Arial" w:cs="Arial" w:eastAsia="Arial" w:hAnsi="Arial"/>
          <w:sz w:val="16"/>
          <w:szCs w:val="16"/>
          <w:color w:val="auto"/>
        </w:rPr>
        <w:t>), or will have stopped or suspended payment of all or substantially all of its debts or will have announced an intention to do so, or will have a moratorium declared in respect of any of its indebtedness.</w:t>
      </w:r>
    </w:p>
    <w:p>
      <w:pPr>
        <w:spacing w:after="0" w:line="63" w:lineRule="exact"/>
        <w:rPr>
          <w:sz w:val="20"/>
          <w:szCs w:val="20"/>
          <w:color w:val="auto"/>
        </w:rPr>
      </w:pPr>
    </w:p>
    <w:p>
      <w:pPr>
        <w:ind w:right="80" w:firstLine="436"/>
        <w:spacing w:after="0" w:line="285" w:lineRule="auto"/>
        <w:tabs>
          <w:tab w:leader="none" w:pos="69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Set forth on (i) </w:t>
      </w:r>
      <w:r>
        <w:rPr>
          <w:rFonts w:ascii="Arial" w:cs="Arial" w:eastAsia="Arial" w:hAnsi="Arial"/>
          <w:sz w:val="16"/>
          <w:szCs w:val="16"/>
          <w:u w:val="single" w:color="auto"/>
          <w:color w:val="auto"/>
        </w:rPr>
        <w:t>Schedule 6.5(b)(i)</w:t>
      </w:r>
      <w:r>
        <w:rPr>
          <w:rFonts w:ascii="Arial" w:cs="Arial" w:eastAsia="Arial" w:hAnsi="Arial"/>
          <w:sz w:val="16"/>
          <w:szCs w:val="16"/>
          <w:color w:val="auto"/>
        </w:rPr>
        <w:t xml:space="preserve"> hereto is a list and description of all Indebtedness of the Credit Parties and their respective Subsidiaries (other than the Loans), in each case, with an aggregate outstanding principal amount in excess of $5,000,000 that will be outstanding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(ii) </w:t>
      </w:r>
      <w:r>
        <w:rPr>
          <w:rFonts w:ascii="Arial" w:cs="Arial" w:eastAsia="Arial" w:hAnsi="Arial"/>
          <w:sz w:val="16"/>
          <w:szCs w:val="16"/>
          <w:u w:val="single" w:color="auto"/>
          <w:color w:val="auto"/>
        </w:rPr>
        <w:t>Schedule 6.5(b)(ii)</w:t>
      </w:r>
      <w:r>
        <w:rPr>
          <w:rFonts w:ascii="Arial" w:cs="Arial" w:eastAsia="Arial" w:hAnsi="Arial"/>
          <w:sz w:val="16"/>
          <w:szCs w:val="16"/>
          <w:color w:val="auto"/>
        </w:rPr>
        <w:t xml:space="preserve"> hereto is a list and description of the Existing Non-U.S. Facilities and the obligations of any Subsidiary of Crown Holdings that has any Guarantee Obligations with respect to, is an obligor under or provides credit support in respect of such Existing Non-U.S. Facilities, in each case, with an aggregate outstanding principal amount in excess of $5,000,000,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(iii) </w:t>
      </w:r>
      <w:r>
        <w:rPr>
          <w:rFonts w:ascii="Arial" w:cs="Arial" w:eastAsia="Arial" w:hAnsi="Arial"/>
          <w:sz w:val="16"/>
          <w:szCs w:val="16"/>
          <w:u w:val="single" w:color="auto"/>
          <w:color w:val="auto"/>
        </w:rPr>
        <w:t>Schedule 6.5(b)(iii)</w:t>
      </w:r>
      <w:r>
        <w:rPr>
          <w:rFonts w:ascii="Arial" w:cs="Arial" w:eastAsia="Arial" w:hAnsi="Arial"/>
          <w:sz w:val="16"/>
          <w:szCs w:val="16"/>
          <w:color w:val="auto"/>
        </w:rPr>
        <w:t xml:space="preserve"> hereto is a list and description of the Existing Factoring Facilities of the Credit Parties and their respective Subsidiaries and the obligations of any Subsidiary of Crown Holdings that has any Guarantee Obligations with respect to, is an obligor under or provides credit support in respect of such Existing Factoring Facilities, in each case, with an aggregate outstanding principal amount in excess of $5,000,000,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FF0000"/>
        </w:rPr>
        <w:t xml:space="preserve"> </w:t>
      </w:r>
      <w:r>
        <w:rPr>
          <w:rFonts w:ascii="Arial" w:cs="Arial" w:eastAsia="Arial" w:hAnsi="Arial"/>
          <w:sz w:val="16"/>
          <w:szCs w:val="16"/>
          <w:color w:val="000000"/>
        </w:rPr>
        <w:t>Amendment Effective Date (collectively, including such Indebtedness described in this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6.5(b)</w:t>
      </w:r>
      <w:r>
        <w:rPr>
          <w:rFonts w:ascii="Arial" w:cs="Arial" w:eastAsia="Arial" w:hAnsi="Arial"/>
          <w:sz w:val="16"/>
          <w:szCs w:val="16"/>
          <w:color w:val="FF0000"/>
        </w:rPr>
        <w:t xml:space="preserve"> </w:t>
      </w:r>
      <w:r>
        <w:rPr>
          <w:rFonts w:ascii="Arial" w:cs="Arial" w:eastAsia="Arial" w:hAnsi="Arial"/>
          <w:sz w:val="16"/>
          <w:szCs w:val="16"/>
          <w:color w:val="000000"/>
        </w:rPr>
        <w:t>and not required to be scheduled, the</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u w:val="single" w:color="auto"/>
          <w:color w:val="000000"/>
        </w:rPr>
        <w:t>Indebtedness to Remain Outstanding</w:t>
      </w:r>
      <w:r>
        <w:rPr>
          <w:rFonts w:ascii="Arial" w:cs="Arial" w:eastAsia="Arial" w:hAnsi="Arial"/>
          <w:sz w:val="16"/>
          <w:szCs w:val="16"/>
          <w:color w:val="000000"/>
        </w:rPr>
        <w:t xml:space="preserve">”), in each case showing the outstanding aggregate principal amount thereof (and the aggregate 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Arial" w:cs="Arial" w:eastAsia="Arial" w:hAnsi="Arial"/>
          <w:sz w:val="16"/>
          <w:szCs w:val="16"/>
          <w:u w:val="single" w:color="auto"/>
          <w:color w:val="000000"/>
        </w:rPr>
        <w:t>Schedule 6.5(b)(i)</w:t>
      </w:r>
      <w:r>
        <w:rPr>
          <w:rFonts w:ascii="Arial" w:cs="Arial" w:eastAsia="Arial" w:hAnsi="Arial"/>
          <w:sz w:val="16"/>
          <w:szCs w:val="16"/>
          <w:color w:val="000000"/>
        </w:rPr>
        <w:t xml:space="preserve"> and of each material agreement or instrument pursuant to which such Indebtedness for money borrowed was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-1651000</wp:posOffset>
            </wp:positionV>
            <wp:extent cx="596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-1651000</wp:posOffset>
            </wp:positionV>
            <wp:extent cx="21463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-1239520</wp:posOffset>
            </wp:positionV>
            <wp:extent cx="5143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-1239520</wp:posOffset>
            </wp:positionV>
            <wp:extent cx="22288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-828040</wp:posOffset>
            </wp:positionV>
            <wp:extent cx="6032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-690880</wp:posOffset>
            </wp:positionV>
            <wp:extent cx="22288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295" w:name="page296"/>
    <w:bookmarkEnd w:id="295"/>
    <w:p>
      <w:pPr>
        <w:ind w:right="120" w:firstLine="436"/>
        <w:spacing w:after="0" w:line="293" w:lineRule="auto"/>
        <w:tabs>
          <w:tab w:leader="none" w:pos="68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Projections</w:t>
      </w:r>
      <w:r>
        <w:rPr>
          <w:rFonts w:ascii="Arial" w:cs="Arial" w:eastAsia="Arial" w:hAnsi="Arial"/>
          <w:sz w:val="16"/>
          <w:szCs w:val="16"/>
          <w:color w:val="auto"/>
        </w:rPr>
        <w:t>. On and as of the Effective Date, the financial projections previously delivered to Administrative Agent for further distribution to the Lenders (the “</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and each of the budgets and projections delivered after the Effective Date pursuant to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56" w:lineRule="exact"/>
        <w:rPr>
          <w:rFonts w:ascii="Arial" w:cs="Arial" w:eastAsia="Arial" w:hAnsi="Arial"/>
          <w:sz w:val="16"/>
          <w:szCs w:val="16"/>
          <w:color w:val="auto"/>
        </w:rPr>
      </w:pPr>
    </w:p>
    <w:p>
      <w:pPr>
        <w:ind w:right="520" w:firstLine="436"/>
        <w:spacing w:after="0" w:line="277"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2016, there has been no material adverse change in the financial condition of Crown Holdings and its Subsidiaries, taken as a whole.</w:t>
      </w:r>
    </w:p>
    <w:p>
      <w:pPr>
        <w:spacing w:after="0" w:line="62"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or proceedings pending or, to the knowledge of any of the Credit Parties, threatened in writing against any Credit Party (i) that would reasonably be expected to have a Material Adverse Effect, or (ii) which purports to affect the legality, validity or enforceability of this Agreement, any Loan Document or the transactions contemplated hereby or thereby.</w:t>
      </w:r>
    </w:p>
    <w:p>
      <w:pPr>
        <w:spacing w:after="0" w:line="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 xml:space="preserve">. To Crown Holding’s knowledge, all written information (taken as a whole) heretofore or contemporaneously furnished by or on behalf of any Credit Party in writing to any Lender (including, without limitation, all information contained in the Loan Documents) (other than the Projections, as to which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applies, and any forecast, estimates, pro forma information, projections and statements as to anticipated future performance or conditions and other than information of a general economic or industry specific nature or financial information) for purposes of or in connection with this Agreement or any transaction contemplated herein is, as modified or supplemented by other information (taken as a whole) so furnished from time to time, when taken as a whole, do not contain as of the date furnished (or, if such information expressly related to a specific date, as of such specific date) any untrue statement of material fact or omit to state a material fact necessary in order to make the statements contained herein or therein, in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this or any such document, certificate or statement was based upon or constitutes a forecast estimate, pro forma information or projection, statement as to anticipated future performance or conditions or general economic, industry specific or financial information, it is understood that such document, certificate or statement is not to be viewed as fact, that actual results during the period or periods covered by such document, certificate or statement may differ from such document, certificate or statement and the differences may be material, and that no assurance can be given that the results set forth in such document, certificate or statement will actually be obtained.</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311"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Effective Date Proceeds</w:t>
      </w:r>
      <w:r>
        <w:rPr>
          <w:rFonts w:ascii="Arial" w:cs="Arial" w:eastAsia="Arial" w:hAnsi="Arial"/>
          <w:sz w:val="16"/>
          <w:szCs w:val="16"/>
          <w:color w:val="auto"/>
        </w:rPr>
        <w:t>. The proceeds of (x) the Term Loans and Revolving Loans incurred on the Effective Date hereunder shall be used by the Borrowers (i) to refinance all Indebtedness and other obligations under the Existing Credit Agreement, (ii) to pay transaction costs and expenses in connection with this Agreement and the transactions contemplated hereby and (iii) with regard to any remaining amount, for general corporate purposes.</w:t>
      </w:r>
    </w:p>
    <w:p>
      <w:pPr>
        <w:spacing w:after="0" w:line="40" w:lineRule="exact"/>
        <w:rPr>
          <w:rFonts w:ascii="Arial" w:cs="Arial" w:eastAsia="Arial" w:hAnsi="Arial"/>
          <w:sz w:val="16"/>
          <w:szCs w:val="16"/>
          <w:color w:val="auto"/>
        </w:rPr>
      </w:pPr>
    </w:p>
    <w:p>
      <w:pPr>
        <w:ind w:right="40" w:firstLine="436"/>
        <w:spacing w:after="0" w:line="275" w:lineRule="auto"/>
        <w:tabs>
          <w:tab w:leader="none" w:pos="695"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Revolving Loan Proceeds</w:t>
      </w:r>
      <w:r>
        <w:rPr>
          <w:rFonts w:ascii="Arial" w:cs="Arial" w:eastAsia="Arial" w:hAnsi="Arial"/>
          <w:sz w:val="17"/>
          <w:szCs w:val="17"/>
          <w:color w:val="auto"/>
        </w:rPr>
        <w:t>. All proceeds of the Revolving Loans incurred hereunder shall be used by Crown Holdings and its Subsidiaries for ongoing working capital needs, acquisitions, share repurchases and other general corporate purposes, including, but not limited to, (x) the refinancing in part or in full of the Loans as defined and as outstanding under this Agreement immediately prior to giving effect to the Incremental Amendment No. 2 and Third Amendment and (y) to pay fees and expenses incurred in connection with the Incremental Amendment No. 2 and Third Amendment and any other transactions contemplated by or otherwise permitted under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980"/>
          </w:cols>
          <w:pgMar w:left="440" w:top="274" w:right="479" w:bottom="1440" w:gutter="0" w:footer="0" w:header="0"/>
        </w:sectPr>
      </w:pPr>
    </w:p>
    <w:bookmarkStart w:id="296" w:name="page297"/>
    <w:bookmarkEnd w:id="296"/>
    <w:p>
      <w:pPr>
        <w:ind w:left="684" w:hanging="244"/>
        <w:spacing w:after="0"/>
        <w:tabs>
          <w:tab w:leader="none" w:pos="68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Margin Regulations</w:t>
      </w:r>
      <w:r>
        <w:rPr>
          <w:rFonts w:ascii="Arial" w:cs="Arial" w:eastAsia="Arial" w:hAnsi="Arial"/>
          <w:sz w:val="18"/>
          <w:szCs w:val="18"/>
          <w:color w:val="auto"/>
        </w:rPr>
        <w:t>. No proceeds of any Loan will be used in a violation of any provision of Regulation U or X of the Board.</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140" w:firstLine="436"/>
        <w:spacing w:after="0" w:line="263" w:lineRule="auto"/>
        <w:tabs>
          <w:tab w:leader="none" w:pos="689"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Proceeds</w:t>
      </w:r>
      <w:r>
        <w:rPr>
          <w:rFonts w:ascii="Arial" w:cs="Arial" w:eastAsia="Arial" w:hAnsi="Arial"/>
          <w:sz w:val="18"/>
          <w:szCs w:val="18"/>
          <w:color w:val="auto"/>
        </w:rPr>
        <w:t xml:space="preserve">. The proceeds of the Term A Loans and Term Euro Loans incurred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shall be used by the U.S. Borrower and European Borrower as set forth in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-276860</wp:posOffset>
            </wp:positionV>
            <wp:extent cx="596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-276860</wp:posOffset>
            </wp:positionV>
            <wp:extent cx="24828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-139700</wp:posOffset>
            </wp:positionV>
            <wp:extent cx="596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-139700</wp:posOffset>
            </wp:positionV>
            <wp:extent cx="21463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-2540</wp:posOffset>
            </wp:positionV>
            <wp:extent cx="596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-2540</wp:posOffset>
            </wp:positionV>
            <wp:extent cx="22288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56"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Taxes</w:t>
      </w:r>
      <w:r>
        <w:rPr>
          <w:rFonts w:ascii="Arial" w:cs="Arial" w:eastAsia="Arial" w:hAnsi="Arial"/>
          <w:sz w:val="18"/>
          <w:szCs w:val="18"/>
          <w:color w:val="auto"/>
        </w:rPr>
        <w:t>. Each of Crown Holdings and its Subsidiaries has timely filed all federal income, foreign country income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individually or in the aggregate, would not reasonably be expected to have a Material Adverse Effect.</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Compliance With ERISA; Foreign Pension Plans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4" w:lineRule="auto"/>
        <w:tabs>
          <w:tab w:leader="none" w:pos="689" w:val="left"/>
        </w:tabs>
        <w:numPr>
          <w:ilvl w:val="1"/>
          <w:numId w:val="206"/>
        </w:numPr>
        <w:rPr>
          <w:rFonts w:ascii="Arial" w:cs="Arial" w:eastAsia="Arial" w:hAnsi="Arial"/>
          <w:sz w:val="16"/>
          <w:szCs w:val="16"/>
          <w:color w:val="auto"/>
        </w:rPr>
      </w:pPr>
      <w:r>
        <w:rPr>
          <w:rFonts w:ascii="Arial" w:cs="Arial" w:eastAsia="Arial" w:hAnsi="Arial"/>
          <w:sz w:val="16"/>
          <w:szCs w:val="16"/>
          <w:color w:val="auto"/>
        </w:rPr>
        <w:t>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 which reasonably might result in the incurrence by Crown Holdings and its Subsidiaries or any ERISA Affiliates of any liability, fine or penalty which would reasonably be expected to have a Material Adverse Effect. Crown Holdings and its Subsidiaries or any ERISA Affiliates have no contingent liability with respect to post-retirement benefits provided by Crown Holdings and its Subsidiaries or any ERISA Affiliates under a Welfare Plan, other than (i) liability for continuation coverage described in Part 6 of Subtitle B of Title I of ERISA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liabilities that, individually or in the aggregate, would not reasonably be expected to have a Material Adverse Effect.</w:t>
      </w:r>
    </w:p>
    <w:p>
      <w:pPr>
        <w:spacing w:after="0" w:line="102" w:lineRule="exact"/>
        <w:rPr>
          <w:rFonts w:ascii="Arial" w:cs="Arial" w:eastAsia="Arial" w:hAnsi="Arial"/>
          <w:sz w:val="18"/>
          <w:szCs w:val="18"/>
          <w:color w:val="auto"/>
        </w:rPr>
      </w:pPr>
    </w:p>
    <w:p>
      <w:pPr>
        <w:ind w:left="4" w:right="140" w:firstLine="436"/>
        <w:spacing w:after="0" w:line="270" w:lineRule="auto"/>
        <w:tabs>
          <w:tab w:leader="none" w:pos="69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could reasonably be expected to give rise to any such investigation or claim (other than routine claims for payment of benefits).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4"/>
          </w:cols>
          <w:pgMar w:left="436" w:top="274" w:right="439" w:bottom="1440" w:gutter="0" w:footer="0" w:header="0"/>
        </w:sectPr>
      </w:pPr>
    </w:p>
    <w:bookmarkStart w:id="297" w:name="page298"/>
    <w:bookmarkEnd w:id="297"/>
    <w:p>
      <w:pPr>
        <w:jc w:val="both"/>
        <w:ind w:right="120" w:firstLine="436"/>
        <w:spacing w:after="0" w:line="287" w:lineRule="auto"/>
        <w:tabs>
          <w:tab w:leader="none" w:pos="685"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6.10(c)</w:t>
      </w:r>
      <w:r>
        <w:rPr>
          <w:rFonts w:ascii="Arial" w:cs="Arial" w:eastAsia="Arial" w:hAnsi="Arial"/>
          <w:sz w:val="16"/>
          <w:szCs w:val="16"/>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Arial" w:cs="Arial" w:eastAsia="Arial" w:hAnsi="Arial"/>
          <w:sz w:val="16"/>
          <w:szCs w:val="16"/>
          <w:u w:val="single" w:color="auto"/>
          <w:color w:val="auto"/>
        </w:rPr>
        <w:t>Schedule 6.10(c)</w:t>
      </w:r>
      <w:r>
        <w:rPr>
          <w:rFonts w:ascii="Arial" w:cs="Arial" w:eastAsia="Arial" w:hAnsi="Arial"/>
          <w:sz w:val="16"/>
          <w:szCs w:val="16"/>
          <w:color w:val="auto"/>
        </w:rPr>
        <w:t xml:space="preserve"> or has otherwise been disclosed to the Canadian Administrative Agent.</w:t>
      </w:r>
    </w:p>
    <w:p>
      <w:pPr>
        <w:spacing w:after="0" w:line="2"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As of the Effective Date, the wind-up deficiency related to any prior wind-up or partial wind-up of a Canadian Defined Benefit Plan as of the date of the most recently filed actuarial valuation for such plan prior to the Effective Date is set out in </w:t>
      </w:r>
      <w:r>
        <w:rPr>
          <w:rFonts w:ascii="Arial" w:cs="Arial" w:eastAsia="Arial" w:hAnsi="Arial"/>
          <w:sz w:val="17"/>
          <w:szCs w:val="17"/>
          <w:u w:val="single" w:color="auto"/>
          <w:color w:val="auto"/>
        </w:rPr>
        <w:t>Schedule 6.10(c)</w:t>
      </w:r>
      <w:r>
        <w:rPr>
          <w:rFonts w:ascii="Arial" w:cs="Arial" w:eastAsia="Arial" w:hAnsi="Arial"/>
          <w:sz w:val="17"/>
          <w:szCs w:val="17"/>
          <w:color w:val="auto"/>
        </w:rPr>
        <w:t xml:space="preserve"> or has otherwise been disclosed to the Canadian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Arial" w:cs="Arial" w:eastAsia="Arial" w:hAnsi="Arial"/>
          <w:sz w:val="17"/>
          <w:szCs w:val="17"/>
          <w:u w:val="single" w:color="auto"/>
          <w:color w:val="auto"/>
        </w:rPr>
        <w:t>Schedule 6.10(c)</w:t>
      </w:r>
      <w:r>
        <w:rPr>
          <w:rFonts w:ascii="Arial" w:cs="Arial" w:eastAsia="Arial" w:hAnsi="Arial"/>
          <w:sz w:val="17"/>
          <w:szCs w:val="17"/>
          <w:color w:val="auto"/>
        </w:rPr>
        <w:t>, no Canadian Pension Termination Event has occurred, (ii) all reports and disclosures relating to the Canadian Defined Benefit Plan required by any applicable laws have been filed or distributed in a timely fashion, except as would not reasonably be expected to have a Material Adverse Effect and (iii) all obligations of any Canadian Credit Party required to be performed in connection with the Canadian Defined Benefit Plans or the funding agreements therefor have been performed in a timely fashion and there are no outstanding disputes concerning the assets held pursuant to any such funding agreement, except as would not reasonably be expected to have a Material Adverse Effect. No Canadian Credit Party contributes to, or has any obligation to contribute to, any Multiple Employer Plan.</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3" w:lineRule="auto"/>
        <w:tabs>
          <w:tab w:leader="none" w:pos="68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In the case of the Pledged Securities to the extent represented by certificated securities (the “</w:t>
      </w:r>
      <w:r>
        <w:rPr>
          <w:rFonts w:ascii="Arial" w:cs="Arial" w:eastAsia="Arial" w:hAnsi="Arial"/>
          <w:sz w:val="16"/>
          <w:szCs w:val="16"/>
          <w:u w:val="single" w:color="auto"/>
          <w:color w:val="auto"/>
        </w:rPr>
        <w:t>Certificated Pledged Stock</w:t>
      </w:r>
      <w:r>
        <w:rPr>
          <w:rFonts w:ascii="Arial" w:cs="Arial" w:eastAsia="Arial" w:hAnsi="Arial"/>
          <w:sz w:val="16"/>
          <w:szCs w:val="16"/>
          <w:color w:val="auto"/>
        </w:rPr>
        <w:t>”) described in the U.S. Pledge Agreement, as a result of certificates representing such Certificated Pledged Stock having been delivered to the Collateral Agent, the security interests created by the U.S. Pledge Agreement in such Certificated Pledged Stock constitute a fully perfected Lien (to the extent such Lien can be perfected by possession) having the priority set forth therein (subject to Permitted Liens).</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436"/>
        <w:spacing w:after="0" w:line="291" w:lineRule="auto"/>
        <w:tabs>
          <w:tab w:leader="none" w:pos="68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U.S. Security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Security Agreement). As a result of financing statements in appropriate form having been filed with the appropriate offices, the security interest in the Collateral (including registered trademarks and registered patents, but excluding registered copyrights) described in the U.S. Security Agreement constitutes a fully perfected Lien (to the extent such Lien can be perfected by filing, recording or registering under the UCC) on, and security interest in, all right, title and interest of the grantors thereunder in such Collateral (including registered trademarks and registered patents, but excluding registered copyrights), in each case having the priority set forth therein (except Permitted Liens).</w:t>
      </w:r>
    </w:p>
    <w:p>
      <w:pPr>
        <w:spacing w:after="0" w:line="58" w:lineRule="exact"/>
        <w:rPr>
          <w:rFonts w:ascii="Arial" w:cs="Arial" w:eastAsia="Arial" w:hAnsi="Arial"/>
          <w:sz w:val="16"/>
          <w:szCs w:val="16"/>
          <w:color w:val="auto"/>
        </w:rPr>
      </w:pPr>
    </w:p>
    <w:p>
      <w:pPr>
        <w:ind w:firstLine="436"/>
        <w:spacing w:after="0" w:line="273" w:lineRule="auto"/>
        <w:tabs>
          <w:tab w:leader="none" w:pos="6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As a result of security agreements, financing statements and/or analogous documents in appropriate form having been filed with the appropriate offices, including the United States Copyright Office, the security interest in the Collateral described in the U.S. Security Agreement that are registered copyrights constitutes a fully perfected Lien (to the extent such Lien can be perfected by filing, recording or registering in such appropriate offices, including the United States Copyright Office), in each case having the priority set forth therein (except Permitted Liens) (it being understood that subsequent recordings in the United States Copyright Office may be necessary to perfect a Lien on registered copyrights acquired by the Credit Parties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-5715</wp:posOffset>
            </wp:positionV>
            <wp:extent cx="6032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-5715</wp:posOffset>
            </wp:positionV>
            <wp:extent cx="22288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80"/>
          </w:cols>
          <w:pgMar w:left="440" w:top="274" w:right="479" w:bottom="1440" w:gutter="0" w:footer="0" w:header="0"/>
        </w:sectPr>
      </w:pPr>
    </w:p>
    <w:bookmarkStart w:id="298" w:name="page299"/>
    <w:bookmarkEnd w:id="298"/>
    <w:p>
      <w:pPr>
        <w:ind w:right="20" w:firstLine="436"/>
        <w:spacing w:after="0" w:line="270" w:lineRule="auto"/>
        <w:tabs>
          <w:tab w:leader="none" w:pos="685" w:val="left"/>
        </w:tabs>
        <w:numPr>
          <w:ilvl w:val="0"/>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security agreements entered into by the Canadian Credit Parties are effective (subject to the Legal Reservations)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UCC or by possession or control by the Canadian Administrative Agent, in each case prior and superior in right to any other Person, other than with respect to Permitted Liens.</w:t>
      </w:r>
    </w:p>
    <w:p>
      <w:pPr>
        <w:spacing w:after="0" w:line="72" w:lineRule="exact"/>
        <w:rPr>
          <w:rFonts w:ascii="Arial" w:cs="Arial" w:eastAsia="Arial" w:hAnsi="Arial"/>
          <w:sz w:val="17"/>
          <w:szCs w:val="17"/>
          <w:color w:val="auto"/>
        </w:rPr>
      </w:pPr>
    </w:p>
    <w:p>
      <w:pPr>
        <w:ind w:firstLine="436"/>
        <w:spacing w:after="0" w:line="269" w:lineRule="auto"/>
        <w:tabs>
          <w:tab w:leader="none" w:pos="66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Subject to the filings, amendments, undertakings and other actions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the Incremental Amendment No. 2 and Third Amendment, each Euro Security Document is effective (subject to the Legal Reservations) to create in favor of the Euro Collateral Agent, for the benefit of the Secured Creditors named therein, a legal, valid and 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 be perfected only by possession or control (which possession or control shall be given to the Euro Collateral Agent to the extent possession or control by the Euro Collateral Agent is required by any Euro Security Document) and (z) any further action required under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are taken, each Euro Security Document shall constitute a fully perfected Lien on, and security interest in, all right, title and interest of the grantors thereunder in such Collateral, in each case prior and superior in right to any other Person, other than with respect to Permitted Liens.</w:t>
      </w:r>
    </w:p>
    <w:p>
      <w:pPr>
        <w:spacing w:after="0" w:line="7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Crown Holdings and each of its Material Subsidiaries has good and marketable title to, a subsisting leasehold interest in, or right to use, all items of material real and tangible personal property used in its operations, free and clear of all Liens (except as to leasehold interests), except Permitted Liens and except as would not reasonably be expected to have a Material Adverse Effect. Substantially all items of real property owned by, leased to or used by Crown Holdings and each of its Material Subsidiaries are free and clear of any known defects in title except such defects as do not substantially interfere with the continued use thereof in the conduct of normal operations, and except Permitted Real Property Encumbrances except as would reasonably be expected to have a Material Adverse Effect.</w:t>
      </w:r>
    </w:p>
    <w:p>
      <w:pPr>
        <w:spacing w:after="0" w:line="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Capitalization of Credit Parties</w:t>
      </w:r>
      <w:r>
        <w:rPr>
          <w:rFonts w:ascii="Arial" w:cs="Arial" w:eastAsia="Arial" w:hAnsi="Arial"/>
          <w:sz w:val="17"/>
          <w:szCs w:val="17"/>
          <w:color w:val="auto"/>
        </w:rPr>
        <w:t>.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 Agreement, none of any Credit Party’s Subsidiaries has any outstanding stock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0"/>
          </w:cols>
          <w:pgMar w:left="440" w:top="274" w:right="459" w:bottom="1440" w:gutter="0" w:footer="0" w:header="0"/>
        </w:sectPr>
      </w:pPr>
    </w:p>
    <w:bookmarkStart w:id="299" w:name="page300"/>
    <w:bookmarkEnd w:id="29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7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hereto sets forth a true, complete and correct list as of the Effective Date of all Subsidiaries of any Credit Party after giving effect to the Transactions and indicates for each such Subsidiary (i) its jurisdiction of organization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xml:space="preserve"> Neither Crown Holdings nor any of its Material Subsidiaries is in default under or in violation of any Requirement of Law (other than Taxes, ERISA and Foreign Plans or Environmental Laws, which are covered exclusively by </w:t>
      </w:r>
      <w:r>
        <w:rPr>
          <w:rFonts w:ascii="Arial" w:cs="Arial" w:eastAsia="Arial" w:hAnsi="Arial"/>
          <w:sz w:val="17"/>
          <w:szCs w:val="17"/>
          <w:u w:val="single" w:color="auto"/>
          <w:color w:val="auto"/>
        </w:rPr>
        <w:t>Sections 6.9</w:t>
      </w:r>
      <w:r>
        <w:rPr>
          <w:rFonts w:ascii="Arial" w:cs="Arial" w:eastAsia="Arial" w:hAnsi="Arial"/>
          <w:sz w:val="17"/>
          <w:szCs w:val="17"/>
          <w:color w:val="auto"/>
        </w:rPr>
        <w:t xml:space="preserve">, </w:t>
      </w:r>
      <w:r>
        <w:rPr>
          <w:rFonts w:ascii="Arial" w:cs="Arial" w:eastAsia="Arial" w:hAnsi="Arial"/>
          <w:sz w:val="17"/>
          <w:szCs w:val="17"/>
          <w:u w:val="single" w:color="auto"/>
          <w:color w:val="auto"/>
        </w:rPr>
        <w:t>6.10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6.18</w:t>
      </w:r>
      <w:r>
        <w:rPr>
          <w:rFonts w:ascii="Arial" w:cs="Arial" w:eastAsia="Arial" w:hAnsi="Arial"/>
          <w:sz w:val="17"/>
          <w:szCs w:val="17"/>
          <w:color w:val="auto"/>
        </w:rPr>
        <w:t>, respectively) applicable to any of them or Contractual Obligation applicable to any of them (other than Contractual Obligations related to Indebtedness (other than Material Indebtedness)), as the case may be, in each case the consequences of which default or violation, individually or in the aggregate with all such other deficits and violations, would reasonably be expected to have a Material Adverse Effect.</w:t>
      </w:r>
    </w:p>
    <w:p>
      <w:pPr>
        <w:spacing w:after="0" w:line="68"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Borrowers nor any of their respective Subsidiaries is an “investment company” or a company “controlled” by an “investment company,” within the meaning of the Investment Company Act of 1940, as amended.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any matters that, individually or in the aggregate, would not reasonably be expected to have a Material Adverse Effect:</w:t>
      </w:r>
    </w:p>
    <w:p>
      <w:pPr>
        <w:spacing w:after="0" w:line="62" w:lineRule="exact"/>
        <w:rPr>
          <w:sz w:val="20"/>
          <w:szCs w:val="20"/>
          <w:color w:val="auto"/>
        </w:rPr>
      </w:pPr>
    </w:p>
    <w:p>
      <w:pPr>
        <w:ind w:right="40" w:firstLine="436"/>
        <w:spacing w:after="0" w:line="277" w:lineRule="auto"/>
        <w:tabs>
          <w:tab w:leader="none" w:pos="685" w:val="left"/>
        </w:tabs>
        <w:numPr>
          <w:ilvl w:val="0"/>
          <w:numId w:val="211"/>
        </w:numPr>
        <w:rPr>
          <w:rFonts w:ascii="Arial" w:cs="Arial" w:eastAsia="Arial" w:hAnsi="Arial"/>
          <w:sz w:val="18"/>
          <w:szCs w:val="18"/>
          <w:u w:val="single" w:color="auto"/>
          <w:color w:val="0000FF"/>
        </w:rPr>
      </w:pPr>
      <w:r>
        <w:rPr>
          <w:rFonts w:ascii="Arial" w:cs="Arial" w:eastAsia="Arial" w:hAnsi="Arial"/>
          <w:sz w:val="18"/>
          <w:szCs w:val="18"/>
          <w:color w:val="auto"/>
        </w:rPr>
        <w:t>All facilities and property owned, leased or operated by Crown Holdings or any of its Subsidiaries, and all operations conducted thereon, are in compliance with all Environmental Laws.</w:t>
      </w:r>
    </w:p>
    <w:p>
      <w:pPr>
        <w:spacing w:after="0" w:line="62" w:lineRule="exact"/>
        <w:rPr>
          <w:rFonts w:ascii="Arial" w:cs="Arial" w:eastAsia="Arial" w:hAnsi="Arial"/>
          <w:sz w:val="18"/>
          <w:szCs w:val="18"/>
          <w:u w:val="single" w:color="auto"/>
          <w:color w:val="0000FF"/>
        </w:rPr>
      </w:pPr>
    </w:p>
    <w:p>
      <w:pPr>
        <w:ind w:right="440" w:firstLine="436"/>
        <w:spacing w:after="0" w:line="277" w:lineRule="auto"/>
        <w:tabs>
          <w:tab w:leader="none" w:pos="695" w:val="left"/>
        </w:tabs>
        <w:numPr>
          <w:ilvl w:val="0"/>
          <w:numId w:val="211"/>
        </w:numPr>
        <w:rPr>
          <w:rFonts w:ascii="Arial" w:cs="Arial" w:eastAsia="Arial" w:hAnsi="Arial"/>
          <w:sz w:val="18"/>
          <w:szCs w:val="18"/>
          <w:u w:val="single" w:color="auto"/>
          <w:color w:val="0000FF"/>
        </w:rPr>
      </w:pPr>
      <w:r>
        <w:rPr>
          <w:rFonts w:ascii="Arial" w:cs="Arial" w:eastAsia="Arial" w:hAnsi="Arial"/>
          <w:sz w:val="18"/>
          <w:szCs w:val="18"/>
          <w:color w:val="auto"/>
        </w:rPr>
        <w:t>There are no pending or threatened written claims, complaints, notices or inquiries received by Crown Holdings or any of its Subsidiaries regarding any Environmental Liability.</w:t>
      </w:r>
    </w:p>
    <w:p>
      <w:pPr>
        <w:spacing w:after="0" w:line="62" w:lineRule="exact"/>
        <w:rPr>
          <w:rFonts w:ascii="Arial" w:cs="Arial" w:eastAsia="Arial" w:hAnsi="Arial"/>
          <w:sz w:val="18"/>
          <w:szCs w:val="18"/>
          <w:u w:val="single" w:color="auto"/>
          <w:color w:val="0000FF"/>
        </w:rPr>
      </w:pPr>
    </w:p>
    <w:p>
      <w:pPr>
        <w:ind w:right="220" w:firstLine="436"/>
        <w:spacing w:after="0" w:line="277" w:lineRule="auto"/>
        <w:tabs>
          <w:tab w:leader="none" w:pos="685" w:val="left"/>
        </w:tabs>
        <w:numPr>
          <w:ilvl w:val="0"/>
          <w:numId w:val="211"/>
        </w:numPr>
        <w:rPr>
          <w:rFonts w:ascii="Arial" w:cs="Arial" w:eastAsia="Arial" w:hAnsi="Arial"/>
          <w:sz w:val="18"/>
          <w:szCs w:val="18"/>
          <w:u w:val="single" w:color="auto"/>
          <w:color w:val="0000FF"/>
        </w:rPr>
      </w:pPr>
      <w:r>
        <w:rPr>
          <w:rFonts w:ascii="Arial" w:cs="Arial" w:eastAsia="Arial" w:hAnsi="Arial"/>
          <w:sz w:val="18"/>
          <w:szCs w:val="18"/>
          <w:color w:val="auto"/>
        </w:rPr>
        <w:t>There have been no Releases of Hazardous Materials at, on, under or from any property now or, to any Credit Party’s knowledge, previously owned or leased or operated by Crown Holdings or any of its Subsidiaries.</w:t>
      </w:r>
    </w:p>
    <w:p>
      <w:pPr>
        <w:spacing w:after="0" w:line="62" w:lineRule="exact"/>
        <w:rPr>
          <w:rFonts w:ascii="Arial" w:cs="Arial" w:eastAsia="Arial" w:hAnsi="Arial"/>
          <w:sz w:val="18"/>
          <w:szCs w:val="18"/>
          <w:u w:val="single" w:color="auto"/>
          <w:color w:val="0000FF"/>
        </w:rPr>
      </w:pPr>
    </w:p>
    <w:p>
      <w:pPr>
        <w:ind w:right="280" w:firstLine="436"/>
        <w:spacing w:after="0" w:line="277" w:lineRule="auto"/>
        <w:tabs>
          <w:tab w:leader="none" w:pos="695" w:val="left"/>
        </w:tabs>
        <w:numPr>
          <w:ilvl w:val="0"/>
          <w:numId w:val="211"/>
        </w:numPr>
        <w:rPr>
          <w:rFonts w:ascii="Arial" w:cs="Arial" w:eastAsia="Arial" w:hAnsi="Arial"/>
          <w:sz w:val="18"/>
          <w:szCs w:val="18"/>
          <w:u w:val="single" w:color="auto"/>
          <w:color w:val="0000FF"/>
        </w:rPr>
      </w:pPr>
      <w:r>
        <w:rPr>
          <w:rFonts w:ascii="Arial" w:cs="Arial" w:eastAsia="Arial" w:hAnsi="Arial"/>
          <w:sz w:val="18"/>
          <w:szCs w:val="18"/>
          <w:color w:val="auto"/>
        </w:rPr>
        <w:t>Crown Holdings and its Subsidiaries have been issued and are in compliance with all Environmental Permits necessary for their operations, facilities and businesses and each is in full force and effect.</w:t>
      </w:r>
    </w:p>
    <w:p>
      <w:pPr>
        <w:spacing w:after="0" w:line="62" w:lineRule="exact"/>
        <w:rPr>
          <w:rFonts w:ascii="Arial" w:cs="Arial" w:eastAsia="Arial" w:hAnsi="Arial"/>
          <w:sz w:val="18"/>
          <w:szCs w:val="18"/>
          <w:u w:val="single" w:color="auto"/>
          <w:color w:val="0000FF"/>
        </w:rPr>
      </w:pPr>
    </w:p>
    <w:p>
      <w:pPr>
        <w:jc w:val="both"/>
        <w:ind w:right="280" w:firstLine="436"/>
        <w:spacing w:after="0" w:line="263" w:lineRule="auto"/>
        <w:tabs>
          <w:tab w:leader="none" w:pos="685" w:val="left"/>
        </w:tabs>
        <w:numPr>
          <w:ilvl w:val="0"/>
          <w:numId w:val="211"/>
        </w:numPr>
        <w:rPr>
          <w:rFonts w:ascii="Arial" w:cs="Arial" w:eastAsia="Arial" w:hAnsi="Arial"/>
          <w:sz w:val="18"/>
          <w:szCs w:val="18"/>
          <w:u w:val="single" w:color="auto"/>
          <w:color w:val="0000FF"/>
        </w:rPr>
      </w:pPr>
      <w:r>
        <w:rPr>
          <w:rFonts w:ascii="Arial" w:cs="Arial" w:eastAsia="Arial" w:hAnsi="Arial"/>
          <w:sz w:val="18"/>
          <w:szCs w:val="18"/>
          <w:color w:val="auto"/>
        </w:rPr>
        <w:t>No property now or, to any Credit Party’s knowledge, previously owned, leased or operated by Crown Holdings or any of its Subsidiaries is listed or proposed (with respect to owned property only) for listing on the SEMs or on any similar state, provincial or territorial list of sites requiring investigation or clean-up, or on the National Priorities List pursuant to CERCLA.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-1648460</wp:posOffset>
            </wp:positionV>
            <wp:extent cx="15430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-1305560</wp:posOffset>
            </wp:positionV>
            <wp:extent cx="15430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-962660</wp:posOffset>
            </wp:positionV>
            <wp:extent cx="15430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-619760</wp:posOffset>
            </wp:positionV>
            <wp:extent cx="15430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15430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440" w:top="274" w:right="439" w:bottom="1440" w:gutter="0" w:footer="0" w:header="0"/>
        </w:sectPr>
      </w:pPr>
    </w:p>
    <w:bookmarkStart w:id="300" w:name="page301"/>
    <w:bookmarkEnd w:id="300"/>
    <w:p>
      <w:pPr>
        <w:ind w:left="664" w:hanging="224"/>
        <w:spacing w:after="0"/>
        <w:tabs>
          <w:tab w:leader="none" w:pos="664"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Arial" w:cs="Arial" w:eastAsia="Arial" w:hAnsi="Arial"/>
          <w:sz w:val="18"/>
          <w:szCs w:val="18"/>
          <w:u w:val="single" w:color="auto"/>
          <w:color w:val="0000FF"/>
        </w:rPr>
      </w:pPr>
    </w:p>
    <w:p>
      <w:pPr>
        <w:ind w:left="4" w:right="80" w:firstLine="436"/>
        <w:spacing w:after="0" w:line="259" w:lineRule="auto"/>
        <w:tabs>
          <w:tab w:leader="none" w:pos="699"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t>Neither Crown Holdings nor any Subsidiary has transported or arranged for the transportation of any Hazardous Material to any location which is listed or proposed for listing on the National Priorities List pursuant to CERCLA, on the SEMs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78" w:lineRule="exact"/>
        <w:rPr>
          <w:rFonts w:ascii="Arial" w:cs="Arial" w:eastAsia="Arial" w:hAnsi="Arial"/>
          <w:sz w:val="18"/>
          <w:szCs w:val="18"/>
          <w:u w:val="single" w:color="auto"/>
          <w:color w:val="0000FF"/>
        </w:rPr>
      </w:pPr>
    </w:p>
    <w:p>
      <w:pPr>
        <w:ind w:left="4" w:right="460" w:firstLine="436"/>
        <w:spacing w:after="0" w:line="263" w:lineRule="auto"/>
        <w:tabs>
          <w:tab w:leader="none" w:pos="699"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t>To the knowledge of any Credit Party, there are no past or present actions, activities, conditions or occurrences that would reasonably be expected to prevent Crown Holdings or any of its Subsidiaries from complying with, or to result in the liability of Crown Holdings or any of its Subsidiaries under, any Environmental Law.</w:t>
      </w:r>
    </w:p>
    <w:p>
      <w:pPr>
        <w:spacing w:after="0" w:line="75" w:lineRule="exact"/>
        <w:rPr>
          <w:rFonts w:ascii="Arial" w:cs="Arial" w:eastAsia="Arial" w:hAnsi="Arial"/>
          <w:sz w:val="18"/>
          <w:szCs w:val="18"/>
          <w:u w:val="single" w:color="auto"/>
          <w:color w:val="0000FF"/>
        </w:rPr>
      </w:pPr>
    </w:p>
    <w:p>
      <w:pPr>
        <w:ind w:left="4" w:right="100" w:firstLine="436"/>
        <w:spacing w:after="0" w:line="277" w:lineRule="auto"/>
        <w:tabs>
          <w:tab w:leader="none" w:pos="659"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t>No Environmental Liens have been recorded pursuant to any Environmental Law with respect to any property or other assets owned or leased by Crown Holdings or any of its Subsidiaries that impair the current use or marketability thereof.</w:t>
      </w:r>
    </w:p>
    <w:p>
      <w:pPr>
        <w:spacing w:after="0" w:line="62" w:lineRule="exact"/>
        <w:rPr>
          <w:rFonts w:ascii="Arial" w:cs="Arial" w:eastAsia="Arial" w:hAnsi="Arial"/>
          <w:sz w:val="18"/>
          <w:szCs w:val="18"/>
          <w:u w:val="single" w:color="auto"/>
          <w:color w:val="0000FF"/>
        </w:rPr>
      </w:pPr>
    </w:p>
    <w:p>
      <w:pPr>
        <w:ind w:left="4" w:right="100" w:firstLine="436"/>
        <w:spacing w:after="0" w:line="263" w:lineRule="auto"/>
        <w:tabs>
          <w:tab w:leader="none" w:pos="659"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t>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75" w:lineRule="exact"/>
        <w:rPr>
          <w:rFonts w:ascii="Arial" w:cs="Arial" w:eastAsia="Arial" w:hAnsi="Arial"/>
          <w:sz w:val="18"/>
          <w:szCs w:val="18"/>
          <w:u w:val="single" w:color="auto"/>
          <w:color w:val="0000FF"/>
        </w:rPr>
      </w:pPr>
    </w:p>
    <w:p>
      <w:pPr>
        <w:ind w:left="704" w:hanging="264"/>
        <w:spacing w:after="0"/>
        <w:tabs>
          <w:tab w:leader="none" w:pos="704" w:val="left"/>
        </w:tabs>
        <w:numPr>
          <w:ilvl w:val="0"/>
          <w:numId w:val="212"/>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-2101850</wp:posOffset>
            </wp:positionV>
            <wp:extent cx="13716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-1896110</wp:posOffset>
            </wp:positionV>
            <wp:extent cx="15430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-1278890</wp:posOffset>
            </wp:positionV>
            <wp:extent cx="15430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-798830</wp:posOffset>
            </wp:positionV>
            <wp:extent cx="10287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-455930</wp:posOffset>
            </wp:positionV>
            <wp:extent cx="13716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23495</wp:posOffset>
            </wp:positionV>
            <wp:extent cx="15430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Intellectual Property, Licenses, Franchises and Formulas</w:t>
      </w:r>
      <w:r>
        <w:rPr>
          <w:rFonts w:ascii="Arial" w:cs="Arial" w:eastAsia="Arial" w:hAnsi="Arial"/>
          <w:sz w:val="17"/>
          <w:szCs w:val="17"/>
          <w:color w:val="auto"/>
        </w:rPr>
        <w:t>. Each of Crown Holdings and its Material Subsidiaries owns or possesses, is licensed or otherwise has the right to use, or could obtain ownership or possession of, on terms not materially adverse to it, all patents, trademarks, service marks, trade names, copyrights, licenses and rights with respect thereto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necessary for the present conduct of its business, without any known conflict with the rights of others, except where such conflicts, individually or in the aggregate with all such other conflicts, would not reasonably be expected to have a Material Adverse Effect.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Anti-Terrorism Laws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7" w:lineRule="auto"/>
        <w:tabs>
          <w:tab w:leader="none" w:pos="689" w:val="left"/>
        </w:tabs>
        <w:numPr>
          <w:ilvl w:val="1"/>
          <w:numId w:val="213"/>
        </w:numPr>
        <w:rPr>
          <w:rFonts w:ascii="Arial" w:cs="Arial" w:eastAsia="Arial" w:hAnsi="Arial"/>
          <w:sz w:val="16"/>
          <w:szCs w:val="16"/>
          <w:color w:val="auto"/>
        </w:rPr>
      </w:pPr>
      <w:r>
        <w:rPr>
          <w:rFonts w:ascii="Arial" w:cs="Arial" w:eastAsia="Arial" w:hAnsi="Arial"/>
          <w:sz w:val="16"/>
          <w:szCs w:val="16"/>
          <w:color w:val="auto"/>
        </w:rPr>
        <w:t>None of the Credit Parties or any of their Subsidiaries or Unrestricted Entities, officers or directors, or to the knowledge of any of the Credit Parties, any of their employees, agents or Affiliates, are in violation of any Anti-Corruption Laws or any laws relating to terrorism or money laundering (“</w:t>
      </w:r>
      <w:r>
        <w:rPr>
          <w:rFonts w:ascii="Arial" w:cs="Arial" w:eastAsia="Arial" w:hAnsi="Arial"/>
          <w:sz w:val="16"/>
          <w:szCs w:val="16"/>
          <w:u w:val="single" w:color="auto"/>
          <w:color w:val="auto"/>
        </w:rPr>
        <w:t>Anti-Terrorism Laws</w:t>
      </w:r>
      <w:r>
        <w:rPr>
          <w:rFonts w:ascii="Arial" w:cs="Arial" w:eastAsia="Arial" w:hAnsi="Arial"/>
          <w:sz w:val="16"/>
          <w:szCs w:val="16"/>
          <w:color w:val="auto"/>
        </w:rPr>
        <w:t>”), including the economic or financial sanctions or trade embargoes imposed, administered or enforced from time to time by</w:t>
      </w:r>
    </w:p>
    <w:p>
      <w:pPr>
        <w:spacing w:after="0" w:line="2" w:lineRule="exact"/>
        <w:rPr>
          <w:rFonts w:ascii="Arial" w:cs="Arial" w:eastAsia="Arial" w:hAnsi="Arial"/>
          <w:sz w:val="16"/>
          <w:szCs w:val="16"/>
          <w:color w:val="auto"/>
        </w:rPr>
      </w:pPr>
    </w:p>
    <w:p>
      <w:pPr>
        <w:ind w:left="4" w:hanging="4"/>
        <w:spacing w:after="0" w:line="252" w:lineRule="auto"/>
        <w:tabs>
          <w:tab w:leader="none" w:pos="21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United States Treasury Department’s Office of Foreign Asset Control (“</w:t>
      </w:r>
      <w:r>
        <w:rPr>
          <w:rFonts w:ascii="Arial" w:cs="Arial" w:eastAsia="Arial" w:hAnsi="Arial"/>
          <w:sz w:val="18"/>
          <w:szCs w:val="18"/>
          <w:u w:val="single" w:color="auto"/>
          <w:color w:val="auto"/>
        </w:rPr>
        <w:t>OFAC</w:t>
      </w:r>
      <w:r>
        <w:rPr>
          <w:rFonts w:ascii="Arial" w:cs="Arial" w:eastAsia="Arial" w:hAnsi="Arial"/>
          <w:sz w:val="18"/>
          <w:szCs w:val="18"/>
          <w:color w:val="auto"/>
        </w:rPr>
        <w:t>”), the State Department and the Commerce Department (including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and (ii) the United Nations Security Council, the European Union or Her Majesty’s Treasury of the United Kingdom (collectively, the “</w:t>
      </w:r>
      <w:r>
        <w:rPr>
          <w:rFonts w:ascii="Arial" w:cs="Arial" w:eastAsia="Arial" w:hAnsi="Arial"/>
          <w:sz w:val="18"/>
          <w:szCs w:val="18"/>
          <w:u w:val="single" w:color="auto"/>
          <w:color w:val="auto"/>
        </w:rPr>
        <w:t>Sanctions</w:t>
      </w:r>
      <w:r>
        <w:rPr>
          <w:rFonts w:ascii="Arial" w:cs="Arial" w:eastAsia="Arial" w:hAnsi="Arial"/>
          <w:sz w:val="18"/>
          <w:szCs w:val="18"/>
          <w:color w:val="auto"/>
        </w:rPr>
        <w:t>”). No part of the proceeds of the Loans or Letters of Credit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64"/>
          </w:cols>
          <w:pgMar w:left="436" w:top="274" w:right="499" w:bottom="1440" w:gutter="0" w:footer="0" w:header="0"/>
        </w:sectPr>
      </w:pPr>
    </w:p>
    <w:bookmarkStart w:id="301" w:name="page302"/>
    <w:bookmarkEnd w:id="301"/>
    <w:p>
      <w:pPr>
        <w:ind w:right="140" w:firstLine="436"/>
        <w:spacing w:after="0" w:line="277"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Credit Party or any of their Subsidiaries or Unrestricted Entities or any of their officers or directors, to the knowledge of any of the Credit Parties, any of their employees, Affiliates or their respective brokers or other agents, is any of the following:</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078"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Person or entity that is listed in the annex to, or is otherwise subject to the prohibitions contained in, the Executive Order or the OFAC regulations;</w:t>
      </w:r>
    </w:p>
    <w:p>
      <w:pPr>
        <w:spacing w:after="0" w:line="62" w:lineRule="exact"/>
        <w:rPr>
          <w:rFonts w:ascii="Arial" w:cs="Arial" w:eastAsia="Arial" w:hAnsi="Arial"/>
          <w:sz w:val="18"/>
          <w:szCs w:val="18"/>
          <w:u w:val="single" w:color="auto"/>
          <w:color w:val="0000FF"/>
        </w:rPr>
      </w:pPr>
    </w:p>
    <w:p>
      <w:pPr>
        <w:ind w:left="440" w:right="100" w:firstLine="419"/>
        <w:spacing w:after="0" w:line="277" w:lineRule="auto"/>
        <w:tabs>
          <w:tab w:leader="none" w:pos="1128"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Person or entity owned or controlled by, or acting for or on behalf of, any Person or entity that is listed in the annex to, or is otherwise subject to the prohibitions contained in, the Executive Order or the OFAC regulations;</w:t>
      </w:r>
    </w:p>
    <w:p>
      <w:pPr>
        <w:spacing w:after="0" w:line="62" w:lineRule="exact"/>
        <w:rPr>
          <w:rFonts w:ascii="Arial" w:cs="Arial" w:eastAsia="Arial" w:hAnsi="Arial"/>
          <w:sz w:val="18"/>
          <w:szCs w:val="18"/>
          <w:u w:val="single" w:color="auto"/>
          <w:color w:val="0000FF"/>
        </w:rPr>
      </w:pPr>
    </w:p>
    <w:p>
      <w:pPr>
        <w:ind w:left="440" w:right="300" w:firstLine="419"/>
        <w:spacing w:after="0" w:line="277" w:lineRule="auto"/>
        <w:tabs>
          <w:tab w:leader="none" w:pos="1178"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Person or entity with which any Lender is prohibited from dealing or otherwise engaging in any transaction by any Anti-Terrorism Law or Sanctions;</w:t>
      </w:r>
    </w:p>
    <w:p>
      <w:pPr>
        <w:spacing w:after="0" w:line="62" w:lineRule="exact"/>
        <w:rPr>
          <w:rFonts w:ascii="Arial" w:cs="Arial" w:eastAsia="Arial" w:hAnsi="Arial"/>
          <w:sz w:val="18"/>
          <w:szCs w:val="18"/>
          <w:u w:val="single" w:color="auto"/>
          <w:color w:val="0000FF"/>
        </w:rPr>
      </w:pPr>
    </w:p>
    <w:p>
      <w:pPr>
        <w:ind w:left="440" w:right="20" w:firstLine="419"/>
        <w:spacing w:after="0" w:line="277" w:lineRule="auto"/>
        <w:tabs>
          <w:tab w:leader="none" w:pos="1168"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Person or entity that commits, threatens or conspires to commit or supports “terrorism” as defined in the Executive Order or the OFAC regulations;</w:t>
      </w:r>
    </w:p>
    <w:p>
      <w:pPr>
        <w:spacing w:after="0" w:line="62" w:lineRule="exact"/>
        <w:rPr>
          <w:rFonts w:ascii="Arial" w:cs="Arial" w:eastAsia="Arial" w:hAnsi="Arial"/>
          <w:sz w:val="18"/>
          <w:szCs w:val="18"/>
          <w:u w:val="single" w:color="auto"/>
          <w:color w:val="0000FF"/>
        </w:rPr>
      </w:pPr>
    </w:p>
    <w:p>
      <w:pPr>
        <w:ind w:left="440" w:right="40" w:firstLine="419"/>
        <w:spacing w:after="0" w:line="277" w:lineRule="auto"/>
        <w:tabs>
          <w:tab w:leader="none" w:pos="1118"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Person or entity that is named on the most current list of “Specially Designated Nationals and Blocked Persons” published by OFAC at its official website or any replacement website or other replacement official publication of such list; or</w:t>
      </w:r>
    </w:p>
    <w:p>
      <w:pPr>
        <w:spacing w:after="0" w:line="62" w:lineRule="exact"/>
        <w:rPr>
          <w:rFonts w:ascii="Arial" w:cs="Arial" w:eastAsia="Arial" w:hAnsi="Arial"/>
          <w:sz w:val="18"/>
          <w:szCs w:val="18"/>
          <w:u w:val="single" w:color="auto"/>
          <w:color w:val="0000FF"/>
        </w:rPr>
      </w:pPr>
    </w:p>
    <w:p>
      <w:pPr>
        <w:ind w:left="1160" w:hanging="301"/>
        <w:spacing w:after="0"/>
        <w:tabs>
          <w:tab w:leader="none" w:pos="1160" w:val="left"/>
        </w:tabs>
        <w:numPr>
          <w:ilvl w:val="1"/>
          <w:numId w:val="215"/>
        </w:numPr>
        <w:rPr>
          <w:rFonts w:ascii="Arial" w:cs="Arial" w:eastAsia="Arial" w:hAnsi="Arial"/>
          <w:sz w:val="18"/>
          <w:szCs w:val="18"/>
          <w:u w:val="single" w:color="auto"/>
          <w:color w:val="0000FF"/>
        </w:rPr>
      </w:pPr>
      <w:r>
        <w:rPr>
          <w:rFonts w:ascii="Arial" w:cs="Arial" w:eastAsia="Arial" w:hAnsi="Arial"/>
          <w:sz w:val="18"/>
          <w:szCs w:val="18"/>
          <w:color w:val="auto"/>
        </w:rPr>
        <w:t>a Sanctioned Person.</w:t>
      </w:r>
    </w:p>
    <w:p>
      <w:pPr>
        <w:spacing w:after="0" w:line="117" w:lineRule="exact"/>
        <w:rPr>
          <w:rFonts w:ascii="Arial" w:cs="Arial" w:eastAsia="Arial" w:hAnsi="Arial"/>
          <w:sz w:val="18"/>
          <w:szCs w:val="18"/>
          <w:u w:val="single" w:color="auto"/>
          <w:color w:val="0000FF"/>
        </w:rPr>
      </w:pPr>
    </w:p>
    <w:p>
      <w:pPr>
        <w:ind w:right="160" w:firstLine="436"/>
        <w:spacing w:after="0" w:line="263" w:lineRule="auto"/>
        <w:tabs>
          <w:tab w:leader="none" w:pos="6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Credit Parties are subject to and will remain subject to policies and procedures designed to ensure compliance by the Credit Parties, their respective Subsidiaries and Unrestricted Entities and their respective directors, officers, employees and agents with Anti-Corruption Laws and applicable Sanctions.</w:t>
      </w:r>
    </w:p>
    <w:p>
      <w:pPr>
        <w:spacing w:after="0" w:line="75" w:lineRule="exact"/>
        <w:rPr>
          <w:rFonts w:ascii="Arial" w:cs="Arial" w:eastAsia="Arial" w:hAnsi="Arial"/>
          <w:sz w:val="18"/>
          <w:szCs w:val="18"/>
          <w:color w:val="auto"/>
        </w:rPr>
      </w:pPr>
    </w:p>
    <w:p>
      <w:pPr>
        <w:ind w:firstLine="436"/>
        <w:spacing w:after="0" w:line="296"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 Credit Party or Subsidiary and Unrestricted Entities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-2965450</wp:posOffset>
            </wp:positionV>
            <wp:extent cx="13716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-2622550</wp:posOffset>
            </wp:positionV>
            <wp:extent cx="17145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-2279650</wp:posOffset>
            </wp:positionV>
            <wp:extent cx="197485"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-1936750</wp:posOffset>
            </wp:positionV>
            <wp:extent cx="19748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-1593850</wp:posOffset>
            </wp:positionV>
            <wp:extent cx="16256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-1250950</wp:posOffset>
            </wp:positionV>
            <wp:extent cx="197485"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33"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Patriot Act; Foreign Corrupt Practices Act</w:t>
      </w:r>
      <w:r>
        <w:rPr>
          <w:rFonts w:ascii="Arial" w:cs="Arial" w:eastAsia="Arial" w:hAnsi="Arial"/>
          <w:sz w:val="18"/>
          <w:szCs w:val="18"/>
          <w:color w:val="auto"/>
        </w:rPr>
        <w:t>. To the extent applicable, each of the Borrowers and their respective Subsidiaries and Unrestricted Entities is in compliance, in all material respects, with (a) Sanctions, (b) the USA Patriot Improvement and Reauthorization Act, Title III of Pub. L. 109-177 (signed into law March 9, 2006) (the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(c)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(d) the Proceeds of Crime Act 2002 (United Kingdom) and (e) Anti-Corruption Laws. No part of the 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(Canada), or Anti-Corruption Laws.</w:t>
      </w:r>
    </w:p>
    <w:p>
      <w:pPr>
        <w:spacing w:after="0" w:line="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Insolvency Proceedings</w:t>
      </w:r>
      <w:r>
        <w:rPr>
          <w:rFonts w:ascii="Arial" w:cs="Arial" w:eastAsia="Arial" w:hAnsi="Arial"/>
          <w:sz w:val="18"/>
          <w:szCs w:val="18"/>
          <w:color w:val="auto"/>
        </w:rPr>
        <w:t xml:space="preserve">.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no Insolvency Proceeding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-147955</wp:posOffset>
            </wp:positionV>
            <wp:extent cx="596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-147955</wp:posOffset>
            </wp:positionV>
            <wp:extent cx="222885"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440" w:top="274" w:right="459" w:bottom="1440" w:gutter="0" w:footer="0" w:header="0"/>
        </w:sectPr>
      </w:pPr>
    </w:p>
    <w:bookmarkStart w:id="302" w:name="page303"/>
    <w:bookmarkEnd w:id="302"/>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6.24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xml:space="preserve">. As of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the information included in each Beneficial Ownership Certification, if any, is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-147955</wp:posOffset>
            </wp:positionV>
            <wp:extent cx="596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-147955</wp:posOffset>
            </wp:positionV>
            <wp:extent cx="22288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From and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-682625</wp:posOffset>
            </wp:positionV>
            <wp:extent cx="6032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-682625</wp:posOffset>
            </wp:positionV>
            <wp:extent cx="22288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Crown Holdings will furnish, or cause to be furnished, to the Administrative Agent (for further distribution to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103" w:lineRule="exact"/>
        <w:rPr>
          <w:sz w:val="20"/>
          <w:szCs w:val="20"/>
          <w:color w:val="auto"/>
        </w:rPr>
      </w:pPr>
    </w:p>
    <w:p>
      <w:pPr>
        <w:ind w:left="440" w:firstLine="952"/>
        <w:spacing w:after="0" w:line="283" w:lineRule="auto"/>
        <w:rPr>
          <w:sz w:val="20"/>
          <w:szCs w:val="20"/>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(i) 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 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filing of Crown Holdings’ Form 10-Q with the SEC, if certified as required in this clause (a), shall satisfy the requirements set forth in this clause when posted to the SEC website; (ii) 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w:t>
      </w:r>
    </w:p>
    <w:p>
      <w:pPr>
        <w:spacing w:after="0" w:line="1" w:lineRule="exact"/>
        <w:rPr>
          <w:sz w:val="20"/>
          <w:szCs w:val="20"/>
          <w:color w:val="auto"/>
        </w:rPr>
      </w:pPr>
    </w:p>
    <w:p>
      <w:pPr>
        <w:jc w:val="both"/>
        <w:ind w:left="440" w:right="100" w:hanging="4"/>
        <w:spacing w:after="0" w:line="255" w:lineRule="auto"/>
        <w:tabs>
          <w:tab w:leader="none" w:pos="7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82" w:lineRule="exact"/>
        <w:rPr>
          <w:sz w:val="20"/>
          <w:szCs w:val="20"/>
          <w:color w:val="auto"/>
        </w:rPr>
      </w:pPr>
    </w:p>
    <w:p>
      <w:pPr>
        <w:ind w:left="440" w:right="300" w:firstLine="952"/>
        <w:spacing w:after="0" w:line="257" w:lineRule="auto"/>
        <w:rPr>
          <w:sz w:val="20"/>
          <w:szCs w:val="20"/>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(i) As soon as available, but in any event within 90 days (or such shorter period for the filing of the Crown Holdings’ Form 10-K as may be required by the SEC) after the end of each Fiscal Year of Crown Holdings (commencing with the first Fiscal Year ended after the Effective Date), a copy of the annual audit report for such Fiscal Year for Crown Holdings and its consolidated Subsidiaries, including therein a consolidated balance sheet of Crown Holdings and its Subsidiaries as at the end of such Fiscal Year and consolidated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80"/>
          </w:cols>
          <w:pgMar w:left="440" w:top="274" w:right="479" w:bottom="1440" w:gutter="0" w:footer="0" w:header="0"/>
        </w:sectPr>
      </w:pPr>
    </w:p>
    <w:bookmarkStart w:id="303" w:name="page304"/>
    <w:bookmarkEnd w:id="303"/>
    <w:p>
      <w:pPr>
        <w:jc w:val="both"/>
        <w:ind w:left="440"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of earnings and cash flow of Crown Holdings and its consolidated Subsidiaries for such Fiscal Year (it being understood and agreed that the filing of Crown Holdings’ 10-K with the SEC shall satisfy such delivery requirements in this clause when posted to the SEC website);</w:t>
      </w:r>
    </w:p>
    <w:p>
      <w:pPr>
        <w:ind w:left="440" w:right="120" w:hanging="4"/>
        <w:spacing w:after="0" w:line="252"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soon as available and in any event within 105 days after the end of each Fiscal Year of Crown Holdings (commencing with the first Fiscal Year ended after the Effective Date), an unaudited consolidating balance sheet of Crown Holdings and its consolidated Subsidiaries as of the end of such Fiscal Year and consolidating statements of earnings and cash flow of Crown Holdings and its Subsidiaries for such Fiscal Year,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All such financial statements shall be complete and correct in all material respects and shall be prepared in accordance with GAAP applied consistently (except as approved by the accountants preparing such statements or the Chief Financial Officer, as the case may be, and disclosed therein or otherwise disclosed in writing by Crown Holdings to the Lenders) and, in the case of the consolidated financial statements referred to in </w:t>
      </w:r>
      <w:r>
        <w:rPr>
          <w:rFonts w:ascii="Arial" w:cs="Arial" w:eastAsia="Arial" w:hAnsi="Arial"/>
          <w:sz w:val="17"/>
          <w:szCs w:val="17"/>
          <w:u w:val="single" w:color="auto"/>
          <w:color w:val="auto"/>
        </w:rPr>
        <w:t>Section 7.1(b)</w:t>
      </w:r>
      <w:r>
        <w:rPr>
          <w:rFonts w:ascii="Arial" w:cs="Arial" w:eastAsia="Arial" w:hAnsi="Arial"/>
          <w:sz w:val="17"/>
          <w:szCs w:val="17"/>
          <w:color w:val="auto"/>
        </w:rPr>
        <w:t>,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Crown Holdings will furnish, or will cause to be furnished, to Administrative Agent (for further delivery to each Lender, as applicable):</w:t>
      </w:r>
    </w:p>
    <w:p>
      <w:pPr>
        <w:spacing w:after="0" w:line="62" w:lineRule="exact"/>
        <w:rPr>
          <w:sz w:val="20"/>
          <w:szCs w:val="20"/>
          <w:color w:val="auto"/>
        </w:rPr>
      </w:pPr>
    </w:p>
    <w:p>
      <w:pPr>
        <w:ind w:left="440" w:firstLine="952"/>
        <w:spacing w:after="0" w:line="283" w:lineRule="auto"/>
        <w:rPr>
          <w:sz w:val="20"/>
          <w:szCs w:val="20"/>
          <w:color w:val="auto"/>
        </w:rPr>
      </w:pPr>
      <w:r>
        <w:rPr>
          <w:rFonts w:ascii="Arial" w:cs="Arial" w:eastAsia="Arial" w:hAnsi="Arial"/>
          <w:sz w:val="16"/>
          <w:szCs w:val="16"/>
          <w:u w:val="single" w:color="auto"/>
          <w:color w:val="auto"/>
        </w:rPr>
        <w:t>Officer’s Certificates</w:t>
      </w:r>
      <w:r>
        <w:rPr>
          <w:rFonts w:ascii="Arial" w:cs="Arial" w:eastAsia="Arial" w:hAnsi="Arial"/>
          <w:sz w:val="16"/>
          <w:szCs w:val="16"/>
          <w:color w:val="auto"/>
        </w:rPr>
        <w:t xml:space="preserve">. Concurrently with the delivery of the financial statements referred to in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(A) a certificate from a Responsible Financial Officer of Crown Holdings substantially in the form of </w:t>
      </w:r>
      <w:r>
        <w:rPr>
          <w:rFonts w:ascii="Arial" w:cs="Arial" w:eastAsia="Arial" w:hAnsi="Arial"/>
          <w:sz w:val="16"/>
          <w:szCs w:val="16"/>
          <w:u w:val="single" w:color="auto"/>
          <w:color w:val="auto"/>
        </w:rPr>
        <w:t>Exhibit 7.2(a)</w:t>
      </w:r>
      <w:r>
        <w:rPr>
          <w:rFonts w:ascii="Arial" w:cs="Arial" w:eastAsia="Arial" w:hAnsi="Arial"/>
          <w:sz w:val="16"/>
          <w:szCs w:val="16"/>
          <w:color w:val="auto"/>
        </w:rPr>
        <w:t xml:space="preserve"> (or such other form as mutually agreed by Crown Holdings and the Administrative Agent)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stating that, to such officer’s knowledge, (i) such financial statements present fairly, in accordance with GAAP, or, in the case of financial statements of any Non-U.S. Subsidiary delivered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reasonably detailed computations to the extent necessary to establish Crown Holdings’ compliance with the covenant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this Agreement and (B) if there are any Unrestricted Entities,</w:t>
      </w:r>
    </w:p>
    <w:p>
      <w:pPr>
        <w:spacing w:after="0" w:line="4" w:lineRule="exact"/>
        <w:rPr>
          <w:sz w:val="20"/>
          <w:szCs w:val="20"/>
          <w:color w:val="auto"/>
        </w:rPr>
      </w:pPr>
    </w:p>
    <w:p>
      <w:pPr>
        <w:jc w:val="both"/>
        <w:ind w:left="440" w:right="100" w:hanging="4"/>
        <w:spacing w:after="0" w:line="302" w:lineRule="auto"/>
        <w:tabs>
          <w:tab w:leader="none" w:pos="6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440" w:top="274" w:right="459" w:bottom="1440" w:gutter="0" w:footer="0" w:header="0"/>
        </w:sectPr>
      </w:pPr>
    </w:p>
    <w:bookmarkStart w:id="304" w:name="page305"/>
    <w:bookmarkEnd w:id="304"/>
    <w:p>
      <w:pPr>
        <w:ind w:left="420" w:right="480" w:firstLine="952"/>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Management Letters</w:t>
      </w:r>
      <w:r>
        <w:rPr>
          <w:rFonts w:ascii="Arial" w:cs="Arial" w:eastAsia="Arial" w:hAnsi="Arial"/>
          <w:sz w:val="18"/>
          <w:szCs w:val="18"/>
          <w:color w:val="auto"/>
        </w:rPr>
        <w:t>. Promptly upon receipt thereof, copies of all significant reports submitted to Crown Holdings by independent certified public accountants in connection with each annual, interim or special audit of the books of Crown Holdings and its consolidated Subsidiaries made by such accountants, including any management letters submitted by such accountants to management in connection with their annual audit;</w:t>
      </w:r>
    </w:p>
    <w:p>
      <w:pPr>
        <w:spacing w:after="0" w:line="79" w:lineRule="exact"/>
        <w:rPr>
          <w:sz w:val="20"/>
          <w:szCs w:val="20"/>
          <w:color w:val="auto"/>
        </w:rPr>
      </w:pPr>
    </w:p>
    <w:p>
      <w:pPr>
        <w:jc w:val="both"/>
        <w:ind w:left="420" w:right="220" w:firstLine="952"/>
        <w:spacing w:after="0" w:line="257" w:lineRule="auto"/>
        <w:rPr>
          <w:sz w:val="20"/>
          <w:szCs w:val="20"/>
          <w:color w:val="auto"/>
        </w:rPr>
      </w:pPr>
      <w:r>
        <w:rPr>
          <w:rFonts w:ascii="Arial" w:cs="Arial" w:eastAsia="Arial" w:hAnsi="Arial"/>
          <w:sz w:val="18"/>
          <w:szCs w:val="18"/>
          <w:u w:val="single" w:color="auto"/>
          <w:color w:val="auto"/>
        </w:rPr>
        <w:t>Budgets</w:t>
      </w:r>
      <w:r>
        <w:rPr>
          <w:rFonts w:ascii="Arial" w:cs="Arial" w:eastAsia="Arial" w:hAnsi="Arial"/>
          <w:sz w:val="18"/>
          <w:szCs w:val="18"/>
          <w:color w:val="auto"/>
        </w:rPr>
        <w:t>. Within sixty (60) days following the first day of each Fiscal Year of Crown Holdings (commencing with the first Fiscal Year ended after the Effective Date) an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w:t>
      </w:r>
    </w:p>
    <w:p>
      <w:pPr>
        <w:spacing w:after="0" w:line="80" w:lineRule="exact"/>
        <w:rPr>
          <w:sz w:val="20"/>
          <w:szCs w:val="20"/>
          <w:color w:val="auto"/>
        </w:rPr>
      </w:pPr>
    </w:p>
    <w:p>
      <w:pPr>
        <w:ind w:left="420" w:firstLine="952"/>
        <w:spacing w:after="0" w:line="257" w:lineRule="auto"/>
        <w:rPr>
          <w:sz w:val="20"/>
          <w:szCs w:val="20"/>
          <w:color w:val="auto"/>
        </w:rPr>
      </w:pPr>
      <w:r>
        <w:rPr>
          <w:rFonts w:ascii="Arial" w:cs="Arial" w:eastAsia="Arial" w:hAnsi="Arial"/>
          <w:sz w:val="18"/>
          <w:szCs w:val="18"/>
          <w:u w:val="single" w:color="auto"/>
          <w:color w:val="auto"/>
        </w:rPr>
        <w:t>Securityholder Communications</w:t>
      </w:r>
      <w:r>
        <w:rPr>
          <w:rFonts w:ascii="Arial" w:cs="Arial" w:eastAsia="Arial" w:hAnsi="Arial"/>
          <w:sz w:val="18"/>
          <w:szCs w:val="18"/>
          <w:color w:val="auto"/>
        </w:rPr>
        <w:t xml:space="preserve">.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materials filed with the SEC shall be deemed delivered when posted to the SEC website; and</w:t>
      </w:r>
    </w:p>
    <w:p>
      <w:pPr>
        <w:spacing w:after="0" w:line="80" w:lineRule="exact"/>
        <w:rPr>
          <w:sz w:val="20"/>
          <w:szCs w:val="20"/>
          <w:color w:val="auto"/>
        </w:rPr>
      </w:pPr>
    </w:p>
    <w:p>
      <w:pPr>
        <w:ind w:left="420" w:firstLine="952"/>
        <w:spacing w:after="0" w:line="279" w:lineRule="auto"/>
        <w:rPr>
          <w:sz w:val="20"/>
          <w:szCs w:val="20"/>
          <w:color w:val="auto"/>
        </w:rPr>
      </w:pPr>
      <w:r>
        <w:rPr>
          <w:rFonts w:ascii="Arial" w:cs="Arial" w:eastAsia="Arial" w:hAnsi="Arial"/>
          <w:sz w:val="17"/>
          <w:szCs w:val="17"/>
          <w:u w:val="single" w:color="auto"/>
          <w:color w:val="auto"/>
        </w:rPr>
        <w:t>Other Requested Information</w:t>
      </w:r>
      <w:r>
        <w:rPr>
          <w:rFonts w:ascii="Arial" w:cs="Arial" w:eastAsia="Arial" w:hAnsi="Arial"/>
          <w:sz w:val="17"/>
          <w:szCs w:val="17"/>
          <w:color w:val="auto"/>
        </w:rPr>
        <w:t>. Such information and documentation reasonably requested by the Administrative Agent or any Lender necessary for compliance with applicable “know your customer” requirements under the PATRIOT Act or other applicable anti-money laundering laws and such other information respecting the condition or operations, financial or otherwise, of Crown Holdings, any Borrower, or any of their Subsidiaries that any Lender through Administrative Agent may from time to time reasonably request.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73" w:lineRule="auto"/>
        <w:tabs>
          <w:tab w:leader="none" w:pos="66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Event of Default or Unmatured Event of Default</w:t>
      </w:r>
      <w:r>
        <w:rPr>
          <w:rFonts w:ascii="Arial" w:cs="Arial" w:eastAsia="Arial" w:hAnsi="Arial"/>
          <w:sz w:val="17"/>
          <w:szCs w:val="17"/>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69" w:lineRule="exact"/>
        <w:rPr>
          <w:rFonts w:ascii="Arial" w:cs="Arial" w:eastAsia="Arial" w:hAnsi="Arial"/>
          <w:sz w:val="17"/>
          <w:szCs w:val="17"/>
          <w:color w:val="auto"/>
        </w:rPr>
      </w:pPr>
    </w:p>
    <w:p>
      <w:pPr>
        <w:ind w:left="-20" w:right="40" w:firstLine="436"/>
        <w:spacing w:after="0" w:line="254" w:lineRule="auto"/>
        <w:tabs>
          <w:tab w:leader="none" w:pos="67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Litigation and Related Matters</w:t>
      </w:r>
      <w:r>
        <w:rPr>
          <w:rFonts w:ascii="Arial" w:cs="Arial" w:eastAsia="Arial" w:hAnsi="Arial"/>
          <w:sz w:val="18"/>
          <w:szCs w:val="18"/>
          <w:color w:val="auto"/>
        </w:rPr>
        <w:t>.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in writing against or involving Crown Holdings or any of its Material Subsidiaries before any arbitrator or Governmental Authority, or purport to affect the legality, validity or enforcement of this Agreement or any other Loan Document or the transactions contemplated hereby or thereby, which, individually or in the aggregate with any other action, suit, proceeding or investigation, would reasonably be expected to have a Material Adverse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60"/>
          </w:cols>
          <w:pgMar w:left="460" w:top="274" w:right="479" w:bottom="1440" w:gutter="0" w:footer="0" w:header="0"/>
        </w:sectPr>
      </w:pPr>
    </w:p>
    <w:bookmarkStart w:id="305" w:name="page306"/>
    <w:bookmarkEnd w:id="305"/>
    <w:p>
      <w:pPr>
        <w:ind w:right="120" w:firstLine="436"/>
        <w:spacing w:after="0" w:line="277" w:lineRule="auto"/>
        <w:tabs>
          <w:tab w:leader="none" w:pos="68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Adverse Effect</w:t>
      </w:r>
      <w:r>
        <w:rPr>
          <w:rFonts w:ascii="Arial" w:cs="Arial" w:eastAsia="Arial" w:hAnsi="Arial"/>
          <w:sz w:val="18"/>
          <w:szCs w:val="18"/>
          <w:color w:val="auto"/>
        </w:rPr>
        <w:t>. As soon as possible, Crown Holdings will give notice to Administrative Agent of any other development that would reasonably be expected to have a Material Adverse Effect.</w:t>
      </w:r>
    </w:p>
    <w:p>
      <w:pPr>
        <w:spacing w:after="0" w:line="62"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Sustainability Rating</w:t>
      </w:r>
      <w:r>
        <w:rPr>
          <w:rFonts w:ascii="Arial" w:cs="Arial" w:eastAsia="Arial" w:hAnsi="Arial"/>
          <w:sz w:val="18"/>
          <w:szCs w:val="18"/>
          <w:color w:val="auto"/>
        </w:rPr>
        <w:t>. Crown Holdings will give prompt notice to the Administrative Agent (which the Administrative Agent shall promptly provide to the Lenders) of any material adverse change in or discontinuation of the Sustainability Rating.</w:t>
      </w:r>
    </w:p>
    <w:p>
      <w:pPr>
        <w:spacing w:after="0" w:line="6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Conduct of Business and Maintenance of Existence</w:t>
      </w:r>
      <w:r>
        <w:rPr>
          <w:rFonts w:ascii="Arial" w:cs="Arial" w:eastAsia="Arial" w:hAnsi="Arial"/>
          <w:sz w:val="18"/>
          <w:szCs w:val="18"/>
          <w:color w:val="auto"/>
        </w:rPr>
        <w:t xml:space="preserve">. Each Credit Party will do or cause to be done all things necessary to preserve, renew and keep in full force and effect its organizational existence and take all reasonable action to maintain the rights, licenses, permits, privileges, franchises and Intellectual Property material to the conduct of its business, except, in each case, as (a) would not reasonably be expected to have a Material Adverse Effect and (b) permitted under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w:t>
      </w:r>
    </w:p>
    <w:p>
      <w:pPr>
        <w:spacing w:after="0" w:line="7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Compliance with Laws, etc.</w:t>
      </w:r>
      <w:r>
        <w:rPr>
          <w:rFonts w:ascii="Arial" w:cs="Arial" w:eastAsia="Arial" w:hAnsi="Arial"/>
          <w:sz w:val="18"/>
          <w:szCs w:val="18"/>
          <w:color w:val="auto"/>
        </w:rPr>
        <w:t>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7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xml:space="preserve">. Each Credit Party will, and will cause each of its Material Subsidiaries to, maintain, preserve, protect and keep its material tangible properties and assets in good repair, working order and condition (ordinary wear and tear, condemnation and damage by casualty and transactions permitted under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excluded), and make necessary and proper repairs, renewals and replacements so that its business carried on in connection therewith may be properly conducted at all times, except, in each case, as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prevent any Credit Party from discontinuing the operation and maintenance of any of its properties or any of those of its Material Subsidiaries if such discontinuance is, in the judgment of such Credit Party, desirable in the conduct of its or their business and, in the aggregate, would not reasonably be expected to have a Material Adverse Effect.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[Reserved.]</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Payment of Taxes</w:t>
      </w:r>
      <w:r>
        <w:rPr>
          <w:rFonts w:ascii="Arial" w:cs="Arial" w:eastAsia="Arial" w:hAnsi="Arial"/>
          <w:sz w:val="16"/>
          <w:szCs w:val="16"/>
          <w:color w:val="auto"/>
        </w:rPr>
        <w:t xml:space="preserve">.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p>
    <w:p>
      <w:pPr>
        <w:spacing w:after="0" w:line="5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Inspection of Property, Books and Records</w:t>
      </w:r>
      <w:r>
        <w:rPr>
          <w:rFonts w:ascii="Arial" w:cs="Arial" w:eastAsia="Arial" w:hAnsi="Arial"/>
          <w:sz w:val="17"/>
          <w:szCs w:val="17"/>
          <w:color w:val="auto"/>
        </w:rPr>
        <w:t>. Each Credit Party will, and will cause each of its Subsidiaries to, keep books and records which accurately reflect all of its business affairs and material transactions and permit the Administrative Agent or any of its representatives, at reasonable times and intervals during normal business hours, but no more frequently than once annually if no Event of Default exists, at the reasonable request of the Administrative Agent made to Borrowers, and at the Administrative Agent’s expense and upon reasonable notice, to visit all of its offices, to discuss its financial matters with its principal officers and to examine any of its books or other corporate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980"/>
          </w:cols>
          <w:pgMar w:left="440" w:top="274" w:right="479" w:bottom="1440" w:gutter="0" w:footer="0" w:header="0"/>
        </w:sectPr>
      </w:pPr>
    </w:p>
    <w:bookmarkStart w:id="306" w:name="page307"/>
    <w:bookmarkEnd w:id="30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partnership records and, if an Event of Default exists and is continuing, permit, and cause each of its Subsidiaries to 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w:t>
      </w:r>
      <w:r>
        <w:rPr>
          <w:rFonts w:ascii="Arial" w:cs="Arial" w:eastAsia="Arial" w:hAnsi="Arial"/>
          <w:sz w:val="16"/>
          <w:szCs w:val="16"/>
          <w:u w:val="single" w:color="auto"/>
          <w:color w:val="auto"/>
        </w:rPr>
        <w:t>Section 12.16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w:t>
      </w:r>
    </w:p>
    <w:p>
      <w:pPr>
        <w:spacing w:after="0" w:line="1" w:lineRule="exact"/>
        <w:rPr>
          <w:sz w:val="20"/>
          <w:szCs w:val="20"/>
          <w:color w:val="auto"/>
        </w:rPr>
      </w:pPr>
    </w:p>
    <w:p>
      <w:pPr>
        <w:jc w:val="both"/>
        <w:ind w:left="4" w:right="220" w:hanging="4"/>
        <w:spacing w:after="0" w:line="255" w:lineRule="auto"/>
        <w:tabs>
          <w:tab w:leader="none" w:pos="21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ERISA; Foreign Pension Plan</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71" w:lineRule="auto"/>
        <w:tabs>
          <w:tab w:leader="none" w:pos="68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Crown Holdings will furnish, or will cause to be furnished, to each Lender and the Administrative Agent notice thereof and copies of all documentation relating thereto, immediately upon becoming aware of any of the following events: (i) the taking of any specific actions by Crown Holdings or any other Person to terminate any Pension Plan (other than a termination pursuant to Section 4041(b) of ERISA which can be completed without Crown Holdings or any ERISA Affiliate having to provide more than $25,000,000 in addition to the normal contribution required for the plan year in which termination occurs to make such Pension Plan sufficient), (ii) the occurrence of a Termination Event which could result in a Lien or in the incurrence by a Credit Party of any liability, fine or penalty which would reasonably be expected to have a Material Adverse Effect, or (iii) any increase in the contingent liability of a Credit Party with respect to any post-retirement Welfare Plan benefit if the increase in such contingent liability would reasonably be expected to have a Material Adverse Effect.</w:t>
      </w:r>
    </w:p>
    <w:p>
      <w:pPr>
        <w:spacing w:after="0" w:line="70" w:lineRule="exact"/>
        <w:rPr>
          <w:rFonts w:ascii="Arial" w:cs="Arial" w:eastAsia="Arial" w:hAnsi="Arial"/>
          <w:sz w:val="17"/>
          <w:szCs w:val="17"/>
          <w:color w:val="auto"/>
        </w:rPr>
      </w:pPr>
    </w:p>
    <w:p>
      <w:pPr>
        <w:ind w:left="4" w:right="20" w:firstLine="436"/>
        <w:spacing w:after="0" w:line="255" w:lineRule="auto"/>
        <w:tabs>
          <w:tab w:leader="none" w:pos="69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84" w:lineRule="exact"/>
        <w:rPr>
          <w:rFonts w:ascii="Arial" w:cs="Arial" w:eastAsia="Arial" w:hAnsi="Arial"/>
          <w:sz w:val="18"/>
          <w:szCs w:val="18"/>
          <w:color w:val="auto"/>
        </w:rPr>
      </w:pPr>
    </w:p>
    <w:p>
      <w:pPr>
        <w:ind w:left="4" w:firstLine="436"/>
        <w:spacing w:after="0" w:line="255" w:lineRule="auto"/>
        <w:tabs>
          <w:tab w:leader="none" w:pos="68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 payments when due in accordance with its terms and all applicable laws), except for failures to comply which, in the aggregate, would not reasonably be expected to have a Material Adverse Effect.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984"/>
          </w:cols>
          <w:pgMar w:left="436" w:top="274" w:right="479" w:bottom="1440" w:gutter="0" w:footer="0" w:header="0"/>
        </w:sectPr>
      </w:pPr>
    </w:p>
    <w:bookmarkStart w:id="307" w:name="page308"/>
    <w:bookmarkEnd w:id="307"/>
    <w:p>
      <w:pPr>
        <w:ind w:right="460" w:firstLine="436"/>
        <w:spacing w:after="0" w:line="301" w:lineRule="auto"/>
        <w:tabs>
          <w:tab w:leader="none" w:pos="695"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with respect to any Canadian Defined Benefit Plan, promptly after receipt.</w:t>
      </w:r>
    </w:p>
    <w:p>
      <w:pPr>
        <w:spacing w:after="0" w:line="49" w:lineRule="exact"/>
        <w:rPr>
          <w:rFonts w:ascii="Arial" w:cs="Arial" w:eastAsia="Arial" w:hAnsi="Arial"/>
          <w:sz w:val="16"/>
          <w:szCs w:val="16"/>
          <w:color w:val="auto"/>
        </w:rPr>
      </w:pPr>
    </w:p>
    <w:p>
      <w:pPr>
        <w:ind w:right="80" w:firstLine="436"/>
        <w:spacing w:after="0" w:line="269" w:lineRule="auto"/>
        <w:tabs>
          <w:tab w:leader="none" w:pos="68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Each Canadian Credit Party will promptly notify the Canadian Administrative Agent and each Lender on becoming aware of (i) a Canadian Pension Termination Event, (ii) the failure to make a required contribution or payment under any Canadian Defined Benefit Plan when due in accordance with 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3" w:lineRule="auto"/>
        <w:tabs>
          <w:tab w:leader="none" w:pos="68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Each Credit Party will maintain or cause to be maintained, and shall cause each of its Material Subsidiaries to maintain or cause to be maintained, with insurers such Credit Party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adequate reserves therefor, in accordance with GAAP, are maintained,</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insurance policies or certificates (or certified copies thereof) with respect to such insurance issued by third parties: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shall provide that Collateral Agent is a loss payee for all property and casualty policies and additional insured for all liability policies; and</w:t>
      </w:r>
    </w:p>
    <w:p>
      <w:pPr>
        <w:spacing w:after="0" w:line="140" w:lineRule="exact"/>
        <w:rPr>
          <w:rFonts w:ascii="Arial" w:cs="Arial" w:eastAsia="Arial" w:hAnsi="Arial"/>
          <w:sz w:val="16"/>
          <w:szCs w:val="16"/>
          <w:color w:val="auto"/>
        </w:rPr>
      </w:pPr>
    </w:p>
    <w:p>
      <w:pPr>
        <w:ind w:left="440" w:right="260" w:firstLine="419"/>
        <w:spacing w:after="0" w:line="277" w:lineRule="auto"/>
        <w:tabs>
          <w:tab w:leader="none" w:pos="112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shall state that such insurance policy shall not be canceled or revised without thirty days’ (or ten days’, with respect to cancellation in connection with nonpayment) prior to written notice thereof by the insurer to the Collateral Agent.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Each Credit Party will, and will cause each of its Subsidiaries to:</w:t>
      </w:r>
    </w:p>
    <w:p>
      <w:pPr>
        <w:spacing w:after="0" w:line="117" w:lineRule="exact"/>
        <w:rPr>
          <w:sz w:val="20"/>
          <w:szCs w:val="20"/>
          <w:color w:val="auto"/>
        </w:rPr>
      </w:pPr>
    </w:p>
    <w:p>
      <w:pPr>
        <w:ind w:left="440" w:right="60" w:firstLine="952"/>
        <w:spacing w:after="0" w:line="259" w:lineRule="auto"/>
        <w:rPr>
          <w:sz w:val="20"/>
          <w:szCs w:val="20"/>
          <w:color w:val="auto"/>
        </w:rPr>
      </w:pPr>
      <w:r>
        <w:rPr>
          <w:rFonts w:ascii="Arial" w:cs="Arial" w:eastAsia="Arial" w:hAnsi="Arial"/>
          <w:sz w:val="18"/>
          <w:szCs w:val="18"/>
          <w:color w:val="auto"/>
        </w:rPr>
        <w:t>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individually or in the aggregate, would not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00"/>
          </w:cols>
          <w:pgMar w:left="440" w:top="274" w:right="459" w:bottom="1440" w:gutter="0" w:footer="0" w:header="0"/>
        </w:sectPr>
      </w:pPr>
    </w:p>
    <w:bookmarkStart w:id="308" w:name="page309"/>
    <w:bookmarkEnd w:id="308"/>
    <w:p>
      <w:pPr>
        <w:ind w:left="360" w:right="80" w:firstLine="9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w:t>
      </w:r>
    </w:p>
    <w:p>
      <w:pPr>
        <w:spacing w:after="0" w:line="79" w:lineRule="exact"/>
        <w:rPr>
          <w:sz w:val="20"/>
          <w:szCs w:val="20"/>
          <w:color w:val="auto"/>
        </w:rPr>
      </w:pPr>
    </w:p>
    <w:p>
      <w:pPr>
        <w:ind w:left="360" w:right="400" w:firstLine="952"/>
        <w:spacing w:after="0" w:line="277" w:lineRule="auto"/>
        <w:rPr>
          <w:sz w:val="20"/>
          <w:szCs w:val="20"/>
          <w:color w:val="auto"/>
        </w:rPr>
      </w:pPr>
      <w:r>
        <w:rPr>
          <w:rFonts w:ascii="Arial" w:cs="Arial" w:eastAsia="Arial" w:hAnsi="Arial"/>
          <w:sz w:val="18"/>
          <w:szCs w:val="18"/>
          <w:color w:val="auto"/>
        </w:rPr>
        <w:t xml:space="preserve">provide such information and certifications which Administrative Agent may reasonably request from time to time to evidence compliance with this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Borrowers will use all proceeds of the Loans as provided in </w:t>
      </w:r>
      <w:r>
        <w:rPr>
          <w:rFonts w:ascii="Arial" w:cs="Arial" w:eastAsia="Arial" w:hAnsi="Arial"/>
          <w:sz w:val="18"/>
          <w:szCs w:val="18"/>
          <w:u w:val="single" w:color="auto"/>
          <w:color w:val="auto"/>
        </w:rPr>
        <w:t>Sections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6.22</w:t>
      </w:r>
      <w:r>
        <w:rPr>
          <w:rFonts w:ascii="Arial" w:cs="Arial" w:eastAsia="Arial" w:hAnsi="Arial"/>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Guarantees; Pledge of Additional Collateral</w:t>
      </w:r>
      <w:r>
        <w:rPr>
          <w:rFonts w:ascii="Arial" w:cs="Arial" w:eastAsia="Arial" w:hAnsi="Arial"/>
          <w:sz w:val="18"/>
          <w:szCs w:val="18"/>
          <w:color w:val="auto"/>
        </w:rPr>
        <w:t>.</w:t>
      </w:r>
    </w:p>
    <w:p>
      <w:pPr>
        <w:spacing w:after="0" w:line="117" w:lineRule="exact"/>
        <w:rPr>
          <w:sz w:val="20"/>
          <w:szCs w:val="20"/>
          <w:color w:val="auto"/>
        </w:rPr>
      </w:pPr>
    </w:p>
    <w:p>
      <w:pPr>
        <w:ind w:left="-80" w:firstLine="436"/>
        <w:spacing w:after="0" w:line="269" w:lineRule="auto"/>
        <w:tabs>
          <w:tab w:leader="none" w:pos="60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Subject to the Agreed Guaranty and Security Principles, in the event that any U.S. Subsidiary of Crown Holdings existing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(other than any Excluded Subsidiary and other than a U.S. Subsidiary that executes a U.S. Borrower Joinder Agreement) has not previously executed the U.S. Guarantee Agreement or in the event that any Person becomes a U.S. Material Subsidiary (other than any Excluded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Security Agreement and the U.S. Pledge Agreement and to take all such further actions and execute all such further documents and instruments (including actions, documents and certificates comparable to those described in </w:t>
      </w:r>
      <w:r>
        <w:rPr>
          <w:rFonts w:ascii="Arial" w:cs="Arial" w:eastAsia="Arial" w:hAnsi="Arial"/>
          <w:sz w:val="17"/>
          <w:szCs w:val="17"/>
          <w:u w:val="single" w:color="auto"/>
          <w:color w:val="auto"/>
        </w:rPr>
        <w:t>Section 5.1(b)</w:t>
      </w:r>
      <w:r>
        <w:rPr>
          <w:rFonts w:ascii="Arial" w:cs="Arial" w:eastAsia="Arial" w:hAnsi="Arial"/>
          <w:sz w:val="17"/>
          <w:szCs w:val="17"/>
          <w:color w:val="auto"/>
        </w:rPr>
        <w:t>)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pacing w:after="0" w:line="73" w:lineRule="exact"/>
        <w:rPr>
          <w:rFonts w:ascii="Arial" w:cs="Arial" w:eastAsia="Arial" w:hAnsi="Arial"/>
          <w:sz w:val="17"/>
          <w:szCs w:val="17"/>
          <w:color w:val="auto"/>
        </w:rPr>
      </w:pPr>
    </w:p>
    <w:p>
      <w:pPr>
        <w:ind w:left="-80" w:firstLine="436"/>
        <w:spacing w:after="0" w:line="269" w:lineRule="auto"/>
        <w:tabs>
          <w:tab w:leader="none" w:pos="61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Subject to the Agreed Guaranty and Security Principles, in any event within 60 days (or within such longer period of time that the U.S. Collateral Agent may agree in its sole discretion) after the acquisition of assets of the type that would have constituted U.S. Collateral on the Original Closing Date pursuant to the U.S. Security Agreement or the U.S. Pledge Agreement (the “</w:t>
      </w:r>
      <w:r>
        <w:rPr>
          <w:rFonts w:ascii="Arial" w:cs="Arial" w:eastAsia="Arial" w:hAnsi="Arial"/>
          <w:sz w:val="17"/>
          <w:szCs w:val="17"/>
          <w:u w:val="single" w:color="auto"/>
          <w:color w:val="auto"/>
        </w:rPr>
        <w:t>Additional U.S. Collateral</w:t>
      </w:r>
      <w:r>
        <w:rPr>
          <w:rFonts w:ascii="Arial" w:cs="Arial" w:eastAsia="Arial" w:hAnsi="Arial"/>
          <w:sz w:val="17"/>
          <w:szCs w:val="17"/>
          <w:color w:val="auto"/>
        </w:rPr>
        <w:t xml:space="preserve">”),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the U.S. Security Agreement or the U.S. Pledge Agreement, to grant to U.S. Collateral Agent for its benefit and the benefit of the Secured Creditors a perfected Lien (having the priority set forth in the U.S. Security Agreement or the U.S. Pledge Agreement, as applicable) on such Additional U.S. Collateral pursuant to and to the full extent required by the U.S. Security Agreement or the U.S. Pledge Agreement and this Agreement (including, without limitation, to the extent requested by the U.S. Collateral Agent, satisfaction of the conditions set forth in subsections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-2675890</wp:posOffset>
            </wp:positionV>
            <wp:extent cx="596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-2675890</wp:posOffset>
            </wp:positionV>
            <wp:extent cx="22288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840"/>
          </w:cols>
          <w:pgMar w:left="520" w:top="274" w:right="539" w:bottom="1440" w:gutter="0" w:footer="0" w:header="0"/>
        </w:sectPr>
      </w:pPr>
    </w:p>
    <w:bookmarkStart w:id="309" w:name="page310"/>
    <w:bookmarkEnd w:id="309"/>
    <w:p>
      <w:pPr>
        <w:ind w:left="-20" w:firstLine="436"/>
        <w:spacing w:after="0" w:line="284" w:lineRule="auto"/>
        <w:tabs>
          <w:tab w:leader="none" w:pos="6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provisos set forth below in this section and the Agreed Guaranty and Security Principles, in the event that any Non-U.S. Guarantee Subsidiary existing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 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 (including actions, documents and instruments comparable to those referred to in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Original Closing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 (2) 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71" w:lineRule="exact"/>
        <w:rPr>
          <w:rFonts w:ascii="Arial" w:cs="Arial" w:eastAsia="Arial" w:hAnsi="Arial"/>
          <w:sz w:val="16"/>
          <w:szCs w:val="16"/>
          <w:color w:val="auto"/>
        </w:rPr>
      </w:pPr>
    </w:p>
    <w:p>
      <w:pPr>
        <w:ind w:left="-20" w:right="40" w:firstLine="436"/>
        <w:spacing w:after="0" w:line="289" w:lineRule="auto"/>
        <w:tabs>
          <w:tab w:leader="none" w:pos="67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Subject to the Agreed Guaranty and Security Principles, in any event within 60 days (or within such longer period of time that the Euro Collateral Agent may agree in its sole discretion) after the acquisition of assets of the type that would have constituted Euro Collateral on the Original Closing Date (other than any intercompany loans or Indebtedness not otherwise required to be pledged under this Agreement) pursuant to any Euro Security Document (the “</w:t>
      </w:r>
      <w:r>
        <w:rPr>
          <w:rFonts w:ascii="Arial" w:cs="Arial" w:eastAsia="Arial" w:hAnsi="Arial"/>
          <w:sz w:val="16"/>
          <w:szCs w:val="16"/>
          <w:u w:val="single" w:color="auto"/>
          <w:color w:val="auto"/>
        </w:rPr>
        <w:t>Additional Euro Collateral</w:t>
      </w:r>
      <w:r>
        <w:rPr>
          <w:rFonts w:ascii="Arial" w:cs="Arial" w:eastAsia="Arial" w:hAnsi="Arial"/>
          <w:sz w:val="16"/>
          <w:szCs w:val="16"/>
          <w:color w:val="auto"/>
        </w:rPr>
        <w:t>” and together with the Additional U.S. Collateral, the “</w:t>
      </w:r>
      <w:r>
        <w:rPr>
          <w:rFonts w:ascii="Arial" w:cs="Arial" w:eastAsia="Arial" w:hAnsi="Arial"/>
          <w:sz w:val="16"/>
          <w:szCs w:val="16"/>
          <w:u w:val="single" w:color="auto"/>
          <w:color w:val="auto"/>
        </w:rPr>
        <w:t>Additional Collateral</w:t>
      </w:r>
      <w:r>
        <w:rPr>
          <w:rFonts w:ascii="Arial" w:cs="Arial" w:eastAsia="Arial" w:hAnsi="Arial"/>
          <w:sz w:val="16"/>
          <w:szCs w:val="16"/>
          <w:color w:val="auto"/>
        </w:rPr>
        <w:t xml:space="preserve">”),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20" w:right="280" w:firstLine="436"/>
        <w:spacing w:after="0" w:line="311" w:lineRule="auto"/>
        <w:tabs>
          <w:tab w:leader="none" w:pos="665" w:val="left"/>
        </w:tabs>
        <w:numPr>
          <w:ilvl w:val="0"/>
          <w:numId w:val="22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U.S. Collateral Agent and the Euro Collateral Agent are hereby authorized by each U.S. Credit Party to file one or more financing statements or continuation statements or amendments thereto where such filing is necessary or appropriate to perfect the Lien granted pursuant to the U.S. Pledge Agreement, the Euro Pledge Agreement and/or any foreign security document executed by the U.S. Credit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-4413250</wp:posOffset>
            </wp:positionV>
            <wp:extent cx="6032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-4413250</wp:posOffset>
            </wp:positionV>
            <wp:extent cx="22288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-298450</wp:posOffset>
            </wp:positionV>
            <wp:extent cx="630047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-161290</wp:posOffset>
            </wp:positionV>
            <wp:extent cx="681482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580326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80"/>
          </w:cols>
          <w:pgMar w:left="460" w:top="274" w:right="459" w:bottom="1440" w:gutter="0" w:footer="0" w:header="0"/>
        </w:sectPr>
      </w:pPr>
    </w:p>
    <w:bookmarkStart w:id="310" w:name="page311"/>
    <w:bookmarkEnd w:id="310"/>
    <w:p>
      <w:pPr>
        <w:ind w:firstLine="436"/>
        <w:spacing w:after="0" w:line="296" w:lineRule="auto"/>
        <w:tabs>
          <w:tab w:leader="none" w:pos="665" w:val="left"/>
        </w:tabs>
        <w:numPr>
          <w:ilvl w:val="0"/>
          <w:numId w:val="22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Holdings agrees not to effect or permit any change with respect to any U.S. Credit Party (i) in its legal name, (ii) in the location of its chief executive office or jurisdiction of organization, (iii) in its identity or corporate structure or (iv) in its organizational identification number unless all filings have been made under the UCC or otherwise that are required in order for the U.S. Collateral Agent or the Euro Collateral Agent to continue at all times following such change to have a valid, legal and perfected first priority security interest in all the Collateral pledged under the Security Documents in effect immediately prior to such change for the benefit of the Secured Creditors, subject to no Liens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-565150</wp:posOffset>
            </wp:positionV>
            <wp:extent cx="655764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97801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6866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58368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64979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 w:lineRule="exact"/>
        <w:rPr>
          <w:sz w:val="20"/>
          <w:szCs w:val="20"/>
          <w:color w:val="auto"/>
        </w:rPr>
      </w:pPr>
    </w:p>
    <w:p>
      <w:pPr>
        <w:ind w:left="680" w:hanging="244"/>
        <w:spacing w:after="0"/>
        <w:tabs>
          <w:tab w:leader="none" w:pos="680"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left="660" w:hanging="224"/>
        <w:spacing w:after="0"/>
        <w:tabs>
          <w:tab w:leader="none" w:pos="660" w:val="left"/>
        </w:tabs>
        <w:numPr>
          <w:ilvl w:val="0"/>
          <w:numId w:val="228"/>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jc w:val="both"/>
        <w:ind w:right="160" w:firstLine="436"/>
        <w:spacing w:after="0" w:line="279" w:lineRule="auto"/>
        <w:tabs>
          <w:tab w:leader="none" w:pos="69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for any reason after the Original Closing Date, any debt securities of Crown Holdings or any of its Subsidiaries become secured by a Lien on Principal Property, each Credit Party shall, and shall cause each of its Subsidiaries to, take all necessary action so that any limitation on the Lien of the applicable Collateral Agent and the applicable Lenders on such Principal Property is eliminated from the Security Documents and the applicable Collateral Agent and the applicable Secured Creditors enjoy a full and unconditional Lien on all such Principal Property.</w:t>
      </w:r>
    </w:p>
    <w:p>
      <w:pPr>
        <w:spacing w:after="0" w:line="63" w:lineRule="exact"/>
        <w:rPr>
          <w:rFonts w:ascii="Arial" w:cs="Arial" w:eastAsia="Arial" w:hAnsi="Arial"/>
          <w:sz w:val="17"/>
          <w:szCs w:val="17"/>
          <w:color w:val="auto"/>
        </w:rPr>
      </w:pPr>
    </w:p>
    <w:p>
      <w:pPr>
        <w:ind w:firstLine="436"/>
        <w:spacing w:after="0" w:line="286" w:lineRule="auto"/>
        <w:tabs>
          <w:tab w:leader="none" w:pos="695"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Documentation for Additional Security</w:t>
      </w:r>
      <w:r>
        <w:rPr>
          <w:rFonts w:ascii="Arial" w:cs="Arial" w:eastAsia="Arial" w:hAnsi="Arial"/>
          <w:sz w:val="16"/>
          <w:szCs w:val="16"/>
          <w:color w:val="auto"/>
        </w:rPr>
        <w:t xml:space="preserve">. The security interests required to be granted pursuant to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shall be granted pursuant to such security documentation (which shall be subject to the Agreed Guaranty and Security Principles and be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 The Additional Security Documents and other instruments related thereto shall be duly recorded or filed in 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has been complied with.</w:t>
      </w:r>
    </w:p>
    <w:p>
      <w:pPr>
        <w:spacing w:after="0" w:line="17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 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980"/>
          </w:cols>
          <w:pgMar w:left="440" w:top="274" w:right="479" w:bottom="1440" w:gutter="0" w:footer="0" w:header="0"/>
        </w:sectPr>
      </w:pPr>
    </w:p>
    <w:bookmarkStart w:id="311" w:name="page312"/>
    <w:bookmarkEnd w:id="3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the provisions in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are subject to the exceptions set forth in </w:t>
      </w:r>
      <w:r>
        <w:rPr>
          <w:rFonts w:ascii="Arial" w:cs="Arial" w:eastAsia="Arial" w:hAnsi="Arial"/>
          <w:sz w:val="18"/>
          <w:szCs w:val="18"/>
          <w:u w:val="single" w:color="auto"/>
          <w:color w:val="auto"/>
        </w:rPr>
        <w:t>Section 7.20</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End of Fiscal Years; Fiscal Quarters</w:t>
      </w:r>
      <w:r>
        <w:rPr>
          <w:rFonts w:ascii="Arial" w:cs="Arial" w:eastAsia="Arial" w:hAnsi="Arial"/>
          <w:sz w:val="16"/>
          <w:szCs w:val="16"/>
          <w:color w:val="auto"/>
        </w:rPr>
        <w:t>. Except as otherwise (x) required by any Requirement of Law or to qualify for any exemption therefrom or (y) agreed between Crown Holdings and the Administrative Agent (and in the case of clauses (x) and (y), subject to such adjustments to this Agreement as Crown Holdings and the Administrative Agent shall reasonably agree are necessary or appropriate in connection with such changes (and, notwithstanding anything to the contrary contained herein, the parties hereto hereby authorize Crown Holdings and the Administrative Agent to make any such amendments to this Agreement as they jointly deem necessary or appropriate to give effect to the foregoing)), Crown Holdings will cause each of its and the Borrowers’ annual accounting periods to end on December 31 of each year (each a “</w:t>
      </w:r>
      <w:r>
        <w:rPr>
          <w:rFonts w:ascii="Arial" w:cs="Arial" w:eastAsia="Arial" w:hAnsi="Arial"/>
          <w:sz w:val="16"/>
          <w:szCs w:val="16"/>
          <w:u w:val="single" w:color="auto"/>
          <w:color w:val="auto"/>
        </w:rPr>
        <w:t>Fiscal Year</w:t>
      </w:r>
      <w:r>
        <w:rPr>
          <w:rFonts w:ascii="Arial" w:cs="Arial" w:eastAsia="Arial" w:hAnsi="Arial"/>
          <w:sz w:val="16"/>
          <w:szCs w:val="16"/>
          <w:color w:val="auto"/>
        </w:rPr>
        <w:t>”), with quarterly accounting periods ending on March 31, June 30 and September 30, of each Fiscal Year (each a “</w:t>
      </w:r>
      <w:r>
        <w:rPr>
          <w:rFonts w:ascii="Arial" w:cs="Arial" w:eastAsia="Arial" w:hAnsi="Arial"/>
          <w:sz w:val="16"/>
          <w:szCs w:val="16"/>
          <w:u w:val="single" w:color="auto"/>
          <w:color w:val="auto"/>
        </w:rPr>
        <w:t>Fiscal Quarter</w:t>
      </w:r>
      <w:r>
        <w:rPr>
          <w:rFonts w:ascii="Arial" w:cs="Arial" w:eastAsia="Arial" w:hAnsi="Arial"/>
          <w:sz w:val="16"/>
          <w:szCs w:val="16"/>
          <w:color w:val="auto"/>
        </w:rPr>
        <w: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55"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Credit Party will furnish to Administrative Agent prompt written notice of any change (i) in any Credit Party’s legal name, (ii) in the location of any Credit Party’s chief executive office or (iii) in any Credit Party’s jurisdiction of organization. Each Credit Party agrees not to 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unless not required under the applicable Security Documents. Each Credit Party also agrees promptly to notify Administrative Agent if any material portion of the Collateral is damaged or destroyed.</w:t>
      </w:r>
    </w:p>
    <w:p>
      <w:pPr>
        <w:spacing w:after="0" w:line="84" w:lineRule="exact"/>
        <w:rPr>
          <w:rFonts w:ascii="Arial" w:cs="Arial" w:eastAsia="Arial" w:hAnsi="Arial"/>
          <w:sz w:val="18"/>
          <w:szCs w:val="18"/>
          <w:color w:val="auto"/>
        </w:rPr>
      </w:pPr>
    </w:p>
    <w:p>
      <w:pPr>
        <w:ind w:left="700" w:hanging="264"/>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Excluded Companies</w:t>
      </w:r>
      <w:r>
        <w:rPr>
          <w:rFonts w:ascii="Arial" w:cs="Arial" w:eastAsia="Arial" w:hAnsi="Arial"/>
          <w:sz w:val="18"/>
          <w:szCs w:val="18"/>
          <w:color w:val="auto"/>
        </w:rPr>
        <w:t>. Notwithstanding anything to the contrary set forth herein, Crown Holdings shall ensure that each Excluded U.K. Company remains (i) a Dormant Company and shall remain a Dormant Company until such time as it is dissolved in accordance with the laws of England or (ii) a trust company which is involved only in the business of holding assets on behalf of beneficiaries in a trustee relationship, as applicable, and shall continue to exist as a Dormant Company until it is dissolved or act in such capacity and in no other capacity until such time as all of the Obligations hereunder are discharged pursuant to this Agreement.</w:t>
      </w:r>
    </w:p>
    <w:p>
      <w:pPr>
        <w:spacing w:after="0" w:line="8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Facilities Rating</w:t>
      </w:r>
      <w:r>
        <w:rPr>
          <w:rFonts w:ascii="Arial" w:cs="Arial" w:eastAsia="Arial" w:hAnsi="Arial"/>
          <w:sz w:val="18"/>
          <w:szCs w:val="18"/>
          <w:color w:val="auto"/>
        </w:rPr>
        <w:t>. Crown Holdings shall use its commercially reasonable efforts to provide that the Indebtedness under this Agreement remains rated by each of S&amp;P and Moody’s at all times and without regard to the level of such ratings, and to promptly deliver to Administrative Agent written notice of any change in the rating thereof by S&amp;P or Moody’s.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Release and Reinstatement of Collateral</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96" w:lineRule="auto"/>
        <w:tabs>
          <w:tab w:leader="none" w:pos="68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or any Loan Document, if at any time a Non-Stock Collateral Release Event shall have occurred and be continuing, then all Collateral (other than Pledged Securities) shall be released automatically and the provisions in the Security Documents with respect to such Collateral shall be terminated without any further action </w:t>
      </w:r>
      <w:r>
        <w:rPr>
          <w:rFonts w:ascii="Arial" w:cs="Arial" w:eastAsia="Arial" w:hAnsi="Arial"/>
          <w:sz w:val="16"/>
          <w:szCs w:val="16"/>
          <w:color w:val="0000FF"/>
        </w:rPr>
        <w:t>and the U.S Security Agreement and Canadian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Security Agreement shall automatically terminate; provided that the U.S. Pledge Agreement, the Euro Bank Pledge Agreement, the Canadian Pledge Agreement and each Security Document governed by the laws of each jurisdiction outside of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-290830</wp:posOffset>
            </wp:positionV>
            <wp:extent cx="216027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-325120</wp:posOffset>
            </wp:positionV>
            <wp:extent cx="216344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163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80656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62356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980"/>
          </w:cols>
          <w:pgMar w:left="440" w:top="274" w:right="479" w:bottom="1440" w:gutter="0" w:footer="0" w:header="0"/>
        </w:sectPr>
      </w:pPr>
    </w:p>
    <w:bookmarkStart w:id="312" w:name="page313"/>
    <w:bookmarkEnd w:id="312"/>
    <w:p>
      <w:pPr>
        <w:ind w:right="100"/>
        <w:spacing w:after="0" w:line="273"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the granting and/or perfection of a security interest in the Pledged Securities shall remain in full force and effect, subject to any amendment, waiver or other modification in forms agreed between the Borrowers and the Administrative Agent that are requested by the Borrowers to evidence the release of all Collateral (other than Pledged Securities)</w:t>
      </w:r>
      <w:r>
        <w:rPr>
          <w:rFonts w:ascii="Arial" w:cs="Arial" w:eastAsia="Arial" w:hAnsi="Arial"/>
          <w:sz w:val="17"/>
          <w:szCs w:val="17"/>
          <w:color w:val="000000"/>
        </w:rPr>
        <w:t>. In connection with the foregoing, the Administrative Agent shall, at Crown Holdings’ sole</w:t>
      </w:r>
      <w:r>
        <w:rPr>
          <w:rFonts w:ascii="Arial" w:cs="Arial" w:eastAsia="Arial" w:hAnsi="Arial"/>
          <w:sz w:val="17"/>
          <w:szCs w:val="17"/>
          <w:color w:val="0000FF"/>
        </w:rPr>
        <w:t xml:space="preserve"> </w:t>
      </w:r>
      <w:r>
        <w:rPr>
          <w:rFonts w:ascii="Arial" w:cs="Arial" w:eastAsia="Arial" w:hAnsi="Arial"/>
          <w:sz w:val="17"/>
          <w:szCs w:val="17"/>
          <w:color w:val="000000"/>
        </w:rPr>
        <w:t>expense and at Crown Holdings’ request, promptly (i) execute and file in the appropriate location and deliver to Crown Holdings such termination and release statements or confirmation thereof, as applicable, and (ii) do such other things as are reasonably necessary to release the Liens to be released pursuant hereto promptly upon the effectiveness of any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-691515</wp:posOffset>
            </wp:positionV>
            <wp:extent cx="68922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0054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250317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0" w:lineRule="exact"/>
        <w:rPr>
          <w:sz w:val="20"/>
          <w:szCs w:val="20"/>
          <w:color w:val="auto"/>
        </w:rPr>
      </w:pPr>
    </w:p>
    <w:p>
      <w:pPr>
        <w:ind w:right="80" w:firstLine="436"/>
        <w:spacing w:after="0" w:line="291"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58" w:lineRule="exact"/>
        <w:rPr>
          <w:rFonts w:ascii="Arial" w:cs="Arial" w:eastAsia="Arial" w:hAnsi="Arial"/>
          <w:sz w:val="16"/>
          <w:szCs w:val="16"/>
          <w:color w:val="auto"/>
        </w:rPr>
      </w:pPr>
    </w:p>
    <w:p>
      <w:pPr>
        <w:ind w:firstLine="436"/>
        <w:spacing w:after="0" w:line="273" w:lineRule="auto"/>
        <w:tabs>
          <w:tab w:leader="none" w:pos="68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Arial" w:cs="Arial" w:eastAsia="Arial" w:hAnsi="Arial"/>
          <w:sz w:val="17"/>
          <w:szCs w:val="17"/>
          <w:u w:val="single" w:color="auto"/>
          <w:color w:val="auto"/>
        </w:rPr>
        <w:t>Sections 7.14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7.16</w:t>
      </w:r>
      <w:r>
        <w:rPr>
          <w:rFonts w:ascii="Arial" w:cs="Arial" w:eastAsia="Arial" w:hAnsi="Arial"/>
          <w:sz w:val="17"/>
          <w:szCs w:val="17"/>
          <w:color w:val="auto"/>
        </w:rPr>
        <w:t xml:space="preserve"> to the extent applicable to such Collateral) shall be taken within sixty (60) days (or such longer period as agreed to by the Administrative Agent) after such Collateral Reinstatement Event.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From and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-682625</wp:posOffset>
            </wp:positionV>
            <wp:extent cx="60325"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-682625</wp:posOffset>
            </wp:positionV>
            <wp:extent cx="22288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w:t>
      </w:r>
    </w:p>
    <w:p>
      <w:pPr>
        <w:spacing w:after="0" w:line="117" w:lineRule="exact"/>
        <w:rPr>
          <w:sz w:val="20"/>
          <w:szCs w:val="20"/>
          <w:color w:val="auto"/>
        </w:rPr>
      </w:pPr>
    </w:p>
    <w:p>
      <w:pPr>
        <w:ind w:right="440" w:firstLine="436"/>
        <w:spacing w:after="0" w:line="277" w:lineRule="auto"/>
        <w:tabs>
          <w:tab w:leader="none" w:pos="6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Subsidiary to create, incur, assume or permit to exist (including by way of Guarantee Obligations) any Indebtedness, except:</w:t>
      </w:r>
    </w:p>
    <w:p>
      <w:pPr>
        <w:spacing w:after="0" w:line="62" w:lineRule="exact"/>
        <w:rPr>
          <w:rFonts w:ascii="Arial" w:cs="Arial" w:eastAsia="Arial" w:hAnsi="Arial"/>
          <w:sz w:val="18"/>
          <w:szCs w:val="18"/>
          <w:color w:val="auto"/>
        </w:rPr>
      </w:pPr>
    </w:p>
    <w:p>
      <w:pPr>
        <w:ind w:left="440" w:firstLine="419"/>
        <w:spacing w:after="0" w:line="263" w:lineRule="auto"/>
        <w:tabs>
          <w:tab w:leader="none" w:pos="107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Indebtedness incurred and outstanding under the Loan Documents, including, without limitation, Obligations incurred under Additional Facilities created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obligations incurred pursuant to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any extension of the Obligations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60"/>
          </w:cols>
          <w:pgMar w:left="440" w:top="274" w:right="499" w:bottom="1440" w:gutter="0" w:footer="0" w:header="0"/>
        </w:sectPr>
      </w:pPr>
    </w:p>
    <w:bookmarkStart w:id="313" w:name="page314"/>
    <w:bookmarkEnd w:id="313"/>
    <w:p>
      <w:pPr>
        <w:jc w:val="both"/>
        <w:ind w:left="4" w:right="40" w:firstLine="419"/>
        <w:spacing w:after="0" w:line="286" w:lineRule="auto"/>
        <w:tabs>
          <w:tab w:leader="none" w:pos="691" w:val="left"/>
        </w:tabs>
        <w:numPr>
          <w:ilvl w:val="1"/>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incurred pursuant to Uncommitted Short Term Lines of Credit, the principal amount of such Indebtedness not to exceed in the aggregate at any time outstanding the greater of (1) the Dollar Equivalent of $</w:t>
      </w:r>
      <w:r>
        <w:rPr>
          <w:rFonts w:ascii="Arial" w:cs="Arial" w:eastAsia="Arial" w:hAnsi="Arial"/>
          <w:sz w:val="17"/>
          <w:szCs w:val="17"/>
          <w:color w:val="FF0000"/>
          <w:strike w:val="1"/>
        </w:rPr>
        <w:t>300,000,000</w:t>
      </w:r>
      <w:r>
        <w:rPr>
          <w:rFonts w:ascii="Arial" w:cs="Arial" w:eastAsia="Arial" w:hAnsi="Arial"/>
          <w:sz w:val="17"/>
          <w:szCs w:val="17"/>
          <w:u w:val="single" w:color="auto"/>
          <w:color w:val="0000FF"/>
        </w:rPr>
        <w:t>435,000,000</w:t>
      </w:r>
      <w:r>
        <w:rPr>
          <w:rFonts w:ascii="Arial" w:cs="Arial" w:eastAsia="Arial" w:hAnsi="Arial"/>
          <w:sz w:val="17"/>
          <w:szCs w:val="17"/>
          <w:color w:val="auto"/>
        </w:rPr>
        <w:t xml:space="preserve"> and (2)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of the Consolidated Total Assets as set forth in the financial statements last delivered by Crown Holdings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right="280" w:firstLine="419"/>
        <w:spacing w:after="0" w:line="277" w:lineRule="auto"/>
        <w:tabs>
          <w:tab w:leader="none" w:pos="74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Indebtedness evidenced by the Senior Notes, including any Guarantee Obligations in respect thereof, and any Permitted Refinancing Indebtedness thereof;</w:t>
      </w:r>
    </w:p>
    <w:p>
      <w:pPr>
        <w:spacing w:after="0" w:line="62" w:lineRule="exact"/>
        <w:rPr>
          <w:rFonts w:ascii="Arial" w:cs="Arial" w:eastAsia="Arial" w:hAnsi="Arial"/>
          <w:sz w:val="18"/>
          <w:szCs w:val="18"/>
          <w:color w:val="auto"/>
        </w:rPr>
      </w:pPr>
    </w:p>
    <w:p>
      <w:pPr>
        <w:ind w:left="4" w:right="180" w:firstLine="419"/>
        <w:spacing w:after="0" w:line="259" w:lineRule="auto"/>
        <w:tabs>
          <w:tab w:leader="none" w:pos="73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Indebtedness evidenced by the Debentures, including any Guarantee Obligations in respect thereof, in each case, existing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or required to be incurred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pursuant to the terms of the documents governing such Indebtedness, and any Permitted Refinancing Indebtedness thereof;</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80" w:firstLine="419"/>
        <w:spacing w:after="0" w:line="263" w:lineRule="auto"/>
        <w:tabs>
          <w:tab w:leader="none" w:pos="73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Indebtedness to Remain Outstanding (other than Indebtedness under </w:t>
      </w:r>
      <w:r>
        <w:rPr>
          <w:rFonts w:ascii="Arial" w:cs="Arial" w:eastAsia="Arial" w:hAnsi="Arial"/>
          <w:sz w:val="18"/>
          <w:szCs w:val="18"/>
          <w:u w:val="single" w:color="auto"/>
          <w:color w:val="auto"/>
        </w:rPr>
        <w:t>Sections 8.1(a)(iii)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in each case up to the amounts set forth on the applicable </w:t>
      </w:r>
      <w:r>
        <w:rPr>
          <w:rFonts w:ascii="Arial" w:cs="Arial" w:eastAsia="Arial" w:hAnsi="Arial"/>
          <w:sz w:val="18"/>
          <w:szCs w:val="18"/>
          <w:u w:val="single" w:color="auto"/>
          <w:color w:val="auto"/>
        </w:rPr>
        <w:t>Schedule 6.5(b)</w:t>
      </w:r>
      <w:r>
        <w:rPr>
          <w:rFonts w:ascii="Arial" w:cs="Arial" w:eastAsia="Arial" w:hAnsi="Arial"/>
          <w:sz w:val="18"/>
          <w:szCs w:val="18"/>
          <w:color w:val="auto"/>
        </w:rPr>
        <w:t xml:space="preserve"> if required to be disclosed pursuant to </w:t>
      </w:r>
      <w:r>
        <w:rPr>
          <w:rFonts w:ascii="Arial" w:cs="Arial" w:eastAsia="Arial" w:hAnsi="Arial"/>
          <w:sz w:val="18"/>
          <w:szCs w:val="18"/>
          <w:u w:val="single" w:color="auto"/>
          <w:color w:val="auto"/>
        </w:rPr>
        <w:t>Section 6.5(b)</w:t>
      </w:r>
      <w:r>
        <w:rPr>
          <w:rFonts w:ascii="Arial" w:cs="Arial" w:eastAsia="Arial" w:hAnsi="Arial"/>
          <w:sz w:val="18"/>
          <w:szCs w:val="18"/>
          <w:color w:val="auto"/>
        </w:rPr>
        <w:t>, and any Permitted Refinancing Indebtedness thereof;</w:t>
      </w:r>
    </w:p>
    <w:p>
      <w:pPr>
        <w:spacing w:after="0" w:line="75" w:lineRule="exact"/>
        <w:rPr>
          <w:rFonts w:ascii="Arial" w:cs="Arial" w:eastAsia="Arial" w:hAnsi="Arial"/>
          <w:sz w:val="18"/>
          <w:szCs w:val="18"/>
          <w:color w:val="auto"/>
        </w:rPr>
      </w:pPr>
    </w:p>
    <w:p>
      <w:pPr>
        <w:ind w:left="4" w:right="140" w:firstLine="419"/>
        <w:spacing w:after="0" w:line="342" w:lineRule="auto"/>
        <w:tabs>
          <w:tab w:leader="none" w:pos="78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Indebtedness (including Indebtedness outstanding and available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under one or more Permitted Receivables or Factoring Financings (other than Indebtedness incurred under 8.1(a)(vi);</w:t>
      </w:r>
    </w:p>
    <w:p>
      <w:pPr>
        <w:spacing w:after="0" w:line="15" w:lineRule="exact"/>
        <w:rPr>
          <w:rFonts w:ascii="Arial" w:cs="Arial" w:eastAsia="Arial" w:hAnsi="Arial"/>
          <w:sz w:val="16"/>
          <w:szCs w:val="16"/>
          <w:color w:val="auto"/>
        </w:rPr>
      </w:pPr>
    </w:p>
    <w:p>
      <w:pPr>
        <w:ind w:left="824" w:hanging="401"/>
        <w:spacing w:after="0"/>
        <w:tabs>
          <w:tab w:leader="none" w:pos="82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Indebtedness constituting Permitted Guarantee Obligations;</w:t>
      </w:r>
    </w:p>
    <w:p>
      <w:pPr>
        <w:spacing w:after="0" w:line="117" w:lineRule="exact"/>
        <w:rPr>
          <w:rFonts w:ascii="Arial" w:cs="Arial" w:eastAsia="Arial" w:hAnsi="Arial"/>
          <w:sz w:val="18"/>
          <w:szCs w:val="18"/>
          <w:color w:val="auto"/>
        </w:rPr>
      </w:pPr>
    </w:p>
    <w:p>
      <w:pPr>
        <w:ind w:left="724" w:hanging="301"/>
        <w:spacing w:after="0"/>
        <w:tabs>
          <w:tab w:leader="none" w:pos="724"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Indebtedness consisting of (1) the financing of insurance premiums, (2) take-or-pay obligations contained in supply arrangements and/or</w:t>
      </w:r>
    </w:p>
    <w:p>
      <w:pPr>
        <w:spacing w:after="0" w:line="46" w:lineRule="exact"/>
        <w:rPr>
          <w:rFonts w:ascii="Arial" w:cs="Arial" w:eastAsia="Arial" w:hAnsi="Arial"/>
          <w:sz w:val="16"/>
          <w:szCs w:val="16"/>
          <w:color w:val="auto"/>
        </w:rPr>
      </w:pPr>
    </w:p>
    <w:p>
      <w:pPr>
        <w:ind w:left="4" w:right="580" w:hanging="4"/>
        <w:spacing w:after="0" w:line="260" w:lineRule="auto"/>
        <w:tabs>
          <w:tab w:leader="none" w:pos="2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obligations to reacquire assets or inventory in connection with customer financing arrangements, in each case, in the ordinary course of business;</w:t>
      </w:r>
    </w:p>
    <w:p>
      <w:pPr>
        <w:spacing w:after="0" w:line="77" w:lineRule="exact"/>
        <w:rPr>
          <w:rFonts w:ascii="Arial" w:cs="Arial" w:eastAsia="Arial" w:hAnsi="Arial"/>
          <w:sz w:val="18"/>
          <w:szCs w:val="18"/>
          <w:color w:val="auto"/>
        </w:rPr>
      </w:pPr>
    </w:p>
    <w:p>
      <w:pPr>
        <w:ind w:left="4" w:right="40" w:firstLine="419"/>
        <w:spacing w:after="0" w:line="279" w:lineRule="auto"/>
        <w:tabs>
          <w:tab w:leader="none" w:pos="681"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(a) Indebtedness of any Credit Party to any other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Indebtedness owed by a Subsidiary Credit Party of U.S. Borrower or U.S. Borrower to a Subsidiary Credit Party of European Borrower or European Borrower shall be subordinated to the U.S. Obligations (but only to the extent permitted by applicable law) in a manner reasonably acceptable to Administrative Agent; and (b) Indebtedness of any Subsidiary that is not a Credit Party owed to another Subsidiary that is not a Credit Party;</w:t>
      </w:r>
    </w:p>
    <w:p>
      <w:pPr>
        <w:spacing w:after="0" w:line="63" w:lineRule="exact"/>
        <w:rPr>
          <w:rFonts w:ascii="Arial" w:cs="Arial" w:eastAsia="Arial" w:hAnsi="Arial"/>
          <w:sz w:val="17"/>
          <w:szCs w:val="17"/>
          <w:color w:val="auto"/>
        </w:rPr>
      </w:pPr>
    </w:p>
    <w:p>
      <w:pPr>
        <w:ind w:left="4" w:firstLine="419"/>
        <w:spacing w:after="0" w:line="259" w:lineRule="auto"/>
        <w:tabs>
          <w:tab w:leader="none" w:pos="73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other Intercompany Indebtedness of any Credit Party owing to any Subsidiary and/or of any Subsidiary owing to any Credit Party or any other Subsidiary, to the extent permitted by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-4046855</wp:posOffset>
            </wp:positionV>
            <wp:extent cx="60007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-4046855</wp:posOffset>
            </wp:positionV>
            <wp:extent cx="6032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-3223895</wp:posOffset>
            </wp:positionV>
            <wp:extent cx="5143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-3223895</wp:posOffset>
            </wp:positionV>
            <wp:extent cx="22288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6535420</wp:posOffset>
            </wp:positionH>
            <wp:positionV relativeFrom="paragraph">
              <wp:posOffset>-3223895</wp:posOffset>
            </wp:positionV>
            <wp:extent cx="6032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-3086735</wp:posOffset>
            </wp:positionV>
            <wp:extent cx="222885"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-2058035</wp:posOffset>
            </wp:positionV>
            <wp:extent cx="60325"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-2058035</wp:posOffset>
            </wp:positionV>
            <wp:extent cx="22288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9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564"/>
          </w:cols>
          <w:pgMar w:left="876" w:top="274" w:right="459" w:bottom="1440" w:gutter="0" w:footer="0" w:header="0"/>
        </w:sectPr>
      </w:pPr>
    </w:p>
    <w:bookmarkStart w:id="314" w:name="page315"/>
    <w:bookmarkEnd w:id="314"/>
    <w:p>
      <w:pPr>
        <w:ind w:left="784" w:hanging="361"/>
        <w:spacing w:after="0"/>
        <w:tabs>
          <w:tab w:leader="none" w:pos="784" w:val="left"/>
        </w:tabs>
        <w:numPr>
          <w:ilvl w:val="1"/>
          <w:numId w:val="2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 respect of Hedging Agreements that are incurred in the ordinary course of business and not for speculative purposes;</w:t>
      </w:r>
    </w:p>
    <w:p>
      <w:pPr>
        <w:spacing w:after="0" w:line="140" w:lineRule="exact"/>
        <w:rPr>
          <w:rFonts w:ascii="Arial" w:cs="Arial" w:eastAsia="Arial" w:hAnsi="Arial"/>
          <w:sz w:val="16"/>
          <w:szCs w:val="16"/>
          <w:color w:val="auto"/>
        </w:rPr>
      </w:pPr>
    </w:p>
    <w:p>
      <w:pPr>
        <w:ind w:left="4" w:right="40" w:firstLine="419"/>
        <w:spacing w:after="0" w:line="283" w:lineRule="auto"/>
        <w:tabs>
          <w:tab w:leader="none" w:pos="83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(1) Indebtedness incurred to finance the design, development, acquisition, construction, installation, repair, lease, or improvement of any property (or Indebtedness incurred to finance the design, development, 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Dollar Equivalent of the aggregate outstanding principal amount of such Indebtedness together with the Dollar Equivalent of Indebtedness permitted to be outstanding pursuant to </w:t>
      </w:r>
      <w:r>
        <w:rPr>
          <w:rFonts w:ascii="Arial" w:cs="Arial" w:eastAsia="Arial" w:hAnsi="Arial"/>
          <w:sz w:val="16"/>
          <w:szCs w:val="16"/>
          <w:u w:val="single" w:color="auto"/>
          <w:color w:val="auto"/>
        </w:rPr>
        <w:t>Section 8.1(a)(xiii)(2))</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and</w:t>
      </w:r>
    </w:p>
    <w:p>
      <w:pPr>
        <w:spacing w:after="0" w:line="5" w:lineRule="exact"/>
        <w:rPr>
          <w:rFonts w:ascii="Arial" w:cs="Arial" w:eastAsia="Arial" w:hAnsi="Arial"/>
          <w:sz w:val="16"/>
          <w:szCs w:val="16"/>
          <w:color w:val="auto"/>
        </w:rPr>
      </w:pPr>
    </w:p>
    <w:p>
      <w:pPr>
        <w:ind w:left="4" w:right="80" w:hanging="4"/>
        <w:spacing w:after="0" w:line="288" w:lineRule="auto"/>
        <w:tabs>
          <w:tab w:leader="none" w:pos="398" w:val="left"/>
        </w:tabs>
        <w:numPr>
          <w:ilvl w:val="0"/>
          <w:numId w:val="236"/>
        </w:numPr>
        <w:rPr>
          <w:rFonts w:ascii="Arial" w:cs="Arial" w:eastAsia="Arial" w:hAnsi="Arial"/>
          <w:sz w:val="16"/>
          <w:szCs w:val="16"/>
          <w:u w:val="single" w:color="auto"/>
          <w:color w:val="auto"/>
        </w:rPr>
      </w:pPr>
      <w:r>
        <w:rPr>
          <w:rFonts w:ascii="Arial" w:cs="Arial" w:eastAsia="Arial" w:hAnsi="Arial"/>
          <w:sz w:val="16"/>
          <w:szCs w:val="16"/>
          <w:color w:val="auto"/>
        </w:rPr>
        <w:t xml:space="preserve">shall not exceed the Debt Basket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Unmatured Event of Default or Event of Default shall 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Capitalized Lease Obligations and any replacement, renewal, refinancing, extension, exchange, defeasance, restructuring, refunding, repayment, amendment, restatement, or supplementation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incurred and outstanding under this </w:t>
      </w:r>
      <w:r>
        <w:rPr>
          <w:rFonts w:ascii="Arial" w:cs="Arial" w:eastAsia="Arial" w:hAnsi="Arial"/>
          <w:sz w:val="16"/>
          <w:szCs w:val="16"/>
          <w:u w:val="single" w:color="auto"/>
          <w:color w:val="auto"/>
        </w:rPr>
        <w:t>clause (xiii)(2)</w:t>
      </w:r>
      <w:r>
        <w:rPr>
          <w:rFonts w:ascii="Arial" w:cs="Arial" w:eastAsia="Arial" w:hAnsi="Arial"/>
          <w:sz w:val="16"/>
          <w:szCs w:val="16"/>
          <w:color w:val="auto"/>
        </w:rPr>
        <w:t xml:space="preserve">, together with Indebtedness incurred and outstanding under </w:t>
      </w:r>
      <w:r>
        <w:rPr>
          <w:rFonts w:ascii="Arial" w:cs="Arial" w:eastAsia="Arial" w:hAnsi="Arial"/>
          <w:sz w:val="16"/>
          <w:szCs w:val="16"/>
          <w:u w:val="single" w:color="auto"/>
          <w:color w:val="auto"/>
        </w:rPr>
        <w:t>clauses (xiii)(1)</w:t>
      </w:r>
      <w:r>
        <w:rPr>
          <w:rFonts w:ascii="Arial" w:cs="Arial" w:eastAsia="Arial" w:hAnsi="Arial"/>
          <w:sz w:val="16"/>
          <w:szCs w:val="16"/>
          <w:color w:val="auto"/>
        </w:rPr>
        <w:t xml:space="preserve">, (xiv) and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8.1(a)</w:t>
      </w:r>
      <w:r>
        <w:rPr>
          <w:rFonts w:ascii="Arial" w:cs="Arial" w:eastAsia="Arial" w:hAnsi="Arial"/>
          <w:sz w:val="16"/>
          <w:szCs w:val="16"/>
          <w:color w:val="auto"/>
        </w:rPr>
        <w:t>, does not exceed the Debt Basket Amount;</w:t>
      </w:r>
    </w:p>
    <w:p>
      <w:pPr>
        <w:spacing w:after="0" w:line="60" w:lineRule="exact"/>
        <w:rPr>
          <w:rFonts w:ascii="Arial" w:cs="Arial" w:eastAsia="Arial" w:hAnsi="Arial"/>
          <w:sz w:val="16"/>
          <w:szCs w:val="16"/>
          <w:u w:val="single" w:color="auto"/>
          <w:color w:val="auto"/>
        </w:rPr>
      </w:pPr>
    </w:p>
    <w:p>
      <w:pPr>
        <w:ind w:left="4" w:right="140" w:firstLine="419"/>
        <w:spacing w:after="0" w:line="301" w:lineRule="auto"/>
        <w:tabs>
          <w:tab w:leader="none" w:pos="821"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(1) Indebtedness of any Subsidiary of Crown Holdings assumed in connection with a Permitted Acquisition or other permitted Investment and (2) any Permitted Refinancing Indebtedness thereof, so long as (a) such Indebtedness was not issued or created in contemplation of such acquisition and (b) the aggregate principal amount of Indebtedness incurred and outstanding under this </w:t>
      </w:r>
      <w:r>
        <w:rPr>
          <w:rFonts w:ascii="Arial" w:cs="Arial" w:eastAsia="Arial" w:hAnsi="Arial"/>
          <w:sz w:val="16"/>
          <w:szCs w:val="16"/>
          <w:u w:val="single" w:color="auto"/>
          <w:color w:val="auto"/>
        </w:rPr>
        <w:t>clause (xiv)</w:t>
      </w:r>
      <w:r>
        <w:rPr>
          <w:rFonts w:ascii="Arial" w:cs="Arial" w:eastAsia="Arial" w:hAnsi="Arial"/>
          <w:sz w:val="16"/>
          <w:szCs w:val="16"/>
          <w:color w:val="auto"/>
        </w:rPr>
        <w:t xml:space="preserve">, together with Indebtedness incurred and outstanding under </w:t>
      </w:r>
      <w:r>
        <w:rPr>
          <w:rFonts w:ascii="Arial" w:cs="Arial" w:eastAsia="Arial" w:hAnsi="Arial"/>
          <w:sz w:val="16"/>
          <w:szCs w:val="16"/>
          <w:u w:val="single" w:color="auto"/>
          <w:color w:val="auto"/>
        </w:rPr>
        <w:t>clauses (xiii)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8.1(a)</w:t>
      </w:r>
      <w:r>
        <w:rPr>
          <w:rFonts w:ascii="Arial" w:cs="Arial" w:eastAsia="Arial" w:hAnsi="Arial"/>
          <w:sz w:val="16"/>
          <w:szCs w:val="16"/>
          <w:color w:val="auto"/>
        </w:rPr>
        <w:t>, does not exceed the Debt Basket Amount;</w:t>
      </w:r>
    </w:p>
    <w:p>
      <w:pPr>
        <w:spacing w:after="0" w:line="49" w:lineRule="exact"/>
        <w:rPr>
          <w:rFonts w:ascii="Arial" w:cs="Arial" w:eastAsia="Arial" w:hAnsi="Arial"/>
          <w:sz w:val="16"/>
          <w:szCs w:val="16"/>
          <w:color w:val="auto"/>
        </w:rPr>
      </w:pPr>
    </w:p>
    <w:p>
      <w:pPr>
        <w:ind w:left="764" w:hanging="341"/>
        <w:spacing w:after="0"/>
        <w:tabs>
          <w:tab w:leader="none" w:pos="76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40" w:firstLine="419"/>
        <w:spacing w:after="0" w:line="263" w:lineRule="auto"/>
        <w:tabs>
          <w:tab w:leader="none" w:pos="82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Indebtedness in respect of sale and leaseback transactions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 provided that the aggregate principal amount of Indebtedness incurred pursuant to this clause (xvi), together with Indebtedness incurred and outstanding under clauses (xiii) and (xiv) of Section 8.1(a) does not exceed the Debt Basket Amount;</w:t>
      </w:r>
    </w:p>
    <w:p>
      <w:pPr>
        <w:spacing w:after="0" w:line="75" w:lineRule="exact"/>
        <w:rPr>
          <w:rFonts w:ascii="Arial" w:cs="Arial" w:eastAsia="Arial" w:hAnsi="Arial"/>
          <w:sz w:val="18"/>
          <w:szCs w:val="18"/>
          <w:color w:val="auto"/>
        </w:rPr>
      </w:pPr>
    </w:p>
    <w:p>
      <w:pPr>
        <w:ind w:left="4" w:firstLine="419"/>
        <w:spacing w:after="0" w:line="259" w:lineRule="auto"/>
        <w:tabs>
          <w:tab w:leader="none" w:pos="87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Indebtedness and obligations (including obligations in respect of letters of credit for the benefit) of Crown Holdings or its Subsidiaries in respect of worker’s compensation, other types of social security benefits, pension obligations, vacation pay, unemployment obligations (including premiums related thereto), health, disability or other employee benefits or property, casualty or liability insurance or self-insurance and similar obligations;</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544"/>
          </w:cols>
          <w:pgMar w:left="876" w:top="274" w:right="479" w:bottom="1440" w:gutter="0" w:footer="0" w:header="0"/>
        </w:sectPr>
      </w:pPr>
    </w:p>
    <w:bookmarkStart w:id="315" w:name="page316"/>
    <w:bookmarkEnd w:id="315"/>
    <w:p>
      <w:pPr>
        <w:ind w:firstLine="419"/>
        <w:spacing w:after="0" w:line="272" w:lineRule="auto"/>
        <w:tabs>
          <w:tab w:leader="none" w:pos="918" w:val="left"/>
        </w:tabs>
        <w:numPr>
          <w:ilvl w:val="0"/>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(including obligations in respect of letters of credit for the benefit of) Crown Holdings or its Subsidiaries in respect of (A) bid bonds, appeal bonds and similar obligations and commercial and trade-related letters of credit (including reimbursement 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 provided in the ordinary course of business, including those incurred to secure health, safety and environmental obligations in the ordinary course of business;</w:t>
      </w:r>
    </w:p>
    <w:p>
      <w:pPr>
        <w:spacing w:after="0" w:line="69" w:lineRule="exact"/>
        <w:rPr>
          <w:rFonts w:ascii="Arial" w:cs="Arial" w:eastAsia="Arial" w:hAnsi="Arial"/>
          <w:sz w:val="17"/>
          <w:szCs w:val="17"/>
          <w:color w:val="auto"/>
        </w:rPr>
      </w:pPr>
    </w:p>
    <w:p>
      <w:pPr>
        <w:ind w:right="440" w:firstLine="419"/>
        <w:spacing w:after="0" w:line="279" w:lineRule="auto"/>
        <w:tabs>
          <w:tab w:leader="none" w:pos="81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Indebtedness arising from agreements of Crown Holdings or any of its Subsidiaries providing for indemnification, adjustment of purchase price, holdback obligations, earn-out obligations, seller notes or contingent deferred purchase price obligations, working capital adjustments, non-compete, consulting and other or similar obligations, in each case, incurred or assumed in connection with a Permitted Acquisition, any other Investment or the disposition of any business, assets or a Subsidiary;</w:t>
      </w:r>
    </w:p>
    <w:p>
      <w:pPr>
        <w:spacing w:after="0" w:line="63" w:lineRule="exact"/>
        <w:rPr>
          <w:rFonts w:ascii="Arial" w:cs="Arial" w:eastAsia="Arial" w:hAnsi="Arial"/>
          <w:sz w:val="17"/>
          <w:szCs w:val="17"/>
          <w:color w:val="auto"/>
        </w:rPr>
      </w:pPr>
    </w:p>
    <w:p>
      <w:pPr>
        <w:ind w:right="60" w:firstLine="419"/>
        <w:spacing w:after="0" w:line="277" w:lineRule="auto"/>
        <w:tabs>
          <w:tab w:leader="none" w:pos="7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obligations in respect of performance and surety bonds and completion guarantees provided by Crown Holdings and its Subsidiaries in the ordinary course of business;</w:t>
      </w:r>
    </w:p>
    <w:p>
      <w:pPr>
        <w:spacing w:after="0" w:line="62" w:lineRule="exact"/>
        <w:rPr>
          <w:rFonts w:ascii="Arial" w:cs="Arial" w:eastAsia="Arial" w:hAnsi="Arial"/>
          <w:sz w:val="18"/>
          <w:szCs w:val="18"/>
          <w:color w:val="auto"/>
        </w:rPr>
      </w:pPr>
    </w:p>
    <w:p>
      <w:pPr>
        <w:ind w:right="760" w:firstLine="419"/>
        <w:spacing w:after="0" w:line="308" w:lineRule="auto"/>
        <w:tabs>
          <w:tab w:leader="none" w:pos="81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Indebtedness arising from the honoring by a bank or other financial institution of a check, draft or similar instrument against insufficient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extinguished within ten Business Days of incurrence;</w:t>
      </w:r>
    </w:p>
    <w:p>
      <w:pPr>
        <w:spacing w:after="0" w:line="38" w:lineRule="exact"/>
        <w:rPr>
          <w:rFonts w:ascii="Arial" w:cs="Arial" w:eastAsia="Arial" w:hAnsi="Arial"/>
          <w:sz w:val="17"/>
          <w:szCs w:val="17"/>
          <w:color w:val="auto"/>
        </w:rPr>
      </w:pPr>
    </w:p>
    <w:p>
      <w:pPr>
        <w:ind w:firstLine="419"/>
        <w:spacing w:after="0" w:line="275" w:lineRule="auto"/>
        <w:tabs>
          <w:tab w:leader="none" w:pos="86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Indebtedness in respect of commercial credit cards, stored value cards, purchasing cards, treasury, depositary and cash 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68" w:lineRule="exact"/>
        <w:rPr>
          <w:rFonts w:ascii="Arial" w:cs="Arial" w:eastAsia="Arial" w:hAnsi="Arial"/>
          <w:sz w:val="17"/>
          <w:szCs w:val="17"/>
          <w:color w:val="auto"/>
        </w:rPr>
      </w:pPr>
    </w:p>
    <w:p>
      <w:pPr>
        <w:jc w:val="both"/>
        <w:ind w:right="120" w:firstLine="419"/>
        <w:spacing w:after="0" w:line="263"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Indebtedness of any Euro Credit Party to any other Non-U.S. Subsidiary that is not a Credit Party incurred in the ordinary course of business consistent with past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Indebtedness in excess of $250,000,000 is outstanding at any time, Indebtedness representing such excess shall be subordinated to the Euro Obligations;</w:t>
      </w:r>
    </w:p>
    <w:p>
      <w:pPr>
        <w:spacing w:after="0" w:line="75" w:lineRule="exact"/>
        <w:rPr>
          <w:rFonts w:ascii="Arial" w:cs="Arial" w:eastAsia="Arial" w:hAnsi="Arial"/>
          <w:sz w:val="18"/>
          <w:szCs w:val="18"/>
          <w:color w:val="auto"/>
        </w:rPr>
      </w:pPr>
    </w:p>
    <w:p>
      <w:pPr>
        <w:ind w:right="280" w:firstLine="419"/>
        <w:spacing w:after="0" w:line="277" w:lineRule="auto"/>
        <w:tabs>
          <w:tab w:leader="none" w:pos="9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Indebtedness of Subsidiaries that are not Credit Parties to Credit Parties issued solely as consideration for asset sales permitted by </w:t>
      </w:r>
      <w:r>
        <w:rPr>
          <w:rFonts w:ascii="Arial" w:cs="Arial" w:eastAsia="Arial" w:hAnsi="Arial"/>
          <w:sz w:val="18"/>
          <w:szCs w:val="18"/>
          <w:u w:val="single" w:color="auto"/>
          <w:color w:val="auto"/>
        </w:rPr>
        <w:t>Section 8.5(k)</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19"/>
        <w:spacing w:after="0" w:line="311" w:lineRule="auto"/>
        <w:tabs>
          <w:tab w:leader="none" w:pos="85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Indebtedness (including Guarantee Obligations incurred in respect thereof) consisting of unsecured promissory notes issued by any Credit Party to any current or former director, officer, employee, member of management, manager or consultant of Crown Holdings, any Credit Party or any Subsidiary to finance the purchase or redemption of Capital Stock of Crown Holdings permitted by </w:t>
      </w:r>
      <w:r>
        <w:rPr>
          <w:rFonts w:ascii="Arial" w:cs="Arial" w:eastAsia="Arial" w:hAnsi="Arial"/>
          <w:sz w:val="16"/>
          <w:szCs w:val="16"/>
          <w:u w:val="single" w:color="auto"/>
          <w:color w:val="auto"/>
        </w:rPr>
        <w:t>Section 8.8(e)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right="60" w:firstLine="419"/>
        <w:spacing w:after="0" w:line="257" w:lineRule="auto"/>
        <w:tabs>
          <w:tab w:leader="none" w:pos="9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Indebtedness of Crown Holdings in the form of Disqualified Preferred Stock in an aggregate amount at any time outstanding not to exceed the greater of (1) $</w:t>
      </w:r>
      <w:r>
        <w:rPr>
          <w:rFonts w:ascii="Arial" w:cs="Arial" w:eastAsia="Arial" w:hAnsi="Arial"/>
          <w:sz w:val="18"/>
          <w:szCs w:val="18"/>
          <w:color w:val="FF0000"/>
          <w:strike w:val="1"/>
        </w:rPr>
        <w:t>250,000,000</w:t>
      </w:r>
      <w:r>
        <w:rPr>
          <w:rFonts w:ascii="Arial" w:cs="Arial" w:eastAsia="Arial" w:hAnsi="Arial"/>
          <w:sz w:val="18"/>
          <w:szCs w:val="18"/>
          <w:u w:val="single" w:color="auto"/>
          <w:color w:val="0000FF"/>
        </w:rPr>
        <w:t>290,000,000</w:t>
      </w:r>
      <w:r>
        <w:rPr>
          <w:rFonts w:ascii="Arial" w:cs="Arial" w:eastAsia="Arial" w:hAnsi="Arial"/>
          <w:sz w:val="18"/>
          <w:szCs w:val="18"/>
          <w:color w:val="auto"/>
        </w:rPr>
        <w:t xml:space="preserve"> and (2) 2% of Consolidated Total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any replacement, renewal, refinancing, extension, defeasance, restructuring, refunding, repayment, amendment, restatement, supplementation, modification or exchange of such Indebtedness that satisfies the provisions of this </w:t>
      </w:r>
      <w:r>
        <w:rPr>
          <w:rFonts w:ascii="Arial" w:cs="Arial" w:eastAsia="Arial" w:hAnsi="Arial"/>
          <w:sz w:val="18"/>
          <w:szCs w:val="18"/>
          <w:u w:val="single" w:color="auto"/>
          <w:color w:val="auto"/>
        </w:rPr>
        <w:t>Section 8.1(a)(xxvi)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-410845</wp:posOffset>
            </wp:positionV>
            <wp:extent cx="60007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520"/>
          </w:cols>
          <w:pgMar w:left="880" w:top="274" w:right="499" w:bottom="1440" w:gutter="0" w:footer="0" w:header="0"/>
        </w:sectPr>
      </w:pPr>
    </w:p>
    <w:bookmarkStart w:id="316" w:name="page317"/>
    <w:bookmarkEnd w:id="316"/>
    <w:p>
      <w:pPr>
        <w:ind w:left="4" w:right="160" w:firstLine="419"/>
        <w:spacing w:after="0" w:line="263" w:lineRule="auto"/>
        <w:tabs>
          <w:tab w:leader="none" w:pos="961"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European Borrower Debt (including any Permitted Refinancing Indebtedness of such Indebtedness) in an aggregate principal amount not to exceed €500,000,000 at any time, the net proceeds of which are used to finance a Permitted Acquisition (and to pay fees and expenses related thereto);</w:t>
      </w:r>
    </w:p>
    <w:p>
      <w:pPr>
        <w:spacing w:after="0" w:line="75" w:lineRule="exact"/>
        <w:rPr>
          <w:rFonts w:ascii="Arial" w:cs="Arial" w:eastAsia="Arial" w:hAnsi="Arial"/>
          <w:sz w:val="18"/>
          <w:szCs w:val="18"/>
          <w:color w:val="auto"/>
        </w:rPr>
      </w:pPr>
    </w:p>
    <w:p>
      <w:pPr>
        <w:ind w:left="4" w:firstLine="419"/>
        <w:spacing w:after="0" w:line="279" w:lineRule="auto"/>
        <w:tabs>
          <w:tab w:leader="none" w:pos="101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Indebtedness evidenced by one or more letter of credit facilities and/or one or more bank guarantees (and reimbursement obligations in connection with such letter of credit facilities and/or bank guarantees) in an aggregate undrawn face amount and any unreimbursed obligations in respect thereof at any time outstanding not to exceed the greater of (1) $</w:t>
      </w:r>
      <w:r>
        <w:rPr>
          <w:rFonts w:ascii="Arial" w:cs="Arial" w:eastAsia="Arial" w:hAnsi="Arial"/>
          <w:sz w:val="17"/>
          <w:szCs w:val="17"/>
          <w:color w:val="FF0000"/>
          <w:strike w:val="1"/>
        </w:rPr>
        <w:t>200,000,000</w:t>
      </w:r>
      <w:r>
        <w:rPr>
          <w:rFonts w:ascii="Arial" w:cs="Arial" w:eastAsia="Arial" w:hAnsi="Arial"/>
          <w:sz w:val="17"/>
          <w:szCs w:val="17"/>
          <w:u w:val="single" w:color="auto"/>
          <w:color w:val="0000FF"/>
        </w:rPr>
        <w:t>290,000,000</w:t>
      </w:r>
      <w:r>
        <w:rPr>
          <w:rFonts w:ascii="Arial" w:cs="Arial" w:eastAsia="Arial" w:hAnsi="Arial"/>
          <w:sz w:val="17"/>
          <w:szCs w:val="17"/>
          <w:color w:val="auto"/>
        </w:rPr>
        <w:t xml:space="preserve"> and (2) 2% of Consolidated Total Assets as set forth in the financial statements last delivered by Crown Holdings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 w:right="20" w:firstLine="419"/>
        <w:spacing w:after="0" w:line="284" w:lineRule="auto"/>
        <w:tabs>
          <w:tab w:leader="none" w:pos="91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Permitted Ratio Debt (including any Permitted Refinancing Indebtedness of such Indebtedness) not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on which such Indebtedness is incurred or created and after giving effect to the incurrence of such Permitted Ratio Debt on a Pro Forma Basis for the period of four Fiscal Quarters for which financial statements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immediately preceding the date on which such Permitted Ratio Debt is incurred or created, (i) no Event of Default would exist hereunder and (ii) the Total Leverage Ratio shall not be greater than (x) prior to December 31, </w:t>
      </w:r>
      <w:r>
        <w:rPr>
          <w:rFonts w:ascii="Arial" w:cs="Arial" w:eastAsia="Arial" w:hAnsi="Arial"/>
          <w:sz w:val="16"/>
          <w:szCs w:val="16"/>
          <w:color w:val="FF0000"/>
          <w:strike w:val="1"/>
        </w:rPr>
        <w:t>2022</w:t>
      </w:r>
      <w:r>
        <w:rPr>
          <w:rFonts w:ascii="Arial" w:cs="Arial" w:eastAsia="Arial" w:hAnsi="Arial"/>
          <w:sz w:val="16"/>
          <w:szCs w:val="16"/>
          <w:u w:val="single" w:color="auto"/>
          <w:color w:val="0000FF"/>
        </w:rPr>
        <w:t>2023</w:t>
      </w:r>
      <w:r>
        <w:rPr>
          <w:rFonts w:ascii="Arial" w:cs="Arial" w:eastAsia="Arial" w:hAnsi="Arial"/>
          <w:sz w:val="16"/>
          <w:szCs w:val="16"/>
          <w:color w:val="auto"/>
        </w:rPr>
        <w:t xml:space="preserve">, 5.00 to 1.00 (or 5.50 to 1.00 during any Increase Period prior to December 31, </w:t>
      </w:r>
      <w:r>
        <w:rPr>
          <w:rFonts w:ascii="Arial" w:cs="Arial" w:eastAsia="Arial" w:hAnsi="Arial"/>
          <w:sz w:val="16"/>
          <w:szCs w:val="16"/>
          <w:color w:val="FF0000"/>
          <w:strike w:val="1"/>
        </w:rPr>
        <w:t>2022</w:t>
      </w:r>
      <w:r>
        <w:rPr>
          <w:rFonts w:ascii="Arial" w:cs="Arial" w:eastAsia="Arial" w:hAnsi="Arial"/>
          <w:sz w:val="16"/>
          <w:szCs w:val="16"/>
          <w:u w:val="single" w:color="auto"/>
          <w:color w:val="0000FF"/>
        </w:rPr>
        <w:t>2023</w:t>
      </w:r>
      <w:r>
        <w:rPr>
          <w:rFonts w:ascii="Arial" w:cs="Arial" w:eastAsia="Arial" w:hAnsi="Arial"/>
          <w:sz w:val="16"/>
          <w:szCs w:val="16"/>
          <w:color w:val="000000"/>
        </w:rPr>
        <w:t>) and (y) thereafter, 4.50 to 1.00 (or 5.00 to 1.00 during any Increase Period thereafter);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0000"/>
        </w:rPr>
        <w:t xml:space="preserve"> </w:t>
      </w:r>
      <w:r>
        <w:rPr>
          <w:rFonts w:ascii="Arial" w:cs="Arial" w:eastAsia="Arial" w:hAnsi="Arial"/>
          <w:sz w:val="16"/>
          <w:szCs w:val="16"/>
          <w:color w:val="000000"/>
        </w:rPr>
        <w:t>that the aggregate Indebtedness</w:t>
      </w:r>
      <w:r>
        <w:rPr>
          <w:rFonts w:ascii="Arial" w:cs="Arial" w:eastAsia="Arial" w:hAnsi="Arial"/>
          <w:sz w:val="16"/>
          <w:szCs w:val="16"/>
          <w:color w:val="FF0000"/>
        </w:rPr>
        <w:t xml:space="preserve"> </w:t>
      </w:r>
      <w:r>
        <w:rPr>
          <w:rFonts w:ascii="Arial" w:cs="Arial" w:eastAsia="Arial" w:hAnsi="Arial"/>
          <w:sz w:val="16"/>
          <w:szCs w:val="16"/>
          <w:color w:val="000000"/>
        </w:rPr>
        <w:t>incurred by Subsidiaries that are not Credit Parties pursuant to this clause (xxix) and clause (xxx) below shall not exceed the greater of</w:t>
      </w:r>
    </w:p>
    <w:p>
      <w:pPr>
        <w:spacing w:after="0" w:line="2" w:lineRule="exact"/>
        <w:rPr>
          <w:rFonts w:ascii="Arial" w:cs="Arial" w:eastAsia="Arial" w:hAnsi="Arial"/>
          <w:sz w:val="16"/>
          <w:szCs w:val="16"/>
          <w:color w:val="auto"/>
        </w:rPr>
      </w:pPr>
    </w:p>
    <w:p>
      <w:pPr>
        <w:ind w:left="4" w:right="200" w:hanging="4"/>
        <w:spacing w:after="0" w:line="281" w:lineRule="auto"/>
        <w:tabs>
          <w:tab w:leader="none" w:pos="2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750,000,000</w:t>
      </w:r>
      <w:r>
        <w:rPr>
          <w:rFonts w:ascii="Arial" w:cs="Arial" w:eastAsia="Arial" w:hAnsi="Arial"/>
          <w:sz w:val="16"/>
          <w:szCs w:val="16"/>
          <w:u w:val="single" w:color="auto"/>
          <w:color w:val="0000FF"/>
        </w:rPr>
        <w:t>725,000,000</w:t>
      </w:r>
      <w:r>
        <w:rPr>
          <w:rFonts w:ascii="Arial" w:cs="Arial" w:eastAsia="Arial" w:hAnsi="Arial"/>
          <w:sz w:val="16"/>
          <w:szCs w:val="16"/>
          <w:color w:val="auto"/>
        </w:rPr>
        <w:t xml:space="preserve"> and (2) 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the Total Leverage Ratio is less than or equal to 3.50 to 1.00 at the time of incurrence, the greater of</w:t>
      </w:r>
    </w:p>
    <w:p>
      <w:pPr>
        <w:spacing w:after="0" w:line="1" w:lineRule="exact"/>
        <w:rPr>
          <w:rFonts w:ascii="Arial" w:cs="Arial" w:eastAsia="Arial" w:hAnsi="Arial"/>
          <w:sz w:val="16"/>
          <w:szCs w:val="16"/>
          <w:color w:val="auto"/>
        </w:rPr>
      </w:pPr>
    </w:p>
    <w:p>
      <w:pPr>
        <w:ind w:left="4" w:right="560"/>
        <w:spacing w:after="0" w:line="260" w:lineRule="auto"/>
        <w:rPr>
          <w:rFonts w:ascii="Arial" w:cs="Arial" w:eastAsia="Arial" w:hAnsi="Arial"/>
          <w:sz w:val="16"/>
          <w:szCs w:val="16"/>
          <w:color w:val="auto"/>
        </w:rPr>
      </w:pPr>
      <w:r>
        <w:rPr>
          <w:rFonts w:ascii="Arial" w:cs="Arial" w:eastAsia="Arial" w:hAnsi="Arial"/>
          <w:sz w:val="18"/>
          <w:szCs w:val="18"/>
          <w:color w:val="auto"/>
        </w:rPr>
        <w:t>(A) $</w:t>
      </w:r>
      <w:r>
        <w:rPr>
          <w:rFonts w:ascii="Arial" w:cs="Arial" w:eastAsia="Arial" w:hAnsi="Arial"/>
          <w:sz w:val="18"/>
          <w:szCs w:val="18"/>
          <w:color w:val="FF0000"/>
          <w:strike w:val="1"/>
        </w:rPr>
        <w:t>1,000,000,000</w:t>
      </w:r>
      <w:r>
        <w:rPr>
          <w:rFonts w:ascii="Arial" w:cs="Arial" w:eastAsia="Arial" w:hAnsi="Arial"/>
          <w:sz w:val="18"/>
          <w:szCs w:val="18"/>
          <w:u w:val="single" w:color="auto"/>
          <w:color w:val="0000FF"/>
        </w:rPr>
        <w:t>935,000,000</w:t>
      </w:r>
      <w:r>
        <w:rPr>
          <w:rFonts w:ascii="Arial" w:cs="Arial" w:eastAsia="Arial" w:hAnsi="Arial"/>
          <w:sz w:val="18"/>
          <w:szCs w:val="18"/>
          <w:color w:val="auto"/>
        </w:rPr>
        <w:t xml:space="preserve"> and (B) 6.5% of Consolidated Total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at any time outstanding);</w:t>
      </w:r>
    </w:p>
    <w:p>
      <w:pPr>
        <w:spacing w:after="0" w:line="77" w:lineRule="exact"/>
        <w:rPr>
          <w:rFonts w:ascii="Arial" w:cs="Arial" w:eastAsia="Arial" w:hAnsi="Arial"/>
          <w:sz w:val="16"/>
          <w:szCs w:val="16"/>
          <w:color w:val="auto"/>
        </w:rPr>
      </w:pPr>
    </w:p>
    <w:p>
      <w:pPr>
        <w:ind w:left="4" w:right="160" w:firstLine="419"/>
        <w:spacing w:after="0" w:line="286" w:lineRule="auto"/>
        <w:tabs>
          <w:tab w:leader="none" w:pos="861"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other Indebtedness (including any Permitted Refinancing Indebtedness of such Indebtedness) of Crown Holdings or any of its Subsidiaries incurred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in an aggregate principal amount not exceeding the greater of (1) $</w:t>
      </w:r>
      <w:r>
        <w:rPr>
          <w:rFonts w:ascii="Arial" w:cs="Arial" w:eastAsia="Arial" w:hAnsi="Arial"/>
          <w:sz w:val="16"/>
          <w:szCs w:val="16"/>
          <w:color w:val="FF0000"/>
          <w:strike w:val="1"/>
        </w:rPr>
        <w:t>1,000,000,000</w:t>
      </w:r>
      <w:r>
        <w:rPr>
          <w:rFonts w:ascii="Arial" w:cs="Arial" w:eastAsia="Arial" w:hAnsi="Arial"/>
          <w:sz w:val="16"/>
          <w:szCs w:val="16"/>
          <w:u w:val="single" w:color="auto"/>
          <w:color w:val="0000FF"/>
        </w:rPr>
        <w:t>935,000,000</w:t>
      </w:r>
      <w:r>
        <w:rPr>
          <w:rFonts w:ascii="Arial" w:cs="Arial" w:eastAsia="Arial" w:hAnsi="Arial"/>
          <w:sz w:val="16"/>
          <w:szCs w:val="16"/>
          <w:color w:val="auto"/>
        </w:rPr>
        <w:t xml:space="preserve"> and (2) 6.5%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the Total Leverage Ratio is less than or equal to 3.50 to 1.00, the greater of</w:t>
      </w:r>
    </w:p>
    <w:p>
      <w:pPr>
        <w:spacing w:after="0" w:line="1"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color w:val="auto"/>
        </w:rPr>
        <w:t>(x) $</w:t>
      </w:r>
      <w:r>
        <w:rPr>
          <w:rFonts w:ascii="Arial" w:cs="Arial" w:eastAsia="Arial" w:hAnsi="Arial"/>
          <w:sz w:val="16"/>
          <w:szCs w:val="16"/>
          <w:color w:val="FF0000"/>
          <w:strike w:val="1"/>
        </w:rPr>
        <w:t>1,250,000,000</w:t>
      </w:r>
      <w:r>
        <w:rPr>
          <w:rFonts w:ascii="Arial" w:cs="Arial" w:eastAsia="Arial" w:hAnsi="Arial"/>
          <w:sz w:val="16"/>
          <w:szCs w:val="16"/>
          <w:u w:val="single" w:color="auto"/>
          <w:color w:val="0000FF"/>
        </w:rPr>
        <w:t>1,150,000,000</w:t>
      </w:r>
      <w:r>
        <w:rPr>
          <w:rFonts w:ascii="Arial" w:cs="Arial" w:eastAsia="Arial" w:hAnsi="Arial"/>
          <w:sz w:val="16"/>
          <w:szCs w:val="16"/>
          <w:color w:val="auto"/>
        </w:rPr>
        <w:t xml:space="preserve"> and (y) 8%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Indebtedness incurred by Subsidiaries that are not Credit Parties pursuant to this clause (xxx) and clause (xxix) above shall not exceed the greater of (A) $</w:t>
      </w:r>
      <w:r>
        <w:rPr>
          <w:rFonts w:ascii="Arial" w:cs="Arial" w:eastAsia="Arial" w:hAnsi="Arial"/>
          <w:sz w:val="16"/>
          <w:szCs w:val="16"/>
          <w:color w:val="FF0000"/>
          <w:strike w:val="1"/>
        </w:rPr>
        <w:t>750,000,000</w:t>
      </w:r>
      <w:r>
        <w:rPr>
          <w:rFonts w:ascii="Arial" w:cs="Arial" w:eastAsia="Arial" w:hAnsi="Arial"/>
          <w:sz w:val="16"/>
          <w:szCs w:val="16"/>
          <w:u w:val="single" w:color="auto"/>
          <w:color w:val="0000FF"/>
        </w:rPr>
        <w:t>725,000,000</w:t>
      </w:r>
      <w:r>
        <w:rPr>
          <w:rFonts w:ascii="Arial" w:cs="Arial" w:eastAsia="Arial" w:hAnsi="Arial"/>
          <w:sz w:val="16"/>
          <w:szCs w:val="16"/>
          <w:color w:val="auto"/>
        </w:rPr>
        <w:t xml:space="preserve"> and (B) 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the Total Leverage Ratio is less than 3.50 to 1.00 at the time of incurrence, the greater of (I) $</w:t>
      </w:r>
      <w:r>
        <w:rPr>
          <w:rFonts w:ascii="Arial" w:cs="Arial" w:eastAsia="Arial" w:hAnsi="Arial"/>
          <w:sz w:val="16"/>
          <w:szCs w:val="16"/>
          <w:color w:val="FF0000"/>
          <w:strike w:val="1"/>
        </w:rPr>
        <w:t>1,000,000,000</w:t>
      </w:r>
      <w:r>
        <w:rPr>
          <w:rFonts w:ascii="Arial" w:cs="Arial" w:eastAsia="Arial" w:hAnsi="Arial"/>
          <w:sz w:val="16"/>
          <w:szCs w:val="16"/>
          <w:u w:val="single" w:color="auto"/>
          <w:color w:val="0000FF"/>
        </w:rPr>
        <w:t>935,000,000</w:t>
      </w:r>
      <w:r>
        <w:rPr>
          <w:rFonts w:ascii="Arial" w:cs="Arial" w:eastAsia="Arial" w:hAnsi="Arial"/>
          <w:sz w:val="16"/>
          <w:szCs w:val="16"/>
          <w:color w:val="auto"/>
        </w:rPr>
        <w:t xml:space="preserve"> and (II) 6.5%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at any time outstanding;</w:t>
      </w:r>
    </w:p>
    <w:p>
      <w:pPr>
        <w:spacing w:after="0" w:line="55" w:lineRule="exact"/>
        <w:rPr>
          <w:rFonts w:ascii="Arial" w:cs="Arial" w:eastAsia="Arial" w:hAnsi="Arial"/>
          <w:sz w:val="16"/>
          <w:szCs w:val="16"/>
          <w:color w:val="auto"/>
        </w:rPr>
      </w:pPr>
    </w:p>
    <w:p>
      <w:pPr>
        <w:ind w:left="904" w:hanging="481"/>
        <w:spacing w:after="0"/>
        <w:tabs>
          <w:tab w:leader="none" w:pos="90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Indebtedness arising as a result of the endorsement in the ordinary course of business of negotiable instruments in the course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-3482340</wp:posOffset>
            </wp:positionV>
            <wp:extent cx="60007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-2590800</wp:posOffset>
            </wp:positionV>
            <wp:extent cx="22288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-2453640</wp:posOffset>
            </wp:positionV>
            <wp:extent cx="23114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-2179320</wp:posOffset>
            </wp:positionV>
            <wp:extent cx="56578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-1905000</wp:posOffset>
            </wp:positionV>
            <wp:extent cx="56578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-1424940</wp:posOffset>
            </wp:positionV>
            <wp:extent cx="60325"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-1424940</wp:posOffset>
            </wp:positionV>
            <wp:extent cx="21463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-1287780</wp:posOffset>
            </wp:positionV>
            <wp:extent cx="60007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-1013460</wp:posOffset>
            </wp:positionV>
            <wp:extent cx="65151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-739140</wp:posOffset>
            </wp:positionV>
            <wp:extent cx="57404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-464820</wp:posOffset>
            </wp:positionV>
            <wp:extent cx="56578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2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544"/>
          </w:cols>
          <w:pgMar w:left="876" w:top="274" w:right="479" w:bottom="1440" w:gutter="0" w:footer="0" w:header="0"/>
        </w:sectPr>
      </w:pPr>
    </w:p>
    <w:bookmarkStart w:id="317" w:name="page318"/>
    <w:bookmarkEnd w:id="317"/>
    <w:p>
      <w:pPr>
        <w:ind w:left="1400" w:hanging="541"/>
        <w:spacing w:after="0"/>
        <w:tabs>
          <w:tab w:leader="none" w:pos="14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40" w:right="80" w:firstLine="419"/>
        <w:spacing w:after="0" w:line="342" w:lineRule="auto"/>
        <w:tabs>
          <w:tab w:leader="none" w:pos="144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15" w:lineRule="exact"/>
        <w:rPr>
          <w:rFonts w:ascii="Arial" w:cs="Arial" w:eastAsia="Arial" w:hAnsi="Arial"/>
          <w:sz w:val="16"/>
          <w:szCs w:val="16"/>
          <w:color w:val="auto"/>
        </w:rPr>
      </w:pPr>
    </w:p>
    <w:p>
      <w:pPr>
        <w:ind w:left="440" w:right="220" w:firstLine="419"/>
        <w:spacing w:after="0" w:line="308" w:lineRule="auto"/>
        <w:tabs>
          <w:tab w:leader="none" w:pos="143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38" w:lineRule="exact"/>
        <w:rPr>
          <w:rFonts w:ascii="Arial" w:cs="Arial" w:eastAsia="Arial" w:hAnsi="Arial"/>
          <w:sz w:val="17"/>
          <w:szCs w:val="17"/>
          <w:color w:val="auto"/>
        </w:rPr>
      </w:pPr>
    </w:p>
    <w:p>
      <w:pPr>
        <w:ind w:left="440" w:right="160" w:firstLine="419"/>
        <w:spacing w:after="0" w:line="263" w:lineRule="auto"/>
        <w:tabs>
          <w:tab w:leader="none" w:pos="138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75" w:lineRule="exact"/>
        <w:rPr>
          <w:rFonts w:ascii="Arial" w:cs="Arial" w:eastAsia="Arial" w:hAnsi="Arial"/>
          <w:sz w:val="18"/>
          <w:szCs w:val="18"/>
          <w:color w:val="auto"/>
        </w:rPr>
      </w:pPr>
    </w:p>
    <w:p>
      <w:pPr>
        <w:jc w:val="both"/>
        <w:ind w:left="440" w:right="120" w:firstLine="419"/>
        <w:spacing w:after="0" w:line="279" w:lineRule="auto"/>
        <w:tabs>
          <w:tab w:leader="none" w:pos="143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Indebtedness (i) incurred as a result of a redesignation pursuant to </w:t>
      </w:r>
      <w:r>
        <w:rPr>
          <w:rFonts w:ascii="Arial" w:cs="Arial" w:eastAsia="Arial" w:hAnsi="Arial"/>
          <w:sz w:val="17"/>
          <w:szCs w:val="17"/>
          <w:u w:val="single" w:color="auto"/>
          <w:color w:val="auto"/>
        </w:rPr>
        <w:t>Section 12.21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(ii) any Permitted Refinancing Indebtedness in respect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if all or any portion of any item of Indebtedness would be permitted to be incurred,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created or assumed pursuant to clause (xxix) above, such item of Indebtedness (or the relevant portion thereof) shall be deemed to have been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-107315</wp:posOffset>
            </wp:positionV>
            <wp:extent cx="378904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created or assumed in reliance on clause (xxix) above prior and without giving effect to the other clauses, and any substantially concurrent incurrence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66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series of related incurrences of Indebtedness incurred pursuant to any clause other than clause (xxix) (other than any Indebtedness incurred in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6087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on a Total First Lien Leverage Ratio, Total Leverage Ratio or Total Secured Leverage Ratio) above shall not be given pro forma effect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580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determining the Total Leverage Ratio with respect to any incurrence under clause (xxix). Without limiting the foregoing,</w:t>
      </w:r>
      <w:r>
        <w:rPr>
          <w:rFonts w:ascii="Arial" w:cs="Arial" w:eastAsia="Arial" w:hAnsi="Arial"/>
          <w:sz w:val="16"/>
          <w:szCs w:val="16"/>
          <w:color w:val="0000FF"/>
        </w:rPr>
        <w:t xml:space="preserve"> </w:t>
      </w:r>
      <w:r>
        <w:rPr>
          <w:rFonts w:ascii="Arial" w:cs="Arial" w:eastAsia="Arial" w:hAnsi="Arial"/>
          <w:sz w:val="16"/>
          <w:szCs w:val="16"/>
          <w:color w:val="000000"/>
        </w:rPr>
        <w:t>in the event that an item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5800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proposed Indebtedness meets the criteria of more than one of the categories of permitted Indebtedness described in clauses (i)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51180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xxxviii</w:t>
      </w:r>
      <w:r>
        <w:rPr>
          <w:rFonts w:ascii="Arial" w:cs="Arial" w:eastAsia="Arial" w:hAnsi="Arial"/>
          <w:sz w:val="17"/>
          <w:szCs w:val="17"/>
          <w:u w:val="single" w:color="auto"/>
          <w:color w:val="0000FF"/>
        </w:rPr>
        <w:t>xxxvi</w:t>
      </w:r>
      <w:r>
        <w:rPr>
          <w:rFonts w:ascii="Arial" w:cs="Arial" w:eastAsia="Arial" w:hAnsi="Arial"/>
          <w:sz w:val="17"/>
          <w:szCs w:val="17"/>
          <w:color w:val="auto"/>
        </w:rPr>
        <w:t>) above, Crown Holdings, in its sole discretion, will be permitted to classify such item of Indebtedness on the date of its incurrence,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creation or assumption or later reclassify such item of Indebtedness, in any manner that complies with this </w:t>
      </w:r>
      <w:r>
        <w:rPr>
          <w:rFonts w:ascii="Arial" w:cs="Arial" w:eastAsia="Arial" w:hAnsi="Arial"/>
          <w:sz w:val="16"/>
          <w:szCs w:val="16"/>
          <w:u w:val="single" w:color="auto"/>
          <w:color w:val="auto"/>
        </w:rPr>
        <w:t>Section 8.1</w:t>
      </w:r>
      <w:r>
        <w:rPr>
          <w:rFonts w:ascii="Arial" w:cs="Arial" w:eastAsia="Arial" w:hAnsi="Arial"/>
          <w:sz w:val="16"/>
          <w:szCs w:val="16"/>
          <w:color w:val="auto"/>
        </w:rPr>
        <w:t>, so long as such Indebtedness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-107315</wp:posOffset>
            </wp:positionV>
            <wp:extent cx="26543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any portion thereof) is permitted to be incurred, created or assumed pursuant to such provision at the time of reclassification. Notwithstanding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foregoing, Indebtedness incurred, created or assumed (a) under the Loan Documents (including in respect of any Additional Facility,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Commitments, Replacement Revolving Loans, Replacement Term Commitments and Replacement Term Loans and any other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incurred, created or assumed under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(and any extension thereof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only be classified as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created or assumed under </w:t>
      </w:r>
      <w:r>
        <w:rPr>
          <w:rFonts w:ascii="Arial" w:cs="Arial" w:eastAsia="Arial" w:hAnsi="Arial"/>
          <w:sz w:val="16"/>
          <w:szCs w:val="16"/>
          <w:u w:val="single" w:color="auto"/>
          <w:color w:val="auto"/>
        </w:rPr>
        <w:t>Section 8.1(a)(i)</w:t>
      </w:r>
      <w:r>
        <w:rPr>
          <w:rFonts w:ascii="Arial" w:cs="Arial" w:eastAsia="Arial" w:hAnsi="Arial"/>
          <w:sz w:val="16"/>
          <w:szCs w:val="16"/>
          <w:color w:val="auto"/>
        </w:rPr>
        <w:t xml:space="preserve">, (b) pursuant to </w:t>
      </w:r>
      <w:r>
        <w:rPr>
          <w:rFonts w:ascii="Arial" w:cs="Arial" w:eastAsia="Arial" w:hAnsi="Arial"/>
          <w:sz w:val="16"/>
          <w:szCs w:val="16"/>
          <w:u w:val="single" w:color="auto"/>
          <w:color w:val="auto"/>
        </w:rPr>
        <w:t>Section 6.5(b)(i)</w:t>
      </w:r>
      <w:r>
        <w:rPr>
          <w:rFonts w:ascii="Arial" w:cs="Arial" w:eastAsia="Arial" w:hAnsi="Arial"/>
          <w:sz w:val="16"/>
          <w:szCs w:val="16"/>
          <w:color w:val="auto"/>
        </w:rPr>
        <w:t xml:space="preserve"> and any Permitted Refinancing Indebtedness thereof shall only be classified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incurred, created or assumed under </w:t>
      </w:r>
      <w:r>
        <w:rPr>
          <w:rFonts w:ascii="Arial" w:cs="Arial" w:eastAsia="Arial" w:hAnsi="Arial"/>
          <w:sz w:val="16"/>
          <w:szCs w:val="16"/>
          <w:u w:val="single" w:color="auto"/>
          <w:color w:val="auto"/>
        </w:rPr>
        <w:t>Section 8.1(a)(vi)</w:t>
      </w:r>
      <w:r>
        <w:rPr>
          <w:rFonts w:ascii="Arial" w:cs="Arial" w:eastAsia="Arial" w:hAnsi="Arial"/>
          <w:sz w:val="16"/>
          <w:szCs w:val="16"/>
          <w:color w:val="auto"/>
        </w:rPr>
        <w:t xml:space="preserve"> (other than Indebtedness under </w:t>
      </w:r>
      <w:r>
        <w:rPr>
          <w:rFonts w:ascii="Arial" w:cs="Arial" w:eastAsia="Arial" w:hAnsi="Arial"/>
          <w:sz w:val="16"/>
          <w:szCs w:val="16"/>
          <w:u w:val="single" w:color="auto"/>
          <w:color w:val="auto"/>
        </w:rPr>
        <w:t>Section 8.1(a)(iii)</w:t>
      </w:r>
      <w:r>
        <w:rPr>
          <w:rFonts w:ascii="Arial" w:cs="Arial" w:eastAsia="Arial" w:hAnsi="Arial"/>
          <w:sz w:val="16"/>
          <w:szCs w:val="16"/>
          <w:color w:val="auto"/>
        </w:rPr>
        <w:t>) and (c) under the Senior Notes, Debentures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any Permitted Refinancing Indebtedness in respect thereof shall only be classified as incurred, created or assumed under </w:t>
      </w:r>
      <w:r>
        <w:rPr>
          <w:rFonts w:ascii="Arial" w:cs="Arial" w:eastAsia="Arial" w:hAnsi="Arial"/>
          <w:sz w:val="16"/>
          <w:szCs w:val="16"/>
          <w:u w:val="single" w:color="auto"/>
          <w:color w:val="auto"/>
        </w:rPr>
        <w:t>Section 8.1(a)(iii)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w:t>
      </w:r>
    </w:p>
    <w:p>
      <w:pPr>
        <w:spacing w:after="0" w:line="2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The maximum amount of Indebtedness that Crown Holdings or any Subsidiary may incur pursuant to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be deemed to be exceeded solely as the result of fluctuations in the exchange rates of currencies.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60"/>
          </w:cols>
          <w:pgMar w:left="440" w:top="274" w:right="499" w:bottom="1440" w:gutter="0" w:footer="0" w:header="0"/>
        </w:sectPr>
      </w:pPr>
    </w:p>
    <w:bookmarkStart w:id="318" w:name="page319"/>
    <w:bookmarkEnd w:id="318"/>
    <w:p>
      <w:pPr>
        <w:ind w:right="160" w:firstLine="436"/>
        <w:spacing w:after="0" w:line="277" w:lineRule="auto"/>
        <w:tabs>
          <w:tab w:leader="none" w:pos="695"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as permitted to be incurred under </w:t>
      </w:r>
      <w:r>
        <w:rPr>
          <w:rFonts w:ascii="Arial" w:cs="Arial" w:eastAsia="Arial" w:hAnsi="Arial"/>
          <w:sz w:val="18"/>
          <w:szCs w:val="18"/>
          <w:u w:val="single" w:color="auto"/>
          <w:color w:val="auto"/>
        </w:rPr>
        <w:t>Section 8.1(a)(xxvi)</w:t>
      </w:r>
      <w:r>
        <w:rPr>
          <w:rFonts w:ascii="Arial" w:cs="Arial" w:eastAsia="Arial" w:hAnsi="Arial"/>
          <w:sz w:val="18"/>
          <w:szCs w:val="18"/>
          <w:color w:val="auto"/>
        </w:rPr>
        <w:t>, the Credit Parties will not, nor will they permit any of their Subsidiaries to issue any preferred stock or other preferred Capital Stock other than Permitted Preferred Stock.</w:t>
      </w:r>
    </w:p>
    <w:p>
      <w:pPr>
        <w:spacing w:after="0" w:line="62"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Liens</w:t>
      </w:r>
      <w:r>
        <w:rPr>
          <w:rFonts w:ascii="Arial" w:cs="Arial" w:eastAsia="Arial" w:hAnsi="Arial"/>
          <w:sz w:val="17"/>
          <w:szCs w:val="17"/>
          <w:color w:val="auto"/>
        </w:rPr>
        <w:t>. The Credit Parties will not, and will not permit any of their Subsidiaries to create, incur, assume or permit to exist any Lien on any property or asset now owned or hereafter acquired by it, except the following (herein collectively referred to as “</w:t>
      </w:r>
      <w:r>
        <w:rPr>
          <w:rFonts w:ascii="Arial" w:cs="Arial" w:eastAsia="Arial" w:hAnsi="Arial"/>
          <w:sz w:val="17"/>
          <w:szCs w:val="17"/>
          <w:u w:val="single" w:color="auto"/>
          <w:color w:val="auto"/>
        </w:rPr>
        <w:t>Permitted Liens</w:t>
      </w:r>
      <w:r>
        <w:rPr>
          <w:rFonts w:ascii="Arial" w:cs="Arial" w:eastAsia="Arial" w:hAnsi="Arial"/>
          <w:sz w:val="17"/>
          <w:szCs w:val="17"/>
          <w:color w:val="auto"/>
        </w:rPr>
        <w:t>”):</w:t>
      </w:r>
    </w:p>
    <w:p>
      <w:pPr>
        <w:spacing w:after="0" w:line="38" w:lineRule="exact"/>
        <w:rPr>
          <w:sz w:val="20"/>
          <w:szCs w:val="20"/>
          <w:color w:val="auto"/>
        </w:rPr>
      </w:pPr>
    </w:p>
    <w:p>
      <w:pPr>
        <w:ind w:right="60" w:firstLine="436"/>
        <w:spacing w:after="0" w:line="272" w:lineRule="auto"/>
        <w:tabs>
          <w:tab w:leader="none" w:pos="685" w:val="left"/>
        </w:tabs>
        <w:numPr>
          <w:ilvl w:val="0"/>
          <w:numId w:val="242"/>
        </w:numPr>
        <w:rPr>
          <w:rFonts w:ascii="Arial" w:cs="Arial" w:eastAsia="Arial" w:hAnsi="Arial"/>
          <w:sz w:val="17"/>
          <w:szCs w:val="17"/>
          <w:u w:val="single" w:color="auto"/>
          <w:color w:val="0000FF"/>
        </w:rPr>
      </w:pPr>
      <w:r>
        <w:rPr>
          <w:rFonts w:ascii="Arial" w:cs="Arial" w:eastAsia="Arial" w:hAnsi="Arial"/>
          <w:sz w:val="17"/>
          <w:szCs w:val="17"/>
          <w:color w:val="auto"/>
        </w:rPr>
        <w:t xml:space="preserve">(i) Liens created under the Loan 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cash, cash deposits or other credit support securing Hedging Agreements shall not exceed in the aggregate at any time the greater of (x) the Dollar Equivalent of $</w:t>
      </w:r>
      <w:r>
        <w:rPr>
          <w:rFonts w:ascii="Arial" w:cs="Arial" w:eastAsia="Arial" w:hAnsi="Arial"/>
          <w:sz w:val="17"/>
          <w:szCs w:val="17"/>
          <w:color w:val="FF0000"/>
          <w:strike w:val="1"/>
        </w:rPr>
        <w:t>200,000,000</w:t>
      </w:r>
      <w:r>
        <w:rPr>
          <w:rFonts w:ascii="Arial" w:cs="Arial" w:eastAsia="Arial" w:hAnsi="Arial"/>
          <w:sz w:val="17"/>
          <w:szCs w:val="17"/>
          <w:u w:val="single" w:color="auto"/>
          <w:color w:val="0000FF"/>
        </w:rPr>
        <w:t>290,000,000</w:t>
      </w:r>
      <w:r>
        <w:rPr>
          <w:rFonts w:ascii="Arial" w:cs="Arial" w:eastAsia="Arial" w:hAnsi="Arial"/>
          <w:sz w:val="17"/>
          <w:szCs w:val="17"/>
          <w:color w:val="auto"/>
        </w:rPr>
        <w:t xml:space="preserve"> and (y) 2% of Consolidated Total Assets set forth in the financial statements last delivered by Crown Holdings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and (iv) Liens on cash, cash deposits or other credit support securing Hedging Agreements entered into on behalf of any customer of Crown Holdings or a Subsidiary;</w:t>
      </w:r>
    </w:p>
    <w:p>
      <w:pPr>
        <w:spacing w:after="0" w:line="69" w:lineRule="exact"/>
        <w:rPr>
          <w:rFonts w:ascii="Arial" w:cs="Arial" w:eastAsia="Arial" w:hAnsi="Arial"/>
          <w:sz w:val="17"/>
          <w:szCs w:val="17"/>
          <w:u w:val="single" w:color="auto"/>
          <w:color w:val="0000FF"/>
        </w:rPr>
      </w:pPr>
    </w:p>
    <w:p>
      <w:pPr>
        <w:ind w:left="700" w:hanging="264"/>
        <w:spacing w:after="0"/>
        <w:tabs>
          <w:tab w:leader="none" w:pos="700"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to secure Indebtedness incurred under </w:t>
      </w:r>
      <w:r>
        <w:rPr>
          <w:rFonts w:ascii="Arial" w:cs="Arial" w:eastAsia="Arial" w:hAnsi="Arial"/>
          <w:sz w:val="18"/>
          <w:szCs w:val="18"/>
          <w:u w:val="single" w:color="auto"/>
          <w:color w:val="auto"/>
        </w:rPr>
        <w:t>Section 8.1(a)(xxviii)</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right="180" w:firstLine="436"/>
        <w:spacing w:after="0" w:line="311" w:lineRule="auto"/>
        <w:tabs>
          <w:tab w:leader="none" w:pos="685" w:val="left"/>
        </w:tabs>
        <w:numPr>
          <w:ilvl w:val="0"/>
          <w:numId w:val="242"/>
        </w:numPr>
        <w:rPr>
          <w:rFonts w:ascii="Arial" w:cs="Arial" w:eastAsia="Arial" w:hAnsi="Arial"/>
          <w:sz w:val="16"/>
          <w:szCs w:val="16"/>
          <w:u w:val="single" w:color="auto"/>
          <w:color w:val="0000FF"/>
        </w:rPr>
      </w:pPr>
      <w:r>
        <w:rPr>
          <w:rFonts w:ascii="Arial" w:cs="Arial" w:eastAsia="Arial" w:hAnsi="Arial"/>
          <w:sz w:val="16"/>
          <w:szCs w:val="16"/>
          <w:color w:val="auto"/>
        </w:rPr>
        <w:t xml:space="preserve">Liens existing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listed on </w:t>
      </w:r>
      <w:r>
        <w:rPr>
          <w:rFonts w:ascii="Arial" w:cs="Arial" w:eastAsia="Arial" w:hAnsi="Arial"/>
          <w:sz w:val="16"/>
          <w:szCs w:val="16"/>
          <w:u w:val="single" w:color="auto"/>
          <w:color w:val="auto"/>
        </w:rPr>
        <w:t>Schedule 8.2(c)</w:t>
      </w:r>
      <w:r>
        <w:rPr>
          <w:rFonts w:ascii="Arial" w:cs="Arial" w:eastAsia="Arial" w:hAnsi="Arial"/>
          <w:sz w:val="16"/>
          <w:szCs w:val="16"/>
          <w:color w:val="auto"/>
        </w:rPr>
        <w:t>, and Liens in 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p>
    <w:p>
      <w:pPr>
        <w:spacing w:after="0" w:line="40" w:lineRule="exact"/>
        <w:rPr>
          <w:rFonts w:ascii="Arial" w:cs="Arial" w:eastAsia="Arial" w:hAnsi="Arial"/>
          <w:sz w:val="16"/>
          <w:szCs w:val="16"/>
          <w:u w:val="single" w:color="auto"/>
          <w:color w:val="0000FF"/>
        </w:rPr>
      </w:pPr>
    </w:p>
    <w:p>
      <w:pPr>
        <w:ind w:right="40" w:firstLine="436"/>
        <w:spacing w:after="0" w:line="257" w:lineRule="auto"/>
        <w:tabs>
          <w:tab w:leader="none" w:pos="695"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on assets of any Person existing at the time of acquisition of such assets by any Credit Party or Subsidiary or at the time such Person becomes a Credit Party or is merged, amalgamated or consolidated with a Credit Party (plus any modifications, refinancings, refundings, renewals, replacements and extensions of any such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incurred in connection with, or in contemplation of, such acquisition and do not extend to any assets of such Credit Party other than the specific assets so acquired and the Indebtedness secured thereby is permitted to be incurred pursuant to </w:t>
      </w:r>
      <w:r>
        <w:rPr>
          <w:rFonts w:ascii="Arial" w:cs="Arial" w:eastAsia="Arial" w:hAnsi="Arial"/>
          <w:sz w:val="18"/>
          <w:szCs w:val="18"/>
          <w:u w:val="single" w:color="auto"/>
          <w:color w:val="auto"/>
        </w:rPr>
        <w:t>Section 8.1(a)(xiv)</w:t>
      </w:r>
      <w:r>
        <w:rPr>
          <w:rFonts w:ascii="Arial" w:cs="Arial" w:eastAsia="Arial" w:hAnsi="Arial"/>
          <w:sz w:val="18"/>
          <w:szCs w:val="18"/>
          <w:color w:val="auto"/>
        </w:rPr>
        <w:t>;</w:t>
      </w:r>
    </w:p>
    <w:p>
      <w:pPr>
        <w:spacing w:after="0" w:line="79" w:lineRule="exact"/>
        <w:rPr>
          <w:rFonts w:ascii="Arial" w:cs="Arial" w:eastAsia="Arial" w:hAnsi="Arial"/>
          <w:sz w:val="18"/>
          <w:szCs w:val="18"/>
          <w:u w:val="single" w:color="auto"/>
          <w:color w:val="0000FF"/>
        </w:rPr>
      </w:pPr>
    </w:p>
    <w:p>
      <w:pPr>
        <w:ind w:firstLine="436"/>
        <w:spacing w:after="0" w:line="291" w:lineRule="auto"/>
        <w:tabs>
          <w:tab w:leader="none" w:pos="685" w:val="left"/>
        </w:tabs>
        <w:numPr>
          <w:ilvl w:val="0"/>
          <w:numId w:val="242"/>
        </w:numPr>
        <w:rPr>
          <w:rFonts w:ascii="Arial" w:cs="Arial" w:eastAsia="Arial" w:hAnsi="Arial"/>
          <w:sz w:val="16"/>
          <w:szCs w:val="16"/>
          <w:u w:val="single" w:color="auto"/>
          <w:color w:val="0000FF"/>
        </w:rPr>
      </w:pPr>
      <w:r>
        <w:rPr>
          <w:rFonts w:ascii="Arial" w:cs="Arial" w:eastAsia="Arial" w:hAnsi="Arial"/>
          <w:sz w:val="16"/>
          <w:szCs w:val="16"/>
          <w:color w:val="auto"/>
        </w:rPr>
        <w:t>(1) Liens to secure the performance of statutory obligations (excluding any Lien imposed pursuant to applicable Canadian federal or provincial pension benefit standards legislation other than inchoate liens for amounts required to be remitted but not yet due), surety, indemnity, customs and release or appeal bonds or performance bonds, guarantees, landlords’, carriers’, warehousemen’s, mechanics’, suppliers’, processor’s, workmen’s, repairmen’s, materialmen’s, attorney’s or other like liens, in any case incurred in the ordinary course of business and with respect to amounts not yet delinquent for a period more than 60 days or being contested in good faith) and (2) bank guarantees, letters of credit and/or Cash, Cash Equivalents and other deposits securing bank guarantees or letters of credit (and reimbursement obligations in respect of the foregoing), in each case securing or otherwise supporting the obligations described in clause (1) above, or otherwise securing or supporting the obligations described in this clause (2);</w:t>
      </w:r>
    </w:p>
    <w:p>
      <w:pPr>
        <w:spacing w:after="0" w:line="58" w:lineRule="exact"/>
        <w:rPr>
          <w:rFonts w:ascii="Arial" w:cs="Arial" w:eastAsia="Arial" w:hAnsi="Arial"/>
          <w:sz w:val="16"/>
          <w:szCs w:val="16"/>
          <w:u w:val="single" w:color="auto"/>
          <w:color w:val="0000FF"/>
        </w:rPr>
      </w:pPr>
    </w:p>
    <w:p>
      <w:pPr>
        <w:ind w:right="260" w:firstLine="436"/>
        <w:spacing w:after="0" w:line="263" w:lineRule="auto"/>
        <w:tabs>
          <w:tab w:leader="none" w:pos="665" w:val="left"/>
        </w:tabs>
        <w:numPr>
          <w:ilvl w:val="0"/>
          <w:numId w:val="242"/>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arising from the filing of precautionary UCC financing statements relating to Operating Leases or other obligations not constituting Indebtedness or relating to Capitalized Lease Obligations or Attributable Debt (to the extent that such Capital Lease Obligations or Attributable Debt would be permitted to be secured by Liens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without regard to this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-3774440</wp:posOffset>
            </wp:positionV>
            <wp:extent cx="15430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-3225800</wp:posOffset>
            </wp:positionV>
            <wp:extent cx="57404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-2745740</wp:posOffset>
            </wp:positionV>
            <wp:extent cx="15430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-2540000</wp:posOffset>
            </wp:positionV>
            <wp:extent cx="15430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-2540000</wp:posOffset>
            </wp:positionV>
            <wp:extent cx="596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-2540000</wp:posOffset>
            </wp:positionV>
            <wp:extent cx="22288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-2059940</wp:posOffset>
            </wp:positionV>
            <wp:extent cx="15430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-1305560</wp:posOffset>
            </wp:positionV>
            <wp:extent cx="154305"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13716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980"/>
          </w:cols>
          <w:pgMar w:left="440" w:top="274" w:right="479" w:bottom="1440" w:gutter="0" w:footer="0" w:header="0"/>
        </w:sectPr>
      </w:pPr>
    </w:p>
    <w:bookmarkStart w:id="319" w:name="page320"/>
    <w:bookmarkEnd w:id="319"/>
    <w:p>
      <w:pPr>
        <w:ind w:left="-20" w:right="20" w:firstLine="436"/>
        <w:spacing w:after="0" w:line="263" w:lineRule="auto"/>
        <w:tabs>
          <w:tab w:leader="none" w:pos="675"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for Taxes or claims or other like statutory Liens (A) that are not required to be discharged pursuant to </w:t>
      </w:r>
      <w:r>
        <w:rPr>
          <w:rFonts w:ascii="Arial" w:cs="Arial" w:eastAsia="Arial" w:hAnsi="Arial"/>
          <w:sz w:val="18"/>
          <w:szCs w:val="18"/>
          <w:u w:val="single" w:color="auto"/>
          <w:color w:val="auto"/>
        </w:rPr>
        <w:t>Section 7.8</w:t>
      </w:r>
      <w:r>
        <w:rPr>
          <w:rFonts w:ascii="Arial" w:cs="Arial" w:eastAsia="Arial" w:hAnsi="Arial"/>
          <w:sz w:val="18"/>
          <w:szCs w:val="18"/>
          <w:color w:val="auto"/>
        </w:rPr>
        <w:t>, (B) that are not overdue for a period of more than 60 days or (C) that are being contested in good faith for which any reserve or other appropriate provision to the extent required by GAAP shall have been made therefor;</w:t>
      </w:r>
    </w:p>
    <w:p>
      <w:pPr>
        <w:spacing w:after="0" w:line="75" w:lineRule="exact"/>
        <w:rPr>
          <w:rFonts w:ascii="Arial" w:cs="Arial" w:eastAsia="Arial" w:hAnsi="Arial"/>
          <w:sz w:val="18"/>
          <w:szCs w:val="18"/>
          <w:u w:val="single" w:color="auto"/>
          <w:color w:val="0000FF"/>
        </w:rPr>
      </w:pPr>
    </w:p>
    <w:p>
      <w:pPr>
        <w:ind w:left="680" w:hanging="264"/>
        <w:spacing w:after="0"/>
        <w:tabs>
          <w:tab w:leader="none" w:pos="680" w:val="left"/>
        </w:tabs>
        <w:numPr>
          <w:ilvl w:val="0"/>
          <w:numId w:val="243"/>
        </w:numPr>
        <w:rPr>
          <w:rFonts w:ascii="Arial" w:cs="Arial" w:eastAsia="Arial" w:hAnsi="Arial"/>
          <w:sz w:val="17"/>
          <w:szCs w:val="17"/>
          <w:u w:val="single" w:color="auto"/>
          <w:color w:val="0000FF"/>
        </w:rPr>
      </w:pPr>
      <w:r>
        <w:rPr>
          <w:rFonts w:ascii="Arial" w:cs="Arial" w:eastAsia="Arial" w:hAnsi="Arial"/>
          <w:sz w:val="17"/>
          <w:szCs w:val="17"/>
          <w:color w:val="auto"/>
        </w:rPr>
        <w:t>Reservations, limitations, provisos and conditions expressed in any original grants from Her Majesty the Queen in Right of Canada;</w:t>
      </w:r>
    </w:p>
    <w:p>
      <w:pPr>
        <w:spacing w:after="0" w:line="128" w:lineRule="exact"/>
        <w:rPr>
          <w:rFonts w:ascii="Arial" w:cs="Arial" w:eastAsia="Arial" w:hAnsi="Arial"/>
          <w:sz w:val="17"/>
          <w:szCs w:val="17"/>
          <w:u w:val="single" w:color="auto"/>
          <w:color w:val="0000FF"/>
        </w:rPr>
      </w:pPr>
    </w:p>
    <w:p>
      <w:pPr>
        <w:ind w:left="-20" w:right="40" w:firstLine="436"/>
        <w:spacing w:after="0" w:line="257" w:lineRule="auto"/>
        <w:tabs>
          <w:tab w:leader="none" w:pos="635"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Liens to secure (i) Capitalized Lease Obligations permitted under Sections 8.1(a)(xiii)(2)) and (ii) 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79" w:lineRule="exact"/>
        <w:rPr>
          <w:rFonts w:ascii="Arial" w:cs="Arial" w:eastAsia="Arial" w:hAnsi="Arial"/>
          <w:sz w:val="18"/>
          <w:szCs w:val="18"/>
          <w:u w:val="single" w:color="auto"/>
          <w:color w:val="0000FF"/>
        </w:rPr>
      </w:pPr>
    </w:p>
    <w:p>
      <w:pPr>
        <w:ind w:left="420" w:right="20" w:firstLine="419"/>
        <w:spacing w:after="0" w:line="286" w:lineRule="auto"/>
        <w:tabs>
          <w:tab w:leader="none" w:pos="1098"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57" w:lineRule="exact"/>
        <w:rPr>
          <w:rFonts w:ascii="Arial" w:cs="Arial" w:eastAsia="Arial" w:hAnsi="Arial"/>
          <w:sz w:val="17"/>
          <w:szCs w:val="17"/>
          <w:color w:val="auto"/>
        </w:rPr>
      </w:pPr>
    </w:p>
    <w:p>
      <w:pPr>
        <w:ind w:left="420" w:right="160" w:firstLine="419"/>
        <w:spacing w:after="0" w:line="301" w:lineRule="auto"/>
        <w:tabs>
          <w:tab w:leader="none" w:pos="109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in the case of clause (ii), such Lien either exists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49" w:lineRule="exact"/>
        <w:rPr>
          <w:rFonts w:ascii="Arial" w:cs="Arial" w:eastAsia="Arial" w:hAnsi="Arial"/>
          <w:sz w:val="16"/>
          <w:szCs w:val="16"/>
          <w:color w:val="auto"/>
        </w:rPr>
      </w:pPr>
    </w:p>
    <w:p>
      <w:pPr>
        <w:ind w:left="420" w:right="100" w:firstLine="419"/>
        <w:spacing w:after="0" w:line="257" w:lineRule="auto"/>
        <w:tabs>
          <w:tab w:leader="none" w:pos="109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79" w:lineRule="exact"/>
        <w:rPr>
          <w:rFonts w:ascii="Arial" w:cs="Arial" w:eastAsia="Arial" w:hAnsi="Arial"/>
          <w:sz w:val="18"/>
          <w:szCs w:val="18"/>
          <w:color w:val="auto"/>
        </w:rPr>
      </w:pPr>
    </w:p>
    <w:p>
      <w:pPr>
        <w:ind w:left="640" w:hanging="224"/>
        <w:spacing w:after="0"/>
        <w:tabs>
          <w:tab w:leader="none" w:pos="640"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on the assets that are the subject of a sale and leaseback transaction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left="-20" w:right="480" w:firstLine="436"/>
        <w:spacing w:after="0" w:line="277" w:lineRule="auto"/>
        <w:tabs>
          <w:tab w:leader="none" w:pos="675"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on the assets of a Subsidiary that is not a Credit Party, so long as such assets are not otherwise Collateral, which Liens secure such Subsidiary’s obligations under Indebtedness incurred pursuant to </w:t>
      </w:r>
      <w:r>
        <w:rPr>
          <w:rFonts w:ascii="Arial" w:cs="Arial" w:eastAsia="Arial" w:hAnsi="Arial"/>
          <w:sz w:val="18"/>
          <w:szCs w:val="18"/>
          <w:u w:val="single" w:color="auto"/>
          <w:color w:val="auto"/>
        </w:rPr>
        <w:t>Section 8.1(a)(xxx)</w:t>
      </w:r>
      <w:r>
        <w:rPr>
          <w:rFonts w:ascii="Arial" w:cs="Arial" w:eastAsia="Arial" w:hAnsi="Arial"/>
          <w:sz w:val="18"/>
          <w:szCs w:val="18"/>
          <w:color w:val="auto"/>
        </w:rPr>
        <w:t>;</w:t>
      </w:r>
    </w:p>
    <w:p>
      <w:pPr>
        <w:spacing w:after="0" w:line="62" w:lineRule="exact"/>
        <w:rPr>
          <w:rFonts w:ascii="Arial" w:cs="Arial" w:eastAsia="Arial" w:hAnsi="Arial"/>
          <w:sz w:val="18"/>
          <w:szCs w:val="18"/>
          <w:u w:val="single" w:color="auto"/>
          <w:color w:val="0000FF"/>
        </w:rPr>
      </w:pPr>
    </w:p>
    <w:p>
      <w:pPr>
        <w:ind w:left="-20" w:firstLine="436"/>
        <w:spacing w:after="0" w:line="263" w:lineRule="auto"/>
        <w:tabs>
          <w:tab w:leader="none" w:pos="635"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securing Indebtedness incurred to refinance Indebtedness secured by the Liens of the type described in clauses (c), (d), (i), (j) and (s)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shall not extend to or cover any assets, or class of assets in respect of inventory and receivables, not securing the Indebtedness so refinanced;</w:t>
      </w:r>
    </w:p>
    <w:p>
      <w:pPr>
        <w:spacing w:after="0" w:line="75" w:lineRule="exact"/>
        <w:rPr>
          <w:rFonts w:ascii="Arial" w:cs="Arial" w:eastAsia="Arial" w:hAnsi="Arial"/>
          <w:sz w:val="18"/>
          <w:szCs w:val="18"/>
          <w:u w:val="single" w:color="auto"/>
          <w:color w:val="0000FF"/>
        </w:rPr>
      </w:pPr>
    </w:p>
    <w:p>
      <w:pPr>
        <w:ind w:left="720" w:hanging="304"/>
        <w:spacing w:after="0"/>
        <w:tabs>
          <w:tab w:leader="none" w:pos="720"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color w:val="auto"/>
        </w:rPr>
        <w:t>Permitted Real Property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-4296410</wp:posOffset>
            </wp:positionV>
            <wp:extent cx="15430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-3816350</wp:posOffset>
            </wp:positionV>
            <wp:extent cx="154305"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-3610610</wp:posOffset>
            </wp:positionV>
            <wp:extent cx="10287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-2376170</wp:posOffset>
            </wp:positionV>
            <wp:extent cx="596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-2376170</wp:posOffset>
            </wp:positionV>
            <wp:extent cx="22288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-1004570</wp:posOffset>
            </wp:positionV>
            <wp:extent cx="13716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-798830</wp:posOffset>
            </wp:positionV>
            <wp:extent cx="154305"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-455930</wp:posOffset>
            </wp:positionV>
            <wp:extent cx="13716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23495</wp:posOffset>
            </wp:positionV>
            <wp:extent cx="18859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60"/>
          </w:cols>
          <w:pgMar w:left="460" w:top="274" w:right="479" w:bottom="1440" w:gutter="0" w:footer="0" w:header="0"/>
        </w:sectPr>
      </w:pPr>
    </w:p>
    <w:bookmarkStart w:id="320" w:name="page321"/>
    <w:bookmarkEnd w:id="320"/>
    <w:p>
      <w:pPr>
        <w:ind w:right="260" w:firstLine="436"/>
        <w:spacing w:after="0" w:line="277" w:lineRule="auto"/>
        <w:tabs>
          <w:tab w:leader="none" w:pos="695"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the form of pledges or deposits securing bids, tenders, contracts (other than contracts for the payment of money) or leases to which any Credit Party or any Subsidiary is a party, in each case, made in the ordinary course of business;</w:t>
      </w:r>
    </w:p>
    <w:p>
      <w:pPr>
        <w:spacing w:after="0" w:line="62" w:lineRule="exact"/>
        <w:rPr>
          <w:rFonts w:ascii="Arial" w:cs="Arial" w:eastAsia="Arial" w:hAnsi="Arial"/>
          <w:sz w:val="18"/>
          <w:szCs w:val="18"/>
          <w:u w:val="single" w:color="auto"/>
          <w:color w:val="0000FF"/>
        </w:rPr>
      </w:pPr>
    </w:p>
    <w:p>
      <w:pPr>
        <w:ind w:right="520" w:firstLine="436"/>
        <w:spacing w:after="0" w:line="277" w:lineRule="auto"/>
        <w:tabs>
          <w:tab w:leader="none" w:pos="695"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resulting from operation of law with respect to any attachments, writs, warrants of attachment, judgments, awards, orders or other similar Liens, which do not cause or constitute an Event of Default under </w:t>
      </w:r>
      <w:r>
        <w:rPr>
          <w:rFonts w:ascii="Arial" w:cs="Arial" w:eastAsia="Arial" w:hAnsi="Arial"/>
          <w:sz w:val="18"/>
          <w:szCs w:val="18"/>
          <w:u w:val="single" w:color="auto"/>
          <w:color w:val="auto"/>
        </w:rPr>
        <w:t>Section 10.1(f);</w:t>
      </w:r>
    </w:p>
    <w:p>
      <w:pPr>
        <w:spacing w:after="0" w:line="62" w:lineRule="exact"/>
        <w:rPr>
          <w:rFonts w:ascii="Arial" w:cs="Arial" w:eastAsia="Arial" w:hAnsi="Arial"/>
          <w:sz w:val="18"/>
          <w:szCs w:val="18"/>
          <w:u w:val="single" w:color="auto"/>
          <w:color w:val="0000FF"/>
        </w:rPr>
      </w:pPr>
    </w:p>
    <w:p>
      <w:pPr>
        <w:ind w:right="280" w:firstLine="436"/>
        <w:spacing w:after="0" w:line="263" w:lineRule="auto"/>
        <w:tabs>
          <w:tab w:leader="none" w:pos="695"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Liens in the form of licenses, leases, sublicenses or subleases (or other grants of rights to use) granted or created by any Credit Party or any Subsidiary, which (A) do not interfere, individually or in the aggregate, in any material respect with the business of the Credit Parties and their Subsidiaries, taken as a whole, or (B) are between or among Crown Holdings and/or its Subsidiaries;</w:t>
      </w:r>
    </w:p>
    <w:p>
      <w:pPr>
        <w:spacing w:after="0" w:line="75"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any interest or title of a lessor, licensor, sublessor or sublicensor under leases or licenses not prohibited by this Agreement;</w:t>
      </w:r>
    </w:p>
    <w:p>
      <w:pPr>
        <w:spacing w:after="0" w:line="117" w:lineRule="exact"/>
        <w:rPr>
          <w:rFonts w:ascii="Arial" w:cs="Arial" w:eastAsia="Arial" w:hAnsi="Arial"/>
          <w:sz w:val="18"/>
          <w:szCs w:val="18"/>
          <w:u w:val="single" w:color="auto"/>
          <w:color w:val="0000FF"/>
        </w:rPr>
      </w:pPr>
    </w:p>
    <w:p>
      <w:pPr>
        <w:ind w:firstLine="436"/>
        <w:spacing w:after="0" w:line="275" w:lineRule="auto"/>
        <w:tabs>
          <w:tab w:leader="none" w:pos="665" w:val="left"/>
        </w:tabs>
        <w:numPr>
          <w:ilvl w:val="0"/>
          <w:numId w:val="244"/>
        </w:numPr>
        <w:rPr>
          <w:rFonts w:ascii="Arial" w:cs="Arial" w:eastAsia="Arial" w:hAnsi="Arial"/>
          <w:sz w:val="17"/>
          <w:szCs w:val="17"/>
          <w:u w:val="single" w:color="auto"/>
          <w:color w:val="0000FF"/>
        </w:rPr>
      </w:pPr>
      <w:r>
        <w:rPr>
          <w:rFonts w:ascii="Arial" w:cs="Arial" w:eastAsia="Arial" w:hAnsi="Arial"/>
          <w:sz w:val="17"/>
          <w:szCs w:val="17"/>
          <w:color w:val="auto"/>
        </w:rPr>
        <w:t>pledges and deposits made in the ordinary course of business in compliance with workers’ compensation, unemployment insurance, old age pensions and other social security laws or regulations and deposits securing liability to insurance carriers under insurance or self-insurance arrangements or Liens created by pension standards legislation,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(r);</w:t>
      </w:r>
    </w:p>
    <w:p>
      <w:pPr>
        <w:spacing w:after="0" w:line="68" w:lineRule="exact"/>
        <w:rPr>
          <w:rFonts w:ascii="Arial" w:cs="Arial" w:eastAsia="Arial" w:hAnsi="Arial"/>
          <w:sz w:val="17"/>
          <w:szCs w:val="17"/>
          <w:u w:val="single" w:color="auto"/>
          <w:color w:val="0000FF"/>
        </w:rPr>
      </w:pPr>
    </w:p>
    <w:p>
      <w:pPr>
        <w:ind w:left="680" w:hanging="244"/>
        <w:spacing w:after="0"/>
        <w:tabs>
          <w:tab w:leader="none" w:pos="680"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Liens in respect of Receivables Assets that are the subject of Permitted Receivables or Factoring Financings;</w:t>
      </w:r>
    </w:p>
    <w:p>
      <w:pPr>
        <w:spacing w:after="0" w:line="117" w:lineRule="exact"/>
        <w:rPr>
          <w:rFonts w:ascii="Arial" w:cs="Arial" w:eastAsia="Arial" w:hAnsi="Arial"/>
          <w:sz w:val="18"/>
          <w:szCs w:val="18"/>
          <w:u w:val="single" w:color="auto"/>
          <w:color w:val="0000FF"/>
        </w:rPr>
      </w:pPr>
    </w:p>
    <w:p>
      <w:pPr>
        <w:jc w:val="both"/>
        <w:ind w:right="200" w:firstLine="436"/>
        <w:spacing w:after="0" w:line="279" w:lineRule="auto"/>
        <w:tabs>
          <w:tab w:leader="none" w:pos="655" w:val="left"/>
        </w:tabs>
        <w:numPr>
          <w:ilvl w:val="0"/>
          <w:numId w:val="244"/>
        </w:numPr>
        <w:rPr>
          <w:rFonts w:ascii="Arial" w:cs="Arial" w:eastAsia="Arial" w:hAnsi="Arial"/>
          <w:sz w:val="17"/>
          <w:szCs w:val="17"/>
          <w:u w:val="single" w:color="auto"/>
          <w:color w:val="0000FF"/>
        </w:rPr>
      </w:pPr>
      <w:r>
        <w:rPr>
          <w:rFonts w:ascii="Arial" w:cs="Arial" w:eastAsia="Arial" w:hAnsi="Arial"/>
          <w:sz w:val="17"/>
          <w:szCs w:val="17"/>
          <w:color w:val="auto"/>
        </w:rPr>
        <w:t>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w:t>
      </w:r>
    </w:p>
    <w:p>
      <w:pPr>
        <w:spacing w:after="0" w:line="63" w:lineRule="exact"/>
        <w:rPr>
          <w:rFonts w:ascii="Arial" w:cs="Arial" w:eastAsia="Arial" w:hAnsi="Arial"/>
          <w:sz w:val="17"/>
          <w:szCs w:val="17"/>
          <w:u w:val="single" w:color="auto"/>
          <w:color w:val="0000FF"/>
        </w:rPr>
      </w:pPr>
    </w:p>
    <w:p>
      <w:pPr>
        <w:ind w:firstLine="436"/>
        <w:spacing w:after="0" w:line="289" w:lineRule="auto"/>
        <w:tabs>
          <w:tab w:leader="none" w:pos="695" w:val="left"/>
        </w:tabs>
        <w:numPr>
          <w:ilvl w:val="0"/>
          <w:numId w:val="244"/>
        </w:numPr>
        <w:rPr>
          <w:rFonts w:ascii="Arial" w:cs="Arial" w:eastAsia="Arial" w:hAnsi="Arial"/>
          <w:sz w:val="16"/>
          <w:szCs w:val="16"/>
          <w:u w:val="single" w:color="auto"/>
          <w:color w:val="0000FF"/>
        </w:rPr>
      </w:pPr>
      <w:r>
        <w:rPr>
          <w:rFonts w:ascii="Arial" w:cs="Arial" w:eastAsia="Arial" w:hAnsi="Arial"/>
          <w:sz w:val="16"/>
          <w:szCs w:val="16"/>
          <w:color w:val="auto"/>
        </w:rPr>
        <w:t>(1) Liens in favor of customs and revenue authorities to secure payment of customs duties in connection with the importation of goods in 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 constituting a Lien, Liens consisting of an option or agreement to sell, transfer, convey, lease or otherwise dispose of any asset or 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 (4) 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and</w:t>
      </w:r>
    </w:p>
    <w:p>
      <w:pPr>
        <w:spacing w:after="0" w:line="58" w:lineRule="exact"/>
        <w:rPr>
          <w:rFonts w:ascii="Arial" w:cs="Arial" w:eastAsia="Arial" w:hAnsi="Arial"/>
          <w:sz w:val="16"/>
          <w:szCs w:val="16"/>
          <w:u w:val="single" w:color="auto"/>
          <w:color w:val="0000FF"/>
        </w:rPr>
      </w:pPr>
    </w:p>
    <w:p>
      <w:pPr>
        <w:ind w:left="700" w:hanging="264"/>
        <w:spacing w:after="0"/>
        <w:tabs>
          <w:tab w:leader="none" w:pos="700"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117" w:lineRule="exact"/>
        <w:rPr>
          <w:rFonts w:ascii="Arial" w:cs="Arial" w:eastAsia="Arial" w:hAnsi="Arial"/>
          <w:sz w:val="18"/>
          <w:szCs w:val="18"/>
          <w:u w:val="single" w:color="auto"/>
          <w:color w:val="0000FF"/>
        </w:rPr>
      </w:pPr>
    </w:p>
    <w:p>
      <w:pPr>
        <w:ind w:left="740" w:hanging="304"/>
        <w:spacing w:after="0"/>
        <w:tabs>
          <w:tab w:leader="none" w:pos="740" w:val="left"/>
        </w:tabs>
        <w:numPr>
          <w:ilvl w:val="0"/>
          <w:numId w:val="244"/>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-4433570</wp:posOffset>
            </wp:positionV>
            <wp:extent cx="15430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-4090670</wp:posOffset>
            </wp:positionV>
            <wp:extent cx="15430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-3747770</wp:posOffset>
            </wp:positionV>
            <wp:extent cx="15430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-3267710</wp:posOffset>
            </wp:positionV>
            <wp:extent cx="15430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-3061970</wp:posOffset>
            </wp:positionV>
            <wp:extent cx="13716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-2307590</wp:posOffset>
            </wp:positionV>
            <wp:extent cx="14541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-2101850</wp:posOffset>
            </wp:positionV>
            <wp:extent cx="13716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-1484630</wp:posOffset>
            </wp:positionV>
            <wp:extent cx="15430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-181610</wp:posOffset>
            </wp:positionV>
            <wp:extent cx="15430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23495</wp:posOffset>
            </wp:positionV>
            <wp:extent cx="17970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00"/>
          </w:cols>
          <w:pgMar w:left="440" w:top="274" w:right="459" w:bottom="1440" w:gutter="0" w:footer="0" w:header="0"/>
        </w:sectPr>
      </w:pPr>
    </w:p>
    <w:bookmarkStart w:id="321" w:name="page322"/>
    <w:bookmarkEnd w:id="321"/>
    <w:p>
      <w:pPr>
        <w:ind w:right="40" w:firstLine="436"/>
        <w:spacing w:after="0" w:line="277" w:lineRule="auto"/>
        <w:tabs>
          <w:tab w:leader="none" w:pos="695"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the Collateral (subject, to the extent applicable and required hereunder, to an appropriate intercreditor agreement) securing (A) Credit Agreement Refinancing Indebtedness and (B) Incremental Equivalent Debt;</w:t>
      </w:r>
    </w:p>
    <w:p>
      <w:pPr>
        <w:spacing w:after="0" w:line="62" w:lineRule="exact"/>
        <w:rPr>
          <w:rFonts w:ascii="Arial" w:cs="Arial" w:eastAsia="Arial" w:hAnsi="Arial"/>
          <w:sz w:val="18"/>
          <w:szCs w:val="18"/>
          <w:u w:val="single" w:color="auto"/>
          <w:color w:val="0000FF"/>
        </w:rPr>
      </w:pPr>
    </w:p>
    <w:p>
      <w:pPr>
        <w:jc w:val="both"/>
        <w:ind w:right="600" w:firstLine="436"/>
        <w:spacing w:after="0" w:line="263" w:lineRule="auto"/>
        <w:tabs>
          <w:tab w:leader="none" w:pos="695"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in respect of Indebtedness permitted under </w:t>
      </w:r>
      <w:r>
        <w:rPr>
          <w:rFonts w:ascii="Arial" w:cs="Arial" w:eastAsia="Arial" w:hAnsi="Arial"/>
          <w:sz w:val="18"/>
          <w:szCs w:val="18"/>
          <w:u w:val="single" w:color="auto"/>
          <w:color w:val="auto"/>
        </w:rPr>
        <w:t>Section 8.1(a)(xxxvi)</w:t>
      </w:r>
      <w:r>
        <w:rPr>
          <w:rFonts w:ascii="Arial" w:cs="Arial" w:eastAsia="Arial" w:hAnsi="Arial"/>
          <w:sz w:val="18"/>
          <w:szCs w:val="18"/>
          <w:color w:val="auto"/>
        </w:rPr>
        <w:t xml:space="preserve"> to the extent such Lien exists at the time of redesignation of the applicable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property covered thereby is not changed in category or scope after such acquisition or after such Person becoming a Subsidiary and (y) the Lien would comply with </w:t>
      </w:r>
      <w:r>
        <w:rPr>
          <w:rFonts w:ascii="Arial" w:cs="Arial" w:eastAsia="Arial" w:hAnsi="Arial"/>
          <w:sz w:val="18"/>
          <w:szCs w:val="18"/>
          <w:u w:val="single" w:color="auto"/>
          <w:color w:val="auto"/>
        </w:rPr>
        <w:t>Section 8.2(d)</w:t>
      </w:r>
      <w:r>
        <w:rPr>
          <w:rFonts w:ascii="Arial" w:cs="Arial" w:eastAsia="Arial" w:hAnsi="Arial"/>
          <w:sz w:val="18"/>
          <w:szCs w:val="18"/>
          <w:color w:val="auto"/>
        </w:rPr>
        <w:t>;</w:t>
      </w:r>
    </w:p>
    <w:p>
      <w:pPr>
        <w:spacing w:after="0" w:line="75" w:lineRule="exact"/>
        <w:rPr>
          <w:rFonts w:ascii="Arial" w:cs="Arial" w:eastAsia="Arial" w:hAnsi="Arial"/>
          <w:sz w:val="18"/>
          <w:szCs w:val="18"/>
          <w:u w:val="single" w:color="auto"/>
          <w:color w:val="0000FF"/>
        </w:rPr>
      </w:pPr>
    </w:p>
    <w:p>
      <w:pPr>
        <w:ind w:right="360" w:firstLine="436"/>
        <w:spacing w:after="0" w:line="263" w:lineRule="auto"/>
        <w:tabs>
          <w:tab w:leader="none" w:pos="685"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color w:val="auto"/>
        </w:rPr>
        <w:t>Liens in favor of Crown Holdings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Lien is granted by a Credit Party in favor of a Subsidiary that is not a Credit Party, the amount of Indebtedness secured by such Lien cannot exceed the amount permitted as an Investment under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-1099820</wp:posOffset>
            </wp:positionV>
            <wp:extent cx="15430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-756920</wp:posOffset>
            </wp:positionV>
            <wp:extent cx="15430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15430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56" w:lineRule="exact"/>
        <w:rPr>
          <w:sz w:val="20"/>
          <w:szCs w:val="20"/>
          <w:color w:val="auto"/>
        </w:rPr>
      </w:pPr>
    </w:p>
    <w:p>
      <w:pPr>
        <w:ind w:left="760" w:hanging="324"/>
        <w:spacing w:after="0"/>
        <w:tabs>
          <w:tab w:leader="none" w:pos="760"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to secure financing of insurance premiums permitted under </w:t>
      </w:r>
      <w:r>
        <w:rPr>
          <w:rFonts w:ascii="Arial" w:cs="Arial" w:eastAsia="Arial" w:hAnsi="Arial"/>
          <w:sz w:val="18"/>
          <w:szCs w:val="18"/>
          <w:u w:val="single" w:color="auto"/>
          <w:color w:val="auto"/>
        </w:rPr>
        <w:t>Section 8.1(a)(ix)</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firstLine="436"/>
        <w:spacing w:after="0" w:line="254" w:lineRule="auto"/>
        <w:tabs>
          <w:tab w:leader="none" w:pos="785"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Liens, pursuant to one or more cash collateral arrangements, escrow arrangements or other funding arrangements pursuant to which funds will be segregated to pay 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 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83" w:lineRule="exact"/>
        <w:rPr>
          <w:rFonts w:ascii="Arial" w:cs="Arial" w:eastAsia="Arial" w:hAnsi="Arial"/>
          <w:sz w:val="18"/>
          <w:szCs w:val="18"/>
          <w:u w:val="single" w:color="auto"/>
          <w:color w:val="0000FF"/>
        </w:rPr>
      </w:pPr>
    </w:p>
    <w:p>
      <w:pPr>
        <w:jc w:val="both"/>
        <w:ind w:right="180" w:firstLine="436"/>
        <w:spacing w:after="0" w:line="263" w:lineRule="auto"/>
        <w:tabs>
          <w:tab w:leader="none" w:pos="765"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(A) 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 Owned Subsidiaries;</w:t>
      </w:r>
    </w:p>
    <w:p>
      <w:pPr>
        <w:spacing w:after="0" w:line="75" w:lineRule="exact"/>
        <w:rPr>
          <w:rFonts w:ascii="Arial" w:cs="Arial" w:eastAsia="Arial" w:hAnsi="Arial"/>
          <w:sz w:val="18"/>
          <w:szCs w:val="18"/>
          <w:u w:val="single" w:color="auto"/>
          <w:color w:val="0000FF"/>
        </w:rPr>
      </w:pPr>
    </w:p>
    <w:p>
      <w:pPr>
        <w:ind w:right="300" w:firstLine="436"/>
        <w:spacing w:after="0" w:line="277" w:lineRule="auto"/>
        <w:tabs>
          <w:tab w:leader="none" w:pos="785"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8.1(a)(viii)</w:t>
      </w:r>
      <w:r>
        <w:rPr>
          <w:rFonts w:ascii="Arial" w:cs="Arial" w:eastAsia="Arial" w:hAnsi="Arial"/>
          <w:sz w:val="18"/>
          <w:szCs w:val="18"/>
          <w:color w:val="auto"/>
        </w:rPr>
        <w:t xml:space="preserve"> (to the extent the underlying Indebtedness or other obligations being guaranteed are permitted to be secured);</w:t>
      </w:r>
    </w:p>
    <w:p>
      <w:pPr>
        <w:spacing w:after="0" w:line="62" w:lineRule="exact"/>
        <w:rPr>
          <w:rFonts w:ascii="Arial" w:cs="Arial" w:eastAsia="Arial" w:hAnsi="Arial"/>
          <w:sz w:val="18"/>
          <w:szCs w:val="18"/>
          <w:u w:val="single" w:color="auto"/>
          <w:color w:val="0000FF"/>
        </w:rPr>
      </w:pPr>
    </w:p>
    <w:p>
      <w:pPr>
        <w:ind w:right="220" w:firstLine="436"/>
        <w:spacing w:after="0" w:line="259" w:lineRule="auto"/>
        <w:tabs>
          <w:tab w:leader="none" w:pos="765"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pacing w:after="0" w:line="78" w:lineRule="exact"/>
        <w:rPr>
          <w:rFonts w:ascii="Arial" w:cs="Arial" w:eastAsia="Arial" w:hAnsi="Arial"/>
          <w:sz w:val="18"/>
          <w:szCs w:val="18"/>
          <w:u w:val="single" w:color="auto"/>
          <w:color w:val="0000FF"/>
        </w:rPr>
      </w:pPr>
    </w:p>
    <w:p>
      <w:pPr>
        <w:ind w:right="60" w:firstLine="436"/>
        <w:spacing w:after="0" w:line="259" w:lineRule="auto"/>
        <w:tabs>
          <w:tab w:leader="none" w:pos="722" w:val="left"/>
        </w:tabs>
        <w:numPr>
          <w:ilvl w:val="0"/>
          <w:numId w:val="246"/>
        </w:numPr>
        <w:rPr>
          <w:rFonts w:ascii="Arial" w:cs="Arial" w:eastAsia="Arial" w:hAnsi="Arial"/>
          <w:sz w:val="18"/>
          <w:szCs w:val="18"/>
          <w:u w:val="single" w:color="auto"/>
          <w:color w:val="0000FF"/>
        </w:rPr>
      </w:pPr>
      <w:r>
        <w:rPr>
          <w:rFonts w:ascii="Arial" w:cs="Arial" w:eastAsia="Arial" w:hAnsi="Arial"/>
          <w:sz w:val="18"/>
          <w:szCs w:val="18"/>
          <w:color w:val="auto"/>
        </w:rPr>
        <w:t xml:space="preserve">Liens in respect of Indebtedness permitted under </w:t>
      </w:r>
      <w:r>
        <w:rPr>
          <w:rFonts w:ascii="Arial" w:cs="Arial" w:eastAsia="Arial" w:hAnsi="Arial"/>
          <w:sz w:val="18"/>
          <w:szCs w:val="18"/>
          <w:u w:val="single" w:color="auto"/>
          <w:color w:val="auto"/>
        </w:rPr>
        <w:t>Section 8.1(a)(xxix)</w:t>
      </w:r>
      <w:r>
        <w:rPr>
          <w:rFonts w:ascii="Arial" w:cs="Arial" w:eastAsia="Arial" w:hAnsi="Arial"/>
          <w:sz w:val="18"/>
          <w:szCs w:val="18"/>
          <w:color w:val="auto"/>
        </w:rPr>
        <w:t xml:space="preserve"> but only to the extent that at the time such Indebtedness is incurred, and immediately after giving effect to such incurrence thereof on a Pro Forma Basis, the Total Secured Leverage Ratio shall not exceed 3.00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expressly subordinated to the Liens on the Collateral securing the Obligations of the Credit Parties pursuant to intercreditor arrangements reasonably acceptable to the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-3223895</wp:posOffset>
            </wp:positionV>
            <wp:extent cx="20574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-3018155</wp:posOffset>
            </wp:positionV>
            <wp:extent cx="21399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-1852295</wp:posOffset>
            </wp:positionV>
            <wp:extent cx="20574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-1372235</wp:posOffset>
            </wp:positionV>
            <wp:extent cx="188595"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-1029335</wp:posOffset>
            </wp:positionV>
            <wp:extent cx="17145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-412115</wp:posOffset>
            </wp:positionV>
            <wp:extent cx="14541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00"/>
          </w:cols>
          <w:pgMar w:left="440" w:top="274" w:right="459" w:bottom="1440" w:gutter="0" w:footer="0" w:header="0"/>
        </w:sectPr>
      </w:pPr>
    </w:p>
    <w:bookmarkStart w:id="322" w:name="page323"/>
    <w:bookmarkEnd w:id="322"/>
    <w:p>
      <w:pPr>
        <w:jc w:val="both"/>
        <w:ind w:left="4" w:firstLine="436"/>
        <w:spacing w:after="0" w:line="279" w:lineRule="auto"/>
        <w:tabs>
          <w:tab w:leader="none" w:pos="789" w:val="left"/>
        </w:tabs>
        <w:numPr>
          <w:ilvl w:val="0"/>
          <w:numId w:val="247"/>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Liens incurred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so long as, without duplication, the value of the property subject to such Liens at the time such Lien is incurred and the Indebtedness (including any refinancings of such Indebtedness) and other obligations secured thereby do not exceed the greater of (1) $</w:t>
      </w:r>
      <w:r>
        <w:rPr>
          <w:rFonts w:ascii="Arial" w:cs="Arial" w:eastAsia="Arial" w:hAnsi="Arial"/>
          <w:sz w:val="17"/>
          <w:szCs w:val="17"/>
          <w:color w:val="FF0000"/>
          <w:strike w:val="1"/>
        </w:rPr>
        <w:t>650,000,000</w:t>
      </w:r>
      <w:r>
        <w:rPr>
          <w:rFonts w:ascii="Arial" w:cs="Arial" w:eastAsia="Arial" w:hAnsi="Arial"/>
          <w:sz w:val="17"/>
          <w:szCs w:val="17"/>
          <w:u w:val="single" w:color="auto"/>
          <w:color w:val="0000FF"/>
        </w:rPr>
        <w:t>750,000,000</w:t>
      </w:r>
      <w:r>
        <w:rPr>
          <w:rFonts w:ascii="Arial" w:cs="Arial" w:eastAsia="Arial" w:hAnsi="Arial"/>
          <w:sz w:val="17"/>
          <w:szCs w:val="17"/>
          <w:color w:val="auto"/>
        </w:rPr>
        <w:t xml:space="preserve"> and (2) 7.5% of Consolidated Tangible Assets as set forth in the financial statements last delivered by Crown Holdings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-421640</wp:posOffset>
            </wp:positionV>
            <wp:extent cx="213995"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-421640</wp:posOffset>
            </wp:positionV>
            <wp:extent cx="51435"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-421640</wp:posOffset>
            </wp:positionV>
            <wp:extent cx="22288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-147320</wp:posOffset>
            </wp:positionV>
            <wp:extent cx="56578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1"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Liens (other than Liens under clauses (a), (b), (c), (d), (e), (g), (m), (n), (o) and (p)) shall extend to any Principal Property or Restricted Securities;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during a Collateral Release Period or after a Non-Stock Collateral Release Event, as applicable, none of the foregoing provisions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permit any Lien to exist on assets that constituted or would constitute Collateral immediately prior to the applicable Collateral Release Event or Non-Stock Collateral Release Event, except to the extent that such Liens were expressly permitted on such assets prior to giving effect to such Collateral Release Event or Non-Stock Collateral Release Event.</w:t>
      </w:r>
    </w:p>
    <w:p>
      <w:pPr>
        <w:spacing w:after="0" w:line="176"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the event that a proposed Lien meets the criteria of more than one of the categories of permitted Liens described in clauses (a) through (gg) above, Crown Holdings, in its sole discretion, will be permitted to classify such Lien on the date of its incurrence, or later reclassify such Lien, in any manner that complies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so long as such Lien (or any portion thereof) is permitted to be incurred pursuant to such provision at the time of reclassification. Notwithstanding the foregoing, Liens incurred (a) under the Loan Documents or otherwise securing the obligations shall only be classified as incurred under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and (b) pursuant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shall only be classified as incurred under</w:t>
      </w:r>
    </w:p>
    <w:p>
      <w:pPr>
        <w:spacing w:after="0" w:line="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8.2(c)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-121920</wp:posOffset>
            </wp:positionV>
            <wp:extent cx="6032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-121920</wp:posOffset>
            </wp:positionV>
            <wp:extent cx="22288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9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The maximum amount of Liens that Crown Holdings or any Subsidiary may incur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deemed to be exceeded solely as the result of fluctuations in the exchange rates of currencies.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3" w:lineRule="auto"/>
        <w:tabs>
          <w:tab w:leader="none" w:pos="689"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any Investment permitted under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8.4(x)</w:t>
      </w:r>
      <w:r>
        <w:rPr>
          <w:rFonts w:ascii="Arial" w:cs="Arial" w:eastAsia="Arial" w:hAnsi="Arial"/>
          <w:sz w:val="16"/>
          <w:szCs w:val="16"/>
          <w:color w:val="auto"/>
        </w:rPr>
        <w:t xml:space="preserve">) and any asset sale permitted under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8.5(j)</w:t>
      </w:r>
      <w:r>
        <w:rPr>
          <w:rFonts w:ascii="Arial" w:cs="Arial" w:eastAsia="Arial" w:hAnsi="Arial"/>
          <w:sz w:val="16"/>
          <w:szCs w:val="16"/>
          <w:color w:val="auto"/>
        </w:rPr>
        <w:t xml:space="preserve">)), except that, (i) any Wholly-Owned Subsidiary of a Borrower may merge into, amalgamate with or consolidate with 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and if any party to such merger is a Subsidiary Credit Party, the surviving entity shall be (or shall simultaneously with or promptly following such merger become) a Subsidiary Credit Party, (iii) the Credit Parties and their Subsidiaries may engage in Permitted Holding Company Transactions and Permitted Cross Chain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the foregoing, the appropriate Credit Parties shall take all actions necessary or reasonably requested by U.S. Collateral Agent or Euro 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on the terms set forth therein and to the extent applicable, (iv) any Subsidiary may liquidate or dissolve;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liquidation or dissolution would not reasonably be expected to have a Material Adverse Effect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Subsidiary, if it is a Borrower, shall have either paid in full (other than Unasserted Contingent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4"/>
          </w:cols>
          <w:pgMar w:left="436" w:top="274" w:right="459" w:bottom="1440" w:gutter="0" w:footer="0" w:header="0"/>
        </w:sectPr>
      </w:pPr>
    </w:p>
    <w:bookmarkStart w:id="323" w:name="page324"/>
    <w:bookmarkEnd w:id="323"/>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and (v) any Subsidiary that is not a Credit Party may merge, amalgamate or consolidate with or into any other Subsidiary that is not a Credit Party. No Unrestricted Entity shall enter into any merger or consolidation into or with Crown Holdings, any Credit Party or any Subsidiary except that an Unrestricted Entity may</w:t>
      </w:r>
    </w:p>
    <w:p>
      <w:pPr>
        <w:spacing w:after="0" w:line="2" w:lineRule="exact"/>
        <w:rPr>
          <w:sz w:val="20"/>
          <w:szCs w:val="20"/>
          <w:color w:val="auto"/>
        </w:rPr>
      </w:pPr>
    </w:p>
    <w:p>
      <w:pPr>
        <w:ind w:left="4" w:hanging="4"/>
        <w:spacing w:after="0" w:line="281" w:lineRule="auto"/>
        <w:tabs>
          <w:tab w:leader="none" w:pos="25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merge or consolidate with Crown Holdings, any Credit Party or any Subsidiary in a transaction in which the surviving entity is Crown Holdings, such Credit Party or such Subsidiary, (2) merge or consolidate with a Credit Party (other than Crown Holdings 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 Agreement and the other Loan Documents to which the such Subsidiary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w:t>
      </w:r>
    </w:p>
    <w:p>
      <w:pPr>
        <w:spacing w:after="0" w:line="4" w:lineRule="exact"/>
        <w:rPr>
          <w:rFonts w:ascii="Arial" w:cs="Arial" w:eastAsia="Arial" w:hAnsi="Arial"/>
          <w:sz w:val="16"/>
          <w:szCs w:val="16"/>
          <w:color w:val="auto"/>
        </w:rPr>
      </w:pPr>
    </w:p>
    <w:p>
      <w:pPr>
        <w:ind w:left="4" w:right="10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(C) such Person shall comply with the requirements of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substantially concurrently with such merger or consolidation (for this purpose only, without giving effect to the grace periods for delivery of a guaranty or security provided for therein).</w:t>
      </w:r>
    </w:p>
    <w:p>
      <w:pPr>
        <w:spacing w:after="0" w:line="77" w:lineRule="exact"/>
        <w:rPr>
          <w:rFonts w:ascii="Arial" w:cs="Arial" w:eastAsia="Arial" w:hAnsi="Arial"/>
          <w:sz w:val="16"/>
          <w:szCs w:val="16"/>
          <w:color w:val="auto"/>
        </w:rPr>
      </w:pPr>
    </w:p>
    <w:p>
      <w:pPr>
        <w:ind w:left="4" w:right="20" w:firstLine="436"/>
        <w:spacing w:after="0" w:line="293" w:lineRule="auto"/>
        <w:tabs>
          <w:tab w:leader="none" w:pos="699" w:val="left"/>
        </w:tabs>
        <w:numPr>
          <w:ilvl w:val="1"/>
          <w:numId w:val="250"/>
        </w:numPr>
        <w:rPr>
          <w:rFonts w:ascii="Arial" w:cs="Arial" w:eastAsia="Arial" w:hAnsi="Arial"/>
          <w:sz w:val="16"/>
          <w:szCs w:val="16"/>
          <w:color w:val="auto"/>
        </w:rPr>
      </w:pPr>
      <w:r>
        <w:rPr>
          <w:rFonts w:ascii="Arial" w:cs="Arial" w:eastAsia="Arial" w:hAnsi="Arial"/>
          <w:sz w:val="16"/>
          <w:szCs w:val="16"/>
          <w:color w:val="auto"/>
        </w:rPr>
        <w:t>Notwithstanding the foregoing, any Subsidiary of U.S. Borrower, the Canadian Borrower or European Borrower may dispose of any or all of its assets (upon voluntary liquidation or otherwise) to U.S. Borrower, the Canadian Borrower or European Borrower or any other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the foregoing, the appropriate Credit Parties shall take all actions necessary or reasonably requested by the Collateral Agents to maintain the perfection of or perfect, as the case may be, protect and preserve the Liens on the Collateral granted to the Collateral Agents pursuant to the Security Documents and otherwise comply with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on the terms set forth therein and to the extent applicable), and any Subsidiary which is not a Subsidiary Credit Party may dispose of assets to any other Subsidiary which is not a Subsidiary Credit Party.</w:t>
      </w:r>
    </w:p>
    <w:p>
      <w:pPr>
        <w:spacing w:after="0" w:line="56" w:lineRule="exact"/>
        <w:rPr>
          <w:rFonts w:ascii="Arial" w:cs="Arial" w:eastAsia="Arial" w:hAnsi="Arial"/>
          <w:sz w:val="16"/>
          <w:szCs w:val="16"/>
          <w:color w:val="auto"/>
        </w:rPr>
      </w:pPr>
    </w:p>
    <w:p>
      <w:pPr>
        <w:ind w:left="4" w:right="80" w:firstLine="436"/>
        <w:spacing w:after="0" w:line="263" w:lineRule="auto"/>
        <w:tabs>
          <w:tab w:leader="none" w:pos="68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of their Subsidiaries to engage to any material extent in any business other than businesses of the type conducted by Crown Holdings and its Subsidiaries on the Original Closing Date and businesses which are extensions thereof or otherwise incidental, reasonably related, ancillary, complementary or incidental thereto.</w:t>
      </w:r>
    </w:p>
    <w:p>
      <w:pPr>
        <w:spacing w:after="0" w:line="76"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Investments, Loans, Advances, Guarantee Obligations and Acquisitions</w:t>
      </w:r>
      <w:r>
        <w:rPr>
          <w:rFonts w:ascii="Arial" w:cs="Arial" w:eastAsia="Arial" w:hAnsi="Arial"/>
          <w:sz w:val="18"/>
          <w:szCs w:val="18"/>
          <w:color w:val="auto"/>
        </w:rPr>
        <w:t>. The Credit Parties will not, and will not permit any of their Subsidiaries to purchase, hold, acquire (including pursuant to any merger or amalgamation with any Person that was not a Wholly-Owned Subsidiary prior to such merger or amalgamation), permit to exist or make any Investment, except:</w:t>
      </w:r>
    </w:p>
    <w:p>
      <w:pPr>
        <w:spacing w:after="0" w:line="76" w:lineRule="exact"/>
        <w:rPr>
          <w:sz w:val="20"/>
          <w:szCs w:val="20"/>
          <w:color w:val="auto"/>
        </w:rPr>
      </w:pPr>
    </w:p>
    <w:p>
      <w:pPr>
        <w:ind w:left="684" w:hanging="244"/>
        <w:spacing w:after="0"/>
        <w:tabs>
          <w:tab w:leader="none" w:pos="684" w:val="left"/>
        </w:tabs>
        <w:numPr>
          <w:ilvl w:val="0"/>
          <w:numId w:val="251"/>
        </w:numPr>
        <w:rPr>
          <w:rFonts w:ascii="Arial" w:cs="Arial" w:eastAsia="Arial" w:hAnsi="Arial"/>
          <w:sz w:val="18"/>
          <w:szCs w:val="18"/>
          <w:u w:val="single" w:color="auto"/>
          <w:color w:val="0000FF"/>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15430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4"/>
          </w:cols>
          <w:pgMar w:left="436" w:top="274" w:right="459" w:bottom="1440" w:gutter="0" w:footer="0" w:header="0"/>
        </w:sectPr>
      </w:pPr>
    </w:p>
    <w:bookmarkStart w:id="324" w:name="page325"/>
    <w:bookmarkEnd w:id="324"/>
    <w:p>
      <w:pPr>
        <w:ind w:right="80" w:firstLine="436"/>
        <w:spacing w:after="0" w:line="275" w:lineRule="auto"/>
        <w:tabs>
          <w:tab w:leader="none" w:pos="695" w:val="left"/>
        </w:tabs>
        <w:numPr>
          <w:ilvl w:val="0"/>
          <w:numId w:val="252"/>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existing on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and set forth on </w:t>
      </w:r>
      <w:r>
        <w:rPr>
          <w:rFonts w:ascii="Arial" w:cs="Arial" w:eastAsia="Arial" w:hAnsi="Arial"/>
          <w:sz w:val="17"/>
          <w:szCs w:val="17"/>
          <w:u w:val="single" w:color="auto"/>
          <w:color w:val="auto"/>
        </w:rPr>
        <w:t>Schedule 8.4</w:t>
      </w:r>
      <w:r>
        <w:rPr>
          <w:rFonts w:ascii="Arial" w:cs="Arial" w:eastAsia="Arial" w:hAnsi="Arial"/>
          <w:sz w:val="17"/>
          <w:szCs w:val="17"/>
          <w:color w:val="auto"/>
        </w:rPr>
        <w:t xml:space="preserve"> and any Investment that extends, replaces, refinances or refunds any such Investment and any investment that extends, replaces, refinances or refunds any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68" w:lineRule="exact"/>
        <w:rPr>
          <w:rFonts w:ascii="Arial" w:cs="Arial" w:eastAsia="Arial" w:hAnsi="Arial"/>
          <w:sz w:val="17"/>
          <w:szCs w:val="17"/>
          <w:u w:val="single" w:color="auto"/>
          <w:color w:val="0000FF"/>
        </w:rPr>
      </w:pPr>
    </w:p>
    <w:p>
      <w:pPr>
        <w:ind w:right="40" w:firstLine="436"/>
        <w:spacing w:after="0" w:line="255" w:lineRule="auto"/>
        <w:tabs>
          <w:tab w:leader="none" w:pos="685"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Investments (x) by the Parent Guarantors, the Borrowers and the Subsidiaries in Subsidiary Credit Parties and by the Parent Guarantors in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(other than Intercompany Indebtedness held by a Non-U.S. Subsidiary which shall be pledged only if and to the extent required by this Agreement) held by a Credit Party shall be pledged pursuant to the applicable Security Document, (y) by a Subsidiary Credit Party in a Parent Guarantor or a Borrower in the form of Intercompany Indebtedness only,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be pledged pursuant to the applicable Security Document if and to the extent required by this Agreement or (z) held by such Person at the time such Person becomes a Subsidiary;</w:t>
      </w:r>
    </w:p>
    <w:p>
      <w:pPr>
        <w:spacing w:after="0" w:line="84" w:lineRule="exact"/>
        <w:rPr>
          <w:rFonts w:ascii="Arial" w:cs="Arial" w:eastAsia="Arial" w:hAnsi="Arial"/>
          <w:sz w:val="18"/>
          <w:szCs w:val="18"/>
          <w:u w:val="single" w:color="auto"/>
          <w:color w:val="0000FF"/>
        </w:rPr>
      </w:pPr>
    </w:p>
    <w:p>
      <w:pPr>
        <w:ind w:firstLine="436"/>
        <w:spacing w:after="0" w:line="259" w:lineRule="auto"/>
        <w:tabs>
          <w:tab w:leader="none" w:pos="695"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Investments incurred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by (A) the Credit Parties in Subsidiaries that are not Credit Parties and (B) Subsidiaries that are not Credit Parties in other Subsidiaries that are not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are made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t>
      </w:r>
      <w:r>
        <w:rPr>
          <w:rFonts w:ascii="Arial" w:cs="Arial" w:eastAsia="Arial" w:hAnsi="Arial"/>
          <w:sz w:val="18"/>
          <w:szCs w:val="18"/>
          <w:color w:val="008000"/>
          <w:strike w:val="1"/>
        </w:rPr>
        <w:t>in the case of clause (</w:t>
      </w:r>
      <w:r>
        <w:rPr>
          <w:rFonts w:ascii="Arial" w:cs="Arial" w:eastAsia="Arial" w:hAnsi="Arial"/>
          <w:sz w:val="18"/>
          <w:szCs w:val="18"/>
          <w:color w:val="FF0000"/>
          <w:strike w:val="1"/>
        </w:rPr>
        <w:t>A), the aggregate amount of such Investments shall</w:t>
      </w:r>
      <w:r>
        <w:rPr>
          <w:rFonts w:ascii="Arial" w:cs="Arial" w:eastAsia="Arial" w:hAnsi="Arial"/>
          <w:sz w:val="18"/>
          <w:szCs w:val="18"/>
          <w:color w:val="auto"/>
        </w:rPr>
        <w:t xml:space="preserve"> </w:t>
      </w:r>
      <w:r>
        <w:rPr>
          <w:rFonts w:ascii="Arial" w:cs="Arial" w:eastAsia="Arial" w:hAnsi="Arial"/>
          <w:sz w:val="18"/>
          <w:szCs w:val="18"/>
          <w:color w:val="FF0000"/>
          <w:strike w:val="1"/>
        </w:rPr>
        <w:t>not exceed $750,000,000</w:t>
      </w:r>
      <w:r>
        <w:rPr>
          <w:rFonts w:ascii="Arial" w:cs="Arial" w:eastAsia="Arial" w:hAnsi="Arial"/>
          <w:sz w:val="18"/>
          <w:szCs w:val="18"/>
          <w:u w:val="single" w:color="auto"/>
          <w:color w:val="0000FF"/>
        </w:rPr>
        <w:t>if applicable, the requirements of Section 7.14 are satisfied</w:t>
      </w:r>
      <w:r>
        <w:rPr>
          <w:rFonts w:ascii="Arial" w:cs="Arial" w:eastAsia="Arial" w:hAnsi="Arial"/>
          <w:sz w:val="18"/>
          <w:szCs w:val="18"/>
          <w:color w:val="000000"/>
        </w:rPr>
        <w:t>;</w:t>
      </w:r>
    </w:p>
    <w:p>
      <w:pPr>
        <w:spacing w:after="0" w:line="78" w:lineRule="exact"/>
        <w:rPr>
          <w:rFonts w:ascii="Arial" w:cs="Arial" w:eastAsia="Arial" w:hAnsi="Arial"/>
          <w:sz w:val="18"/>
          <w:szCs w:val="18"/>
          <w:u w:val="single" w:color="auto"/>
          <w:color w:val="0000FF"/>
        </w:rPr>
      </w:pPr>
    </w:p>
    <w:p>
      <w:pPr>
        <w:ind w:left="680" w:hanging="244"/>
        <w:spacing w:after="0"/>
        <w:tabs>
          <w:tab w:leader="none" w:pos="680"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Investments constituting Indebtedness permitted by </w:t>
      </w:r>
      <w:r>
        <w:rPr>
          <w:rFonts w:ascii="Arial" w:cs="Arial" w:eastAsia="Arial" w:hAnsi="Arial"/>
          <w:sz w:val="18"/>
          <w:szCs w:val="18"/>
          <w:u w:val="single" w:color="auto"/>
          <w:color w:val="auto"/>
        </w:rPr>
        <w:t>Section 8.1(a)(x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left="660" w:hanging="224"/>
        <w:spacing w:after="0"/>
        <w:tabs>
          <w:tab w:leader="none" w:pos="660"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Investments consisting of Permitted Guarantee Obligations;</w:t>
      </w:r>
    </w:p>
    <w:p>
      <w:pPr>
        <w:spacing w:after="0" w:line="117" w:lineRule="exact"/>
        <w:rPr>
          <w:rFonts w:ascii="Arial" w:cs="Arial" w:eastAsia="Arial" w:hAnsi="Arial"/>
          <w:sz w:val="18"/>
          <w:szCs w:val="18"/>
          <w:u w:val="single" w:color="auto"/>
          <w:color w:val="0000FF"/>
        </w:rPr>
      </w:pPr>
    </w:p>
    <w:p>
      <w:pPr>
        <w:ind w:right="80" w:firstLine="436"/>
        <w:spacing w:after="0" w:line="279" w:lineRule="auto"/>
        <w:tabs>
          <w:tab w:leader="none" w:pos="695" w:val="left"/>
        </w:tabs>
        <w:numPr>
          <w:ilvl w:val="0"/>
          <w:numId w:val="252"/>
        </w:numPr>
        <w:rPr>
          <w:rFonts w:ascii="Arial" w:cs="Arial" w:eastAsia="Arial" w:hAnsi="Arial"/>
          <w:sz w:val="17"/>
          <w:szCs w:val="17"/>
          <w:u w:val="single" w:color="auto"/>
          <w:color w:val="0000FF"/>
        </w:rPr>
      </w:pPr>
      <w:r>
        <w:rPr>
          <w:rFonts w:ascii="Arial" w:cs="Arial" w:eastAsia="Arial" w:hAnsi="Arial"/>
          <w:sz w:val="17"/>
          <w:szCs w:val="17"/>
          <w:color w:val="auto"/>
        </w:rPr>
        <w:t>Investments (including debt obligations and Capital Stock) received (x) in connection with the bankruptcy or reorganization of, or settlement (including settlements of litigation) of delinquent accounts and disputes with, customers, suppliers and other account debtors, in each case arising in the ordinary course of business, (y) upon the foreclosure with respect to any secured Investment or other transfer of title with respect to any secured Investment or (z) upon the settlement, compromise, resolution of litigation, arbitration or other disputes;</w:t>
      </w:r>
    </w:p>
    <w:p>
      <w:pPr>
        <w:spacing w:after="0" w:line="63" w:lineRule="exact"/>
        <w:rPr>
          <w:rFonts w:ascii="Arial" w:cs="Arial" w:eastAsia="Arial" w:hAnsi="Arial"/>
          <w:sz w:val="17"/>
          <w:szCs w:val="17"/>
          <w:u w:val="single" w:color="auto"/>
          <w:color w:val="0000FF"/>
        </w:rPr>
      </w:pPr>
    </w:p>
    <w:p>
      <w:pPr>
        <w:ind w:right="420" w:firstLine="436"/>
        <w:spacing w:after="0" w:line="279" w:lineRule="auto"/>
        <w:tabs>
          <w:tab w:leader="none" w:pos="695" w:val="left"/>
        </w:tabs>
        <w:numPr>
          <w:ilvl w:val="0"/>
          <w:numId w:val="252"/>
        </w:numPr>
        <w:rPr>
          <w:rFonts w:ascii="Arial" w:cs="Arial" w:eastAsia="Arial" w:hAnsi="Arial"/>
          <w:sz w:val="17"/>
          <w:szCs w:val="17"/>
          <w:u w:val="single" w:color="auto"/>
          <w:color w:val="0000FF"/>
        </w:rPr>
      </w:pPr>
      <w:r>
        <w:rPr>
          <w:rFonts w:ascii="Arial" w:cs="Arial" w:eastAsia="Arial" w:hAnsi="Arial"/>
          <w:sz w:val="17"/>
          <w:szCs w:val="17"/>
          <w:color w:val="auto"/>
        </w:rPr>
        <w:t>loans and advances to directors, employees, managers, consultants, independent contractors and officers (or equivalent thereof) of Crown Holdings or its Subsidiaries (x) in the ordinary course of business (including, without limitation, for payroll, travel, entertainment and relocation expenses), (y) in connection with such Person’s purchase of Capital Stock of Crown Holdings and (z) for purposes not described in the foregoing clauses (x) and (y), in an aggregate principal amount outstanding at any time not to exceed $50,000,000;</w:t>
      </w:r>
    </w:p>
    <w:p>
      <w:pPr>
        <w:spacing w:after="0" w:line="63" w:lineRule="exact"/>
        <w:rPr>
          <w:rFonts w:ascii="Arial" w:cs="Arial" w:eastAsia="Arial" w:hAnsi="Arial"/>
          <w:sz w:val="17"/>
          <w:szCs w:val="17"/>
          <w:u w:val="single" w:color="auto"/>
          <w:color w:val="0000FF"/>
        </w:rPr>
      </w:pPr>
    </w:p>
    <w:p>
      <w:pPr>
        <w:ind w:left="660" w:hanging="224"/>
        <w:spacing w:after="0"/>
        <w:tabs>
          <w:tab w:leader="none" w:pos="660"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Investments to the extent that the consideration paid by Crown Holdings and its Subsidiaries is common stock of Crown Holdings;</w:t>
      </w:r>
    </w:p>
    <w:p>
      <w:pPr>
        <w:spacing w:after="0" w:line="117" w:lineRule="exact"/>
        <w:rPr>
          <w:rFonts w:ascii="Arial" w:cs="Arial" w:eastAsia="Arial" w:hAnsi="Arial"/>
          <w:sz w:val="18"/>
          <w:szCs w:val="18"/>
          <w:u w:val="single" w:color="auto"/>
          <w:color w:val="0000FF"/>
        </w:rPr>
      </w:pPr>
    </w:p>
    <w:p>
      <w:pPr>
        <w:ind w:right="140" w:firstLine="436"/>
        <w:spacing w:after="0" w:line="277" w:lineRule="auto"/>
        <w:tabs>
          <w:tab w:leader="none" w:pos="655"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Investments representing consideration (including by way of capital contribution) for or otherwise received in connection with asset sales and dispositions permitted by </w:t>
      </w:r>
      <w:r>
        <w:rPr>
          <w:rFonts w:ascii="Arial" w:cs="Arial" w:eastAsia="Arial" w:hAnsi="Arial"/>
          <w:sz w:val="18"/>
          <w:szCs w:val="18"/>
          <w:u w:val="single" w:color="auto"/>
          <w:color w:val="auto"/>
        </w:rPr>
        <w:t>Section 8.5;</w:t>
      </w:r>
    </w:p>
    <w:p>
      <w:pPr>
        <w:spacing w:after="0" w:line="62"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u w:val="single" w:color="auto"/>
          <w:color w:val="0000FF"/>
        </w:rPr>
      </w:pPr>
    </w:p>
    <w:p>
      <w:pPr>
        <w:ind w:right="300" w:firstLine="436"/>
        <w:spacing w:after="0" w:line="277" w:lineRule="auto"/>
        <w:tabs>
          <w:tab w:leader="none" w:pos="655"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Investments made by the Credit Parties from and after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 in an aggregate amount not to exceed the Available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-4811395</wp:posOffset>
            </wp:positionV>
            <wp:extent cx="15430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-4811395</wp:posOffset>
            </wp:positionV>
            <wp:extent cx="51435"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-4811395</wp:posOffset>
            </wp:positionV>
            <wp:extent cx="222885"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-4057015</wp:posOffset>
            </wp:positionV>
            <wp:extent cx="15430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-3165475</wp:posOffset>
            </wp:positionV>
            <wp:extent cx="15430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-3165475</wp:posOffset>
            </wp:positionV>
            <wp:extent cx="596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-3165475</wp:posOffset>
            </wp:positionV>
            <wp:extent cx="22288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-2753995</wp:posOffset>
            </wp:positionV>
            <wp:extent cx="269176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-2548255</wp:posOffset>
            </wp:positionV>
            <wp:extent cx="15430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-2342515</wp:posOffset>
            </wp:positionV>
            <wp:extent cx="13716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-2136775</wp:posOffset>
            </wp:positionV>
            <wp:extent cx="15430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-1519555</wp:posOffset>
            </wp:positionV>
            <wp:extent cx="15430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-902335</wp:posOffset>
            </wp:positionV>
            <wp:extent cx="10287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-696595</wp:posOffset>
            </wp:positionV>
            <wp:extent cx="13716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-353695</wp:posOffset>
            </wp:positionV>
            <wp:extent cx="15430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13716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-147955</wp:posOffset>
            </wp:positionV>
            <wp:extent cx="6032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-147955</wp:posOffset>
            </wp:positionV>
            <wp:extent cx="22288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440" w:top="274" w:right="459" w:bottom="1440" w:gutter="0" w:footer="0" w:header="0"/>
        </w:sectPr>
      </w:pPr>
    </w:p>
    <w:bookmarkStart w:id="325" w:name="page326"/>
    <w:bookmarkEnd w:id="325"/>
    <w:p>
      <w:pPr>
        <w:ind w:firstLine="436"/>
        <w:spacing w:after="0" w:line="291" w:lineRule="auto"/>
        <w:tabs>
          <w:tab w:leader="none" w:pos="745" w:val="left"/>
        </w:tabs>
        <w:numPr>
          <w:ilvl w:val="0"/>
          <w:numId w:val="253"/>
        </w:numPr>
        <w:rPr>
          <w:rFonts w:ascii="Arial" w:cs="Arial" w:eastAsia="Arial" w:hAnsi="Arial"/>
          <w:sz w:val="16"/>
          <w:szCs w:val="16"/>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in addition to those Investments identified on </w:t>
      </w:r>
      <w:r>
        <w:rPr>
          <w:rFonts w:ascii="Arial" w:cs="Arial" w:eastAsia="Arial" w:hAnsi="Arial"/>
          <w:sz w:val="16"/>
          <w:szCs w:val="16"/>
          <w:u w:val="single" w:color="auto"/>
          <w:color w:val="auto"/>
        </w:rPr>
        <w:t>Schedule 8.4</w:t>
      </w:r>
      <w:r>
        <w:rPr>
          <w:rFonts w:ascii="Arial" w:cs="Arial" w:eastAsia="Arial" w:hAnsi="Arial"/>
          <w:sz w:val="16"/>
          <w:szCs w:val="16"/>
          <w:color w:val="auto"/>
        </w:rPr>
        <w:t xml:space="preserve">, in any Unrestricted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shall not exceed the Dollar Equivalent of the greater of (1) $</w:t>
      </w:r>
      <w:r>
        <w:rPr>
          <w:rFonts w:ascii="Arial" w:cs="Arial" w:eastAsia="Arial" w:hAnsi="Arial"/>
          <w:sz w:val="16"/>
          <w:szCs w:val="16"/>
          <w:color w:val="FF0000"/>
          <w:strike w:val="1"/>
        </w:rPr>
        <w:t>200,000,000</w:t>
      </w:r>
      <w:r>
        <w:rPr>
          <w:rFonts w:ascii="Arial" w:cs="Arial" w:eastAsia="Arial" w:hAnsi="Arial"/>
          <w:sz w:val="16"/>
          <w:szCs w:val="16"/>
          <w:u w:val="single" w:color="auto"/>
          <w:color w:val="0000FF"/>
        </w:rPr>
        <w:t>435,000,000</w:t>
      </w:r>
      <w:r>
        <w:rPr>
          <w:rFonts w:ascii="Arial" w:cs="Arial" w:eastAsia="Arial" w:hAnsi="Arial"/>
          <w:sz w:val="16"/>
          <w:szCs w:val="16"/>
          <w:color w:val="auto"/>
        </w:rPr>
        <w:t xml:space="preserve"> and (2)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at any time outstanding, in the aggregate at any time outstanding;</w:t>
      </w:r>
    </w:p>
    <w:p>
      <w:pPr>
        <w:spacing w:after="0" w:line="58" w:lineRule="exact"/>
        <w:rPr>
          <w:rFonts w:ascii="Arial" w:cs="Arial" w:eastAsia="Arial" w:hAnsi="Arial"/>
          <w:sz w:val="16"/>
          <w:szCs w:val="16"/>
          <w:u w:val="single" w:color="auto"/>
          <w:color w:val="0000FF"/>
        </w:rPr>
      </w:pPr>
    </w:p>
    <w:p>
      <w:pPr>
        <w:ind w:left="700" w:hanging="264"/>
        <w:spacing w:after="0"/>
        <w:tabs>
          <w:tab w:leader="none" w:pos="700"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Investments required pursuant to the terms of any Permitted Receivables or Factoring Facility;</w:t>
      </w:r>
    </w:p>
    <w:p>
      <w:pPr>
        <w:spacing w:after="0" w:line="117"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 xml:space="preserve">Crown Holdings and its Subsidiaries may enter into Hedging Agreements in compliance with </w:t>
      </w:r>
      <w:r>
        <w:rPr>
          <w:rFonts w:ascii="Arial" w:cs="Arial" w:eastAsia="Arial" w:hAnsi="Arial"/>
          <w:sz w:val="18"/>
          <w:szCs w:val="18"/>
          <w:u w:val="single" w:color="auto"/>
          <w:color w:val="auto"/>
        </w:rPr>
        <w:t>Section 8.1(a)(xii)</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right="420" w:firstLine="436"/>
        <w:spacing w:after="0" w:line="277" w:lineRule="auto"/>
        <w:tabs>
          <w:tab w:leader="none" w:pos="69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 xml:space="preserve">pledges or deposits made in the ordinary course of business (including cash collateral and other credit support to secure obligations under letters of credit permitted under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62" w:lineRule="exact"/>
        <w:rPr>
          <w:rFonts w:ascii="Arial" w:cs="Arial" w:eastAsia="Arial" w:hAnsi="Arial"/>
          <w:sz w:val="18"/>
          <w:szCs w:val="18"/>
          <w:u w:val="single" w:color="auto"/>
          <w:color w:val="0000FF"/>
        </w:rPr>
      </w:pPr>
    </w:p>
    <w:p>
      <w:pPr>
        <w:ind w:right="200" w:firstLine="436"/>
        <w:spacing w:after="0" w:line="259" w:lineRule="auto"/>
        <w:tabs>
          <w:tab w:leader="none" w:pos="69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extensions of (w) trade credit, including extensions of credit in the nature of accounts receivable or notes receivable, and accommodation guarantees, accounts receivable and prepaid expenses, (x) constituting deposits, prepayments and/or other credits to suppliers, (y) made in connection with obtaining, maintaining or renewing client and customer contracts and/or (z) in the form of advances made to distributors, suppliers, licensors and licensees, in each case, in the ordinary course of business;</w:t>
      </w:r>
    </w:p>
    <w:p>
      <w:pPr>
        <w:spacing w:after="0" w:line="78" w:lineRule="exact"/>
        <w:rPr>
          <w:rFonts w:ascii="Arial" w:cs="Arial" w:eastAsia="Arial" w:hAnsi="Arial"/>
          <w:sz w:val="18"/>
          <w:szCs w:val="18"/>
          <w:u w:val="single" w:color="auto"/>
          <w:color w:val="0000FF"/>
        </w:rPr>
      </w:pPr>
    </w:p>
    <w:p>
      <w:pPr>
        <w:ind w:firstLine="436"/>
        <w:spacing w:after="0" w:line="342" w:lineRule="auto"/>
        <w:tabs>
          <w:tab w:leader="none" w:pos="665" w:val="left"/>
        </w:tabs>
        <w:numPr>
          <w:ilvl w:val="0"/>
          <w:numId w:val="253"/>
        </w:numPr>
        <w:rPr>
          <w:rFonts w:ascii="Arial" w:cs="Arial" w:eastAsia="Arial" w:hAnsi="Arial"/>
          <w:sz w:val="16"/>
          <w:szCs w:val="16"/>
          <w:u w:val="single" w:color="auto"/>
          <w:color w:val="0000FF"/>
        </w:rPr>
      </w:pPr>
      <w:r>
        <w:rPr>
          <w:rFonts w:ascii="Arial" w:cs="Arial" w:eastAsia="Arial" w:hAnsi="Arial"/>
          <w:sz w:val="16"/>
          <w:szCs w:val="16"/>
          <w:color w:val="auto"/>
        </w:rPr>
        <w:t>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15" w:lineRule="exact"/>
        <w:rPr>
          <w:rFonts w:ascii="Arial" w:cs="Arial" w:eastAsia="Arial" w:hAnsi="Arial"/>
          <w:sz w:val="16"/>
          <w:szCs w:val="16"/>
          <w:u w:val="single" w:color="auto"/>
          <w:color w:val="0000FF"/>
        </w:rPr>
      </w:pPr>
    </w:p>
    <w:p>
      <w:pPr>
        <w:ind w:left="680" w:hanging="244"/>
        <w:spacing w:after="0"/>
        <w:tabs>
          <w:tab w:leader="none" w:pos="680"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Crown Holdings or any Subsidiary may endorse negotiable instruments held for collection in the ordinary course of business;</w:t>
      </w:r>
    </w:p>
    <w:p>
      <w:pPr>
        <w:spacing w:after="0" w:line="117" w:lineRule="exact"/>
        <w:rPr>
          <w:rFonts w:ascii="Arial" w:cs="Arial" w:eastAsia="Arial" w:hAnsi="Arial"/>
          <w:sz w:val="18"/>
          <w:szCs w:val="18"/>
          <w:u w:val="single" w:color="auto"/>
          <w:color w:val="0000FF"/>
        </w:rPr>
      </w:pPr>
    </w:p>
    <w:p>
      <w:pPr>
        <w:ind w:right="480" w:firstLine="436"/>
        <w:spacing w:after="0" w:line="277" w:lineRule="auto"/>
        <w:tabs>
          <w:tab w:leader="none" w:pos="65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Investments in any Subsidiary in connection with intercompany cash management arrangements, pooling agreements or related activities arising in the ordinary course of business;</w:t>
      </w:r>
    </w:p>
    <w:p>
      <w:pPr>
        <w:spacing w:after="0" w:line="62" w:lineRule="exact"/>
        <w:rPr>
          <w:rFonts w:ascii="Arial" w:cs="Arial" w:eastAsia="Arial" w:hAnsi="Arial"/>
          <w:sz w:val="18"/>
          <w:szCs w:val="18"/>
          <w:u w:val="single" w:color="auto"/>
          <w:color w:val="0000FF"/>
        </w:rPr>
      </w:pPr>
    </w:p>
    <w:p>
      <w:pPr>
        <w:ind w:right="200" w:firstLine="436"/>
        <w:spacing w:after="0" w:line="277" w:lineRule="auto"/>
        <w:tabs>
          <w:tab w:leader="none" w:pos="69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62" w:lineRule="exact"/>
        <w:rPr>
          <w:rFonts w:ascii="Arial" w:cs="Arial" w:eastAsia="Arial" w:hAnsi="Arial"/>
          <w:sz w:val="18"/>
          <w:szCs w:val="18"/>
          <w:u w:val="single" w:color="auto"/>
          <w:color w:val="0000FF"/>
        </w:rPr>
      </w:pPr>
    </w:p>
    <w:p>
      <w:pPr>
        <w:ind w:right="460" w:firstLine="436"/>
        <w:spacing w:after="0" w:line="277" w:lineRule="auto"/>
        <w:tabs>
          <w:tab w:leader="none" w:pos="69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receivables (other than in respect of Indebtedness for borrowed money) owing to the Borrower or any Restricted Subsidiary, if created or acquired in the ordinary course of business</w:t>
      </w:r>
    </w:p>
    <w:p>
      <w:pPr>
        <w:spacing w:after="0" w:line="62" w:lineRule="exact"/>
        <w:rPr>
          <w:rFonts w:ascii="Arial" w:cs="Arial" w:eastAsia="Arial" w:hAnsi="Arial"/>
          <w:sz w:val="18"/>
          <w:szCs w:val="18"/>
          <w:u w:val="single" w:color="auto"/>
          <w:color w:val="0000FF"/>
        </w:rPr>
      </w:pPr>
    </w:p>
    <w:p>
      <w:pPr>
        <w:ind w:firstLine="436"/>
        <w:spacing w:after="0" w:line="263" w:lineRule="auto"/>
        <w:tabs>
          <w:tab w:leader="none" w:pos="735" w:val="left"/>
        </w:tabs>
        <w:numPr>
          <w:ilvl w:val="0"/>
          <w:numId w:val="253"/>
        </w:numPr>
        <w:rPr>
          <w:rFonts w:ascii="Arial" w:cs="Arial" w:eastAsia="Arial" w:hAnsi="Arial"/>
          <w:sz w:val="18"/>
          <w:szCs w:val="18"/>
          <w:u w:val="single" w:color="auto"/>
          <w:color w:val="0000FF"/>
        </w:rPr>
      </w:pPr>
      <w:r>
        <w:rPr>
          <w:rFonts w:ascii="Arial" w:cs="Arial" w:eastAsia="Arial" w:hAnsi="Arial"/>
          <w:sz w:val="18"/>
          <w:szCs w:val="18"/>
          <w:color w:val="auto"/>
        </w:rPr>
        <w:t>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-4254500</wp:posOffset>
            </wp:positionV>
            <wp:extent cx="188595"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-3705860</wp:posOffset>
            </wp:positionV>
            <wp:extent cx="6032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-3705860</wp:posOffset>
            </wp:positionV>
            <wp:extent cx="22288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-3568700</wp:posOffset>
            </wp:positionV>
            <wp:extent cx="600075"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-3568700</wp:posOffset>
            </wp:positionV>
            <wp:extent cx="60325"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-3225800</wp:posOffset>
            </wp:positionV>
            <wp:extent cx="15430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-3020060</wp:posOffset>
            </wp:positionV>
            <wp:extent cx="15430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-2814320</wp:posOffset>
            </wp:positionV>
            <wp:extent cx="15430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-2471420</wp:posOffset>
            </wp:positionV>
            <wp:extent cx="15430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-1854200</wp:posOffset>
            </wp:positionV>
            <wp:extent cx="13716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-1511300</wp:posOffset>
            </wp:positionV>
            <wp:extent cx="14541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-1305560</wp:posOffset>
            </wp:positionV>
            <wp:extent cx="13716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-962660</wp:posOffset>
            </wp:positionV>
            <wp:extent cx="15430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-619760</wp:posOffset>
            </wp:positionV>
            <wp:extent cx="15430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179705"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00"/>
          </w:cols>
          <w:pgMar w:left="440" w:top="274" w:right="459" w:bottom="1440" w:gutter="0" w:footer="0" w:header="0"/>
        </w:sectPr>
      </w:pPr>
    </w:p>
    <w:bookmarkStart w:id="326" w:name="page327"/>
    <w:bookmarkEnd w:id="326"/>
    <w:p>
      <w:pPr>
        <w:jc w:val="both"/>
        <w:ind w:left="4" w:right="100" w:firstLine="436"/>
        <w:spacing w:after="0" w:line="279" w:lineRule="auto"/>
        <w:tabs>
          <w:tab w:leader="none" w:pos="699" w:val="left"/>
        </w:tabs>
        <w:numPr>
          <w:ilvl w:val="0"/>
          <w:numId w:val="254"/>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consisting of Indebtedness permitted by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(other than clause (xi) thereof), Liens permitted by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(other than clause (z) thereof), mergers, consolidations, amalgamations, liquidations, windings up, dissolutions or Dispositions made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(other than clause (b) and clause (j) thereof), Restricted Payments and Repayments made pursuant to </w:t>
      </w:r>
      <w:r>
        <w:rPr>
          <w:rFonts w:ascii="Arial" w:cs="Arial" w:eastAsia="Arial" w:hAnsi="Arial"/>
          <w:sz w:val="17"/>
          <w:szCs w:val="17"/>
          <w:u w:val="single" w:color="auto"/>
          <w:color w:val="auto"/>
        </w:rPr>
        <w:t>Sections 8.8</w:t>
      </w:r>
      <w:r>
        <w:rPr>
          <w:rFonts w:ascii="Arial" w:cs="Arial" w:eastAsia="Arial" w:hAnsi="Arial"/>
          <w:sz w:val="17"/>
          <w:szCs w:val="17"/>
          <w:color w:val="auto"/>
        </w:rPr>
        <w:t xml:space="preserve"> (other than clause (l) thereof) and </w:t>
      </w:r>
      <w:r>
        <w:rPr>
          <w:rFonts w:ascii="Arial" w:cs="Arial" w:eastAsia="Arial" w:hAnsi="Arial"/>
          <w:sz w:val="17"/>
          <w:szCs w:val="17"/>
          <w:u w:val="single" w:color="auto"/>
          <w:color w:val="auto"/>
        </w:rPr>
        <w:t>8.11</w:t>
      </w:r>
      <w:r>
        <w:rPr>
          <w:rFonts w:ascii="Arial" w:cs="Arial" w:eastAsia="Arial" w:hAnsi="Arial"/>
          <w:sz w:val="17"/>
          <w:szCs w:val="17"/>
          <w:color w:val="auto"/>
        </w:rPr>
        <w:t xml:space="preserve"> and transactions with Affiliates entered into pursuant to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(other than clauses (d) and (e) thereof);</w:t>
      </w:r>
    </w:p>
    <w:p>
      <w:pPr>
        <w:spacing w:after="0" w:line="63" w:lineRule="exact"/>
        <w:rPr>
          <w:rFonts w:ascii="Arial" w:cs="Arial" w:eastAsia="Arial" w:hAnsi="Arial"/>
          <w:sz w:val="17"/>
          <w:szCs w:val="17"/>
          <w:u w:val="single" w:color="auto"/>
          <w:color w:val="0000FF"/>
        </w:rPr>
      </w:pPr>
    </w:p>
    <w:p>
      <w:pPr>
        <w:ind w:left="4" w:right="240" w:firstLine="436"/>
        <w:spacing w:after="0" w:line="342" w:lineRule="auto"/>
        <w:tabs>
          <w:tab w:leader="none" w:pos="699" w:val="left"/>
        </w:tabs>
        <w:numPr>
          <w:ilvl w:val="0"/>
          <w:numId w:val="254"/>
        </w:numPr>
        <w:rPr>
          <w:rFonts w:ascii="Arial" w:cs="Arial" w:eastAsia="Arial" w:hAnsi="Arial"/>
          <w:sz w:val="16"/>
          <w:szCs w:val="16"/>
          <w:u w:val="single" w:color="auto"/>
          <w:color w:val="0000FF"/>
        </w:rPr>
      </w:pPr>
      <w:r>
        <w:rPr>
          <w:rFonts w:ascii="Arial" w:cs="Arial" w:eastAsia="Arial" w:hAnsi="Arial"/>
          <w:sz w:val="16"/>
          <w:szCs w:val="16"/>
          <w:color w:val="auto"/>
        </w:rPr>
        <w:t>(i) Guarantees of leases (other than Capitalized Leases) or of other obligations not constituting Indebtedness and (ii) Guarantees of the lease obligations of suppliers, customers, franchisees and licensees of Crown Holdings or any Subsidiary, in each case, in the ordinary course of business;</w:t>
      </w:r>
    </w:p>
    <w:p>
      <w:pPr>
        <w:spacing w:after="0" w:line="15" w:lineRule="exact"/>
        <w:rPr>
          <w:rFonts w:ascii="Arial" w:cs="Arial" w:eastAsia="Arial" w:hAnsi="Arial"/>
          <w:sz w:val="16"/>
          <w:szCs w:val="16"/>
          <w:u w:val="single" w:color="auto"/>
          <w:color w:val="0000FF"/>
        </w:rPr>
      </w:pPr>
    </w:p>
    <w:p>
      <w:pPr>
        <w:ind w:left="4" w:right="60" w:firstLine="436"/>
        <w:spacing w:after="0" w:line="279" w:lineRule="auto"/>
        <w:tabs>
          <w:tab w:leader="none" w:pos="689" w:val="left"/>
        </w:tabs>
        <w:numPr>
          <w:ilvl w:val="0"/>
          <w:numId w:val="254"/>
        </w:numPr>
        <w:rPr>
          <w:rFonts w:ascii="Arial" w:cs="Arial" w:eastAsia="Arial" w:hAnsi="Arial"/>
          <w:sz w:val="17"/>
          <w:szCs w:val="17"/>
          <w:u w:val="single" w:color="auto"/>
          <w:color w:val="0000FF"/>
        </w:rPr>
      </w:pPr>
      <w:r>
        <w:rPr>
          <w:rFonts w:ascii="Arial" w:cs="Arial" w:eastAsia="Arial" w:hAnsi="Arial"/>
          <w:sz w:val="17"/>
          <w:szCs w:val="17"/>
          <w:color w:val="auto"/>
        </w:rPr>
        <w:t xml:space="preserve">other Investments not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 of the date on which such Investments are made and after giving effect to the making of such Investments on a Pro Forma Basis for the period of four Fiscal Quarters for which financial statements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immediately preceding the date on which such Investment is made, (i) no Event of Default would exist hereunder and (ii) the Total Leverage Ratio shall not be greater than (x) prior to December 31, </w:t>
      </w:r>
      <w:r>
        <w:rPr>
          <w:rFonts w:ascii="Arial" w:cs="Arial" w:eastAsia="Arial" w:hAnsi="Arial"/>
          <w:sz w:val="17"/>
          <w:szCs w:val="17"/>
          <w:color w:val="FF0000"/>
          <w:strike w:val="1"/>
        </w:rPr>
        <w:t>2022</w:t>
      </w:r>
      <w:r>
        <w:rPr>
          <w:rFonts w:ascii="Arial" w:cs="Arial" w:eastAsia="Arial" w:hAnsi="Arial"/>
          <w:sz w:val="17"/>
          <w:szCs w:val="17"/>
          <w:u w:val="single" w:color="auto"/>
          <w:color w:val="0000FF"/>
        </w:rPr>
        <w:t>2023</w:t>
      </w:r>
      <w:r>
        <w:rPr>
          <w:rFonts w:ascii="Arial" w:cs="Arial" w:eastAsia="Arial" w:hAnsi="Arial"/>
          <w:sz w:val="17"/>
          <w:szCs w:val="17"/>
          <w:color w:val="auto"/>
        </w:rPr>
        <w:t>, 5.00 to 1.00 and (y) thereafter, 4.50 to 1.00;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-1381760</wp:posOffset>
            </wp:positionV>
            <wp:extent cx="15430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-764540</wp:posOffset>
            </wp:positionV>
            <wp:extent cx="15430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-421640</wp:posOffset>
            </wp:positionV>
            <wp:extent cx="15430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-10160</wp:posOffset>
            </wp:positionV>
            <wp:extent cx="23114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43" w:lineRule="exact"/>
        <w:rPr>
          <w:sz w:val="20"/>
          <w:szCs w:val="20"/>
          <w:color w:val="auto"/>
        </w:rPr>
      </w:pPr>
    </w:p>
    <w:p>
      <w:pPr>
        <w:ind w:left="764" w:hanging="324"/>
        <w:spacing w:after="0"/>
        <w:tabs>
          <w:tab w:leader="none" w:pos="764" w:val="left"/>
        </w:tabs>
        <w:numPr>
          <w:ilvl w:val="1"/>
          <w:numId w:val="255"/>
        </w:numPr>
        <w:rPr>
          <w:rFonts w:ascii="Arial" w:cs="Arial" w:eastAsia="Arial" w:hAnsi="Arial"/>
          <w:sz w:val="16"/>
          <w:szCs w:val="16"/>
          <w:u w:val="single" w:color="auto"/>
          <w:color w:val="0000FF"/>
        </w:rPr>
      </w:pPr>
      <w:r>
        <w:rPr>
          <w:rFonts w:ascii="Arial" w:cs="Arial" w:eastAsia="Arial" w:hAnsi="Arial"/>
          <w:sz w:val="16"/>
          <w:szCs w:val="16"/>
          <w:color w:val="auto"/>
        </w:rPr>
        <w:t xml:space="preserve">other Investments made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not in excess of the greater of</w:t>
      </w:r>
    </w:p>
    <w:p>
      <w:pPr>
        <w:spacing w:after="0" w:line="46" w:lineRule="exact"/>
        <w:rPr>
          <w:rFonts w:ascii="Arial" w:cs="Arial" w:eastAsia="Arial" w:hAnsi="Arial"/>
          <w:sz w:val="16"/>
          <w:szCs w:val="16"/>
          <w:u w:val="single" w:color="auto"/>
          <w:color w:val="0000FF"/>
        </w:rPr>
      </w:pPr>
    </w:p>
    <w:p>
      <w:pPr>
        <w:ind w:left="4" w:right="400" w:hanging="4"/>
        <w:spacing w:after="0" w:line="260" w:lineRule="auto"/>
        <w:tabs>
          <w:tab w:leader="none" w:pos="25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1,250,000,000</w:t>
      </w:r>
      <w:r>
        <w:rPr>
          <w:rFonts w:ascii="Arial" w:cs="Arial" w:eastAsia="Arial" w:hAnsi="Arial"/>
          <w:sz w:val="18"/>
          <w:szCs w:val="18"/>
          <w:u w:val="single" w:color="auto"/>
          <w:color w:val="0000FF"/>
        </w:rPr>
        <w:t>1,150,000,000</w:t>
      </w:r>
      <w:r>
        <w:rPr>
          <w:rFonts w:ascii="Arial" w:cs="Arial" w:eastAsia="Arial" w:hAnsi="Arial"/>
          <w:sz w:val="18"/>
          <w:szCs w:val="18"/>
          <w:color w:val="auto"/>
        </w:rPr>
        <w:t xml:space="preserve"> and (2) 8% of Consolidated Total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-275590</wp:posOffset>
            </wp:positionV>
            <wp:extent cx="20574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-275590</wp:posOffset>
            </wp:positionV>
            <wp:extent cx="5143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-275590</wp:posOffset>
            </wp:positionV>
            <wp:extent cx="22288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874395</wp:posOffset>
            </wp:positionH>
            <wp:positionV relativeFrom="paragraph">
              <wp:posOffset>-138430</wp:posOffset>
            </wp:positionV>
            <wp:extent cx="65976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-1270</wp:posOffset>
            </wp:positionV>
            <wp:extent cx="13716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7"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Asset Sales</w:t>
      </w:r>
      <w:r>
        <w:rPr>
          <w:rFonts w:ascii="Arial" w:cs="Arial" w:eastAsia="Arial" w:hAnsi="Arial"/>
          <w:sz w:val="16"/>
          <w:szCs w:val="16"/>
          <w:color w:val="auto"/>
        </w:rPr>
        <w:t>. The Credit Parties will not, and will not permit any of their Subsidiaries to sell, transfer, lease or otherwise dispose of any asset, including any Capital Stock owned by it, nor will Crown Holdings permit any Subsidiary to issue any additional Capital Stock in any Subsidiary, except:</w:t>
      </w:r>
    </w:p>
    <w:p>
      <w:pPr>
        <w:spacing w:after="0" w:line="16" w:lineRule="exact"/>
        <w:rPr>
          <w:sz w:val="20"/>
          <w:szCs w:val="20"/>
          <w:color w:val="auto"/>
        </w:rPr>
      </w:pPr>
    </w:p>
    <w:p>
      <w:pPr>
        <w:ind w:left="4" w:right="280" w:firstLine="436"/>
        <w:spacing w:after="0" w:line="277" w:lineRule="auto"/>
        <w:tabs>
          <w:tab w:leader="none" w:pos="689"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color w:val="auto"/>
        </w:rPr>
        <w:t>sales of inventory or equipment and other property that is obsolete, uneconomical, damaged, excess, worn out, unmerchantable, unsaleable, replaced, retired, surplus or no longer used or useful;</w:t>
      </w:r>
    </w:p>
    <w:p>
      <w:pPr>
        <w:spacing w:after="0" w:line="62" w:lineRule="exact"/>
        <w:rPr>
          <w:rFonts w:ascii="Arial" w:cs="Arial" w:eastAsia="Arial" w:hAnsi="Arial"/>
          <w:sz w:val="18"/>
          <w:szCs w:val="18"/>
          <w:u w:val="single" w:color="auto"/>
          <w:color w:val="0000FF"/>
        </w:rPr>
      </w:pPr>
    </w:p>
    <w:p>
      <w:pPr>
        <w:ind w:left="4" w:firstLine="436"/>
        <w:spacing w:after="0" w:line="270" w:lineRule="auto"/>
        <w:tabs>
          <w:tab w:leader="none" w:pos="699" w:val="left"/>
        </w:tabs>
        <w:numPr>
          <w:ilvl w:val="0"/>
          <w:numId w:val="257"/>
        </w:numPr>
        <w:rPr>
          <w:rFonts w:ascii="Arial" w:cs="Arial" w:eastAsia="Arial" w:hAnsi="Arial"/>
          <w:sz w:val="17"/>
          <w:szCs w:val="17"/>
          <w:u w:val="single" w:color="auto"/>
          <w:color w:val="0000FF"/>
        </w:rPr>
      </w:pPr>
      <w:r>
        <w:rPr>
          <w:rFonts w:ascii="Arial" w:cs="Arial" w:eastAsia="Arial" w:hAnsi="Arial"/>
          <w:sz w:val="17"/>
          <w:szCs w:val="17"/>
          <w:color w:val="auto"/>
        </w:rPr>
        <w:t xml:space="preserve">(i) sales or transfers set forth on </w:t>
      </w:r>
      <w:r>
        <w:rPr>
          <w:rFonts w:ascii="Arial" w:cs="Arial" w:eastAsia="Arial" w:hAnsi="Arial"/>
          <w:sz w:val="17"/>
          <w:szCs w:val="17"/>
          <w:u w:val="single" w:color="auto"/>
          <w:color w:val="auto"/>
        </w:rPr>
        <w:t>Schedule 8.5(b)(i)</w:t>
      </w:r>
      <w:r>
        <w:rPr>
          <w:rFonts w:ascii="Arial" w:cs="Arial" w:eastAsia="Arial" w:hAnsi="Arial"/>
          <w:sz w:val="17"/>
          <w:szCs w:val="17"/>
          <w:color w:val="auto"/>
        </w:rPr>
        <w:t xml:space="preserve"> and (ii) sales, transfers and dispositions and issuances to the Borrowers or any Subsidiary of U.S. Borrower, Canadian Borrower or European Borrower, including Permitted Cross Chain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the foregoing, (x) if the transferor in such a transaction is a Credit Party, then (i) the transferee must be (or must substantially concurrently become) a Credit Party and (ii) to the extent constituting a disposition to a Subsidiary that is not a Credit Party, such disposition shall be permitted pursuant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and (y) the appropriate Credit Parties shall take all actions necessary or reasonably requested by U.S. Collateral Agent or Euro Collateral Agent, as applicable, to maintain the perfection of or perfect, as the case may be, protect and preserve the Liens on the Collateral granted to U.S. Collateral Agent or the Euro Collateral Agent, as applicable, pursuant to the Security Documents (including, without limitation, all items required by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the definition of “Permitted Cross Chain Transactions”) and otherwise comply with the provisions of </w:t>
      </w:r>
      <w:r>
        <w:rPr>
          <w:rFonts w:ascii="Arial" w:cs="Arial" w:eastAsia="Arial" w:hAnsi="Arial"/>
          <w:sz w:val="17"/>
          <w:szCs w:val="17"/>
          <w:u w:val="single" w:color="auto"/>
          <w:color w:val="auto"/>
        </w:rPr>
        <w:t>Sections 7.14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12.2</w:t>
      </w:r>
      <w:r>
        <w:rPr>
          <w:rFonts w:ascii="Arial" w:cs="Arial" w:eastAsia="Arial" w:hAnsi="Arial"/>
          <w:sz w:val="17"/>
          <w:szCs w:val="17"/>
          <w:color w:val="auto"/>
        </w:rPr>
        <w:t>, on the terms set forth therein and to the extent applicable;</w:t>
      </w:r>
    </w:p>
    <w:p>
      <w:pPr>
        <w:spacing w:after="0" w:line="72" w:lineRule="exact"/>
        <w:rPr>
          <w:rFonts w:ascii="Arial" w:cs="Arial" w:eastAsia="Arial" w:hAnsi="Arial"/>
          <w:sz w:val="17"/>
          <w:szCs w:val="17"/>
          <w:u w:val="single" w:color="auto"/>
          <w:color w:val="0000FF"/>
        </w:rPr>
      </w:pPr>
    </w:p>
    <w:p>
      <w:pPr>
        <w:ind w:left="684" w:hanging="244"/>
        <w:spacing w:after="0"/>
        <w:tabs>
          <w:tab w:leader="none" w:pos="684"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color w:val="auto"/>
        </w:rPr>
        <w:t>sales and transfers of Cash and Cash Equivalents;</w:t>
      </w:r>
    </w:p>
    <w:p>
      <w:pPr>
        <w:spacing w:after="0" w:line="117" w:lineRule="exact"/>
        <w:rPr>
          <w:rFonts w:ascii="Arial" w:cs="Arial" w:eastAsia="Arial" w:hAnsi="Arial"/>
          <w:sz w:val="18"/>
          <w:szCs w:val="18"/>
          <w:u w:val="single" w:color="auto"/>
          <w:color w:val="0000FF"/>
        </w:rPr>
      </w:pPr>
    </w:p>
    <w:p>
      <w:pPr>
        <w:ind w:left="4" w:right="140" w:firstLine="436"/>
        <w:spacing w:after="0" w:line="277" w:lineRule="auto"/>
        <w:tabs>
          <w:tab w:leader="none" w:pos="699"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color w:val="auto"/>
        </w:rPr>
        <w:t xml:space="preserve">sales, transfers and other dispositions (including by way of capital contribution) of Receivables Assets pursuant to any Permitted Receivables or Factoring Financing or otherwise as permitted under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62" w:lineRule="exact"/>
        <w:rPr>
          <w:rFonts w:ascii="Arial" w:cs="Arial" w:eastAsia="Arial" w:hAnsi="Arial"/>
          <w:sz w:val="18"/>
          <w:szCs w:val="18"/>
          <w:u w:val="single" w:color="auto"/>
          <w:color w:val="0000FF"/>
        </w:rPr>
      </w:pPr>
    </w:p>
    <w:p>
      <w:pPr>
        <w:ind w:left="5364" w:right="80" w:hanging="4924"/>
        <w:spacing w:after="0" w:line="449" w:lineRule="auto"/>
        <w:tabs>
          <w:tab w:leader="none" w:pos="676"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color w:val="auto"/>
        </w:rPr>
        <w:t>the lease or sublease of Real Property or personal property in the ordinary course of business not constituting a sale and leaseback transaction;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-2531110</wp:posOffset>
            </wp:positionV>
            <wp:extent cx="15430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-2188210</wp:posOffset>
            </wp:positionV>
            <wp:extent cx="15430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-885190</wp:posOffset>
            </wp:positionV>
            <wp:extent cx="15430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-679450</wp:posOffset>
            </wp:positionV>
            <wp:extent cx="15430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-336550</wp:posOffset>
            </wp:positionV>
            <wp:extent cx="15430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27" w:name="page328"/>
    <w:bookmarkEnd w:id="327"/>
    <w:p>
      <w:pPr>
        <w:ind w:left="664" w:hanging="224"/>
        <w:spacing w:after="0"/>
        <w:tabs>
          <w:tab w:leader="none" w:pos="664" w:val="left"/>
        </w:tabs>
        <w:numPr>
          <w:ilvl w:val="1"/>
          <w:numId w:val="258"/>
        </w:numPr>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sale, transfer or disposition of any (a) business or controlling or majority Capital Stock in any Person engaged in a line of business,</w:t>
      </w:r>
    </w:p>
    <w:p>
      <w:pPr>
        <w:spacing w:after="0" w:line="34" w:lineRule="exact"/>
        <w:rPr>
          <w:rFonts w:ascii="Arial" w:cs="Arial" w:eastAsia="Arial" w:hAnsi="Arial"/>
          <w:sz w:val="17"/>
          <w:szCs w:val="17"/>
          <w:u w:val="single" w:color="auto"/>
          <w:color w:val="0000FF"/>
        </w:rPr>
      </w:pPr>
    </w:p>
    <w:p>
      <w:pPr>
        <w:ind w:left="264" w:hanging="264"/>
        <w:spacing w:after="0"/>
        <w:tabs>
          <w:tab w:leader="none" w:pos="26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Minority Interest or (c) property or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such case, such business, Capital Stock, Minority Interest or property is promptly</w:t>
      </w:r>
    </w:p>
    <w:p>
      <w:pPr>
        <w:spacing w:after="0" w:line="32"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replaced with a similar business, Capital Stock, Minority Interest or property or assets, as applicable, used or useful in a line of business in which Crown Holdings or any of its Subsidiaries is engaged or which are complementary, reasonably related, ancillary or useful to such line of business in which Crown Holdings or any of its Subsidiaries is then engaged;</w:t>
      </w:r>
    </w:p>
    <w:p>
      <w:pPr>
        <w:spacing w:after="0" w:line="81" w:lineRule="exact"/>
        <w:rPr>
          <w:rFonts w:ascii="Arial" w:cs="Arial" w:eastAsia="Arial" w:hAnsi="Arial"/>
          <w:sz w:val="16"/>
          <w:szCs w:val="16"/>
          <w:color w:val="auto"/>
        </w:rPr>
      </w:pPr>
    </w:p>
    <w:p>
      <w:pPr>
        <w:ind w:left="704" w:hanging="264"/>
        <w:spacing w:after="0"/>
        <w:tabs>
          <w:tab w:leader="none" w:pos="704" w:val="left"/>
        </w:tabs>
        <w:numPr>
          <w:ilvl w:val="1"/>
          <w:numId w:val="259"/>
        </w:numPr>
        <w:rPr>
          <w:rFonts w:ascii="Arial" w:cs="Arial" w:eastAsia="Arial" w:hAnsi="Arial"/>
          <w:sz w:val="18"/>
          <w:szCs w:val="18"/>
          <w:u w:val="single" w:color="auto"/>
          <w:color w:val="0000FF"/>
        </w:rPr>
      </w:pPr>
      <w:r>
        <w:rPr>
          <w:rFonts w:ascii="Arial" w:cs="Arial" w:eastAsia="Arial" w:hAnsi="Arial"/>
          <w:sz w:val="18"/>
          <w:szCs w:val="18"/>
          <w:color w:val="auto"/>
        </w:rPr>
        <w:t>Permitted Holding Company Transactions;</w:t>
      </w:r>
    </w:p>
    <w:p>
      <w:pPr>
        <w:spacing w:after="0" w:line="117" w:lineRule="exact"/>
        <w:rPr>
          <w:rFonts w:ascii="Arial" w:cs="Arial" w:eastAsia="Arial" w:hAnsi="Arial"/>
          <w:sz w:val="18"/>
          <w:szCs w:val="18"/>
          <w:u w:val="single" w:color="auto"/>
          <w:color w:val="0000FF"/>
        </w:rPr>
      </w:pPr>
    </w:p>
    <w:p>
      <w:pPr>
        <w:ind w:left="704" w:hanging="264"/>
        <w:spacing w:after="0"/>
        <w:tabs>
          <w:tab w:leader="none" w:pos="704" w:val="left"/>
        </w:tabs>
        <w:numPr>
          <w:ilvl w:val="1"/>
          <w:numId w:val="259"/>
        </w:numPr>
        <w:rPr>
          <w:rFonts w:ascii="Arial" w:cs="Arial" w:eastAsia="Arial" w:hAnsi="Arial"/>
          <w:sz w:val="18"/>
          <w:szCs w:val="18"/>
          <w:u w:val="single" w:color="auto"/>
          <w:color w:val="0000FF"/>
        </w:rPr>
      </w:pPr>
      <w:r>
        <w:rPr>
          <w:rFonts w:ascii="Arial" w:cs="Arial" w:eastAsia="Arial" w:hAnsi="Arial"/>
          <w:sz w:val="18"/>
          <w:szCs w:val="18"/>
          <w:color w:val="auto"/>
        </w:rPr>
        <w:t xml:space="preserve">sales or transfers identified in </w:t>
      </w:r>
      <w:r>
        <w:rPr>
          <w:rFonts w:ascii="Arial" w:cs="Arial" w:eastAsia="Arial" w:hAnsi="Arial"/>
          <w:sz w:val="18"/>
          <w:szCs w:val="18"/>
          <w:u w:val="single" w:color="auto"/>
          <w:color w:val="auto"/>
        </w:rPr>
        <w:t>Schedule 8.5(h)</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left="4" w:right="80" w:firstLine="436"/>
        <w:spacing w:after="0" w:line="291" w:lineRule="auto"/>
        <w:tabs>
          <w:tab w:leader="none" w:pos="659" w:val="left"/>
        </w:tabs>
        <w:numPr>
          <w:ilvl w:val="1"/>
          <w:numId w:val="259"/>
        </w:numPr>
        <w:rPr>
          <w:rFonts w:ascii="Arial" w:cs="Arial" w:eastAsia="Arial" w:hAnsi="Arial"/>
          <w:sz w:val="16"/>
          <w:szCs w:val="16"/>
          <w:u w:val="single" w:color="auto"/>
          <w:color w:val="0000FF"/>
        </w:rPr>
      </w:pPr>
      <w:r>
        <w:rPr>
          <w:rFonts w:ascii="Arial" w:cs="Arial" w:eastAsia="Arial" w:hAnsi="Arial"/>
          <w:sz w:val="16"/>
          <w:szCs w:val="16"/>
          <w:color w:val="auto"/>
        </w:rPr>
        <w:t xml:space="preserve">sales, transfers and dispositions of assets not otherwise permitted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fair market value of all assets sold, transferred or otherwise disposed of in reliance upon this clause (i) shall not, in the aggregate in any Fiscal Year, exceed the greater of</w:t>
      </w:r>
    </w:p>
    <w:p>
      <w:pPr>
        <w:ind w:left="4" w:right="40"/>
        <w:spacing w:after="0" w:line="288" w:lineRule="auto"/>
        <w:rPr>
          <w:rFonts w:ascii="Arial" w:cs="Arial" w:eastAsia="Arial" w:hAnsi="Arial"/>
          <w:sz w:val="16"/>
          <w:szCs w:val="16"/>
          <w:u w:val="single" w:color="auto"/>
          <w:color w:val="0000FF"/>
        </w:rPr>
      </w:pPr>
      <w:r>
        <w:rPr>
          <w:rFonts w:ascii="Arial" w:cs="Arial" w:eastAsia="Arial" w:hAnsi="Arial"/>
          <w:sz w:val="16"/>
          <w:szCs w:val="16"/>
          <w:color w:val="auto"/>
        </w:rPr>
        <w:t>(1) $</w:t>
      </w:r>
      <w:r>
        <w:rPr>
          <w:rFonts w:ascii="Arial" w:cs="Arial" w:eastAsia="Arial" w:hAnsi="Arial"/>
          <w:sz w:val="16"/>
          <w:szCs w:val="16"/>
          <w:color w:val="FF0000"/>
          <w:strike w:val="1"/>
        </w:rPr>
        <w:t>2,000,000,000</w:t>
      </w:r>
      <w:r>
        <w:rPr>
          <w:rFonts w:ascii="Arial" w:cs="Arial" w:eastAsia="Arial" w:hAnsi="Arial"/>
          <w:sz w:val="16"/>
          <w:szCs w:val="16"/>
          <w:u w:val="single" w:color="auto"/>
          <w:color w:val="0000FF"/>
        </w:rPr>
        <w:t>2,100,000,000</w:t>
      </w:r>
      <w:r>
        <w:rPr>
          <w:rFonts w:ascii="Arial" w:cs="Arial" w:eastAsia="Arial" w:hAnsi="Arial"/>
          <w:sz w:val="16"/>
          <w:szCs w:val="16"/>
          <w:color w:val="auto"/>
        </w:rPr>
        <w:t xml:space="preserve"> and (2) 15% of Consolidated Total Assets as set forth in the financial statements most recently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the Net Proceeds of any such sale, transfer or other disposition that are not required to be used to prepay the Loans pursuant to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are used to purchase assets used or useful in one or more of the businesses referred to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in the time period prescribed in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and if such Credit Party or such Subsidiary has complied with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with respect to any assets purchased with such reinvested proceeds, such sale, transfer or other disposition shall be disregarded for purposes of calculations pursuant to this </w:t>
      </w:r>
      <w:r>
        <w:rPr>
          <w:rFonts w:ascii="Arial" w:cs="Arial" w:eastAsia="Arial" w:hAnsi="Arial"/>
          <w:sz w:val="16"/>
          <w:szCs w:val="16"/>
          <w:u w:val="single" w:color="auto"/>
          <w:color w:val="auto"/>
        </w:rPr>
        <w:t>Section 8.5(i)</w:t>
      </w:r>
      <w:r>
        <w:rPr>
          <w:rFonts w:ascii="Arial" w:cs="Arial" w:eastAsia="Arial" w:hAnsi="Arial"/>
          <w:sz w:val="16"/>
          <w:szCs w:val="16"/>
          <w:color w:val="auto"/>
        </w:rPr>
        <w:t xml:space="preserve"> (and shall otherwise be deemed to be permitted under this </w:t>
      </w:r>
      <w:r>
        <w:rPr>
          <w:rFonts w:ascii="Arial" w:cs="Arial" w:eastAsia="Arial" w:hAnsi="Arial"/>
          <w:sz w:val="16"/>
          <w:szCs w:val="16"/>
          <w:u w:val="single" w:color="auto"/>
          <w:color w:val="auto"/>
        </w:rPr>
        <w:t>Section 8.5(i))</w:t>
      </w:r>
      <w:r>
        <w:rPr>
          <w:rFonts w:ascii="Arial" w:cs="Arial" w:eastAsia="Arial" w:hAnsi="Arial"/>
          <w:sz w:val="16"/>
          <w:szCs w:val="16"/>
          <w:color w:val="auto"/>
        </w:rPr>
        <w:t xml:space="preserve"> to the extent of the reinvested proceeds, from and after the time of compliance with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with respect to the acquisition of such other property;</w:t>
      </w:r>
    </w:p>
    <w:p>
      <w:pPr>
        <w:spacing w:after="0" w:line="60" w:lineRule="exact"/>
        <w:rPr>
          <w:rFonts w:ascii="Arial" w:cs="Arial" w:eastAsia="Arial" w:hAnsi="Arial"/>
          <w:sz w:val="16"/>
          <w:szCs w:val="16"/>
          <w:u w:val="single" w:color="auto"/>
          <w:color w:val="0000FF"/>
        </w:rPr>
      </w:pPr>
    </w:p>
    <w:p>
      <w:pPr>
        <w:jc w:val="both"/>
        <w:ind w:left="4" w:right="60" w:firstLine="436"/>
        <w:spacing w:after="0" w:line="259" w:lineRule="auto"/>
        <w:tabs>
          <w:tab w:leader="none" w:pos="659" w:val="left"/>
        </w:tabs>
        <w:numPr>
          <w:ilvl w:val="1"/>
          <w:numId w:val="259"/>
        </w:numPr>
        <w:rPr>
          <w:rFonts w:ascii="Arial" w:cs="Arial" w:eastAsia="Arial" w:hAnsi="Arial"/>
          <w:sz w:val="18"/>
          <w:szCs w:val="18"/>
          <w:u w:val="single" w:color="auto"/>
          <w:color w:val="0000FF"/>
        </w:rPr>
      </w:pPr>
      <w:r>
        <w:rPr>
          <w:rFonts w:ascii="Arial" w:cs="Arial" w:eastAsia="Arial" w:hAnsi="Arial"/>
          <w:sz w:val="18"/>
          <w:szCs w:val="18"/>
          <w:color w:val="auto"/>
        </w:rPr>
        <w:t xml:space="preserve">the Credit Parties and their Subsidiaries may grant liens permitted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make dispositions consisting of transactions permitted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make any Investments otherwise permitted by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8.4(x)</w:t>
      </w:r>
      <w:r>
        <w:rPr>
          <w:rFonts w:ascii="Arial" w:cs="Arial" w:eastAsia="Arial" w:hAnsi="Arial"/>
          <w:sz w:val="18"/>
          <w:szCs w:val="18"/>
          <w:color w:val="auto"/>
        </w:rPr>
        <w:t xml:space="preserve">), conduct sale and leaseback transactions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make any Restricted Payments permitted by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make prepayments permitted by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and undertake transactions with Affiliates permitted by </w:t>
      </w:r>
      <w:r>
        <w:rPr>
          <w:rFonts w:ascii="Arial" w:cs="Arial" w:eastAsia="Arial" w:hAnsi="Arial"/>
          <w:sz w:val="18"/>
          <w:szCs w:val="18"/>
          <w:u w:val="single" w:color="auto"/>
          <w:color w:val="auto"/>
        </w:rPr>
        <w:t>Section 8.9</w:t>
      </w:r>
      <w:r>
        <w:rPr>
          <w:rFonts w:ascii="Arial" w:cs="Arial" w:eastAsia="Arial" w:hAnsi="Arial"/>
          <w:sz w:val="18"/>
          <w:szCs w:val="18"/>
          <w:color w:val="auto"/>
        </w:rPr>
        <w:t>;</w:t>
      </w:r>
    </w:p>
    <w:p>
      <w:pPr>
        <w:spacing w:after="0" w:line="78" w:lineRule="exact"/>
        <w:rPr>
          <w:rFonts w:ascii="Arial" w:cs="Arial" w:eastAsia="Arial" w:hAnsi="Arial"/>
          <w:sz w:val="18"/>
          <w:szCs w:val="18"/>
          <w:u w:val="single" w:color="auto"/>
          <w:color w:val="0000FF"/>
        </w:rPr>
      </w:pPr>
    </w:p>
    <w:p>
      <w:pPr>
        <w:ind w:left="4" w:right="120" w:firstLine="436"/>
        <w:spacing w:after="0" w:line="259" w:lineRule="auto"/>
        <w:tabs>
          <w:tab w:leader="none" w:pos="699" w:val="left"/>
        </w:tabs>
        <w:numPr>
          <w:ilvl w:val="1"/>
          <w:numId w:val="259"/>
        </w:numPr>
        <w:rPr>
          <w:rFonts w:ascii="Arial" w:cs="Arial" w:eastAsia="Arial" w:hAnsi="Arial"/>
          <w:sz w:val="18"/>
          <w:szCs w:val="18"/>
          <w:u w:val="single" w:color="auto"/>
          <w:color w:val="0000FF"/>
        </w:rPr>
      </w:pPr>
      <w:r>
        <w:rPr>
          <w:rFonts w:ascii="Arial" w:cs="Arial" w:eastAsia="Arial" w:hAnsi="Arial"/>
          <w:sz w:val="18"/>
          <w:szCs w:val="18"/>
          <w:color w:val="auto"/>
        </w:rPr>
        <w:t>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186" w:lineRule="exact"/>
        <w:rPr>
          <w:rFonts w:ascii="Arial" w:cs="Arial" w:eastAsia="Arial" w:hAnsi="Arial"/>
          <w:sz w:val="18"/>
          <w:szCs w:val="18"/>
          <w:u w:val="single" w:color="auto"/>
          <w:color w:val="0000FF"/>
        </w:rPr>
      </w:pPr>
    </w:p>
    <w:p>
      <w:pPr>
        <w:ind w:left="4" w:right="180" w:firstLine="436"/>
        <w:spacing w:after="0" w:line="277" w:lineRule="auto"/>
        <w:tabs>
          <w:tab w:leader="none" w:pos="659" w:val="left"/>
        </w:tabs>
        <w:numPr>
          <w:ilvl w:val="1"/>
          <w:numId w:val="259"/>
        </w:numPr>
        <w:rPr>
          <w:rFonts w:ascii="Arial" w:cs="Arial" w:eastAsia="Arial" w:hAnsi="Arial"/>
          <w:sz w:val="18"/>
          <w:szCs w:val="18"/>
          <w:u w:val="single" w:color="auto"/>
          <w:color w:val="0000FF"/>
        </w:rPr>
      </w:pPr>
      <w:r>
        <w:rPr>
          <w:rFonts w:ascii="Arial" w:cs="Arial" w:eastAsia="Arial" w:hAnsi="Arial"/>
          <w:sz w:val="18"/>
          <w:szCs w:val="18"/>
          <w:color w:val="auto"/>
        </w:rPr>
        <w:t>the Credit Parties and their Subsidiaries may enter into consignment arrangements (as consignor or as consignee) or similar arrangements for the sale of goods in the ordinary course of business;</w:t>
      </w:r>
    </w:p>
    <w:p>
      <w:pPr>
        <w:spacing w:after="0" w:line="170" w:lineRule="exact"/>
        <w:rPr>
          <w:rFonts w:ascii="Arial" w:cs="Arial" w:eastAsia="Arial" w:hAnsi="Arial"/>
          <w:sz w:val="18"/>
          <w:szCs w:val="18"/>
          <w:u w:val="single" w:color="auto"/>
          <w:color w:val="0000FF"/>
        </w:rPr>
      </w:pPr>
    </w:p>
    <w:p>
      <w:pPr>
        <w:ind w:left="4" w:right="200" w:firstLine="436"/>
        <w:spacing w:after="0" w:line="308" w:lineRule="auto"/>
        <w:tabs>
          <w:tab w:leader="none" w:pos="749" w:val="left"/>
        </w:tabs>
        <w:numPr>
          <w:ilvl w:val="1"/>
          <w:numId w:val="259"/>
        </w:numPr>
        <w:rPr>
          <w:rFonts w:ascii="Arial" w:cs="Arial" w:eastAsia="Arial" w:hAnsi="Arial"/>
          <w:sz w:val="17"/>
          <w:szCs w:val="17"/>
          <w:u w:val="single" w:color="auto"/>
          <w:color w:val="0000FF"/>
        </w:rPr>
      </w:pPr>
      <w:r>
        <w:rPr>
          <w:rFonts w:ascii="Arial" w:cs="Arial" w:eastAsia="Arial" w:hAnsi="Arial"/>
          <w:sz w:val="17"/>
          <w:szCs w:val="17"/>
          <w:color w:val="auto"/>
        </w:rPr>
        <w:t>(1) Crown Holdings may sell, convey or otherwise dispose of its Capital Stock that is held by Crown Holdings as treasury stock and (2) the Credit Parties and their Subsidiaries may sell, convey or otherwise dispose of any Capital Stock of an Unrestricted Entity;</w:t>
      </w:r>
    </w:p>
    <w:p>
      <w:pPr>
        <w:spacing w:after="0" w:line="146" w:lineRule="exact"/>
        <w:rPr>
          <w:rFonts w:ascii="Arial" w:cs="Arial" w:eastAsia="Arial" w:hAnsi="Arial"/>
          <w:sz w:val="17"/>
          <w:szCs w:val="17"/>
          <w:u w:val="single" w:color="auto"/>
          <w:color w:val="0000FF"/>
        </w:rPr>
      </w:pPr>
    </w:p>
    <w:p>
      <w:pPr>
        <w:ind w:left="704" w:hanging="264"/>
        <w:spacing w:after="0"/>
        <w:tabs>
          <w:tab w:leader="none" w:pos="704" w:val="left"/>
        </w:tabs>
        <w:numPr>
          <w:ilvl w:val="1"/>
          <w:numId w:val="259"/>
        </w:numPr>
        <w:rPr>
          <w:rFonts w:ascii="Arial" w:cs="Arial" w:eastAsia="Arial" w:hAnsi="Arial"/>
          <w:sz w:val="16"/>
          <w:szCs w:val="16"/>
          <w:u w:val="single" w:color="auto"/>
          <w:color w:val="0000FF"/>
        </w:rPr>
      </w:pPr>
      <w:r>
        <w:rPr>
          <w:rFonts w:ascii="Arial" w:cs="Arial" w:eastAsia="Arial" w:hAnsi="Arial"/>
          <w:sz w:val="16"/>
          <w:szCs w:val="16"/>
          <w:color w:val="auto"/>
        </w:rPr>
        <w:t>Crown Holdings and its Subsidiaries may issue, sell, assign, or dispose of any shares of Capital Stock of any Subsidiary of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-4556125</wp:posOffset>
            </wp:positionV>
            <wp:extent cx="13716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-3801745</wp:posOffset>
            </wp:positionV>
            <wp:extent cx="15430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-3596005</wp:posOffset>
            </wp:positionV>
            <wp:extent cx="15430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-3390265</wp:posOffset>
            </wp:positionV>
            <wp:extent cx="10287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874395</wp:posOffset>
            </wp:positionH>
            <wp:positionV relativeFrom="paragraph">
              <wp:posOffset>-3115945</wp:posOffset>
            </wp:positionV>
            <wp:extent cx="65976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-2087245</wp:posOffset>
            </wp:positionV>
            <wp:extent cx="13716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-1470025</wp:posOffset>
            </wp:positionV>
            <wp:extent cx="15430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-784225</wp:posOffset>
            </wp:positionV>
            <wp:extent cx="13716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-372745</wp:posOffset>
            </wp:positionV>
            <wp:extent cx="18859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6" w:lineRule="exact"/>
        <w:rPr>
          <w:sz w:val="20"/>
          <w:szCs w:val="20"/>
          <w:color w:val="auto"/>
        </w:rPr>
      </w:pPr>
    </w:p>
    <w:p>
      <w:pPr>
        <w:ind w:left="224" w:hanging="224"/>
        <w:spacing w:after="0"/>
        <w:tabs>
          <w:tab w:leader="none" w:pos="22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to Crown Holdings, (ii) to another Wholly-Owned Subsidiary of Crown Holdings, (iii) to qualify directors if required by any Requirement of Law,</w:t>
      </w:r>
    </w:p>
    <w:p>
      <w:pPr>
        <w:spacing w:after="0" w:line="20" w:lineRule="exact"/>
        <w:rPr>
          <w:rFonts w:ascii="Arial" w:cs="Arial" w:eastAsia="Arial" w:hAnsi="Arial"/>
          <w:sz w:val="17"/>
          <w:szCs w:val="17"/>
          <w:color w:val="auto"/>
        </w:rPr>
      </w:pPr>
    </w:p>
    <w:p>
      <w:pPr>
        <w:ind w:left="304" w:hanging="304"/>
        <w:spacing w:after="0"/>
        <w:tabs>
          <w:tab w:leader="none" w:pos="30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assignments pursuant to the Loan Documents, (v) pursuant to employee stock ownership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-259080</wp:posOffset>
            </wp:positionV>
            <wp:extent cx="15430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84"/>
          </w:cols>
          <w:pgMar w:left="436" w:top="274" w:right="479" w:bottom="1440" w:gutter="0" w:footer="0" w:header="0"/>
        </w:sectPr>
      </w:pPr>
    </w:p>
    <w:bookmarkStart w:id="328" w:name="page329"/>
    <w:bookmarkEnd w:id="328"/>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benefit plans in effect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(vi) so long as (x) after giving effect to such issuance, sale, assignment or disposal, Crown Holdings shall be in compliance with the financial covenant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(calculated on a Pro Forma Basis) as of the end of the most recent Test Period, and (y) no Borrower shall cease to be a Wholly-Owned Subsidiary in connection with such issuance, sale, assignment or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-700405</wp:posOffset>
            </wp:positionV>
            <wp:extent cx="596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-700405</wp:posOffset>
            </wp:positionV>
            <wp:extent cx="22288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-288925</wp:posOffset>
            </wp:positionV>
            <wp:extent cx="5143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-288925</wp:posOffset>
            </wp:positionV>
            <wp:extent cx="22288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4" w:lineRule="exact"/>
        <w:rPr>
          <w:sz w:val="20"/>
          <w:szCs w:val="20"/>
          <w:color w:val="auto"/>
        </w:rPr>
      </w:pPr>
    </w:p>
    <w:p>
      <w:pPr>
        <w:ind w:firstLine="436"/>
        <w:spacing w:after="0" w:line="255" w:lineRule="auto"/>
        <w:tabs>
          <w:tab w:leader="none" w:pos="695"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the Credit Parties and their Subsidiaries (1) may enter into licenses or sublicenses (or other grants of rights to use) granted or created by any Credit Party or any Subsidiary, which (A) do not interfere, individually or in the aggregate, in any material respect with the business of the Credit Parties and their Subsidiaries, taken as a whole, (B) are between or among Crown Holdings and/or its Subsidiaries or (C) 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192"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the Credit Parties and their Subsidiaries may make dispositions of owned or leased vehicles in the ordinary course of business;</w:t>
      </w:r>
    </w:p>
    <w:p>
      <w:pPr>
        <w:spacing w:after="0" w:line="225" w:lineRule="exact"/>
        <w:rPr>
          <w:rFonts w:ascii="Arial" w:cs="Arial" w:eastAsia="Arial" w:hAnsi="Arial"/>
          <w:sz w:val="18"/>
          <w:szCs w:val="18"/>
          <w:u w:val="single" w:color="auto"/>
          <w:color w:val="0000FF"/>
        </w:rPr>
      </w:pPr>
    </w:p>
    <w:p>
      <w:pPr>
        <w:ind w:right="40" w:firstLine="436"/>
        <w:spacing w:after="0" w:line="342" w:lineRule="auto"/>
        <w:tabs>
          <w:tab w:leader="none" w:pos="695" w:val="left"/>
        </w:tabs>
        <w:numPr>
          <w:ilvl w:val="0"/>
          <w:numId w:val="262"/>
        </w:numPr>
        <w:rPr>
          <w:rFonts w:ascii="Arial" w:cs="Arial" w:eastAsia="Arial" w:hAnsi="Arial"/>
          <w:sz w:val="16"/>
          <w:szCs w:val="16"/>
          <w:u w:val="single" w:color="auto"/>
          <w:color w:val="0000FF"/>
        </w:rPr>
      </w:pPr>
      <w:r>
        <w:rPr>
          <w:rFonts w:ascii="Arial" w:cs="Arial" w:eastAsia="Arial" w:hAnsi="Arial"/>
          <w:sz w:val="16"/>
          <w:szCs w:val="16"/>
          <w:color w:val="auto"/>
        </w:rPr>
        <w:t>the Credit Parties and their Subsidiaries may make dispositions resulting from any foreclosure, casualty or other insured damage to, or any taking under power of eminent domain or by condemnation or similar proceeding of, any property or asset of any Credit Party or any of its Subsidiaries;</w:t>
      </w:r>
    </w:p>
    <w:p>
      <w:pPr>
        <w:spacing w:after="0" w:line="123" w:lineRule="exact"/>
        <w:rPr>
          <w:rFonts w:ascii="Arial" w:cs="Arial" w:eastAsia="Arial" w:hAnsi="Arial"/>
          <w:sz w:val="16"/>
          <w:szCs w:val="16"/>
          <w:u w:val="single" w:color="auto"/>
          <w:color w:val="0000FF"/>
        </w:rPr>
      </w:pPr>
    </w:p>
    <w:p>
      <w:pPr>
        <w:ind w:right="380" w:firstLine="436"/>
        <w:spacing w:after="0" w:line="308" w:lineRule="auto"/>
        <w:tabs>
          <w:tab w:leader="none" w:pos="665" w:val="left"/>
        </w:tabs>
        <w:numPr>
          <w:ilvl w:val="0"/>
          <w:numId w:val="262"/>
        </w:numPr>
        <w:rPr>
          <w:rFonts w:ascii="Arial" w:cs="Arial" w:eastAsia="Arial" w:hAnsi="Arial"/>
          <w:sz w:val="17"/>
          <w:szCs w:val="17"/>
          <w:u w:val="single" w:color="auto"/>
          <w:color w:val="0000FF"/>
        </w:rPr>
      </w:pPr>
      <w:r>
        <w:rPr>
          <w:rFonts w:ascii="Arial" w:cs="Arial" w:eastAsia="Arial" w:hAnsi="Arial"/>
          <w:sz w:val="17"/>
          <w:szCs w:val="17"/>
          <w:color w:val="auto"/>
        </w:rPr>
        <w:t>the Credit Parties and their Subsidiaries may (i) permit to expire any option agreement in respect of personal property and (ii) surrender or waive contractual rights or settle, release or surrender any contract, tort or litigation claim in the ordinary course of business;</w:t>
      </w:r>
    </w:p>
    <w:p>
      <w:pPr>
        <w:spacing w:after="0" w:line="146" w:lineRule="exact"/>
        <w:rPr>
          <w:rFonts w:ascii="Arial" w:cs="Arial" w:eastAsia="Arial" w:hAnsi="Arial"/>
          <w:sz w:val="17"/>
          <w:szCs w:val="17"/>
          <w:u w:val="single" w:color="auto"/>
          <w:color w:val="0000FF"/>
        </w:rPr>
      </w:pPr>
    </w:p>
    <w:p>
      <w:pPr>
        <w:ind w:right="760" w:firstLine="436"/>
        <w:spacing w:after="0" w:line="342" w:lineRule="auto"/>
        <w:tabs>
          <w:tab w:leader="none" w:pos="675" w:val="left"/>
        </w:tabs>
        <w:numPr>
          <w:ilvl w:val="0"/>
          <w:numId w:val="262"/>
        </w:numPr>
        <w:rPr>
          <w:rFonts w:ascii="Arial" w:cs="Arial" w:eastAsia="Arial" w:hAnsi="Arial"/>
          <w:sz w:val="16"/>
          <w:szCs w:val="16"/>
          <w:u w:val="single" w:color="auto"/>
          <w:color w:val="0000FF"/>
        </w:rPr>
      </w:pPr>
      <w:r>
        <w:rPr>
          <w:rFonts w:ascii="Arial" w:cs="Arial" w:eastAsia="Arial" w:hAnsi="Arial"/>
          <w:sz w:val="16"/>
          <w:szCs w:val="16"/>
          <w:color w:val="auto"/>
        </w:rPr>
        <w:t>the Credit Parties and their Subsidiaries may dispose of non-core assets (including real estate assets) acquired in connection with any acquisition or other Investment permitted hereunder and consummated after the Incremental No. 2 and Third Amendment Effective Date;</w:t>
      </w:r>
    </w:p>
    <w:p>
      <w:pPr>
        <w:spacing w:after="0" w:line="123" w:lineRule="exact"/>
        <w:rPr>
          <w:rFonts w:ascii="Arial" w:cs="Arial" w:eastAsia="Arial" w:hAnsi="Arial"/>
          <w:sz w:val="16"/>
          <w:szCs w:val="16"/>
          <w:u w:val="single" w:color="auto"/>
          <w:color w:val="0000FF"/>
        </w:rPr>
      </w:pPr>
    </w:p>
    <w:p>
      <w:pPr>
        <w:ind w:left="660" w:hanging="224"/>
        <w:spacing w:after="0"/>
        <w:tabs>
          <w:tab w:leader="none" w:pos="660"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terminations or unwinds of Hedging Agreements;</w:t>
      </w:r>
    </w:p>
    <w:p>
      <w:pPr>
        <w:spacing w:after="0" w:line="225" w:lineRule="exact"/>
        <w:rPr>
          <w:rFonts w:ascii="Arial" w:cs="Arial" w:eastAsia="Arial" w:hAnsi="Arial"/>
          <w:sz w:val="18"/>
          <w:szCs w:val="18"/>
          <w:u w:val="single" w:color="auto"/>
          <w:color w:val="0000FF"/>
        </w:rPr>
      </w:pPr>
    </w:p>
    <w:p>
      <w:pPr>
        <w:ind w:right="320" w:firstLine="436"/>
        <w:spacing w:after="0" w:line="263" w:lineRule="auto"/>
        <w:tabs>
          <w:tab w:leader="none" w:pos="695"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183" w:lineRule="exact"/>
        <w:rPr>
          <w:rFonts w:ascii="Arial" w:cs="Arial" w:eastAsia="Arial" w:hAnsi="Arial"/>
          <w:sz w:val="18"/>
          <w:szCs w:val="18"/>
          <w:u w:val="single" w:color="auto"/>
          <w:color w:val="0000FF"/>
        </w:rPr>
      </w:pPr>
    </w:p>
    <w:p>
      <w:pPr>
        <w:ind w:right="60" w:firstLine="436"/>
        <w:spacing w:after="0" w:line="277" w:lineRule="auto"/>
        <w:tabs>
          <w:tab w:leader="none" w:pos="695"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dispositions made to comply with any order or any agency of the U.S. federal government, any state, authority or other regulatory body or any applicable Requirement of Law; and</w:t>
      </w:r>
    </w:p>
    <w:p>
      <w:pPr>
        <w:spacing w:after="0" w:line="170" w:lineRule="exact"/>
        <w:rPr>
          <w:rFonts w:ascii="Arial" w:cs="Arial" w:eastAsia="Arial" w:hAnsi="Arial"/>
          <w:sz w:val="18"/>
          <w:szCs w:val="18"/>
          <w:u w:val="single" w:color="auto"/>
          <w:color w:val="0000FF"/>
        </w:rPr>
      </w:pPr>
    </w:p>
    <w:p>
      <w:pPr>
        <w:ind w:right="60" w:firstLine="436"/>
        <w:spacing w:after="0" w:line="277" w:lineRule="auto"/>
        <w:tabs>
          <w:tab w:leader="none" w:pos="735" w:val="left"/>
        </w:tabs>
        <w:numPr>
          <w:ilvl w:val="0"/>
          <w:numId w:val="262"/>
        </w:numPr>
        <w:rPr>
          <w:rFonts w:ascii="Arial" w:cs="Arial" w:eastAsia="Arial" w:hAnsi="Arial"/>
          <w:sz w:val="18"/>
          <w:szCs w:val="18"/>
          <w:u w:val="single" w:color="auto"/>
          <w:color w:val="0000FF"/>
        </w:rPr>
      </w:pPr>
      <w:r>
        <w:rPr>
          <w:rFonts w:ascii="Arial" w:cs="Arial" w:eastAsia="Arial" w:hAnsi="Arial"/>
          <w:sz w:val="18"/>
          <w:szCs w:val="18"/>
          <w:color w:val="auto"/>
        </w:rPr>
        <w:t>exchanges or swaps, including transactions covered by Section 1031 of the Code (or any comparable provision of any foreign jurisdiction), of like property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-3851275</wp:posOffset>
            </wp:positionV>
            <wp:extent cx="15430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-2891155</wp:posOffset>
            </wp:positionV>
            <wp:extent cx="15430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-2616835</wp:posOffset>
            </wp:positionV>
            <wp:extent cx="154305"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-2205355</wp:posOffset>
            </wp:positionV>
            <wp:extent cx="13716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-1793875</wp:posOffset>
            </wp:positionV>
            <wp:extent cx="145415"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-1382395</wp:posOffset>
            </wp:positionV>
            <wp:extent cx="13716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-1108075</wp:posOffset>
            </wp:positionV>
            <wp:extent cx="15430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-559435</wp:posOffset>
            </wp:positionV>
            <wp:extent cx="15430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17970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the event the Required Lenders waive the provisions of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 respect to the sale of any Collateral, or any Collateral is sold as permitted by this </w:t>
      </w:r>
      <w:r>
        <w:rPr>
          <w:rFonts w:ascii="Arial" w:cs="Arial" w:eastAsia="Arial" w:hAnsi="Arial"/>
          <w:sz w:val="18"/>
          <w:szCs w:val="18"/>
          <w:u w:val="single" w:color="auto"/>
          <w:color w:val="auto"/>
        </w:rPr>
        <w:t>Section 8.5</w:t>
      </w:r>
      <w:r>
        <w:rPr>
          <w:rFonts w:ascii="Arial" w:cs="Arial" w:eastAsia="Arial" w:hAnsi="Arial"/>
          <w:sz w:val="18"/>
          <w:szCs w:val="18"/>
          <w:color w:val="auto"/>
        </w:rPr>
        <w:t>, such Collateral shall be sold free and 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00"/>
          </w:cols>
          <w:pgMar w:left="440" w:top="274" w:right="459" w:bottom="1440" w:gutter="0" w:footer="0" w:header="0"/>
        </w:sectPr>
      </w:pPr>
    </w:p>
    <w:bookmarkStart w:id="329" w:name="page330"/>
    <w:bookmarkEnd w:id="329"/>
    <w:p>
      <w:pPr>
        <w:ind w:left="4" w:right="2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8.6 </w:t>
      </w:r>
      <w:r>
        <w:rPr>
          <w:rFonts w:ascii="Arial" w:cs="Arial" w:eastAsia="Arial" w:hAnsi="Arial"/>
          <w:sz w:val="16"/>
          <w:szCs w:val="16"/>
          <w:u w:val="single" w:color="auto"/>
          <w:color w:val="auto"/>
        </w:rPr>
        <w:t>Sale and Leaseback Transactions</w:t>
      </w:r>
      <w:r>
        <w:rPr>
          <w:rFonts w:ascii="Arial" w:cs="Arial" w:eastAsia="Arial" w:hAnsi="Arial"/>
          <w:sz w:val="16"/>
          <w:szCs w:val="16"/>
          <w:color w:val="auto"/>
        </w:rPr>
        <w:t>. The Credit Parties will not, and will not permit any of their Subsidiaries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to the extent the Attributable Debt associated therewith is permitted by Section 8.1(a)(xvi).</w:t>
      </w:r>
    </w:p>
    <w:p>
      <w:pPr>
        <w:spacing w:after="0" w:line="4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Sale or Discount of Receivables</w:t>
      </w:r>
      <w:r>
        <w:rPr>
          <w:rFonts w:ascii="Arial" w:cs="Arial" w:eastAsia="Arial" w:hAnsi="Arial"/>
          <w:sz w:val="16"/>
          <w:szCs w:val="16"/>
          <w:color w:val="auto"/>
        </w:rPr>
        <w:t>. The Credit Parties will not, and will not permit any of their Subsidiaries to sell, with or without recourse, or discount or otherwise sell or transfer for less than the face value thereof, notes or accounts receivable, other than (a) in connection with a Permitted Receivables or Factoring Financing or (b) (i) sales and/or discounts, in each case without recourse (except (A) for customary representations, warranties, covenants and indemnities made in connection therewith, or (B) as is otherwise customary (as determined by Crown Holdings in good faith) for similar transactions in the applicable jurisdictions)) and in the ordinary course of business, any accounts receivable arising in the ordinary course of business</w:t>
      </w:r>
    </w:p>
    <w:p>
      <w:pPr>
        <w:spacing w:after="0" w:line="2" w:lineRule="exact"/>
        <w:rPr>
          <w:sz w:val="20"/>
          <w:szCs w:val="20"/>
          <w:color w:val="auto"/>
        </w:rPr>
      </w:pPr>
    </w:p>
    <w:p>
      <w:pPr>
        <w:ind w:left="4" w:right="60" w:hanging="4"/>
        <w:spacing w:after="0" w:line="281" w:lineRule="auto"/>
        <w:tabs>
          <w:tab w:leader="none" w:pos="25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which are 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 pursuant to any supply chain or similar arrangements), in each case without recourse (except (A) for customary representations, warranties, covenants and indemnities made in connection therewith, or (B) as is otherwise customary (as determined by Crown Holdings in good faith) for similar transactions in the applicable jurisdictions)), any receivables arising in the ordinary course of business; provided that</w:t>
      </w:r>
    </w:p>
    <w:p>
      <w:pPr>
        <w:spacing w:after="0" w:line="3" w:lineRule="exact"/>
        <w:rPr>
          <w:rFonts w:ascii="Arial" w:cs="Arial" w:eastAsia="Arial" w:hAnsi="Arial"/>
          <w:sz w:val="16"/>
          <w:szCs w:val="16"/>
          <w:color w:val="auto"/>
        </w:rPr>
      </w:pPr>
    </w:p>
    <w:p>
      <w:pPr>
        <w:ind w:left="4" w:right="220" w:hanging="4"/>
        <w:spacing w:after="0" w:line="255" w:lineRule="auto"/>
        <w:tabs>
          <w:tab w:leader="none" w:pos="25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sale, discount, contribution or other transfer does not otherwise meet the requirements set forth in the definition of “Permitted Receivables or Factoring Financing” and (y) all Receivables Net Investments shall not exceed the amount set forth in clause (iv) of the definition of “Permitted Receivables or Factoring Financing”.</w:t>
      </w:r>
    </w:p>
    <w:p>
      <w:pPr>
        <w:spacing w:after="0" w:line="82"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Credit Parties will not, and will not permit any of their Subsidiaries to, declare or make, or agree to pay or make, directly or indirectly, any Restricted Payment, or incur any obligation (contingent or otherwise) to do so, except:</w:t>
      </w:r>
    </w:p>
    <w:p>
      <w:pPr>
        <w:spacing w:after="0" w:line="170" w:lineRule="exact"/>
        <w:rPr>
          <w:sz w:val="20"/>
          <w:szCs w:val="20"/>
          <w:color w:val="auto"/>
        </w:rPr>
      </w:pPr>
    </w:p>
    <w:p>
      <w:pPr>
        <w:ind w:left="684" w:hanging="244"/>
        <w:spacing w:after="0"/>
        <w:tabs>
          <w:tab w:leader="none" w:pos="684"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color w:val="auto"/>
        </w:rPr>
        <w:t>Subsidiaries may declare and pay dividends ratably with respect to their Capital Stock and repurchase their Capital Stock ratably;</w:t>
      </w:r>
    </w:p>
    <w:p>
      <w:pPr>
        <w:spacing w:after="0" w:line="117" w:lineRule="exact"/>
        <w:rPr>
          <w:rFonts w:ascii="Arial" w:cs="Arial" w:eastAsia="Arial" w:hAnsi="Arial"/>
          <w:sz w:val="18"/>
          <w:szCs w:val="18"/>
          <w:u w:val="single" w:color="auto"/>
          <w:color w:val="0000FF"/>
        </w:rPr>
      </w:pPr>
    </w:p>
    <w:p>
      <w:pPr>
        <w:ind w:left="704" w:hanging="264"/>
        <w:spacing w:after="0"/>
        <w:tabs>
          <w:tab w:leader="none" w:pos="704"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color w:val="auto"/>
        </w:rPr>
        <w:t>Crown Holdings may pay dividends consisting solely of shares of its common stock;</w:t>
      </w:r>
    </w:p>
    <w:p>
      <w:pPr>
        <w:spacing w:after="0" w:line="117" w:lineRule="exact"/>
        <w:rPr>
          <w:rFonts w:ascii="Arial" w:cs="Arial" w:eastAsia="Arial" w:hAnsi="Arial"/>
          <w:sz w:val="18"/>
          <w:szCs w:val="18"/>
          <w:u w:val="single" w:color="auto"/>
          <w:color w:val="0000FF"/>
        </w:rPr>
      </w:pPr>
    </w:p>
    <w:p>
      <w:pPr>
        <w:ind w:left="684" w:hanging="244"/>
        <w:spacing w:after="0"/>
        <w:tabs>
          <w:tab w:leader="none" w:pos="684"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color w:val="auto"/>
        </w:rPr>
        <w:t xml:space="preserve">purchases of Capital Stock of non-Wholly-Owned Subsidiaries as permitted by </w:t>
      </w:r>
      <w:r>
        <w:rPr>
          <w:rFonts w:ascii="Arial" w:cs="Arial" w:eastAsia="Arial" w:hAnsi="Arial"/>
          <w:sz w:val="18"/>
          <w:szCs w:val="18"/>
          <w:u w:val="single" w:color="auto"/>
          <w:color w:val="auto"/>
        </w:rPr>
        <w:t>Section 8.4(m)</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ind w:left="704" w:hanging="264"/>
        <w:spacing w:after="0"/>
        <w:tabs>
          <w:tab w:leader="none" w:pos="704"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117" w:lineRule="exact"/>
        <w:rPr>
          <w:rFonts w:ascii="Arial" w:cs="Arial" w:eastAsia="Arial" w:hAnsi="Arial"/>
          <w:sz w:val="18"/>
          <w:szCs w:val="18"/>
          <w:u w:val="single" w:color="auto"/>
          <w:color w:val="0000FF"/>
        </w:rPr>
      </w:pPr>
    </w:p>
    <w:p>
      <w:pPr>
        <w:ind w:left="4" w:right="140" w:firstLine="436"/>
        <w:spacing w:after="0" w:line="257" w:lineRule="auto"/>
        <w:tabs>
          <w:tab w:leader="none" w:pos="689" w:val="left"/>
        </w:tabs>
        <w:numPr>
          <w:ilvl w:val="0"/>
          <w:numId w:val="265"/>
        </w:numPr>
        <w:rPr>
          <w:rFonts w:ascii="Arial" w:cs="Arial" w:eastAsia="Arial" w:hAnsi="Arial"/>
          <w:sz w:val="18"/>
          <w:szCs w:val="18"/>
          <w:u w:val="single" w:color="auto"/>
          <w:color w:val="0000FF"/>
        </w:rPr>
      </w:pPr>
      <w:r>
        <w:rPr>
          <w:rFonts w:ascii="Arial" w:cs="Arial" w:eastAsia="Arial" w:hAnsi="Arial"/>
          <w:sz w:val="18"/>
          <w:szCs w:val="18"/>
          <w:color w:val="auto"/>
        </w:rPr>
        <w:t>the purchase, redemption or other acquisition or retirement for value of any Capital Stock (or any options or warrants or stock appreciation rights issued with respect to any of such Capital Stock) of Crown Holdings held (x) by current or former employees, officers, managers or directors (or any spouse, former spouse, successor, executor, administrator, heir, legatee or distributee of any of the foregoing) of Crown Holdings or any of its Subsidiaries upon the death, disability, retirement or termination of employment or services of such Person or otherwise in accordance with 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-1370965</wp:posOffset>
            </wp:positionV>
            <wp:extent cx="15430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-1165225</wp:posOffset>
            </wp:positionV>
            <wp:extent cx="15430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-959485</wp:posOffset>
            </wp:positionV>
            <wp:extent cx="15430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-753745</wp:posOffset>
            </wp:positionV>
            <wp:extent cx="15430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-548005</wp:posOffset>
            </wp:positionV>
            <wp:extent cx="15430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04"/>
          </w:cols>
          <w:pgMar w:left="436" w:top="274" w:right="459"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subscription agreement, stock option agreement or similar agreement or plan or (y) for matching contributions to otherwise meet the needs of 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employee stock purchase, deferred compensation, 401(k) and other employee benefit plans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price paid (net of employee contributions) for all such purchased, redeemed, acquired or retired Capital Stock shall not exceed the sum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$25,000,000 in any Fiscal Year;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permitted amount of purchased, redeemed, acquired or retired Capital Stock may be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Fiscal Year by carrying forward any unused amount from the immediately preceding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permitted amount shall be deemed to be made first with respect to the applicable limitation for such Fiscal Year and then with respect to any carry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forward (such carry forward to be limited solely to the immediately preceding Fiscal Year) to the extent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Restricted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 that would cause or result in a “</w:t>
      </w:r>
      <w:r>
        <w:rPr>
          <w:rFonts w:ascii="Arial" w:cs="Arial" w:eastAsia="Arial" w:hAnsi="Arial"/>
          <w:sz w:val="17"/>
          <w:szCs w:val="17"/>
          <w:u w:val="single" w:color="auto"/>
          <w:color w:val="auto"/>
        </w:rPr>
        <w:t>Default</w:t>
      </w:r>
      <w:r>
        <w:rPr>
          <w:rFonts w:ascii="Arial" w:cs="Arial" w:eastAsia="Arial" w:hAnsi="Arial"/>
          <w:sz w:val="17"/>
          <w:szCs w:val="17"/>
          <w:color w:val="auto"/>
        </w:rPr>
        <w:t>” or “</w:t>
      </w:r>
      <w:r>
        <w:rPr>
          <w:rFonts w:ascii="Arial" w:cs="Arial" w:eastAsia="Arial" w:hAnsi="Arial"/>
          <w:sz w:val="17"/>
          <w:szCs w:val="17"/>
          <w:u w:val="single" w:color="auto"/>
          <w:color w:val="auto"/>
        </w:rPr>
        <w:t>Event of Default</w:t>
      </w:r>
      <w:r>
        <w:rPr>
          <w:rFonts w:ascii="Arial" w:cs="Arial" w:eastAsia="Arial" w:hAnsi="Arial"/>
          <w:sz w:val="17"/>
          <w:szCs w:val="17"/>
          <w:color w:val="auto"/>
        </w:rPr>
        <w:t>” as defined in any Public Debt Document shall not be permitted under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clause (e);</w:t>
      </w:r>
    </w:p>
    <w:p>
      <w:pPr>
        <w:spacing w:after="0" w:line="103" w:lineRule="exact"/>
        <w:rPr>
          <w:sz w:val="20"/>
          <w:szCs w:val="20"/>
          <w:color w:val="auto"/>
        </w:rPr>
      </w:pPr>
    </w:p>
    <w:p>
      <w:pPr>
        <w:ind w:right="240" w:firstLine="436"/>
        <w:spacing w:after="0" w:line="279" w:lineRule="auto"/>
        <w:tabs>
          <w:tab w:leader="none" w:pos="665" w:val="left"/>
        </w:tabs>
        <w:numPr>
          <w:ilvl w:val="0"/>
          <w:numId w:val="266"/>
        </w:numPr>
        <w:rPr>
          <w:rFonts w:ascii="Arial" w:cs="Arial" w:eastAsia="Arial" w:hAnsi="Arial"/>
          <w:sz w:val="17"/>
          <w:szCs w:val="17"/>
          <w:u w:val="single" w:color="auto"/>
          <w:color w:val="0000FF"/>
        </w:rPr>
      </w:pPr>
      <w:r>
        <w:rPr>
          <w:rFonts w:ascii="Arial" w:cs="Arial" w:eastAsia="Arial" w:hAnsi="Arial"/>
          <w:sz w:val="17"/>
          <w:szCs w:val="17"/>
          <w:color w:val="auto"/>
        </w:rPr>
        <w:t>Crown Holdings or any Subsidiary may make repurchases of Capital Stock by Crown Holdings or any Subsidiary deemed to occur upon the withholding of a portion of the Capital Stock granted or awarded to a current or former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63" w:lineRule="exact"/>
        <w:rPr>
          <w:rFonts w:ascii="Arial" w:cs="Arial" w:eastAsia="Arial" w:hAnsi="Arial"/>
          <w:sz w:val="17"/>
          <w:szCs w:val="17"/>
          <w:u w:val="single" w:color="auto"/>
          <w:color w:val="0000FF"/>
        </w:rPr>
      </w:pPr>
    </w:p>
    <w:p>
      <w:pPr>
        <w:ind w:left="700" w:hanging="264"/>
        <w:spacing w:after="0"/>
        <w:tabs>
          <w:tab w:leader="none" w:pos="700" w:val="left"/>
        </w:tabs>
        <w:numPr>
          <w:ilvl w:val="0"/>
          <w:numId w:val="266"/>
        </w:numPr>
        <w:rPr>
          <w:rFonts w:ascii="Arial" w:cs="Arial" w:eastAsia="Arial" w:hAnsi="Arial"/>
          <w:sz w:val="18"/>
          <w:szCs w:val="18"/>
          <w:u w:val="single" w:color="auto"/>
          <w:color w:val="0000FF"/>
        </w:rPr>
      </w:pPr>
      <w:r>
        <w:rPr>
          <w:rFonts w:ascii="Arial" w:cs="Arial" w:eastAsia="Arial" w:hAnsi="Arial"/>
          <w:sz w:val="18"/>
          <w:szCs w:val="18"/>
          <w:color w:val="auto"/>
        </w:rPr>
        <w:t>[reserved];</w:t>
      </w:r>
    </w:p>
    <w:p>
      <w:pPr>
        <w:spacing w:after="0" w:line="117" w:lineRule="exact"/>
        <w:rPr>
          <w:rFonts w:ascii="Arial" w:cs="Arial" w:eastAsia="Arial" w:hAnsi="Arial"/>
          <w:sz w:val="18"/>
          <w:szCs w:val="18"/>
          <w:u w:val="single" w:color="auto"/>
          <w:color w:val="0000FF"/>
        </w:rPr>
      </w:pPr>
    </w:p>
    <w:p>
      <w:pPr>
        <w:ind w:right="620" w:firstLine="436"/>
        <w:spacing w:after="0" w:line="308" w:lineRule="auto"/>
        <w:tabs>
          <w:tab w:leader="none" w:pos="695" w:val="left"/>
        </w:tabs>
        <w:numPr>
          <w:ilvl w:val="0"/>
          <w:numId w:val="266"/>
        </w:numPr>
        <w:rPr>
          <w:rFonts w:ascii="Arial" w:cs="Arial" w:eastAsia="Arial" w:hAnsi="Arial"/>
          <w:sz w:val="17"/>
          <w:szCs w:val="17"/>
          <w:u w:val="single" w:color="auto"/>
          <w:color w:val="0000FF"/>
        </w:rPr>
      </w:pPr>
      <w:r>
        <w:rPr>
          <w:rFonts w:ascii="Arial" w:cs="Arial" w:eastAsia="Arial" w:hAnsi="Arial"/>
          <w:sz w:val="17"/>
          <w:szCs w:val="17"/>
          <w:color w:val="auto"/>
        </w:rPr>
        <w:t>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38" w:lineRule="exact"/>
        <w:rPr>
          <w:rFonts w:ascii="Arial" w:cs="Arial" w:eastAsia="Arial" w:hAnsi="Arial"/>
          <w:sz w:val="17"/>
          <w:szCs w:val="17"/>
          <w:u w:val="single" w:color="auto"/>
          <w:color w:val="0000FF"/>
        </w:rPr>
      </w:pPr>
    </w:p>
    <w:p>
      <w:pPr>
        <w:ind w:right="140" w:firstLine="436"/>
        <w:spacing w:after="0" w:line="259" w:lineRule="auto"/>
        <w:tabs>
          <w:tab w:leader="none" w:pos="655" w:val="left"/>
        </w:tabs>
        <w:numPr>
          <w:ilvl w:val="0"/>
          <w:numId w:val="266"/>
        </w:numPr>
        <w:rPr>
          <w:rFonts w:ascii="Arial" w:cs="Arial" w:eastAsia="Arial" w:hAnsi="Arial"/>
          <w:sz w:val="18"/>
          <w:szCs w:val="18"/>
          <w:u w:val="single" w:color="auto"/>
          <w:color w:val="0000FF"/>
        </w:rPr>
      </w:pPr>
      <w:r>
        <w:rPr>
          <w:rFonts w:ascii="Arial" w:cs="Arial" w:eastAsia="Arial" w:hAnsi="Arial"/>
          <w:sz w:val="18"/>
          <w:szCs w:val="18"/>
          <w:color w:val="auto"/>
        </w:rPr>
        <w:t>Crown Holdings or any Subsidiary may (i) pay cash in lieu of fractional Capital Stock in connection with any dividend and (ii) honor any conversion request by a holder of convertible Indebtedness or securities convertible into or exchangeable for Capital Stock and make cash payments in lieu of fractional shares in connection with any such conversion and may make payments on convertible Indebtedness or securities convertible into or exchangeable for Capital Stock in accordance with its terms;</w:t>
      </w:r>
    </w:p>
    <w:p>
      <w:pPr>
        <w:spacing w:after="0" w:line="78" w:lineRule="exact"/>
        <w:rPr>
          <w:rFonts w:ascii="Arial" w:cs="Arial" w:eastAsia="Arial" w:hAnsi="Arial"/>
          <w:sz w:val="18"/>
          <w:szCs w:val="18"/>
          <w:u w:val="single" w:color="auto"/>
          <w:color w:val="0000FF"/>
        </w:rPr>
      </w:pPr>
    </w:p>
    <w:p>
      <w:pPr>
        <w:jc w:val="both"/>
        <w:ind w:right="140" w:firstLine="436"/>
        <w:spacing w:after="0" w:line="263" w:lineRule="auto"/>
        <w:tabs>
          <w:tab w:leader="none" w:pos="655" w:val="left"/>
        </w:tabs>
        <w:numPr>
          <w:ilvl w:val="0"/>
          <w:numId w:val="266"/>
        </w:numPr>
        <w:rPr>
          <w:rFonts w:ascii="Arial" w:cs="Arial" w:eastAsia="Arial" w:hAnsi="Arial"/>
          <w:sz w:val="18"/>
          <w:szCs w:val="18"/>
          <w:u w:val="single" w:color="auto"/>
          <w:color w:val="0000FF"/>
        </w:rPr>
      </w:pPr>
      <w:r>
        <w:rPr>
          <w:rFonts w:ascii="Arial" w:cs="Arial" w:eastAsia="Arial" w:hAnsi="Arial"/>
          <w:sz w:val="18"/>
          <w:szCs w:val="18"/>
          <w:color w:val="auto"/>
        </w:rPr>
        <w:t xml:space="preserve">so long as no Event of Default or Unmatured Event of Default has occurred and is continuing or would result therefrom, Crown Holdings and its Subsidiaries may declare and pay dividends to holders of any class or series of Disqualified Preferred Stock issued pursuant to </w:t>
      </w:r>
      <w:r>
        <w:rPr>
          <w:rFonts w:ascii="Arial" w:cs="Arial" w:eastAsia="Arial" w:hAnsi="Arial"/>
          <w:sz w:val="18"/>
          <w:szCs w:val="18"/>
          <w:u w:val="single" w:color="auto"/>
          <w:color w:val="auto"/>
        </w:rPr>
        <w:t>Section 8.1(a)(xxvi)</w:t>
      </w:r>
      <w:r>
        <w:rPr>
          <w:rFonts w:ascii="Arial" w:cs="Arial" w:eastAsia="Arial" w:hAnsi="Arial"/>
          <w:sz w:val="18"/>
          <w:szCs w:val="18"/>
          <w:color w:val="auto"/>
        </w:rPr>
        <w:t xml:space="preserve">; provided that such dividends shall not violate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Preferred Stock”;</w:t>
      </w:r>
    </w:p>
    <w:p>
      <w:pPr>
        <w:spacing w:after="0" w:line="75" w:lineRule="exact"/>
        <w:rPr>
          <w:rFonts w:ascii="Arial" w:cs="Arial" w:eastAsia="Arial" w:hAnsi="Arial"/>
          <w:sz w:val="18"/>
          <w:szCs w:val="18"/>
          <w:u w:val="single" w:color="auto"/>
          <w:color w:val="0000FF"/>
        </w:rPr>
      </w:pPr>
    </w:p>
    <w:p>
      <w:pPr>
        <w:jc w:val="both"/>
        <w:ind w:right="80" w:firstLine="436"/>
        <w:spacing w:after="0" w:line="263" w:lineRule="auto"/>
        <w:tabs>
          <w:tab w:leader="none" w:pos="695" w:val="left"/>
        </w:tabs>
        <w:numPr>
          <w:ilvl w:val="0"/>
          <w:numId w:val="266"/>
        </w:numPr>
        <w:rPr>
          <w:rFonts w:ascii="Arial" w:cs="Arial" w:eastAsia="Arial" w:hAnsi="Arial"/>
          <w:sz w:val="18"/>
          <w:szCs w:val="18"/>
          <w:u w:val="single" w:color="auto"/>
          <w:color w:val="0000FF"/>
        </w:rPr>
      </w:pPr>
      <w:r>
        <w:rPr>
          <w:rFonts w:ascii="Arial" w:cs="Arial" w:eastAsia="Arial" w:hAnsi="Arial"/>
          <w:sz w:val="18"/>
          <w:szCs w:val="18"/>
          <w:color w:val="auto"/>
        </w:rPr>
        <w:t>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75" w:lineRule="exact"/>
        <w:rPr>
          <w:rFonts w:ascii="Arial" w:cs="Arial" w:eastAsia="Arial" w:hAnsi="Arial"/>
          <w:sz w:val="18"/>
          <w:szCs w:val="18"/>
          <w:u w:val="single" w:color="auto"/>
          <w:color w:val="0000FF"/>
        </w:rPr>
      </w:pPr>
    </w:p>
    <w:p>
      <w:pPr>
        <w:ind w:right="140" w:firstLine="436"/>
        <w:spacing w:after="0" w:line="308" w:lineRule="auto"/>
        <w:tabs>
          <w:tab w:leader="none" w:pos="655" w:val="left"/>
        </w:tabs>
        <w:numPr>
          <w:ilvl w:val="0"/>
          <w:numId w:val="266"/>
        </w:numPr>
        <w:rPr>
          <w:rFonts w:ascii="Arial" w:cs="Arial" w:eastAsia="Arial" w:hAnsi="Arial"/>
          <w:sz w:val="17"/>
          <w:szCs w:val="17"/>
          <w:u w:val="single" w:color="auto"/>
          <w:color w:val="0000FF"/>
        </w:rPr>
      </w:pPr>
      <w:r>
        <w:rPr>
          <w:rFonts w:ascii="Arial" w:cs="Arial" w:eastAsia="Arial" w:hAnsi="Arial"/>
          <w:sz w:val="17"/>
          <w:szCs w:val="17"/>
          <w:color w:val="auto"/>
        </w:rPr>
        <w:t xml:space="preserve">to the extent constituting a Restricted Payment, Crown Holdings and each Subsidiary may consummate any transaction, and pay any amounts permitted under or in respect of any such transaction, permitted by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8.4(x))</w:t>
      </w:r>
      <w:r>
        <w:rPr>
          <w:rFonts w:ascii="Arial" w:cs="Arial" w:eastAsia="Arial" w:hAnsi="Arial"/>
          <w:sz w:val="17"/>
          <w:szCs w:val="17"/>
          <w:color w:val="auto"/>
        </w:rPr>
        <w:t>;</w:t>
      </w:r>
    </w:p>
    <w:p>
      <w:pPr>
        <w:spacing w:after="0" w:line="38" w:lineRule="exact"/>
        <w:rPr>
          <w:rFonts w:ascii="Arial" w:cs="Arial" w:eastAsia="Arial" w:hAnsi="Arial"/>
          <w:sz w:val="17"/>
          <w:szCs w:val="17"/>
          <w:u w:val="single" w:color="auto"/>
          <w:color w:val="0000FF"/>
        </w:rPr>
      </w:pPr>
    </w:p>
    <w:p>
      <w:pPr>
        <w:ind w:right="20" w:firstLine="436"/>
        <w:spacing w:after="0" w:line="286" w:lineRule="auto"/>
        <w:tabs>
          <w:tab w:leader="none" w:pos="745" w:val="left"/>
        </w:tabs>
        <w:numPr>
          <w:ilvl w:val="0"/>
          <w:numId w:val="266"/>
        </w:numPr>
        <w:rPr>
          <w:rFonts w:ascii="Arial" w:cs="Arial" w:eastAsia="Arial" w:hAnsi="Arial"/>
          <w:sz w:val="17"/>
          <w:szCs w:val="17"/>
          <w:u w:val="single" w:color="auto"/>
          <w:color w:val="0000FF"/>
        </w:rPr>
      </w:pPr>
      <w:r>
        <w:rPr>
          <w:rFonts w:ascii="Arial" w:cs="Arial" w:eastAsia="Arial" w:hAnsi="Arial"/>
          <w:sz w:val="17"/>
          <w:szCs w:val="17"/>
          <w:color w:val="auto"/>
        </w:rPr>
        <w:t xml:space="preserve">Crown Holdings and its Subsidiaries may make Restricted Payments from and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in an aggregate amount not to exceed the Available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 of the date on which such Restricted Payments are made and after giving effect to the making of such Restricted Payments, no Event of Default would exist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-3374390</wp:posOffset>
            </wp:positionV>
            <wp:extent cx="13716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-2757170</wp:posOffset>
            </wp:positionV>
            <wp:extent cx="15430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-2551430</wp:posOffset>
            </wp:positionV>
            <wp:extent cx="15430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-2208530</wp:posOffset>
            </wp:positionV>
            <wp:extent cx="10287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-1591310</wp:posOffset>
            </wp:positionV>
            <wp:extent cx="13716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-1111250</wp:posOffset>
            </wp:positionV>
            <wp:extent cx="15430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-631190</wp:posOffset>
            </wp:positionV>
            <wp:extent cx="13716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-288290</wp:posOffset>
            </wp:positionV>
            <wp:extent cx="18859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-288290</wp:posOffset>
            </wp:positionV>
            <wp:extent cx="6032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-288290</wp:posOffset>
            </wp:positionV>
            <wp:extent cx="22288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00"/>
          </w:cols>
          <w:pgMar w:left="440" w:top="274" w:right="459" w:bottom="1440" w:gutter="0" w:footer="0" w:header="0"/>
        </w:sectPr>
      </w:pPr>
    </w:p>
    <w:bookmarkStart w:id="331" w:name="page332"/>
    <w:bookmarkEnd w:id="331"/>
    <w:p>
      <w:pPr>
        <w:ind w:right="60" w:firstLine="436"/>
        <w:spacing w:after="0" w:line="257" w:lineRule="auto"/>
        <w:tabs>
          <w:tab w:leader="none" w:pos="695" w:val="left"/>
        </w:tabs>
        <w:numPr>
          <w:ilvl w:val="0"/>
          <w:numId w:val="267"/>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Restricted Payments not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of the date on which such Restricted Payments are made and after giving effect to the making of such Restricted Payments on a Pro Forma Basis for the period of four Fiscal Quarters for which financial statements have been delivered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immediately preceding the date on which such Restricted Payments is made, (i) no Event of Default would exist hereunder and (ii) the Total Leverage Ratio shall not be greater than (x) prior to December 31, </w:t>
      </w:r>
      <w:r>
        <w:rPr>
          <w:rFonts w:ascii="Arial" w:cs="Arial" w:eastAsia="Arial" w:hAnsi="Arial"/>
          <w:sz w:val="18"/>
          <w:szCs w:val="18"/>
          <w:color w:val="FF0000"/>
          <w:strike w:val="1"/>
        </w:rPr>
        <w:t>2022</w:t>
      </w:r>
      <w:r>
        <w:rPr>
          <w:rFonts w:ascii="Arial" w:cs="Arial" w:eastAsia="Arial" w:hAnsi="Arial"/>
          <w:sz w:val="18"/>
          <w:szCs w:val="18"/>
          <w:u w:val="single" w:color="auto"/>
          <w:color w:val="0000FF"/>
        </w:rPr>
        <w:t>2023</w:t>
      </w:r>
      <w:r>
        <w:rPr>
          <w:rFonts w:ascii="Arial" w:cs="Arial" w:eastAsia="Arial" w:hAnsi="Arial"/>
          <w:sz w:val="18"/>
          <w:szCs w:val="18"/>
          <w:color w:val="auto"/>
        </w:rPr>
        <w:t>, 5.00 to 1.00 and (y) thereafter, 4.50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15430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-136525</wp:posOffset>
            </wp:positionV>
            <wp:extent cx="23177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6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Notwithstanding the foregoing, (i) Crown Holdings may pay dividends within 60 days after the date of declaration thereof if at such date of declaration such dividend would have complied with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and (ii) any Wholly-Owned Subsidiary may purchase, redeem or otherwise acquire or exchange its Capital Stock for the Capital Stock of another Wholly-Owned Subsidiary.</w:t>
      </w:r>
    </w:p>
    <w:p>
      <w:pPr>
        <w:spacing w:after="0" w:line="76"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The Credit Parties will not, and will not permit any of their Subsidiaries to sell, lease or otherwise transfer any property or assets to, or purchase, lease or otherwise acquire any property or assets from, or otherwise engage in any other transactions with, any of its Affiliates, in any case, to the extent that such transaction involves payments in excess of $25,000,000, except:</w:t>
      </w:r>
    </w:p>
    <w:p>
      <w:pPr>
        <w:spacing w:after="0" w:line="57" w:lineRule="exact"/>
        <w:rPr>
          <w:sz w:val="20"/>
          <w:szCs w:val="20"/>
          <w:color w:val="auto"/>
        </w:rPr>
      </w:pPr>
    </w:p>
    <w:p>
      <w:pPr>
        <w:ind w:right="40" w:firstLine="436"/>
        <w:spacing w:after="0" w:line="263" w:lineRule="auto"/>
        <w:tabs>
          <w:tab w:leader="none" w:pos="685" w:val="left"/>
        </w:tabs>
        <w:numPr>
          <w:ilvl w:val="0"/>
          <w:numId w:val="268"/>
        </w:numPr>
        <w:rPr>
          <w:rFonts w:ascii="Arial" w:cs="Arial" w:eastAsia="Arial" w:hAnsi="Arial"/>
          <w:sz w:val="18"/>
          <w:szCs w:val="18"/>
          <w:u w:val="single" w:color="auto"/>
          <w:color w:val="0000FF"/>
        </w:rPr>
      </w:pPr>
      <w:r>
        <w:rPr>
          <w:rFonts w:ascii="Arial" w:cs="Arial" w:eastAsia="Arial" w:hAnsi="Arial"/>
          <w:sz w:val="18"/>
          <w:szCs w:val="18"/>
          <w:color w:val="auto"/>
        </w:rPr>
        <w:t>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75" w:lineRule="exact"/>
        <w:rPr>
          <w:rFonts w:ascii="Arial" w:cs="Arial" w:eastAsia="Arial" w:hAnsi="Arial"/>
          <w:sz w:val="18"/>
          <w:szCs w:val="18"/>
          <w:u w:val="single" w:color="auto"/>
          <w:color w:val="0000FF"/>
        </w:rPr>
      </w:pPr>
    </w:p>
    <w:p>
      <w:pPr>
        <w:ind w:right="400" w:firstLine="436"/>
        <w:spacing w:after="0" w:line="277" w:lineRule="auto"/>
        <w:tabs>
          <w:tab w:leader="none" w:pos="695" w:val="left"/>
        </w:tabs>
        <w:numPr>
          <w:ilvl w:val="0"/>
          <w:numId w:val="268"/>
        </w:numPr>
        <w:rPr>
          <w:rFonts w:ascii="Arial" w:cs="Arial" w:eastAsia="Arial" w:hAnsi="Arial"/>
          <w:sz w:val="18"/>
          <w:szCs w:val="18"/>
          <w:u w:val="single" w:color="auto"/>
          <w:color w:val="0000FF"/>
        </w:rPr>
      </w:pPr>
      <w:r>
        <w:rPr>
          <w:rFonts w:ascii="Arial" w:cs="Arial" w:eastAsia="Arial" w:hAnsi="Arial"/>
          <w:sz w:val="18"/>
          <w:szCs w:val="18"/>
          <w:color w:val="auto"/>
        </w:rPr>
        <w:t>transactions between or among the Credit Parties not involving any other Affiliate and transactions among Subsidiaries not involving any Credit Party;</w:t>
      </w:r>
    </w:p>
    <w:p>
      <w:pPr>
        <w:spacing w:after="0" w:line="62" w:lineRule="exact"/>
        <w:rPr>
          <w:rFonts w:ascii="Arial" w:cs="Arial" w:eastAsia="Arial" w:hAnsi="Arial"/>
          <w:sz w:val="18"/>
          <w:szCs w:val="18"/>
          <w:u w:val="single" w:color="auto"/>
          <w:color w:val="0000FF"/>
        </w:rPr>
      </w:pPr>
    </w:p>
    <w:p>
      <w:pPr>
        <w:ind w:right="280" w:firstLine="436"/>
        <w:spacing w:after="0" w:line="263" w:lineRule="auto"/>
        <w:tabs>
          <w:tab w:leader="none" w:pos="685" w:val="left"/>
        </w:tabs>
        <w:numPr>
          <w:ilvl w:val="0"/>
          <w:numId w:val="268"/>
        </w:numPr>
        <w:rPr>
          <w:rFonts w:ascii="Arial" w:cs="Arial" w:eastAsia="Arial" w:hAnsi="Arial"/>
          <w:sz w:val="18"/>
          <w:szCs w:val="18"/>
          <w:u w:val="single" w:color="auto"/>
          <w:color w:val="0000FF"/>
        </w:rPr>
      </w:pPr>
      <w:r>
        <w:rPr>
          <w:rFonts w:ascii="Arial" w:cs="Arial" w:eastAsia="Arial" w:hAnsi="Arial"/>
          <w:sz w:val="18"/>
          <w:szCs w:val="18"/>
          <w:color w:val="auto"/>
        </w:rPr>
        <w:t>customary fees, expenses, compensation (including bonuses), and other benefits and incentive arrangements (including retirement, health, stock option and other benefit plans) paid or provided to, and any indemnity provided on behalf of, current or former officers, directors, managers or employees of Crown Holdings or any Subsidiary;</w:t>
      </w:r>
    </w:p>
    <w:p>
      <w:pPr>
        <w:spacing w:after="0" w:line="75" w:lineRule="exact"/>
        <w:rPr>
          <w:rFonts w:ascii="Arial" w:cs="Arial" w:eastAsia="Arial" w:hAnsi="Arial"/>
          <w:sz w:val="18"/>
          <w:szCs w:val="18"/>
          <w:u w:val="single" w:color="auto"/>
          <w:color w:val="0000FF"/>
        </w:rPr>
      </w:pPr>
    </w:p>
    <w:p>
      <w:pPr>
        <w:ind w:right="580" w:firstLine="436"/>
        <w:spacing w:after="0" w:line="277" w:lineRule="auto"/>
        <w:tabs>
          <w:tab w:leader="none" w:pos="695" w:val="left"/>
        </w:tabs>
        <w:numPr>
          <w:ilvl w:val="0"/>
          <w:numId w:val="268"/>
        </w:numPr>
        <w:rPr>
          <w:rFonts w:ascii="Arial" w:cs="Arial" w:eastAsia="Arial" w:hAnsi="Arial"/>
          <w:sz w:val="18"/>
          <w:szCs w:val="18"/>
          <w:u w:val="single" w:color="auto"/>
          <w:color w:val="0000FF"/>
        </w:rPr>
      </w:pPr>
      <w:r>
        <w:rPr>
          <w:rFonts w:ascii="Arial" w:cs="Arial" w:eastAsia="Arial" w:hAnsi="Arial"/>
          <w:sz w:val="18"/>
          <w:szCs w:val="18"/>
          <w:color w:val="auto"/>
        </w:rPr>
        <w:t xml:space="preserve">(i) any Restricted Payment permitted by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(ii) any Investment permitted by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(iii) any sale or other disposition permitted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w:t>
      </w:r>
    </w:p>
    <w:p>
      <w:pPr>
        <w:spacing w:after="0" w:line="62" w:lineRule="exact"/>
        <w:rPr>
          <w:rFonts w:ascii="Arial" w:cs="Arial" w:eastAsia="Arial" w:hAnsi="Arial"/>
          <w:sz w:val="18"/>
          <w:szCs w:val="18"/>
          <w:u w:val="single" w:color="auto"/>
          <w:color w:val="0000FF"/>
        </w:rPr>
      </w:pPr>
    </w:p>
    <w:p>
      <w:pPr>
        <w:ind w:left="680" w:hanging="244"/>
        <w:spacing w:after="0"/>
        <w:tabs>
          <w:tab w:leader="none" w:pos="680" w:val="left"/>
        </w:tabs>
        <w:numPr>
          <w:ilvl w:val="0"/>
          <w:numId w:val="268"/>
        </w:numPr>
        <w:rPr>
          <w:rFonts w:ascii="Arial" w:cs="Arial" w:eastAsia="Arial" w:hAnsi="Arial"/>
          <w:sz w:val="16"/>
          <w:szCs w:val="16"/>
          <w:u w:val="single" w:color="auto"/>
          <w:color w:val="0000FF"/>
        </w:rPr>
      </w:pPr>
      <w:r>
        <w:rPr>
          <w:rFonts w:ascii="Arial" w:cs="Arial" w:eastAsia="Arial" w:hAnsi="Arial"/>
          <w:sz w:val="16"/>
          <w:szCs w:val="16"/>
          <w:color w:val="auto"/>
        </w:rPr>
        <w:t xml:space="preserve">loans and advances to employees of the Borrowers or any Subsidiary permitted by </w:t>
      </w:r>
      <w:r>
        <w:rPr>
          <w:rFonts w:ascii="Arial" w:cs="Arial" w:eastAsia="Arial" w:hAnsi="Arial"/>
          <w:sz w:val="16"/>
          <w:szCs w:val="16"/>
          <w:u w:val="single" w:color="auto"/>
          <w:color w:val="auto"/>
        </w:rPr>
        <w:t>Section 8.4(h)</w:t>
      </w:r>
      <w:r>
        <w:rPr>
          <w:rFonts w:ascii="Arial" w:cs="Arial" w:eastAsia="Arial" w:hAnsi="Arial"/>
          <w:sz w:val="16"/>
          <w:szCs w:val="16"/>
          <w:color w:val="auto"/>
        </w:rPr>
        <w:t xml:space="preserve"> and Investments permitted by </w:t>
      </w:r>
      <w:r>
        <w:rPr>
          <w:rFonts w:ascii="Arial" w:cs="Arial" w:eastAsia="Arial" w:hAnsi="Arial"/>
          <w:sz w:val="16"/>
          <w:szCs w:val="16"/>
          <w:u w:val="single" w:color="auto"/>
          <w:color w:val="auto"/>
        </w:rPr>
        <w:t>Section 8.4(d)</w:t>
      </w:r>
      <w:r>
        <w:rPr>
          <w:rFonts w:ascii="Arial" w:cs="Arial" w:eastAsia="Arial" w:hAnsi="Arial"/>
          <w:sz w:val="16"/>
          <w:szCs w:val="16"/>
          <w:color w:val="auto"/>
        </w:rPr>
        <w:t>;</w:t>
      </w:r>
    </w:p>
    <w:p>
      <w:pPr>
        <w:spacing w:after="0" w:line="140" w:lineRule="exact"/>
        <w:rPr>
          <w:rFonts w:ascii="Arial" w:cs="Arial" w:eastAsia="Arial" w:hAnsi="Arial"/>
          <w:sz w:val="16"/>
          <w:szCs w:val="16"/>
          <w:u w:val="single" w:color="auto"/>
          <w:color w:val="0000FF"/>
        </w:rPr>
      </w:pPr>
    </w:p>
    <w:p>
      <w:pPr>
        <w:ind w:right="60" w:firstLine="436"/>
        <w:spacing w:after="0" w:line="291" w:lineRule="auto"/>
        <w:tabs>
          <w:tab w:leader="none" w:pos="665" w:val="left"/>
        </w:tabs>
        <w:numPr>
          <w:ilvl w:val="0"/>
          <w:numId w:val="268"/>
        </w:numPr>
        <w:rPr>
          <w:rFonts w:ascii="Arial" w:cs="Arial" w:eastAsia="Arial" w:hAnsi="Arial"/>
          <w:sz w:val="16"/>
          <w:szCs w:val="16"/>
          <w:u w:val="single" w:color="auto"/>
          <w:color w:val="0000FF"/>
        </w:rPr>
      </w:pPr>
      <w:r>
        <w:rPr>
          <w:rFonts w:ascii="Arial" w:cs="Arial" w:eastAsia="Arial" w:hAnsi="Arial"/>
          <w:sz w:val="16"/>
          <w:szCs w:val="16"/>
          <w:color w:val="auto"/>
        </w:rPr>
        <w:t xml:space="preserve">any agreement as in effect (x) as of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and disclosed in Crown Holdings’ most recently filed Form 10-K or otherwise set forth on </w:t>
      </w:r>
      <w:r>
        <w:rPr>
          <w:rFonts w:ascii="Arial" w:cs="Arial" w:eastAsia="Arial" w:hAnsi="Arial"/>
          <w:sz w:val="16"/>
          <w:szCs w:val="16"/>
          <w:u w:val="single" w:color="auto"/>
          <w:color w:val="auto"/>
        </w:rPr>
        <w:t>Schedule 8.9(f)</w:t>
      </w:r>
      <w:r>
        <w:rPr>
          <w:rFonts w:ascii="Arial" w:cs="Arial" w:eastAsia="Arial" w:hAnsi="Arial"/>
          <w:sz w:val="16"/>
          <w:szCs w:val="16"/>
          <w:color w:val="auto"/>
        </w:rPr>
        <w:t xml:space="preserve"> or any amendment, modification, restatement, renewal, supplementation, refund, replacement, refinancing or otherwise continuation thereto or thereof or any transaction contemplated thereby (including pursuant to any amendment, modification, restatement, renewal, supplementation, refund, replacement, refinancing or otherwise continuation thereto or thereof), in each case, on terms not materially more disadvantageous to the Lenders, taken as a whole, than the original agreement as in effect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(y) following the consummation of a Permitted Acquisition or other permitted Investment, any agreements of the acquired Person or other Investment in effect on the closing date of such acquisition 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-2687955</wp:posOffset>
            </wp:positionV>
            <wp:extent cx="15430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-2207895</wp:posOffset>
            </wp:positionV>
            <wp:extent cx="15430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-1864995</wp:posOffset>
            </wp:positionV>
            <wp:extent cx="15430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-1384935</wp:posOffset>
            </wp:positionV>
            <wp:extent cx="15430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-1042035</wp:posOffset>
            </wp:positionV>
            <wp:extent cx="15430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-836295</wp:posOffset>
            </wp:positionV>
            <wp:extent cx="13716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-836295</wp:posOffset>
            </wp:positionV>
            <wp:extent cx="6032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-836295</wp:posOffset>
            </wp:positionV>
            <wp:extent cx="21463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-150495</wp:posOffset>
            </wp:positionV>
            <wp:extent cx="5143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-150495</wp:posOffset>
            </wp:positionV>
            <wp:extent cx="22288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80"/>
          </w:cols>
          <w:pgMar w:left="440" w:top="274" w:right="479" w:bottom="1440" w:gutter="0" w:footer="0" w:header="0"/>
        </w:sectPr>
      </w:pPr>
    </w:p>
    <w:bookmarkStart w:id="332" w:name="page333"/>
    <w:bookmarkEnd w:id="332"/>
    <w:p>
      <w:pPr>
        <w:ind w:left="700" w:hanging="264"/>
        <w:spacing w:after="0"/>
        <w:tabs>
          <w:tab w:leader="none" w:pos="700" w:val="left"/>
        </w:tabs>
        <w:numPr>
          <w:ilvl w:val="0"/>
          <w:numId w:val="269"/>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Permitted Receivables or Factoring Financings;</w:t>
      </w:r>
    </w:p>
    <w:p>
      <w:pPr>
        <w:spacing w:after="0" w:line="117" w:lineRule="exact"/>
        <w:rPr>
          <w:rFonts w:ascii="Arial" w:cs="Arial" w:eastAsia="Arial" w:hAnsi="Arial"/>
          <w:sz w:val="18"/>
          <w:szCs w:val="18"/>
          <w:u w:val="single" w:color="auto"/>
          <w:color w:val="0000FF"/>
        </w:rPr>
      </w:pPr>
    </w:p>
    <w:p>
      <w:pPr>
        <w:ind w:right="60" w:firstLine="436"/>
        <w:spacing w:after="0" w:line="277" w:lineRule="auto"/>
        <w:tabs>
          <w:tab w:leader="none" w:pos="695" w:val="left"/>
        </w:tabs>
        <w:numPr>
          <w:ilvl w:val="0"/>
          <w:numId w:val="269"/>
        </w:numPr>
        <w:rPr>
          <w:rFonts w:ascii="Arial" w:cs="Arial" w:eastAsia="Arial" w:hAnsi="Arial"/>
          <w:sz w:val="18"/>
          <w:szCs w:val="18"/>
          <w:u w:val="single" w:color="auto"/>
          <w:color w:val="0000FF"/>
        </w:rPr>
      </w:pPr>
      <w:r>
        <w:rPr>
          <w:rFonts w:ascii="Arial" w:cs="Arial" w:eastAsia="Arial" w:hAnsi="Arial"/>
          <w:sz w:val="18"/>
          <w:szCs w:val="18"/>
          <w:color w:val="auto"/>
        </w:rPr>
        <w:t>sales or issuances of common stock or securities convertible into or exchangeable for common stock of Crown Holdings or warrants, options or other rights to purchase or subscribe for common stock of Crown Holdings;</w:t>
      </w:r>
    </w:p>
    <w:p>
      <w:pPr>
        <w:spacing w:after="0" w:line="62" w:lineRule="exact"/>
        <w:rPr>
          <w:rFonts w:ascii="Arial" w:cs="Arial" w:eastAsia="Arial" w:hAnsi="Arial"/>
          <w:sz w:val="18"/>
          <w:szCs w:val="18"/>
          <w:u w:val="single" w:color="auto"/>
          <w:color w:val="0000FF"/>
        </w:rPr>
      </w:pPr>
    </w:p>
    <w:p>
      <w:pPr>
        <w:ind w:left="660" w:hanging="224"/>
        <w:spacing w:after="0"/>
        <w:tabs>
          <w:tab w:leader="none" w:pos="660" w:val="left"/>
        </w:tabs>
        <w:numPr>
          <w:ilvl w:val="0"/>
          <w:numId w:val="269"/>
        </w:numPr>
        <w:rPr>
          <w:rFonts w:ascii="Arial" w:cs="Arial" w:eastAsia="Arial" w:hAnsi="Arial"/>
          <w:sz w:val="18"/>
          <w:szCs w:val="18"/>
          <w:u w:val="single" w:color="auto"/>
          <w:color w:val="0000FF"/>
        </w:rPr>
      </w:pPr>
      <w:r>
        <w:rPr>
          <w:rFonts w:ascii="Arial" w:cs="Arial" w:eastAsia="Arial" w:hAnsi="Arial"/>
          <w:sz w:val="18"/>
          <w:szCs w:val="18"/>
          <w:color w:val="auto"/>
        </w:rPr>
        <w:t>any Permitted Cross Chain Transaction and any Permitted Holding Company Transaction;</w:t>
      </w:r>
    </w:p>
    <w:p>
      <w:pPr>
        <w:spacing w:after="0" w:line="117" w:lineRule="exact"/>
        <w:rPr>
          <w:rFonts w:ascii="Arial" w:cs="Arial" w:eastAsia="Arial" w:hAnsi="Arial"/>
          <w:sz w:val="18"/>
          <w:szCs w:val="18"/>
          <w:u w:val="single" w:color="auto"/>
          <w:color w:val="0000FF"/>
        </w:rPr>
      </w:pPr>
    </w:p>
    <w:p>
      <w:pPr>
        <w:ind w:left="660" w:hanging="224"/>
        <w:spacing w:after="0"/>
        <w:tabs>
          <w:tab w:leader="none" w:pos="660" w:val="left"/>
        </w:tabs>
        <w:numPr>
          <w:ilvl w:val="0"/>
          <w:numId w:val="269"/>
        </w:numPr>
        <w:rPr>
          <w:rFonts w:ascii="Arial" w:cs="Arial" w:eastAsia="Arial" w:hAnsi="Arial"/>
          <w:sz w:val="18"/>
          <w:szCs w:val="18"/>
          <w:u w:val="single" w:color="auto"/>
          <w:color w:val="0000FF"/>
        </w:rPr>
      </w:pPr>
      <w:r>
        <w:rPr>
          <w:rFonts w:ascii="Arial" w:cs="Arial" w:eastAsia="Arial" w:hAnsi="Arial"/>
          <w:sz w:val="18"/>
          <w:szCs w:val="18"/>
          <w:color w:val="auto"/>
        </w:rPr>
        <w:t xml:space="preserve">transfers by a Credit Party to an SLB Subsidiary in connection with a transaction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 and</w:t>
      </w:r>
    </w:p>
    <w:p>
      <w:pPr>
        <w:spacing w:after="0" w:line="117" w:lineRule="exact"/>
        <w:rPr>
          <w:rFonts w:ascii="Arial" w:cs="Arial" w:eastAsia="Arial" w:hAnsi="Arial"/>
          <w:sz w:val="18"/>
          <w:szCs w:val="18"/>
          <w:u w:val="single" w:color="auto"/>
          <w:color w:val="0000FF"/>
        </w:rPr>
      </w:pPr>
    </w:p>
    <w:p>
      <w:pPr>
        <w:ind w:right="180" w:firstLine="436"/>
        <w:spacing w:after="0" w:line="342" w:lineRule="auto"/>
        <w:tabs>
          <w:tab w:leader="none" w:pos="695" w:val="left"/>
        </w:tabs>
        <w:numPr>
          <w:ilvl w:val="0"/>
          <w:numId w:val="269"/>
        </w:numPr>
        <w:rPr>
          <w:rFonts w:ascii="Arial" w:cs="Arial" w:eastAsia="Arial" w:hAnsi="Arial"/>
          <w:sz w:val="16"/>
          <w:szCs w:val="16"/>
          <w:u w:val="single" w:color="auto"/>
          <w:color w:val="0000FF"/>
        </w:rPr>
      </w:pPr>
      <w:r>
        <w:rPr>
          <w:rFonts w:ascii="Arial" w:cs="Arial" w:eastAsia="Arial" w:hAnsi="Arial"/>
          <w:sz w:val="16"/>
          <w:szCs w:val="16"/>
          <w:color w:val="auto"/>
        </w:rPr>
        <w:t>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-1137920</wp:posOffset>
            </wp:positionV>
            <wp:extent cx="15430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-932180</wp:posOffset>
            </wp:positionV>
            <wp:extent cx="154305"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-589280</wp:posOffset>
            </wp:positionV>
            <wp:extent cx="10287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-383540</wp:posOffset>
            </wp:positionV>
            <wp:extent cx="13716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-177800</wp:posOffset>
            </wp:positionV>
            <wp:extent cx="12827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ind w:right="20" w:firstLine="440"/>
        <w:spacing w:after="0" w:line="25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xml:space="preserve">. The Credit Parties will not, and will not permit any of their Material Subsidiaries to enter into, incur or permit to exist any consensual agreement or other arrangement that prohibits, restricts or imposes any condition upon the ability of any Material Subsidiary (i) to pay dividends or other distributions with respect to any of its Capital Stock to Crown Holdings or any of its Material Subsidiaries or (ii) to make or repay loans or advances to Crown Holdings or any other Material Subsidiary or (iii) to transfer property to Crown Holdings or any of its Material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80" w:lineRule="exact"/>
        <w:rPr>
          <w:sz w:val="20"/>
          <w:szCs w:val="20"/>
          <w:color w:val="auto"/>
        </w:rPr>
      </w:pPr>
    </w:p>
    <w:p>
      <w:pPr>
        <w:ind w:left="680" w:hanging="244"/>
        <w:spacing w:after="0"/>
        <w:tabs>
          <w:tab w:leader="none" w:pos="680"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color w:val="auto"/>
        </w:rPr>
        <w:t>conditions imposed by Requirements of Law or by any Loan Document;</w:t>
      </w:r>
    </w:p>
    <w:p>
      <w:pPr>
        <w:spacing w:after="0" w:line="117" w:lineRule="exact"/>
        <w:rPr>
          <w:rFonts w:ascii="Arial" w:cs="Arial" w:eastAsia="Arial" w:hAnsi="Arial"/>
          <w:sz w:val="18"/>
          <w:szCs w:val="18"/>
          <w:u w:val="single" w:color="auto"/>
          <w:color w:val="0000FF"/>
        </w:rPr>
      </w:pPr>
    </w:p>
    <w:p>
      <w:pPr>
        <w:ind w:right="560" w:firstLine="436"/>
        <w:spacing w:after="0" w:line="277" w:lineRule="auto"/>
        <w:tabs>
          <w:tab w:leader="none" w:pos="695"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color w:val="auto"/>
        </w:rPr>
        <w:t xml:space="preserve">restrictions and conditions imposed by the Public Debt Documents as in effect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62" w:lineRule="exact"/>
        <w:rPr>
          <w:rFonts w:ascii="Arial" w:cs="Arial" w:eastAsia="Arial" w:hAnsi="Arial"/>
          <w:sz w:val="18"/>
          <w:szCs w:val="18"/>
          <w:u w:val="single" w:color="auto"/>
          <w:color w:val="0000FF"/>
        </w:rPr>
      </w:pPr>
    </w:p>
    <w:p>
      <w:pPr>
        <w:ind w:right="300" w:firstLine="436"/>
        <w:spacing w:after="0" w:line="259" w:lineRule="auto"/>
        <w:tabs>
          <w:tab w:leader="none" w:pos="685"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color w:val="auto"/>
        </w:rPr>
        <w:t xml:space="preserve">restrictions and conditions imposed by any Permitted Ratio Debt, Permitted European Borrower Debt and Indebtedness permitted under </w:t>
      </w:r>
      <w:r>
        <w:rPr>
          <w:rFonts w:ascii="Arial" w:cs="Arial" w:eastAsia="Arial" w:hAnsi="Arial"/>
          <w:sz w:val="18"/>
          <w:szCs w:val="18"/>
          <w:u w:val="single" w:color="auto"/>
          <w:color w:val="auto"/>
        </w:rPr>
        <w:t>Sections 8.1(a)(ii)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8.1(a)(xxviii)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encumbrances and restrictions contained in such Indebtedness are no more restrictive in any material respect, taken as a whole, than those contained in the Public Debt Documents (as in effect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FF0000"/>
        </w:rPr>
        <w:t xml:space="preserve"> </w:t>
      </w:r>
      <w:r>
        <w:rPr>
          <w:rFonts w:ascii="Arial" w:cs="Arial" w:eastAsia="Arial" w:hAnsi="Arial"/>
          <w:sz w:val="18"/>
          <w:szCs w:val="18"/>
          <w:color w:val="000000"/>
        </w:rPr>
        <w:t>Amendment Effective Date);</w:t>
      </w:r>
    </w:p>
    <w:p>
      <w:pPr>
        <w:spacing w:after="0" w:line="78" w:lineRule="exact"/>
        <w:rPr>
          <w:rFonts w:ascii="Arial" w:cs="Arial" w:eastAsia="Arial" w:hAnsi="Arial"/>
          <w:sz w:val="18"/>
          <w:szCs w:val="18"/>
          <w:u w:val="single" w:color="auto"/>
          <w:color w:val="0000FF"/>
        </w:rPr>
      </w:pPr>
    </w:p>
    <w:p>
      <w:pPr>
        <w:ind w:right="400" w:firstLine="436"/>
        <w:spacing w:after="0" w:line="277" w:lineRule="auto"/>
        <w:tabs>
          <w:tab w:leader="none" w:pos="695"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color w:val="auto"/>
        </w:rPr>
        <w:t>with respect to clause (iii) only, (A) customary restrictions on assignment and (B) assets encumbered by Permitted Liens as long as such restriction applies only to the asset encumbered by such Permitted Lien;</w:t>
      </w:r>
    </w:p>
    <w:p>
      <w:pPr>
        <w:spacing w:after="0" w:line="62" w:lineRule="exact"/>
        <w:rPr>
          <w:rFonts w:ascii="Arial" w:cs="Arial" w:eastAsia="Arial" w:hAnsi="Arial"/>
          <w:sz w:val="18"/>
          <w:szCs w:val="18"/>
          <w:u w:val="single" w:color="auto"/>
          <w:color w:val="0000FF"/>
        </w:rPr>
      </w:pPr>
    </w:p>
    <w:p>
      <w:pPr>
        <w:jc w:val="both"/>
        <w:ind w:firstLine="436"/>
        <w:spacing w:after="0" w:line="311" w:lineRule="auto"/>
        <w:tabs>
          <w:tab w:leader="none" w:pos="685" w:val="left"/>
        </w:tabs>
        <w:numPr>
          <w:ilvl w:val="0"/>
          <w:numId w:val="270"/>
        </w:numPr>
        <w:rPr>
          <w:rFonts w:ascii="Arial" w:cs="Arial" w:eastAsia="Arial" w:hAnsi="Arial"/>
          <w:sz w:val="16"/>
          <w:szCs w:val="16"/>
          <w:u w:val="single" w:color="auto"/>
          <w:color w:val="0000FF"/>
        </w:rPr>
      </w:pPr>
      <w:r>
        <w:rPr>
          <w:rFonts w:ascii="Arial" w:cs="Arial" w:eastAsia="Arial" w:hAnsi="Arial"/>
          <w:sz w:val="16"/>
          <w:szCs w:val="16"/>
          <w:color w:val="auto"/>
        </w:rPr>
        <w:t xml:space="preserve">restrictions and conditions existing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not otherwise excepted from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identified on </w:t>
      </w:r>
      <w:r>
        <w:rPr>
          <w:rFonts w:ascii="Arial" w:cs="Arial" w:eastAsia="Arial" w:hAnsi="Arial"/>
          <w:sz w:val="16"/>
          <w:szCs w:val="16"/>
          <w:u w:val="single" w:color="auto"/>
          <w:color w:val="auto"/>
        </w:rPr>
        <w:t>Schedule 8.10</w:t>
      </w:r>
      <w:r>
        <w:rPr>
          <w:rFonts w:ascii="Arial" w:cs="Arial" w:eastAsia="Arial" w:hAnsi="Arial"/>
          <w:sz w:val="16"/>
          <w:szCs w:val="16"/>
          <w:color w:val="auto"/>
        </w:rPr>
        <w:t xml:space="preserve"> and refinancings thereof with restrictions and conditions no more restrictive, in any material respect, taken as a whole, than those in such Indebtedness on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w:t>
      </w:r>
    </w:p>
    <w:p>
      <w:pPr>
        <w:spacing w:after="0" w:line="40" w:lineRule="exact"/>
        <w:rPr>
          <w:rFonts w:ascii="Arial" w:cs="Arial" w:eastAsia="Arial" w:hAnsi="Arial"/>
          <w:sz w:val="16"/>
          <w:szCs w:val="16"/>
          <w:u w:val="single" w:color="auto"/>
          <w:color w:val="0000FF"/>
        </w:rPr>
      </w:pPr>
    </w:p>
    <w:p>
      <w:pPr>
        <w:jc w:val="both"/>
        <w:ind w:right="80" w:firstLine="436"/>
        <w:spacing w:after="0" w:line="263" w:lineRule="auto"/>
        <w:tabs>
          <w:tab w:leader="none" w:pos="665"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color w:val="auto"/>
        </w:rPr>
        <w:t>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-2265680</wp:posOffset>
            </wp:positionV>
            <wp:extent cx="15430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-2059940</wp:posOffset>
            </wp:positionV>
            <wp:extent cx="15430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-2059940</wp:posOffset>
            </wp:positionV>
            <wp:extent cx="6032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-2059940</wp:posOffset>
            </wp:positionV>
            <wp:extent cx="22288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-1717040</wp:posOffset>
            </wp:positionV>
            <wp:extent cx="15430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-1442720</wp:posOffset>
            </wp:positionV>
            <wp:extent cx="6032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-1305560</wp:posOffset>
            </wp:positionV>
            <wp:extent cx="22288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-1099820</wp:posOffset>
            </wp:positionV>
            <wp:extent cx="15430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-756920</wp:posOffset>
            </wp:positionV>
            <wp:extent cx="154305"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-756920</wp:posOffset>
            </wp:positionV>
            <wp:extent cx="60325"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-756920</wp:posOffset>
            </wp:positionV>
            <wp:extent cx="21463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-482600</wp:posOffset>
            </wp:positionV>
            <wp:extent cx="6032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-482600</wp:posOffset>
            </wp:positionV>
            <wp:extent cx="22288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13716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900"/>
          </w:cols>
          <w:pgMar w:left="440" w:top="274" w:right="559" w:bottom="1440" w:gutter="0" w:footer="0" w:header="0"/>
        </w:sectPr>
      </w:pPr>
    </w:p>
    <w:bookmarkStart w:id="333" w:name="page334"/>
    <w:bookmarkEnd w:id="333"/>
    <w:p>
      <w:pPr>
        <w:ind w:left="-20" w:right="680" w:firstLine="436"/>
        <w:spacing w:after="0" w:line="277" w:lineRule="auto"/>
        <w:tabs>
          <w:tab w:leader="none" w:pos="67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and conditions contained in any Permitted Receivables or Factoring Financings, sale and leaseback agreements, stock sale agreements and other similar agreements;</w:t>
      </w:r>
    </w:p>
    <w:p>
      <w:pPr>
        <w:spacing w:after="0" w:line="62" w:lineRule="exact"/>
        <w:rPr>
          <w:rFonts w:ascii="Arial" w:cs="Arial" w:eastAsia="Arial" w:hAnsi="Arial"/>
          <w:sz w:val="18"/>
          <w:szCs w:val="18"/>
          <w:u w:val="single" w:color="auto"/>
          <w:color w:val="0000FF"/>
        </w:rPr>
      </w:pPr>
    </w:p>
    <w:p>
      <w:pPr>
        <w:ind w:left="680" w:hanging="264"/>
        <w:spacing w:after="0"/>
        <w:tabs>
          <w:tab w:leader="none" w:pos="680"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 xml:space="preserve">restrictions contained in Indebtedness of Subsidiaries that are not Credit Parties that is permitted by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0000FF"/>
        </w:rPr>
      </w:pPr>
    </w:p>
    <w:p>
      <w:pPr>
        <w:jc w:val="both"/>
        <w:ind w:left="-20" w:firstLine="436"/>
        <w:spacing w:after="0" w:line="259" w:lineRule="auto"/>
        <w:tabs>
          <w:tab w:leader="none" w:pos="63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 Stock of any Person, so long as such restriction relates solely to the property so acquired (or to the Person or Persons (and its or their subsidiaries) bound thereby) and was not created in connection with or in anticipation of such acquisition;</w:t>
      </w:r>
    </w:p>
    <w:p>
      <w:pPr>
        <w:spacing w:after="0" w:line="78" w:lineRule="exact"/>
        <w:rPr>
          <w:rFonts w:ascii="Arial" w:cs="Arial" w:eastAsia="Arial" w:hAnsi="Arial"/>
          <w:sz w:val="18"/>
          <w:szCs w:val="18"/>
          <w:u w:val="single" w:color="auto"/>
          <w:color w:val="0000FF"/>
        </w:rPr>
      </w:pPr>
    </w:p>
    <w:p>
      <w:pPr>
        <w:ind w:left="-20" w:right="140" w:firstLine="436"/>
        <w:spacing w:after="0" w:line="277" w:lineRule="auto"/>
        <w:tabs>
          <w:tab w:leader="none" w:pos="63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customary restrictions contained in leases, subleases, licenses or asset sale agreements otherwise permitted hereby so long as such restrictions relate only to the assets subject thereto;</w:t>
      </w:r>
    </w:p>
    <w:p>
      <w:pPr>
        <w:spacing w:after="0" w:line="62" w:lineRule="exact"/>
        <w:rPr>
          <w:rFonts w:ascii="Arial" w:cs="Arial" w:eastAsia="Arial" w:hAnsi="Arial"/>
          <w:sz w:val="18"/>
          <w:szCs w:val="18"/>
          <w:u w:val="single" w:color="auto"/>
          <w:color w:val="0000FF"/>
        </w:rPr>
      </w:pPr>
    </w:p>
    <w:p>
      <w:pPr>
        <w:ind w:left="-20" w:right="380" w:firstLine="436"/>
        <w:spacing w:after="0" w:line="308" w:lineRule="auto"/>
        <w:tabs>
          <w:tab w:leader="none" w:pos="675" w:val="left"/>
        </w:tabs>
        <w:numPr>
          <w:ilvl w:val="0"/>
          <w:numId w:val="271"/>
        </w:numPr>
        <w:rPr>
          <w:rFonts w:ascii="Arial" w:cs="Arial" w:eastAsia="Arial" w:hAnsi="Arial"/>
          <w:sz w:val="17"/>
          <w:szCs w:val="17"/>
          <w:u w:val="single" w:color="auto"/>
          <w:color w:val="0000FF"/>
        </w:rPr>
      </w:pPr>
      <w:r>
        <w:rPr>
          <w:rFonts w:ascii="Arial" w:cs="Arial" w:eastAsia="Arial" w:hAnsi="Arial"/>
          <w:sz w:val="17"/>
          <w:szCs w:val="17"/>
          <w:color w:val="auto"/>
        </w:rPr>
        <w:t xml:space="preserve">restrictions contained in any agreement with respect to Indebtedness permitted by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to the extent that such restrictions are not materially more restrictive with respect to such restrictions, taken as a whole, than the corresponding restrictions hereunder;</w:t>
      </w:r>
    </w:p>
    <w:p>
      <w:pPr>
        <w:spacing w:after="0" w:line="38" w:lineRule="exact"/>
        <w:rPr>
          <w:rFonts w:ascii="Arial" w:cs="Arial" w:eastAsia="Arial" w:hAnsi="Arial"/>
          <w:sz w:val="17"/>
          <w:szCs w:val="17"/>
          <w:u w:val="single" w:color="auto"/>
          <w:color w:val="0000FF"/>
        </w:rPr>
      </w:pPr>
    </w:p>
    <w:p>
      <w:pPr>
        <w:ind w:left="-20" w:right="480" w:firstLine="436"/>
        <w:spacing w:after="0" w:line="277" w:lineRule="auto"/>
        <w:tabs>
          <w:tab w:leader="none" w:pos="63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restrictions on Cash, Cash Equivalents or deposits imposed by Persons under contracts entered into in the ordinary course of business (or otherwise constituting Permitted Liens on such cash or Cash Equivalents or deposits);</w:t>
      </w:r>
    </w:p>
    <w:p>
      <w:pPr>
        <w:spacing w:after="0" w:line="62" w:lineRule="exact"/>
        <w:rPr>
          <w:rFonts w:ascii="Arial" w:cs="Arial" w:eastAsia="Arial" w:hAnsi="Arial"/>
          <w:sz w:val="18"/>
          <w:szCs w:val="18"/>
          <w:u w:val="single" w:color="auto"/>
          <w:color w:val="0000FF"/>
        </w:rPr>
      </w:pPr>
    </w:p>
    <w:p>
      <w:pPr>
        <w:ind w:left="-20" w:right="220" w:firstLine="436"/>
        <w:spacing w:after="0" w:line="263" w:lineRule="auto"/>
        <w:tabs>
          <w:tab w:leader="none" w:pos="72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customary net worth provisions contained in real property leases or licenses of Intellectual Property entered into by Crown Holdings or any Subsidiary, so long as Crown Holdings has determined in good faith that such net worth provisions would not reasonably be expected to impair the ability of Crown Holdings and its Subsidiaries to meet their ongoing obligation;</w:t>
      </w:r>
    </w:p>
    <w:p>
      <w:pPr>
        <w:spacing w:after="0" w:line="75" w:lineRule="exact"/>
        <w:rPr>
          <w:rFonts w:ascii="Arial" w:cs="Arial" w:eastAsia="Arial" w:hAnsi="Arial"/>
          <w:sz w:val="18"/>
          <w:szCs w:val="18"/>
          <w:u w:val="single" w:color="auto"/>
          <w:color w:val="0000FF"/>
        </w:rPr>
      </w:pPr>
    </w:p>
    <w:p>
      <w:pPr>
        <w:ind w:left="-20" w:right="140" w:firstLine="436"/>
        <w:spacing w:after="0" w:line="259" w:lineRule="auto"/>
        <w:tabs>
          <w:tab w:leader="none" w:pos="67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restrictions imposed by customary provisions in joint venture agreements, other similar investment agreements and/or Organic Documents of any subsidiary that is a Non-Wholly 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78" w:lineRule="exact"/>
        <w:rPr>
          <w:rFonts w:ascii="Arial" w:cs="Arial" w:eastAsia="Arial" w:hAnsi="Arial"/>
          <w:sz w:val="18"/>
          <w:szCs w:val="18"/>
          <w:u w:val="single" w:color="auto"/>
          <w:color w:val="0000FF"/>
        </w:rPr>
      </w:pPr>
    </w:p>
    <w:p>
      <w:pPr>
        <w:ind w:left="-20" w:right="240" w:firstLine="436"/>
        <w:spacing w:after="0" w:line="257" w:lineRule="auto"/>
        <w:tabs>
          <w:tab w:leader="none" w:pos="675"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color w:val="auto"/>
        </w:rPr>
        <w:t>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-3839845</wp:posOffset>
            </wp:positionV>
            <wp:extent cx="15430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-3496945</wp:posOffset>
            </wp:positionV>
            <wp:extent cx="15430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-3291205</wp:posOffset>
            </wp:positionV>
            <wp:extent cx="10287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-2673985</wp:posOffset>
            </wp:positionV>
            <wp:extent cx="13716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-2331085</wp:posOffset>
            </wp:positionV>
            <wp:extent cx="15430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-1988185</wp:posOffset>
            </wp:positionV>
            <wp:extent cx="13716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-1645285</wp:posOffset>
            </wp:positionV>
            <wp:extent cx="18859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-1165225</wp:posOffset>
            </wp:positionV>
            <wp:extent cx="15430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-548005</wp:posOffset>
            </wp:positionV>
            <wp:extent cx="15430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Amendments or Waivers of Certain Documents; Prepayments of Indebtedness</w:t>
      </w:r>
      <w:r>
        <w:rPr>
          <w:rFonts w:ascii="Arial" w:cs="Arial" w:eastAsia="Arial" w:hAnsi="Arial"/>
          <w:sz w:val="18"/>
          <w:szCs w:val="18"/>
          <w:color w:val="auto"/>
        </w:rPr>
        <w:t>.</w:t>
      </w:r>
    </w:p>
    <w:p>
      <w:pPr>
        <w:spacing w:after="0" w:line="117" w:lineRule="exact"/>
        <w:rPr>
          <w:sz w:val="20"/>
          <w:szCs w:val="20"/>
          <w:color w:val="auto"/>
        </w:rPr>
      </w:pPr>
    </w:p>
    <w:p>
      <w:pPr>
        <w:ind w:left="-20" w:right="140" w:firstLine="436"/>
        <w:spacing w:after="0" w:line="257" w:lineRule="auto"/>
        <w:tabs>
          <w:tab w:leader="none" w:pos="6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The Credit Parties will not, and will not permit any of their Subsidiaries to amend or otherwise change (or waive) the terms of its Organic Documents or the documents governing any Indebtedness (other than Intercompany Indebtedness subordinated as a result of </w:t>
      </w:r>
      <w:r>
        <w:rPr>
          <w:rFonts w:ascii="Arial" w:cs="Arial" w:eastAsia="Arial" w:hAnsi="Arial"/>
          <w:sz w:val="18"/>
          <w:szCs w:val="18"/>
          <w:u w:val="single" w:color="auto"/>
          <w:color w:val="auto"/>
        </w:rPr>
        <w:t>Section 8.1(a)(xi)</w:t>
      </w:r>
      <w:r>
        <w:rPr>
          <w:rFonts w:ascii="Arial" w:cs="Arial" w:eastAsia="Arial" w:hAnsi="Arial"/>
          <w:sz w:val="18"/>
          <w:szCs w:val="18"/>
          <w:color w:val="auto"/>
        </w:rPr>
        <w:t>) that is either subordinate or junior in right of payment to the Obligations (it being understood that Indebtedness shall not be deemed subordinate or junior in right of payment on account of being unsecured or being secured with greater or lower priority) or any refinancing thereof, in each case, if the effect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980"/>
          </w:cols>
          <w:pgMar w:left="460" w:top="274" w:right="459" w:bottom="1440" w:gutter="0" w:footer="0" w:header="0"/>
        </w:sectPr>
      </w:pPr>
    </w:p>
    <w:bookmarkStart w:id="334" w:name="page335"/>
    <w:bookmarkEnd w:id="3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change or waiver would be materially adverse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 any such amendment, modification, waiver, termination or release of the documentation governing any such Indebtedness will be deemed to be not materially adverse if such Indebtedness could otherwise be incurred under this Agreement with such terms at the time of such amendment, modification, waiver, termination or release, (x) this </w:t>
      </w:r>
      <w:r>
        <w:rPr>
          <w:rFonts w:ascii="Arial" w:cs="Arial" w:eastAsia="Arial" w:hAnsi="Arial"/>
          <w:sz w:val="16"/>
          <w:szCs w:val="16"/>
          <w:u w:val="single" w:color="auto"/>
          <w:color w:val="auto"/>
        </w:rPr>
        <w:t>Section 8.11(a)</w:t>
      </w:r>
      <w:r>
        <w:rPr>
          <w:rFonts w:ascii="Arial" w:cs="Arial" w:eastAsia="Arial" w:hAnsi="Arial"/>
          <w:sz w:val="16"/>
          <w:szCs w:val="16"/>
          <w:color w:val="auto"/>
        </w:rPr>
        <w:t xml:space="preserve"> shall not otherwise prohibit any Permitted Refinancing Indebtedness or any other replacement, refinancing, amendment, supplement, modification, extension, renewal, restatement or refunding of such Indebtedness, in each case, that is otherwise permitted under this Agreement in respect thereof, or any such amendment, modification, 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 shall be deemed acceptable to the Lenders if posted to the Lenders and not objected to by the Required Lenders within five Business Days thereafter, and (z) this </w:t>
      </w:r>
      <w:r>
        <w:rPr>
          <w:rFonts w:ascii="Arial" w:cs="Arial" w:eastAsia="Arial" w:hAnsi="Arial"/>
          <w:sz w:val="16"/>
          <w:szCs w:val="16"/>
          <w:u w:val="single" w:color="auto"/>
          <w:color w:val="auto"/>
        </w:rPr>
        <w:t>Section 8.11(a)</w:t>
      </w:r>
      <w:r>
        <w:rPr>
          <w:rFonts w:ascii="Arial" w:cs="Arial" w:eastAsia="Arial" w:hAnsi="Arial"/>
          <w:sz w:val="16"/>
          <w:szCs w:val="16"/>
          <w:color w:val="auto"/>
        </w:rPr>
        <w:t xml:space="preserve"> shall not otherwise prohibit any such amendment, modification, waiver, termination or release of any Organic Documents to the extent entered into in order to effect or evidence a transaction that is permitted hereunder, including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For the avoidance of doubt, the issuance of Capital Stock that is otherwise permitted under this Agreement shall not be deemed to be materially adverse to the interests of the Lenders.</w:t>
      </w:r>
    </w:p>
    <w:p>
      <w:pPr>
        <w:spacing w:after="0" w:line="60" w:lineRule="exact"/>
        <w:rPr>
          <w:sz w:val="20"/>
          <w:szCs w:val="20"/>
          <w:color w:val="auto"/>
        </w:rPr>
      </w:pPr>
    </w:p>
    <w:p>
      <w:pPr>
        <w:ind w:right="120" w:firstLine="436"/>
        <w:spacing w:after="0" w:line="268" w:lineRule="auto"/>
        <w:tabs>
          <w:tab w:leader="none" w:pos="69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Credit Parties will not, and will not permit any of their Subsidiaries to, make (or give any notice or offer in respect of) any voluntary or optional payment or mandatory prepayment or redemption or acquisition for value (“</w:t>
      </w:r>
      <w:r>
        <w:rPr>
          <w:rFonts w:ascii="Arial" w:cs="Arial" w:eastAsia="Arial" w:hAnsi="Arial"/>
          <w:sz w:val="17"/>
          <w:szCs w:val="17"/>
          <w:u w:val="single" w:color="auto"/>
          <w:color w:val="auto"/>
        </w:rPr>
        <w:t>Repayments</w:t>
      </w:r>
      <w:r>
        <w:rPr>
          <w:rFonts w:ascii="Arial" w:cs="Arial" w:eastAsia="Arial" w:hAnsi="Arial"/>
          <w:sz w:val="17"/>
          <w:szCs w:val="17"/>
          <w:color w:val="auto"/>
        </w:rPr>
        <w:t xml:space="preserve">”) of (including, without limitation, by way of depositing with any trustee with respect thereto money or securities before such Indebtedness is due for the purpose of paying such Indebtedness when due) the Indebtedness described in clause (a) above, except for Repayments (s) in an aggregate amount from and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not to exceed the Available Amount, (t) any AHYDO Payment, (u) 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(x) to the extent, as of the date on which such Repayment is made and immediately after giving effect thereto, on a Pro Forma Basis for the period of four Fiscal Quarters for which financial statements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immediately preceding the date on which such Repayment is made, the Total Leverage Ratio shall not be greater than (A) prior to December 31, </w:t>
      </w:r>
      <w:r>
        <w:rPr>
          <w:rFonts w:ascii="Arial" w:cs="Arial" w:eastAsia="Arial" w:hAnsi="Arial"/>
          <w:sz w:val="17"/>
          <w:szCs w:val="17"/>
          <w:color w:val="FF0000"/>
          <w:strike w:val="1"/>
        </w:rPr>
        <w:t>2022</w:t>
      </w:r>
      <w:r>
        <w:rPr>
          <w:rFonts w:ascii="Arial" w:cs="Arial" w:eastAsia="Arial" w:hAnsi="Arial"/>
          <w:sz w:val="17"/>
          <w:szCs w:val="17"/>
          <w:u w:val="single" w:color="auto"/>
          <w:color w:val="0000FF"/>
        </w:rPr>
        <w:t>2023</w:t>
      </w:r>
      <w:r>
        <w:rPr>
          <w:rFonts w:ascii="Arial" w:cs="Arial" w:eastAsia="Arial" w:hAnsi="Arial"/>
          <w:sz w:val="17"/>
          <w:szCs w:val="17"/>
          <w:color w:val="auto"/>
        </w:rPr>
        <w:t>, 5.00 to 1.00 and (B) thereafter, 4.50 to 1.00 or (y) a voluntary or optional payment or prepayment on or redemption or acquisition for value in exchange for, or out of proceeds of, the substantially concurrent issuance (other than to an Affiliate of Crown Holdings) of Capital Stock of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-1236345</wp:posOffset>
            </wp:positionV>
            <wp:extent cx="5143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-1236345</wp:posOffset>
            </wp:positionV>
            <wp:extent cx="22288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-276225</wp:posOffset>
            </wp:positionV>
            <wp:extent cx="22288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56"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Limitation on Activities of Crown Holdings, Crown Finance, Crown Finance II and CCSC</w:t>
      </w:r>
      <w:r>
        <w:rPr>
          <w:rFonts w:ascii="Arial" w:cs="Arial" w:eastAsia="Arial" w:hAnsi="Arial"/>
          <w:sz w:val="17"/>
          <w:szCs w:val="17"/>
          <w:color w:val="auto"/>
        </w:rPr>
        <w:t xml:space="preserve">.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 (A) immaterial equipment, other intellectual property and other immaterial assets, or (B) the Capital Stock of Borrowers or other 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the Capital Stock of Credit Parties other than Borrowers, (1) any Credit Party that is directly 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(C) cash sufficient to pay amounts owing under its Indebtedness permitted to be incurred hereunder and to pay its ordinary course operating expenses and (ii) shall have no operations other than (A) holding such Capital Stock, (B)</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00"/>
          </w:cols>
          <w:pgMar w:left="440" w:top="274" w:right="459" w:bottom="1440" w:gutter="0" w:footer="0" w:header="0"/>
        </w:sectPr>
      </w:pPr>
    </w:p>
    <w:bookmarkStart w:id="335" w:name="page336"/>
    <w:bookmarkEnd w:id="335"/>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 CCSC, activities engaged in as of the Original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Permitted Holding Company Transactions shall be permitted under this </w:t>
      </w:r>
      <w:r>
        <w:rPr>
          <w:rFonts w:ascii="Arial" w:cs="Arial" w:eastAsia="Arial" w:hAnsi="Arial"/>
          <w:sz w:val="17"/>
          <w:szCs w:val="17"/>
          <w:u w:val="single" w:color="auto"/>
          <w:color w:val="auto"/>
        </w:rPr>
        <w:t>Section 8.12</w:t>
      </w:r>
      <w:r>
        <w:rPr>
          <w:rFonts w:ascii="Arial" w:cs="Arial" w:eastAsia="Arial" w:hAnsi="Arial"/>
          <w:sz w:val="17"/>
          <w:szCs w:val="17"/>
          <w:color w:val="auto"/>
        </w:rPr>
        <w:t>.</w:t>
      </w:r>
    </w:p>
    <w:p>
      <w:pPr>
        <w:spacing w:after="0" w:line="63"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Anti-Money Laundering</w:t>
      </w:r>
      <w:r>
        <w:rPr>
          <w:rFonts w:ascii="Arial" w:cs="Arial" w:eastAsia="Arial" w:hAnsi="Arial"/>
          <w:sz w:val="18"/>
          <w:szCs w:val="18"/>
          <w:color w:val="auto"/>
        </w:rPr>
        <w:t>.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7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Credit Parties will not, and will not permit any of their Subsidiaries to, make any change in accounting policies affecting the presentation of financial statements or reporting practices from those employed by it on the Original Closing Date, unless (i) such change is required or permitted by GAAP, (ii) such change is disclosed to the Lenders through Administrative Agent or 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hereof occur after the Original Closing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58"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Canadian Defined Benefit Plans</w:t>
      </w:r>
      <w:r>
        <w:rPr>
          <w:rFonts w:ascii="Arial" w:cs="Arial" w:eastAsia="Arial" w:hAnsi="Arial"/>
          <w:sz w:val="18"/>
          <w:szCs w:val="18"/>
          <w:color w:val="auto"/>
        </w:rPr>
        <w:t>. No Canadian Credit Party shall, without prior written consent from the Majority Lenders (a) establish any plan which would be considered a Canadian Defined Benefit Plan or Multiple Employer Plan once created or commence contributing to or otherwise participate in any plan which would be considered a Canadian Defined Benefit Plan or Multiple Employer Plan after a Canadian Credit Party commenced such contributions or participation; (b) acquire an interest in any Person if such Person sponsors, administers, participates in, or has any liability in respect of, any Canadian Defined Benefit Plan or Multiple Employer Plan, or (c) terminate, or cause to be terminated, any of the Canadian Defined Benefit Plans, if such Canadian Defined Benefit Plan would have a wind up deficiency on termination in an amount that would reasonably be expected to have a Material Adverse Effect.</w:t>
      </w:r>
    </w:p>
    <w:p>
      <w:pPr>
        <w:spacing w:after="0" w:line="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Sanctions</w:t>
      </w:r>
      <w:r>
        <w:rPr>
          <w:rFonts w:ascii="Arial" w:cs="Arial" w:eastAsia="Arial" w:hAnsi="Arial"/>
          <w:sz w:val="18"/>
          <w:szCs w:val="18"/>
          <w:color w:val="auto"/>
        </w:rPr>
        <w:t>. Crown Holdings shall not, nor shall it permit any Subsidiary to, directly or indirectly, use the proceeds of any Loan, or lend, contribute or otherwise make available such proceeds to any Subsidiary, joint venture partner or other individual or entity, to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Administrative Agent, Facing Agent, Swing Line Lender, or otherwise) of Sanctions.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00"/>
          </w:cols>
          <w:pgMar w:left="440" w:top="274" w:right="459" w:bottom="1440" w:gutter="0" w:footer="0" w:header="0"/>
        </w:sectPr>
      </w:pPr>
    </w:p>
    <w:bookmarkStart w:id="336" w:name="page337"/>
    <w:bookmarkEnd w:id="3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FINANCIAL COVENANT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From and after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Crown Holdings hereby agrees, that, so long as</w:t>
      </w:r>
    </w:p>
    <w:p>
      <w:pPr>
        <w:spacing w:after="0" w:line="46" w:lineRule="exact"/>
        <w:rPr>
          <w:sz w:val="20"/>
          <w:szCs w:val="20"/>
          <w:color w:val="auto"/>
        </w:rPr>
      </w:pPr>
    </w:p>
    <w:p>
      <w:pPr>
        <w:ind w:left="4" w:right="40" w:hanging="4"/>
        <w:spacing w:after="0" w:line="292" w:lineRule="auto"/>
        <w:tabs>
          <w:tab w:leader="none" w:pos="24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Crown Holdings will not permit or suffer to exist the Total Leverage Ratio for any Test Period set forth below to exceed the ratio set forth opposite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-701675</wp:posOffset>
            </wp:positionV>
            <wp:extent cx="6032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-701675</wp:posOffset>
            </wp:positionV>
            <wp:extent cx="22288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61"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Test Period Ended</w:t>
            </w:r>
          </w:p>
        </w:tc>
        <w:tc>
          <w:tcPr>
            <w:tcW w:w="5360" w:type="dxa"/>
            <w:vAlign w:val="bottom"/>
            <w:gridSpan w:val="8"/>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75"/>
        </w:trPr>
        <w:tc>
          <w:tcPr>
            <w:tcW w:w="6500" w:type="dxa"/>
            <w:vAlign w:val="bottom"/>
            <w:tcBorders>
              <w:top w:val="single" w:sz="8" w:color="CCEEFF"/>
            </w:tcBorders>
            <w:gridSpan w:val="10"/>
            <w:shd w:val="clear" w:color="auto" w:fill="CCEEFF"/>
          </w:tcPr>
          <w:p>
            <w:pPr>
              <w:spacing w:after="0" w:line="176" w:lineRule="exact"/>
              <w:rPr>
                <w:sz w:val="20"/>
                <w:szCs w:val="20"/>
                <w:color w:val="auto"/>
              </w:rPr>
            </w:pPr>
            <w:r>
              <w:rPr>
                <w:rFonts w:ascii="Arial" w:cs="Arial" w:eastAsia="Arial" w:hAnsi="Arial"/>
                <w:sz w:val="18"/>
                <w:szCs w:val="18"/>
                <w:color w:val="FF0000"/>
                <w:strike w:val="1"/>
                <w:w w:val="94"/>
              </w:rPr>
              <w:t>Incremental Amendment No. 2 and Third Amendment Effective Date to September 30,</w:t>
            </w: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FF0000"/>
                <w:strike w:val="1"/>
              </w:rPr>
              <w:t>2020</w:t>
            </w:r>
          </w:p>
        </w:tc>
        <w:tc>
          <w:tcPr>
            <w:tcW w:w="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FF0000"/>
                <w:strike w:val="1"/>
                <w:w w:val="88"/>
              </w:rPr>
              <w:t>5.75 to 1.00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40" w:type="dxa"/>
            <w:vAlign w:val="bottom"/>
            <w:gridSpan w:val="5"/>
          </w:tcPr>
          <w:p>
            <w:pPr>
              <w:spacing w:after="0" w:line="176" w:lineRule="exact"/>
              <w:rPr>
                <w:sz w:val="20"/>
                <w:szCs w:val="20"/>
                <w:color w:val="auto"/>
              </w:rPr>
            </w:pPr>
            <w:r>
              <w:rPr>
                <w:rFonts w:ascii="Arial" w:cs="Arial" w:eastAsia="Arial" w:hAnsi="Arial"/>
                <w:sz w:val="18"/>
                <w:szCs w:val="18"/>
                <w:color w:val="auto"/>
                <w:w w:val="90"/>
              </w:rPr>
              <w:t>December 31, 2020 to September 30,</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4"/>
              </w:rPr>
              <w:t>2022</w:t>
            </w:r>
          </w:p>
        </w:tc>
        <w:tc>
          <w:tcPr>
            <w:tcW w:w="360" w:type="dxa"/>
            <w:vAlign w:val="bottom"/>
            <w:tcBorders>
              <w:bottom w:val="single" w:sz="8" w:color="0000FF"/>
            </w:tcBorders>
            <w:gridSpan w:val="3"/>
          </w:tcPr>
          <w:p>
            <w:pPr>
              <w:jc w:val="right"/>
              <w:spacing w:after="0" w:line="176" w:lineRule="exact"/>
              <w:rPr>
                <w:sz w:val="20"/>
                <w:szCs w:val="20"/>
                <w:color w:val="auto"/>
              </w:rPr>
            </w:pPr>
            <w:r>
              <w:rPr>
                <w:rFonts w:ascii="Arial" w:cs="Arial" w:eastAsia="Arial" w:hAnsi="Arial"/>
                <w:sz w:val="18"/>
                <w:szCs w:val="18"/>
                <w:color w:val="0000FF"/>
                <w:w w:val="84"/>
              </w:rPr>
              <w:t>2023</w:t>
            </w:r>
          </w:p>
        </w:tc>
        <w:tc>
          <w:tcPr>
            <w:tcW w:w="3040" w:type="dxa"/>
            <w:vAlign w:val="bottom"/>
          </w:tcPr>
          <w:p>
            <w:pPr>
              <w:spacing w:after="0"/>
              <w:rPr>
                <w:sz w:val="15"/>
                <w:szCs w:val="15"/>
                <w:color w:val="auto"/>
              </w:rPr>
            </w:pPr>
          </w:p>
        </w:tc>
        <w:tc>
          <w:tcPr>
            <w:tcW w:w="98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4"/>
              </w:rPr>
              <w:t>5.00 to 1.00</w:t>
            </w:r>
          </w:p>
        </w:tc>
        <w:tc>
          <w:tcPr>
            <w:tcW w:w="0" w:type="dxa"/>
            <w:vAlign w:val="bottom"/>
          </w:tcPr>
          <w:p>
            <w:pPr>
              <w:spacing w:after="0"/>
              <w:rPr>
                <w:sz w:val="1"/>
                <w:szCs w:val="1"/>
                <w:color w:val="auto"/>
              </w:rPr>
            </w:pPr>
          </w:p>
        </w:tc>
      </w:tr>
      <w:tr>
        <w:trPr>
          <w:trHeight w:val="28"/>
        </w:trPr>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7"/>
              </w:rPr>
              <w:t>December 31,</w:t>
            </w:r>
          </w:p>
        </w:tc>
        <w:tc>
          <w:tcPr>
            <w:tcW w:w="38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FF0000"/>
                <w:strike w:val="1"/>
                <w:w w:val="89"/>
              </w:rPr>
              <w:t>2022</w:t>
            </w:r>
          </w:p>
        </w:tc>
        <w:tc>
          <w:tcPr>
            <w:tcW w:w="168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0000FF"/>
              </w:rPr>
              <w:t xml:space="preserve">2023 </w:t>
            </w:r>
            <w:r>
              <w:rPr>
                <w:rFonts w:ascii="Arial" w:cs="Arial" w:eastAsia="Arial" w:hAnsi="Arial"/>
                <w:sz w:val="17"/>
                <w:szCs w:val="17"/>
                <w:color w:val="000000"/>
              </w:rPr>
              <w:t>and each</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4"/>
              </w:rPr>
              <w:t>4.50 to 1.00</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4680" w:type="dxa"/>
            <w:vAlign w:val="bottom"/>
            <w:tcBorders>
              <w:top w:val="single" w:sz="8" w:color="CCEEFF"/>
            </w:tcBorders>
            <w:gridSpan w:val="6"/>
            <w:shd w:val="clear" w:color="auto" w:fill="CCEEFF"/>
          </w:tcPr>
          <w:p>
            <w:pPr>
              <w:spacing w:after="0" w:line="20" w:lineRule="exact"/>
              <w:rPr>
                <w:sz w:val="1"/>
                <w:szCs w:val="1"/>
                <w:color w:val="auto"/>
              </w:rPr>
            </w:pPr>
          </w:p>
        </w:tc>
        <w:tc>
          <w:tcPr>
            <w:tcW w:w="98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92"/>
              </w:rPr>
              <w:t>Fiscal Quarter thereafter</w:t>
            </w:r>
          </w:p>
        </w:tc>
        <w:tc>
          <w:tcPr>
            <w:tcW w:w="4680" w:type="dxa"/>
            <w:vAlign w:val="bottom"/>
            <w:gridSpan w:val="6"/>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 w:right="240"/>
        <w:spacing w:after="0" w:line="301" w:lineRule="auto"/>
        <w:rPr>
          <w:sz w:val="20"/>
          <w:szCs w:val="20"/>
          <w:color w:val="auto"/>
        </w:rPr>
      </w:pPr>
      <w:r>
        <w:rPr>
          <w:rFonts w:ascii="Arial" w:cs="Arial" w:eastAsia="Arial" w:hAnsi="Arial"/>
          <w:sz w:val="16"/>
          <w:szCs w:val="16"/>
          <w:color w:val="auto"/>
        </w:rPr>
        <w:t>Notwithstanding the foregoing, upon the consummation of a Material Acquisition and until the end of the fourth full fiscal quarter thereafter (the “</w:t>
      </w:r>
      <w:r>
        <w:rPr>
          <w:rFonts w:ascii="Arial" w:cs="Arial" w:eastAsia="Arial" w:hAnsi="Arial"/>
          <w:sz w:val="16"/>
          <w:szCs w:val="16"/>
          <w:u w:val="single" w:color="auto"/>
          <w:color w:val="auto"/>
        </w:rPr>
        <w:t>Increase Period</w:t>
      </w:r>
      <w:r>
        <w:rPr>
          <w:rFonts w:ascii="Arial" w:cs="Arial" w:eastAsia="Arial" w:hAnsi="Arial"/>
          <w:sz w:val="16"/>
          <w:szCs w:val="16"/>
          <w:color w:val="auto"/>
        </w:rPr>
        <w:t>”), the maximum permitted Total Leverage Ratio shall be increased by 0.50 to 1.00 (the “</w:t>
      </w:r>
      <w:r>
        <w:rPr>
          <w:rFonts w:ascii="Arial" w:cs="Arial" w:eastAsia="Arial" w:hAnsi="Arial"/>
          <w:sz w:val="16"/>
          <w:szCs w:val="16"/>
          <w:u w:val="single" w:color="auto"/>
          <w:color w:val="auto"/>
        </w:rPr>
        <w:t>Step-Up</w:t>
      </w:r>
      <w:r>
        <w:rPr>
          <w:rFonts w:ascii="Arial" w:cs="Arial" w:eastAsia="Arial" w:hAnsi="Arial"/>
          <w:sz w:val="16"/>
          <w:szCs w:val="16"/>
          <w:color w:val="auto"/>
        </w:rPr>
        <w:t xml:space="preserve">”) during such Increase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11"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Listing of Events of Default</w:t>
      </w:r>
      <w:r>
        <w:rPr>
          <w:rFonts w:ascii="Arial" w:cs="Arial" w:eastAsia="Arial" w:hAnsi="Arial"/>
          <w:sz w:val="17"/>
          <w:szCs w:val="17"/>
          <w:color w:val="auto"/>
        </w:rPr>
        <w:t xml:space="preserve">. Each of the following events or occurrences described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constitute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from and after the Incremental Amendment No.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auto"/>
        </w:rPr>
        <w:t xml:space="preserve"> and </w:t>
      </w:r>
      <w:r>
        <w:rPr>
          <w:rFonts w:ascii="Arial" w:cs="Arial" w:eastAsia="Arial" w:hAnsi="Arial"/>
          <w:sz w:val="17"/>
          <w:szCs w:val="17"/>
          <w:color w:val="FF0000"/>
          <w:strike w:val="1"/>
        </w:rPr>
        <w:t>Third</w:t>
      </w:r>
      <w:r>
        <w:rPr>
          <w:rFonts w:ascii="Arial" w:cs="Arial" w:eastAsia="Arial" w:hAnsi="Arial"/>
          <w:sz w:val="17"/>
          <w:szCs w:val="17"/>
          <w:u w:val="single" w:color="auto"/>
          <w:color w:val="0000FF"/>
        </w:rPr>
        <w:t>Fifth</w:t>
      </w:r>
      <w:r>
        <w:rPr>
          <w:rFonts w:ascii="Arial" w:cs="Arial" w:eastAsia="Arial" w:hAnsi="Arial"/>
          <w:sz w:val="17"/>
          <w:szCs w:val="17"/>
          <w:color w:val="auto"/>
        </w:rPr>
        <w:t xml:space="preserve"> Amendment Effective Date for purposes of this Agreement:</w:t>
      </w:r>
    </w:p>
    <w:p>
      <w:pPr>
        <w:spacing w:after="0" w:line="38" w:lineRule="exact"/>
        <w:rPr>
          <w:sz w:val="20"/>
          <w:szCs w:val="20"/>
          <w:color w:val="auto"/>
        </w:rPr>
      </w:pPr>
    </w:p>
    <w:p>
      <w:pPr>
        <w:ind w:left="4" w:firstLine="436"/>
        <w:spacing w:after="0" w:line="273" w:lineRule="auto"/>
        <w:tabs>
          <w:tab w:leader="none" w:pos="689" w:val="left"/>
        </w:tabs>
        <w:numPr>
          <w:ilvl w:val="0"/>
          <w:numId w:val="275"/>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Failure to Make Payments When Due</w:t>
      </w:r>
      <w:r>
        <w:rPr>
          <w:rFonts w:ascii="Arial" w:cs="Arial" w:eastAsia="Arial" w:hAnsi="Arial"/>
          <w:sz w:val="17"/>
          <w:szCs w:val="17"/>
          <w:color w:val="auto"/>
        </w:rPr>
        <w:t>. Any Borrower shall default or fail (i) in the payment when due of any principal of any Loan (including, without limitation, on any Scheduled Term Repayment date), the face amount of any B/A Loan,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69" w:lineRule="exact"/>
        <w:rPr>
          <w:rFonts w:ascii="Arial" w:cs="Arial" w:eastAsia="Arial" w:hAnsi="Arial"/>
          <w:sz w:val="17"/>
          <w:szCs w:val="17"/>
          <w:u w:val="single" w:color="auto"/>
          <w:color w:val="0000FF"/>
        </w:rPr>
      </w:pPr>
    </w:p>
    <w:p>
      <w:pPr>
        <w:ind w:left="4" w:right="20" w:firstLine="436"/>
        <w:spacing w:after="0" w:line="279" w:lineRule="auto"/>
        <w:tabs>
          <w:tab w:leader="none" w:pos="699" w:val="left"/>
        </w:tabs>
        <w:numPr>
          <w:ilvl w:val="0"/>
          <w:numId w:val="275"/>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made by any Credit Party hereunder or in any other Loan Document or certificate furnished by or on behalf of any Credit Party to Administrative Agent, U.K. Administrative Agent, any Collateral Agent, any Facing Agent or any Lender in connection with this Agreement or any such other Loan Document shall have been incorrect in any material respect on the date as of when made</w:t>
      </w:r>
      <w:r>
        <w:rPr>
          <w:rFonts w:ascii="Arial" w:cs="Arial" w:eastAsia="Arial" w:hAnsi="Arial"/>
          <w:sz w:val="17"/>
          <w:szCs w:val="17"/>
          <w:u w:val="single" w:color="auto"/>
          <w:color w:val="0000FF"/>
        </w:rPr>
        <w:t>, subject to a thirty (30) day grace period in the case of any misrepresentation that is capable of being cured</w:t>
      </w:r>
      <w:r>
        <w:rPr>
          <w:rFonts w:ascii="Arial" w:cs="Arial" w:eastAsia="Arial" w:hAnsi="Arial"/>
          <w:sz w:val="17"/>
          <w:szCs w:val="17"/>
          <w:color w:val="auto"/>
        </w:rPr>
        <w: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04"/>
          </w:cols>
          <w:pgMar w:left="436" w:top="270" w:right="459" w:bottom="1440" w:gutter="0" w:footer="0" w:header="0"/>
        </w:sectPr>
      </w:pPr>
    </w:p>
    <w:bookmarkStart w:id="337" w:name="page338"/>
    <w:bookmarkEnd w:id="337"/>
    <w:p>
      <w:pPr>
        <w:ind w:left="684" w:hanging="244"/>
        <w:spacing w:after="0"/>
        <w:tabs>
          <w:tab w:leader="none" w:pos="684" w:val="left"/>
        </w:tabs>
        <w:numPr>
          <w:ilvl w:val="1"/>
          <w:numId w:val="276"/>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Covenants</w:t>
      </w:r>
      <w:r>
        <w:rPr>
          <w:rFonts w:ascii="Arial" w:cs="Arial" w:eastAsia="Arial" w:hAnsi="Arial"/>
          <w:sz w:val="17"/>
          <w:szCs w:val="17"/>
          <w:color w:val="auto"/>
        </w:rPr>
        <w:t xml:space="preserve">. Any Credit Party shall default in the due performance and observance of any of its obligations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u w:val="single" w:color="auto"/>
          <w:color w:val="0000FF"/>
        </w:rPr>
      </w:pPr>
    </w:p>
    <w:p>
      <w:pPr>
        <w:ind w:left="4" w:right="200" w:hanging="4"/>
        <w:spacing w:after="0" w:line="260" w:lineRule="auto"/>
        <w:tabs>
          <w:tab w:leader="none" w:pos="249" w:val="left"/>
        </w:tabs>
        <w:numPr>
          <w:ilvl w:val="0"/>
          <w:numId w:val="277"/>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(with respect to the maintenance and preservation of any Parent Guarantor’s or any Borrower’s legal existence),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77" w:lineRule="exact"/>
        <w:rPr>
          <w:rFonts w:ascii="Arial" w:cs="Arial" w:eastAsia="Arial" w:hAnsi="Arial"/>
          <w:sz w:val="18"/>
          <w:szCs w:val="18"/>
          <w:u w:val="single" w:color="auto"/>
          <w:color w:val="auto"/>
        </w:rPr>
      </w:pPr>
    </w:p>
    <w:p>
      <w:pPr>
        <w:ind w:left="4" w:right="420" w:firstLine="436"/>
        <w:spacing w:after="0" w:line="259" w:lineRule="auto"/>
        <w:tabs>
          <w:tab w:leader="none" w:pos="699" w:val="left"/>
        </w:tabs>
        <w:numPr>
          <w:ilvl w:val="1"/>
          <w:numId w:val="277"/>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Other Covenants, Default Under Other Loan Documents</w:t>
      </w:r>
      <w:r>
        <w:rPr>
          <w:rFonts w:ascii="Arial" w:cs="Arial" w:eastAsia="Arial" w:hAnsi="Arial"/>
          <w:sz w:val="18"/>
          <w:szCs w:val="18"/>
          <w:color w:val="auto"/>
        </w:rPr>
        <w:t>.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given to Crown Holdings by Administrative Agent (including through the instruction of any Lender).</w:t>
      </w:r>
    </w:p>
    <w:p>
      <w:pPr>
        <w:spacing w:after="0" w:line="78" w:lineRule="exact"/>
        <w:rPr>
          <w:rFonts w:ascii="Arial" w:cs="Arial" w:eastAsia="Arial" w:hAnsi="Arial"/>
          <w:sz w:val="18"/>
          <w:szCs w:val="18"/>
          <w:u w:val="single" w:color="auto"/>
          <w:color w:val="0000FF"/>
        </w:rPr>
      </w:pPr>
    </w:p>
    <w:p>
      <w:pPr>
        <w:ind w:left="4" w:right="40" w:firstLine="436"/>
        <w:spacing w:after="0" w:line="272" w:lineRule="auto"/>
        <w:tabs>
          <w:tab w:leader="none" w:pos="689" w:val="left"/>
        </w:tabs>
        <w:numPr>
          <w:ilvl w:val="1"/>
          <w:numId w:val="277"/>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Default Under Other Agreements</w:t>
      </w:r>
      <w:r>
        <w:rPr>
          <w:rFonts w:ascii="Arial" w:cs="Arial" w:eastAsia="Arial" w:hAnsi="Arial"/>
          <w:sz w:val="17"/>
          <w:szCs w:val="17"/>
          <w:color w:val="auto"/>
        </w:rPr>
        <w:t xml:space="preserve">.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(e)(ii) shall not apply to Secured Indebtedness that becomes due as a result of the permitted voluntary sale or permitted transfer of the property or assets securing such Indebtedness.</w:t>
      </w:r>
    </w:p>
    <w:p>
      <w:pPr>
        <w:spacing w:after="0" w:line="69" w:lineRule="exact"/>
        <w:rPr>
          <w:rFonts w:ascii="Arial" w:cs="Arial" w:eastAsia="Arial" w:hAnsi="Arial"/>
          <w:sz w:val="17"/>
          <w:szCs w:val="17"/>
          <w:u w:val="single" w:color="auto"/>
          <w:color w:val="0000FF"/>
        </w:rPr>
      </w:pPr>
    </w:p>
    <w:p>
      <w:pPr>
        <w:ind w:left="4" w:right="40" w:firstLine="436"/>
        <w:spacing w:after="0" w:line="255" w:lineRule="auto"/>
        <w:tabs>
          <w:tab w:leader="none" w:pos="669" w:val="left"/>
        </w:tabs>
        <w:numPr>
          <w:ilvl w:val="1"/>
          <w:numId w:val="277"/>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Judgments</w:t>
      </w:r>
      <w:r>
        <w:rPr>
          <w:rFonts w:ascii="Arial" w:cs="Arial" w:eastAsia="Arial" w:hAnsi="Arial"/>
          <w:sz w:val="18"/>
          <w:szCs w:val="18"/>
          <w:color w:val="auto"/>
        </w:rPr>
        <w:t>. Any judgment or order (or combination of judgments and orders) for the payment of money (to the extent not paid or covered by insurance) equal to or in excess of $250,000,000 individually or in the aggregate shall be rendered against any Credit Party (or any combination thereof) and (i) enforcement proceedings shall have been commenced by any creditor upon such judgment or order and not stayed; (ii) such judgment has not been stayed, bonded, vacated, satisfied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p>
    <w:p>
      <w:pPr>
        <w:spacing w:after="0" w:line="84" w:lineRule="exact"/>
        <w:rPr>
          <w:rFonts w:ascii="Arial" w:cs="Arial" w:eastAsia="Arial" w:hAnsi="Arial"/>
          <w:sz w:val="18"/>
          <w:szCs w:val="18"/>
          <w:u w:val="single" w:color="auto"/>
          <w:color w:val="0000FF"/>
        </w:rPr>
      </w:pPr>
    </w:p>
    <w:p>
      <w:pPr>
        <w:ind w:left="4" w:firstLine="436"/>
        <w:spacing w:after="0" w:line="270" w:lineRule="auto"/>
        <w:tabs>
          <w:tab w:leader="none" w:pos="699" w:val="left"/>
        </w:tabs>
        <w:numPr>
          <w:ilvl w:val="1"/>
          <w:numId w:val="277"/>
        </w:numPr>
        <w:rPr>
          <w:rFonts w:ascii="Arial" w:cs="Arial" w:eastAsia="Arial" w:hAnsi="Arial"/>
          <w:sz w:val="17"/>
          <w:szCs w:val="17"/>
          <w:u w:val="single" w:color="auto"/>
          <w:color w:val="0000FF"/>
        </w:rPr>
      </w:pPr>
      <w:r>
        <w:rPr>
          <w:rFonts w:ascii="Arial" w:cs="Arial" w:eastAsia="Arial" w:hAnsi="Arial"/>
          <w:sz w:val="17"/>
          <w:szCs w:val="17"/>
          <w:u w:val="single" w:color="auto"/>
          <w:color w:val="auto"/>
        </w:rPr>
        <w:t>Employee Benefit Plans</w:t>
      </w:r>
      <w:r>
        <w:rPr>
          <w:rFonts w:ascii="Arial" w:cs="Arial" w:eastAsia="Arial" w:hAnsi="Arial"/>
          <w:sz w:val="17"/>
          <w:szCs w:val="17"/>
          <w:color w:val="auto"/>
        </w:rPr>
        <w:t>.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could be required to make a contribution to such Pension Plan, or would reasonably expect to incur a liability or obligation to such Pension Plan, in excess of $250,000,000;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72" w:lineRule="exact"/>
        <w:rPr>
          <w:rFonts w:ascii="Arial" w:cs="Arial" w:eastAsia="Arial" w:hAnsi="Arial"/>
          <w:sz w:val="17"/>
          <w:szCs w:val="17"/>
          <w:u w:val="single" w:color="auto"/>
          <w:color w:val="0000FF"/>
        </w:rPr>
      </w:pPr>
    </w:p>
    <w:p>
      <w:pPr>
        <w:ind w:left="704" w:hanging="264"/>
        <w:spacing w:after="0"/>
        <w:tabs>
          <w:tab w:leader="none" w:pos="704" w:val="left"/>
        </w:tabs>
        <w:numPr>
          <w:ilvl w:val="1"/>
          <w:numId w:val="277"/>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Any Change of Control shall occur.</w:t>
      </w:r>
    </w:p>
    <w:p>
      <w:pPr>
        <w:spacing w:after="0" w:line="117" w:lineRule="exact"/>
        <w:rPr>
          <w:rFonts w:ascii="Arial" w:cs="Arial" w:eastAsia="Arial" w:hAnsi="Arial"/>
          <w:sz w:val="18"/>
          <w:szCs w:val="18"/>
          <w:u w:val="single" w:color="auto"/>
          <w:color w:val="0000FF"/>
        </w:rPr>
      </w:pPr>
    </w:p>
    <w:p>
      <w:pPr>
        <w:ind w:left="664" w:hanging="224"/>
        <w:spacing w:after="0"/>
        <w:tabs>
          <w:tab w:leader="none" w:pos="664" w:val="left"/>
        </w:tabs>
        <w:numPr>
          <w:ilvl w:val="1"/>
          <w:numId w:val="277"/>
        </w:numPr>
        <w:rPr>
          <w:rFonts w:ascii="Arial" w:cs="Arial" w:eastAsia="Arial" w:hAnsi="Arial"/>
          <w:sz w:val="16"/>
          <w:szCs w:val="16"/>
          <w:u w:val="single" w:color="auto"/>
          <w:color w:val="0000FF"/>
        </w:rPr>
      </w:pPr>
      <w:r>
        <w:rPr>
          <w:rFonts w:ascii="Arial" w:cs="Arial" w:eastAsia="Arial" w:hAnsi="Arial"/>
          <w:sz w:val="16"/>
          <w:szCs w:val="16"/>
          <w:u w:val="single" w:color="auto"/>
          <w:color w:val="auto"/>
        </w:rPr>
        <w:t>Insolvency</w:t>
      </w:r>
      <w:r>
        <w:rPr>
          <w:rFonts w:ascii="Arial" w:cs="Arial" w:eastAsia="Arial" w:hAnsi="Arial"/>
          <w:sz w:val="16"/>
          <w:szCs w:val="16"/>
          <w:color w:val="auto"/>
        </w:rPr>
        <w:t>. Any Credit Party or any of its Material Subsidiaries shall: (i) become insolvent or generally fail to pay debts as they become due;</w:t>
      </w:r>
    </w:p>
    <w:p>
      <w:pPr>
        <w:spacing w:after="0" w:line="46" w:lineRule="exact"/>
        <w:rPr>
          <w:rFonts w:ascii="Arial" w:cs="Arial" w:eastAsia="Arial" w:hAnsi="Arial"/>
          <w:sz w:val="16"/>
          <w:szCs w:val="16"/>
          <w:u w:val="single" w:color="auto"/>
          <w:color w:val="0000FF"/>
        </w:rPr>
      </w:pPr>
    </w:p>
    <w:p>
      <w:pPr>
        <w:ind w:left="4" w:right="460" w:hanging="4"/>
        <w:spacing w:after="0" w:line="260" w:lineRule="auto"/>
        <w:tabs>
          <w:tab w:leader="none" w:pos="26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voluntarily apply for, consent to, or acquiesce in, the appointment of a trustee, Receiver, administrator, sequestrator or other custodian for such Credit Party or any of such Subsidiaries or substantially all of the property of any thereof, or make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-4801870</wp:posOffset>
            </wp:positionV>
            <wp:extent cx="12001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-4321810</wp:posOffset>
            </wp:positionV>
            <wp:extent cx="12827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-3704590</wp:posOffset>
            </wp:positionV>
            <wp:extent cx="12001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-2675890</wp:posOffset>
            </wp:positionV>
            <wp:extent cx="11112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-1784350</wp:posOffset>
            </wp:positionV>
            <wp:extent cx="12827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-481330</wp:posOffset>
            </wp:positionV>
            <wp:extent cx="12827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-275590</wp:posOffset>
            </wp:positionV>
            <wp:extent cx="10287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04"/>
          </w:cols>
          <w:pgMar w:left="436" w:top="274" w:right="459" w:bottom="1440" w:gutter="0" w:footer="0" w:header="0"/>
        </w:sectPr>
      </w:pPr>
    </w:p>
    <w:bookmarkStart w:id="338" w:name="page339"/>
    <w:bookmarkEnd w:id="338"/>
    <w:p>
      <w:pPr>
        <w:ind w:left="4" w:right="2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assignment for the benefit of creditors; (iii) in the absence of such voluntary application, consent or acquiescence, permit or suffer to exist the appointment of a trustee, Receiver, administrator, sequestrator or other custodian for any Credit Party or any of such Material Subsidiaries or for a substantial part of the property of any thereof, and such trustee, receiver, sequestrator or other custodian shall not be discharged or stayed within sixty</w:t>
      </w:r>
    </w:p>
    <w:p>
      <w:pPr>
        <w:spacing w:after="0" w:line="2" w:lineRule="exact"/>
        <w:rPr>
          <w:sz w:val="20"/>
          <w:szCs w:val="20"/>
          <w:color w:val="auto"/>
        </w:rPr>
      </w:pPr>
    </w:p>
    <w:p>
      <w:pPr>
        <w:ind w:left="4" w:hanging="4"/>
        <w:spacing w:after="0" w:line="286" w:lineRule="auto"/>
        <w:tabs>
          <w:tab w:leader="none" w:pos="34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Credit Party and each such Material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administration, debt arrangement or other case or proceeding under any bankruptcy or insolvency law, or any dissolution, winding up or liquidation proceeding, in respect of any Credit Party or any such Material Subsidiary, and, if any such case or proceeding is not commenced by any Credit Party or such Material Subsidiary, such case or proceeding shall be consented to or acquiesced in by any Credit Party or such Material Subsidiary or shall result in the entry of an order for relief or shall remain for sixty (60) days undismissed, unbonded, unvacated, unsatisfied, undischarged and unstayed,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Credit Party and each such Material Subsidiary hereby expressly authorize Administrative Agent and each Lender to appear in any court conducting any such case or proceeding during such sixty (60) 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61" w:lineRule="exact"/>
        <w:rPr>
          <w:rFonts w:ascii="Arial" w:cs="Arial" w:eastAsia="Arial" w:hAnsi="Arial"/>
          <w:sz w:val="16"/>
          <w:szCs w:val="16"/>
          <w:color w:val="auto"/>
        </w:rPr>
      </w:pPr>
    </w:p>
    <w:p>
      <w:pPr>
        <w:ind w:left="4" w:right="140" w:firstLine="436"/>
        <w:spacing w:after="0" w:line="257" w:lineRule="auto"/>
        <w:tabs>
          <w:tab w:leader="none" w:pos="659" w:val="left"/>
        </w:tabs>
        <w:numPr>
          <w:ilvl w:val="1"/>
          <w:numId w:val="279"/>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Guaranties</w:t>
      </w:r>
      <w:r>
        <w:rPr>
          <w:rFonts w:ascii="Arial" w:cs="Arial" w:eastAsia="Arial" w:hAnsi="Arial"/>
          <w:sz w:val="18"/>
          <w:szCs w:val="18"/>
          <w:color w:val="auto"/>
        </w:rPr>
        <w:t xml:space="preserve">. Other than as a result of any release of the guaranty in accordance with the terms of this Agreement or any Guarantee Agreement, obligations of any Guarantor under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the obligations of U.S. Borrower or any other Subsidiary Credit Party under the Guarantee Agreements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repudiate its obligations thereunder.</w:t>
      </w:r>
    </w:p>
    <w:p>
      <w:pPr>
        <w:spacing w:after="0" w:line="79" w:lineRule="exact"/>
        <w:rPr>
          <w:rFonts w:ascii="Arial" w:cs="Arial" w:eastAsia="Arial" w:hAnsi="Arial"/>
          <w:sz w:val="18"/>
          <w:szCs w:val="18"/>
          <w:u w:val="single" w:color="auto"/>
          <w:color w:val="0000FF"/>
        </w:rPr>
      </w:pPr>
    </w:p>
    <w:p>
      <w:pPr>
        <w:ind w:left="4" w:right="20" w:firstLine="436"/>
        <w:spacing w:after="0" w:line="254" w:lineRule="auto"/>
        <w:tabs>
          <w:tab w:leader="none" w:pos="699" w:val="left"/>
        </w:tabs>
        <w:numPr>
          <w:ilvl w:val="1"/>
          <w:numId w:val="279"/>
        </w:numPr>
        <w:rPr>
          <w:rFonts w:ascii="Arial" w:cs="Arial" w:eastAsia="Arial" w:hAnsi="Arial"/>
          <w:sz w:val="18"/>
          <w:szCs w:val="18"/>
          <w:u w:val="single" w:color="auto"/>
          <w:color w:val="0000FF"/>
        </w:rPr>
      </w:pPr>
      <w:r>
        <w:rPr>
          <w:rFonts w:ascii="Arial" w:cs="Arial" w:eastAsia="Arial" w:hAnsi="Arial"/>
          <w:sz w:val="18"/>
          <w:szCs w:val="18"/>
          <w:u w:val="single" w:color="auto"/>
          <w:color w:val="auto"/>
        </w:rPr>
        <w:t>Security Documents</w:t>
      </w:r>
      <w:r>
        <w:rPr>
          <w:rFonts w:ascii="Arial" w:cs="Arial" w:eastAsia="Arial" w:hAnsi="Arial"/>
          <w:sz w:val="18"/>
          <w:szCs w:val="18"/>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$150,000,000, except as a result of (i) 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 (ii) any action taken by the Collateral Agents to release any Lien on any Collateral in accordance with the terms of this Agreement and any Receivables Intercreditor Agreement, if applicable, or (iii) any automatic or other release of any Lien on any Collateral in accordance with the terms of this Agreement and any Receivables Intercreditor Agreement,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-1711960</wp:posOffset>
            </wp:positionV>
            <wp:extent cx="10287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-957580</wp:posOffset>
            </wp:positionV>
            <wp:extent cx="12827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6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 if Bankruptcy</w:t>
      </w:r>
      <w:r>
        <w:rPr>
          <w:rFonts w:ascii="Arial" w:cs="Arial" w:eastAsia="Arial" w:hAnsi="Arial"/>
          <w:sz w:val="18"/>
          <w:szCs w:val="18"/>
          <w:color w:val="auto"/>
        </w:rPr>
        <w:t xml:space="preserve">. If any Event of Default described in clauses (i) through (v) of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Action if Other Event of Default</w:t>
      </w:r>
      <w:r>
        <w:rPr>
          <w:rFonts w:ascii="Arial" w:cs="Arial" w:eastAsia="Arial" w:hAnsi="Arial"/>
          <w:sz w:val="18"/>
          <w:szCs w:val="18"/>
          <w:color w:val="auto"/>
        </w:rPr>
        <w:t xml:space="preserve">. If any Event of Default (other than any Event of Default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w:t>
      </w:r>
    </w:p>
    <w:p>
      <w:pPr>
        <w:spacing w:after="0" w:line="23"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with respect to any Parent Guarantor or any Borrower) shall occur for any reason, whether voluntary or involuntary, and be continuing, Administrative Agent, upon the direction of the Required Lenders, shall by written notice to Borrowers and each Lender (a) declare all or any portion of the outstanding principal amount of the Loans and other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04"/>
          </w:cols>
          <w:pgMar w:left="436" w:top="274" w:right="459" w:bottom="1440" w:gutter="0" w:footer="0" w:header="0"/>
        </w:sectPr>
      </w:pPr>
    </w:p>
    <w:bookmarkStart w:id="339" w:name="page340"/>
    <w:bookmarkEnd w:id="33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to be due and payable and/or the Commitments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with respect to such Borrower it will pay) to Administrative Agent at the Payment Office such additional amount of cash, to be held as security by Administrative Agent for the benefit of the Secured Creditors, as is equal to the sum of (a) the aggregate Stated Amount of all Letters of Credit issued for the account of Crown Holdings and its Subsidiaries and then outstanding and (b) the aggregate amount of all Unpaid Drawings,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such time as (y) no Event of Default shall be continuing or (z) this Agreement shall have terminated in accordance with </w:t>
      </w:r>
      <w:r>
        <w:rPr>
          <w:rFonts w:ascii="Arial" w:cs="Arial" w:eastAsia="Arial" w:hAnsi="Arial"/>
          <w:sz w:val="17"/>
          <w:szCs w:val="17"/>
          <w:u w:val="single" w:color="auto"/>
          <w:color w:val="auto"/>
        </w:rPr>
        <w:t>Section 12.15</w:t>
      </w:r>
      <w:r>
        <w:rPr>
          <w:rFonts w:ascii="Arial" w:cs="Arial" w:eastAsia="Arial" w:hAnsi="Arial"/>
          <w:sz w:val="17"/>
          <w:szCs w:val="17"/>
          <w:color w:val="auto"/>
        </w:rPr>
        <w:t xml:space="preserve">, the balance, if any, of the amount held pursuant to this clause (b) shall be returned to the Borrowers and (c) enforce, or cause the U.S. Collateral Agent and Euro Collateral Agent to enforce, the Guarantee Agreement, the provisions of </w:t>
      </w:r>
      <w:r>
        <w:rPr>
          <w:rFonts w:ascii="Arial" w:cs="Arial" w:eastAsia="Arial" w:hAnsi="Arial"/>
          <w:sz w:val="17"/>
          <w:szCs w:val="17"/>
          <w:u w:val="single" w:color="auto"/>
          <w:color w:val="auto"/>
        </w:rPr>
        <w:t>Article XIV</w:t>
      </w:r>
      <w:r>
        <w:rPr>
          <w:rFonts w:ascii="Arial" w:cs="Arial" w:eastAsia="Arial" w:hAnsi="Arial"/>
          <w:sz w:val="17"/>
          <w:szCs w:val="17"/>
          <w:color w:val="auto"/>
        </w:rPr>
        <w:t>, and all of the Liens and security interests created pursuant to the Security Documents in accordance with their terms.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Rights Not Exclusive</w:t>
      </w:r>
      <w:r>
        <w:rPr>
          <w:rFonts w:ascii="Arial" w:cs="Arial" w:eastAsia="Arial" w:hAnsi="Arial"/>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Notwithstanding anything to the contrary contained in this Agreement (including, without limitation,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pro rata, to all fees, costs and expenses incurred by or owing to Administrative Agent, Collateral Agents and any Lender with respect to this Agreement, the other Loan Documents or the Collateral;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pro rata, to accrued and unpaid interest on the Obligations (including any interest which but for the provisions of the Bankruptcy Code, would have accrued on such amounts); </w:t>
      </w:r>
      <w:r>
        <w:rPr>
          <w:rFonts w:ascii="Arial" w:cs="Arial" w:eastAsia="Arial" w:hAnsi="Arial"/>
          <w:sz w:val="16"/>
          <w:szCs w:val="16"/>
          <w:u w:val="single" w:color="auto"/>
          <w:color w:val="auto"/>
        </w:rPr>
        <w:t>third</w:t>
      </w:r>
      <w:r>
        <w:rPr>
          <w:rFonts w:ascii="Arial" w:cs="Arial" w:eastAsia="Arial" w:hAnsi="Arial"/>
          <w:sz w:val="16"/>
          <w:szCs w:val="16"/>
          <w:color w:val="auto"/>
        </w:rPr>
        <w:t>, to the principal amount of or any other portions of, the Obligations outstanding (including without limitation, any Bank Related Debt) and to cash collateralize outstanding Letters of Credit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such Obligations based upon the principal amount thereof or the outstanding face amount of such Letters of Credit, as applicable, and with respect to amounts applied to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Notwithstanding anything to the contrary contained in this Agreement (including, without limitation,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costs and expenses incurred by or owing to Administrative Agent, Collateral Agents and any Lender with respect to this Agreement, the other Loan Documents or the Collateral;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accrued and unpaid interest on the Foreign Obligations (including any interest which but for the provisions of the Bankruptcy Code, would have accrued on such amounts); </w:t>
      </w:r>
      <w:r>
        <w:rPr>
          <w:rFonts w:ascii="Arial" w:cs="Arial" w:eastAsia="Arial" w:hAnsi="Arial"/>
          <w:sz w:val="17"/>
          <w:szCs w:val="17"/>
          <w:u w:val="single" w:color="auto"/>
          <w:color w:val="auto"/>
        </w:rPr>
        <w:t>third</w:t>
      </w:r>
      <w:r>
        <w:rPr>
          <w:rFonts w:ascii="Arial" w:cs="Arial" w:eastAsia="Arial" w:hAnsi="Arial"/>
          <w:sz w:val="17"/>
          <w:szCs w:val="17"/>
          <w:color w:val="auto"/>
        </w:rPr>
        <w:t>, to the principal amount of the Foreign Obligations outstanding and to cash collateralize outstanding Letters of Credit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such Foreign Obligations based upon the principal amount thereof or the outstanding face amount of such Letters of Credit, as applicable, and with respect to amounts applied to Term Loans,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00"/>
          </w:cols>
          <w:pgMar w:left="440" w:top="274" w:right="459" w:bottom="1440" w:gutter="0" w:footer="0" w:header="0"/>
        </w:sectPr>
      </w:pPr>
    </w:p>
    <w:bookmarkStart w:id="340" w:name="page341"/>
    <w:bookmarkEnd w:id="340"/>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84"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otherwise.</w:t>
      </w:r>
    </w:p>
    <w:p>
      <w:pPr>
        <w:spacing w:after="0" w:line="187"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to the contrary notwithstanding, Administrative Agent shall, at the request of the Required Lenders, rescind and annul any acceleration of the Loans by written instrument filed with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such acceleration is so rescinded and annulled:</w:t>
      </w:r>
    </w:p>
    <w:p>
      <w:pPr>
        <w:ind w:left="4" w:right="220" w:hanging="4"/>
        <w:spacing w:after="0" w:line="255" w:lineRule="auto"/>
        <w:tabs>
          <w:tab w:leader="none" w:pos="29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2"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4924"/>
        <w:spacing w:after="0"/>
        <w:rPr>
          <w:sz w:val="20"/>
          <w:szCs w:val="20"/>
          <w:color w:val="auto"/>
        </w:rPr>
      </w:pPr>
      <w:r>
        <w:rPr>
          <w:rFonts w:ascii="Arial" w:cs="Arial" w:eastAsia="Arial" w:hAnsi="Arial"/>
          <w:sz w:val="18"/>
          <w:szCs w:val="18"/>
          <w:b w:val="1"/>
          <w:bCs w:val="1"/>
          <w:u w:val="single" w:color="auto"/>
          <w:color w:val="auto"/>
        </w:rPr>
        <w:t>THE AGENTS</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documents governed by the law of England) under all Euro Security Documents (such appointment being made, as regards any Euro Security Document governed by French law, </w:t>
      </w:r>
      <w:r>
        <w:rPr>
          <w:rFonts w:ascii="Arial" w:cs="Arial" w:eastAsia="Arial" w:hAnsi="Arial"/>
          <w:sz w:val="16"/>
          <w:szCs w:val="16"/>
          <w:i w:val="1"/>
          <w:iCs w:val="1"/>
          <w:color w:val="auto"/>
        </w:rPr>
        <w:t>agent de sûretés</w:t>
      </w:r>
      <w:r>
        <w:rPr>
          <w:rFonts w:ascii="Arial" w:cs="Arial" w:eastAsia="Arial" w:hAnsi="Arial"/>
          <w:sz w:val="16"/>
          <w:szCs w:val="16"/>
          <w:color w:val="auto"/>
        </w:rPr>
        <w:t xml:space="preserve"> to act in accordance with the provisions of Article 2328-1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 Each Agent may perform any of its duties hereunder and under the other Loan Documents, by or through its officers, directors, agents, employees or affiliates. The provisions of this Article are solely for the benefit of the Administrative Agent and the Lenders, and no Credit Party shall have rights as a third party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04"/>
          </w:cols>
          <w:pgMar w:left="436" w:top="274" w:right="459" w:bottom="1440" w:gutter="0" w:footer="0" w:header="0"/>
        </w:sectPr>
      </w:pPr>
    </w:p>
    <w:bookmarkStart w:id="341" w:name="page342"/>
    <w:bookmarkEnd w:id="341"/>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beneficiary of any of such provisions. For the purposes of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12.17</w:t>
      </w:r>
      <w:r>
        <w:rPr>
          <w:rFonts w:ascii="Arial" w:cs="Arial" w:eastAsia="Arial" w:hAnsi="Arial"/>
          <w:sz w:val="16"/>
          <w:szCs w:val="16"/>
          <w:color w:val="auto"/>
        </w:rPr>
        <w:t xml:space="preserve"> each Lender hereby relieves the Euro Collateral Agent from the restrictions on self-dealing and multiple representation pursuant to Section 181 of the German Civil Code (</w:t>
      </w:r>
      <w:r>
        <w:rPr>
          <w:rFonts w:ascii="Arial" w:cs="Arial" w:eastAsia="Arial" w:hAnsi="Arial"/>
          <w:sz w:val="16"/>
          <w:szCs w:val="16"/>
          <w:i w:val="1"/>
          <w:iCs w:val="1"/>
          <w:color w:val="auto"/>
        </w:rPr>
        <w:t>Bürgerliches Gesetzbuch</w:t>
      </w:r>
      <w:r>
        <w:rPr>
          <w:rFonts w:ascii="Arial" w:cs="Arial" w:eastAsia="Arial" w:hAnsi="Arial"/>
          <w:sz w:val="16"/>
          <w:szCs w:val="16"/>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49" w:lineRule="exact"/>
        <w:rPr>
          <w:sz w:val="20"/>
          <w:szCs w:val="20"/>
          <w:color w:val="auto"/>
        </w:rPr>
      </w:pPr>
    </w:p>
    <w:p>
      <w:pPr>
        <w:ind w:firstLine="436"/>
        <w:spacing w:after="0" w:line="285"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Arial" w:cs="Arial" w:eastAsia="Arial" w:hAnsi="Arial"/>
          <w:sz w:val="16"/>
          <w:szCs w:val="16"/>
          <w:u w:val="single" w:color="auto"/>
          <w:color w:val="auto"/>
        </w:rPr>
        <w:t>fondé de pouvoir</w:t>
      </w:r>
      <w:r>
        <w:rPr>
          <w:rFonts w:ascii="Arial" w:cs="Arial" w:eastAsia="Arial" w:hAnsi="Arial"/>
          <w:sz w:val="16"/>
          <w:szCs w:val="16"/>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Arial" w:cs="Arial" w:eastAsia="Arial" w:hAnsi="Arial"/>
          <w:sz w:val="16"/>
          <w:szCs w:val="16"/>
          <w:i w:val="1"/>
          <w:iCs w:val="1"/>
          <w:color w:val="auto"/>
        </w:rPr>
        <w:t>fondé</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pouvoir </w:t>
      </w:r>
      <w:r>
        <w:rPr>
          <w:rFonts w:ascii="Arial" w:cs="Arial" w:eastAsia="Arial" w:hAnsi="Arial"/>
          <w:sz w:val="16"/>
          <w:szCs w:val="16"/>
          <w:color w:val="auto"/>
        </w:rPr>
        <w:t>under the relevant deed of hypothec and applicable laws (with the power to delegate any such rights or duties). Moreover, in respect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 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Arial" w:cs="Arial" w:eastAsia="Arial" w:hAnsi="Arial"/>
          <w:sz w:val="16"/>
          <w:szCs w:val="16"/>
          <w:i w:val="1"/>
          <w:iCs w:val="1"/>
          <w:color w:val="auto"/>
        </w:rPr>
        <w:t>An Act respecting the Special Powers of Legal Persons</w:t>
      </w:r>
      <w:r>
        <w:rPr>
          <w:rFonts w:ascii="Arial" w:cs="Arial" w:eastAsia="Arial" w:hAnsi="Arial"/>
          <w:sz w:val="16"/>
          <w:szCs w:val="16"/>
          <w:color w:val="auto"/>
        </w:rPr>
        <w:t xml:space="preserve"> (Quebec). Any person who becomes a Secured Creditor or successor Collateral Agent shall be deemed to have consented to and ratified the foregoing appointment of each Collateral Agent as </w:t>
      </w:r>
      <w:r>
        <w:rPr>
          <w:rFonts w:ascii="Arial" w:cs="Arial" w:eastAsia="Arial" w:hAnsi="Arial"/>
          <w:sz w:val="16"/>
          <w:szCs w:val="16"/>
          <w:i w:val="1"/>
          <w:iCs w:val="1"/>
          <w:color w:val="auto"/>
        </w:rPr>
        <w:t>fondé de</w:t>
      </w:r>
      <w:r>
        <w:rPr>
          <w:rFonts w:ascii="Arial" w:cs="Arial" w:eastAsia="Arial" w:hAnsi="Arial"/>
          <w:sz w:val="16"/>
          <w:szCs w:val="16"/>
          <w:color w:val="auto"/>
        </w:rPr>
        <w:t xml:space="preserve"> </w:t>
      </w:r>
      <w:r>
        <w:rPr>
          <w:rFonts w:ascii="Arial" w:cs="Arial" w:eastAsia="Arial" w:hAnsi="Arial"/>
          <w:sz w:val="16"/>
          <w:szCs w:val="16"/>
          <w:i w:val="1"/>
          <w:iCs w:val="1"/>
          <w:color w:val="auto"/>
        </w:rPr>
        <w:t>pouvoir</w:t>
      </w:r>
      <w:r>
        <w:rPr>
          <w:rFonts w:ascii="Arial" w:cs="Arial" w:eastAsia="Arial" w:hAnsi="Arial"/>
          <w:sz w:val="16"/>
          <w:szCs w:val="16"/>
          <w:color w:val="auto"/>
        </w:rPr>
        <w:t>, agent and mandatary on behalf of all the Secured Creditors, including such person designated above as a Secured Creditor. For greater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certainty, each Collateral Agent, acting as the holder of an irrevocable power of attorney (</w:t>
      </w:r>
      <w:r>
        <w:rPr>
          <w:rFonts w:ascii="Arial" w:cs="Arial" w:eastAsia="Arial" w:hAnsi="Arial"/>
          <w:sz w:val="16"/>
          <w:szCs w:val="16"/>
          <w:i w:val="1"/>
          <w:iCs w:val="1"/>
          <w:color w:val="auto"/>
        </w:rPr>
        <w:t>fondé de pouvoir</w:t>
      </w:r>
      <w:r>
        <w:rPr>
          <w:rFonts w:ascii="Arial" w:cs="Arial" w:eastAsia="Arial" w:hAnsi="Arial"/>
          <w:sz w:val="16"/>
          <w:szCs w:val="16"/>
          <w:color w:val="auto"/>
        </w:rPr>
        <w:t xml:space="preserve">), shall have the same rights, powers, immunities, indemnities and exclusions from liability as are prescribed in favour of the Collateral Agents in this Agreement, which shall apply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In the event of the resignation and appointment of a successor Collateral Agent, such successor Collateral Agent shall also be authorized to</w:t>
      </w:r>
      <w:r>
        <w:rPr>
          <w:rFonts w:ascii="Arial" w:cs="Arial" w:eastAsia="Arial" w:hAnsi="Arial"/>
          <w:sz w:val="16"/>
          <w:szCs w:val="16"/>
          <w:i w:val="1"/>
          <w:iCs w:val="1"/>
          <w:color w:val="auto"/>
        </w:rPr>
        <w:t xml:space="preserve"> </w:t>
      </w:r>
      <w:r>
        <w:rPr>
          <w:rFonts w:ascii="Arial" w:cs="Arial" w:eastAsia="Arial" w:hAnsi="Arial"/>
          <w:sz w:val="16"/>
          <w:szCs w:val="16"/>
          <w:color w:val="auto"/>
        </w:rPr>
        <w:t>act as the holder of an irrevocable power of attorney (</w:t>
      </w:r>
      <w:r>
        <w:rPr>
          <w:rFonts w:ascii="Arial" w:cs="Arial" w:eastAsia="Arial" w:hAnsi="Arial"/>
          <w:sz w:val="16"/>
          <w:szCs w:val="16"/>
          <w:i w:val="1"/>
          <w:iCs w:val="1"/>
          <w:color w:val="auto"/>
        </w:rPr>
        <w:t>fondé de pouvoir</w:t>
      </w:r>
      <w:r>
        <w:rPr>
          <w:rFonts w:ascii="Arial" w:cs="Arial" w:eastAsia="Arial" w:hAnsi="Arial"/>
          <w:sz w:val="16"/>
          <w:szCs w:val="16"/>
          <w:color w:val="auto"/>
        </w:rPr>
        <w:t>).</w:t>
      </w:r>
    </w:p>
    <w:p>
      <w:pPr>
        <w:spacing w:after="0" w:line="6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The Administrative Agent in Its Individual Capacity</w:t>
      </w:r>
      <w:r>
        <w:rPr>
          <w:rFonts w:ascii="Arial" w:cs="Arial" w:eastAsia="Arial" w:hAnsi="Arial"/>
          <w:sz w:val="18"/>
          <w:szCs w:val="18"/>
          <w:color w:val="auto"/>
        </w:rPr>
        <w:t>.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 other consideration from any Credit Party or any Affiliate of any Credit Party for services in connection with this Agreement and otherwise without having to account for the same to the Lenders.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0980"/>
          </w:cols>
          <w:pgMar w:left="440" w:top="274" w:right="479" w:bottom="1440" w:gutter="0" w:footer="0" w:header="0"/>
        </w:sectPr>
      </w:pPr>
    </w:p>
    <w:bookmarkStart w:id="342" w:name="page343"/>
    <w:bookmarkEnd w:id="3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 </w:t>
      </w:r>
      <w:r>
        <w:rPr>
          <w:rFonts w:ascii="Arial" w:cs="Arial" w:eastAsia="Arial" w:hAnsi="Arial"/>
          <w:sz w:val="18"/>
          <w:szCs w:val="18"/>
          <w:u w:val="single" w:color="auto"/>
          <w:color w:val="auto"/>
        </w:rPr>
        <w:t>Nature of Duties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1" w:lineRule="auto"/>
        <w:tabs>
          <w:tab w:leader="none" w:pos="68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Administrative Agent, the Arrangers and the other Agents shall not have any duties or responsibilities except those expressly set forth in this Agreement and in the other Loan Documents. Neither the Administrative Agent nor any of its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w:t>
      </w:r>
    </w:p>
    <w:p>
      <w:pPr>
        <w:spacing w:after="0" w:line="70" w:lineRule="exact"/>
        <w:rPr>
          <w:rFonts w:ascii="Arial" w:cs="Arial" w:eastAsia="Arial" w:hAnsi="Arial"/>
          <w:sz w:val="17"/>
          <w:szCs w:val="17"/>
          <w:color w:val="auto"/>
        </w:rPr>
      </w:pPr>
    </w:p>
    <w:p>
      <w:pPr>
        <w:ind w:right="20" w:firstLine="436"/>
        <w:spacing w:after="0" w:line="255"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Arial" w:cs="Arial" w:eastAsia="Arial" w:hAnsi="Arial"/>
          <w:sz w:val="18"/>
          <w:szCs w:val="18"/>
          <w:u w:val="single" w:color="auto"/>
          <w:color w:val="auto"/>
        </w:rPr>
        <w:t>Section 12.4</w:t>
      </w:r>
      <w:r>
        <w:rPr>
          <w:rFonts w:ascii="Arial" w:cs="Arial" w:eastAsia="Arial" w:hAnsi="Arial"/>
          <w:sz w:val="18"/>
          <w:szCs w:val="18"/>
          <w:color w:val="auto"/>
        </w:rPr>
        <w:t>. Without limitation of the foregoing, each Arranger shall not, solely by reason of this Agreement or any other Loan Documents, have any fiduciary relationship in respect of any Lender or any other Person.</w:t>
      </w:r>
    </w:p>
    <w:p>
      <w:pPr>
        <w:spacing w:after="0" w:line="84" w:lineRule="exact"/>
        <w:rPr>
          <w:rFonts w:ascii="Arial" w:cs="Arial" w:eastAsia="Arial" w:hAnsi="Arial"/>
          <w:sz w:val="18"/>
          <w:szCs w:val="18"/>
          <w:color w:val="auto"/>
        </w:rPr>
      </w:pPr>
    </w:p>
    <w:p>
      <w:pPr>
        <w:ind w:firstLine="436"/>
        <w:spacing w:after="0" w:line="255" w:lineRule="auto"/>
        <w:tabs>
          <w:tab w:leader="none" w:pos="68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84"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Credit Party is entering into each Loan Document to which it is a party as a principal and not an agent, and in its own name and on its own account and not for the account or on behalf of any third party.</w:t>
      </w:r>
    </w:p>
    <w:p>
      <w:pPr>
        <w:spacing w:after="0" w:line="6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Reliance</w:t>
      </w:r>
      <w:r>
        <w:rPr>
          <w:rFonts w:ascii="Arial" w:cs="Arial" w:eastAsia="Arial" w:hAnsi="Arial"/>
          <w:sz w:val="17"/>
          <w:szCs w:val="17"/>
          <w:color w:val="auto"/>
        </w:rPr>
        <w:t>.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w:t>
      </w:r>
    </w:p>
    <w:p>
      <w:pPr>
        <w:ind w:right="400"/>
        <w:spacing w:after="0" w:line="260" w:lineRule="auto"/>
        <w:rPr>
          <w:sz w:val="20"/>
          <w:szCs w:val="20"/>
          <w:color w:val="auto"/>
        </w:rPr>
      </w:pPr>
      <w:r>
        <w:rPr>
          <w:rFonts w:ascii="Arial" w:cs="Arial" w:eastAsia="Arial" w:hAnsi="Arial"/>
          <w:sz w:val="18"/>
          <w:szCs w:val="18"/>
          <w:color w:val="auto"/>
        </w:rPr>
        <w:t>matters pertaining to this Agreement and any other Loan Document and its duties hereunder and thereunder, upon advice of counsel selected by the Administrative Agent.</w:t>
      </w:r>
    </w:p>
    <w:p>
      <w:pPr>
        <w:spacing w:after="0" w:line="7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w:t>
      </w:r>
      <w:r>
        <w:rPr>
          <w:rFonts w:ascii="Arial" w:cs="Arial" w:eastAsia="Arial" w:hAnsi="Arial"/>
          <w:sz w:val="18"/>
          <w:szCs w:val="18"/>
          <w:u w:val="single" w:color="auto"/>
          <w:color w:val="auto"/>
        </w:rPr>
        <w:t>r herein as well as activities as 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00"/>
          </w:cols>
          <w:pgMar w:left="440" w:top="274" w:right="459" w:bottom="1440" w:gutter="0" w:footer="0" w:header="0"/>
        </w:sectPr>
      </w:pPr>
    </w:p>
    <w:bookmarkStart w:id="343" w:name="page344"/>
    <w:bookmarkEnd w:id="34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Arial" w:cs="Arial" w:eastAsia="Arial" w:hAnsi="Arial"/>
          <w:sz w:val="18"/>
          <w:szCs w:val="18"/>
          <w:u w:val="single" w:color="auto"/>
          <w:color w:val="auto"/>
        </w:rPr>
        <w:t>Resignation by the Administrative Agent</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7" w:lineRule="auto"/>
        <w:tabs>
          <w:tab w:leader="none" w:pos="689"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The Administrative Agent may resign from the performance of all its respective functions and duties hereunder and/or under the other Loan Documents at any time by giving 30 days’ prior written notice to the Lenders and, unless an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then exists and is continuing, the Borrower. Such resignation shall take effect upon the appointment of a successor Administrative Agent pursuant to clauses (b) and</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below or as otherwise provided below.</w:t>
      </w:r>
    </w:p>
    <w:p>
      <w:pPr>
        <w:spacing w:after="0" w:line="102" w:lineRule="exact"/>
        <w:rPr>
          <w:rFonts w:ascii="Arial" w:cs="Arial" w:eastAsia="Arial" w:hAnsi="Arial"/>
          <w:sz w:val="18"/>
          <w:szCs w:val="18"/>
          <w:color w:val="auto"/>
        </w:rPr>
      </w:pPr>
    </w:p>
    <w:p>
      <w:pPr>
        <w:ind w:left="4" w:right="260" w:firstLine="436"/>
        <w:spacing w:after="0" w:line="259" w:lineRule="auto"/>
        <w:tabs>
          <w:tab w:leader="none" w:pos="699" w:val="left"/>
        </w:tabs>
        <w:numPr>
          <w:ilvl w:val="1"/>
          <w:numId w:val="285"/>
        </w:numPr>
        <w:rPr>
          <w:rFonts w:ascii="Arial" w:cs="Arial" w:eastAsia="Arial" w:hAnsi="Arial"/>
          <w:sz w:val="18"/>
          <w:szCs w:val="18"/>
          <w:color w:val="auto"/>
        </w:rPr>
      </w:pPr>
      <w:r>
        <w:rPr>
          <w:rFonts w:ascii="Arial" w:cs="Arial" w:eastAsia="Arial" w:hAnsi="Arial"/>
          <w:sz w:val="18"/>
          <w:szCs w:val="18"/>
          <w:color w:val="auto"/>
        </w:rPr>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approval shall not be required if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then exists and is continuing).</w:t>
      </w:r>
    </w:p>
    <w:p>
      <w:pPr>
        <w:spacing w:after="0" w:line="78" w:lineRule="exact"/>
        <w:rPr>
          <w:rFonts w:ascii="Arial" w:cs="Arial" w:eastAsia="Arial" w:hAnsi="Arial"/>
          <w:sz w:val="18"/>
          <w:szCs w:val="18"/>
          <w:color w:val="auto"/>
        </w:rPr>
      </w:pPr>
    </w:p>
    <w:p>
      <w:pPr>
        <w:ind w:left="4" w:right="60" w:firstLine="436"/>
        <w:spacing w:after="0" w:line="257" w:lineRule="auto"/>
        <w:tabs>
          <w:tab w:leader="none" w:pos="689"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If a successor Administrative Agent shall not have been so appointed within such 30 day period, the Administrative Agent, with the consent of the Borrower (which consent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consent shall not be required if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then exists and is continuing),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79" w:lineRule="exact"/>
        <w:rPr>
          <w:rFonts w:ascii="Arial" w:cs="Arial" w:eastAsia="Arial" w:hAnsi="Arial"/>
          <w:sz w:val="18"/>
          <w:szCs w:val="18"/>
          <w:color w:val="auto"/>
        </w:rPr>
      </w:pPr>
    </w:p>
    <w:p>
      <w:pPr>
        <w:ind w:left="4" w:firstLine="436"/>
        <w:spacing w:after="0" w:line="279" w:lineRule="auto"/>
        <w:tabs>
          <w:tab w:leader="none" w:pos="69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63" w:lineRule="exact"/>
        <w:rPr>
          <w:rFonts w:ascii="Arial" w:cs="Arial" w:eastAsia="Arial" w:hAnsi="Arial"/>
          <w:sz w:val="17"/>
          <w:szCs w:val="17"/>
          <w:color w:val="auto"/>
        </w:rPr>
      </w:pPr>
    </w:p>
    <w:p>
      <w:pPr>
        <w:ind w:left="4" w:right="100" w:firstLine="436"/>
        <w:spacing w:after="0" w:line="271" w:lineRule="auto"/>
        <w:tabs>
          <w:tab w:leader="none" w:pos="68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 xml:space="preserve">Upon a resignation of the Administrative Agent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the Administrative Agent shall remain indemnified to the extent provided in this Agreement and the other Loan Documents and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analogous provisions of the other Loan Documents) and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Arial" w:cs="Arial" w:eastAsia="Arial" w:hAnsi="Arial"/>
          <w:sz w:val="17"/>
          <w:szCs w:val="17"/>
          <w:u w:val="single" w:color="auto"/>
          <w:color w:val="auto"/>
        </w:rPr>
        <w:t>Section 11.6</w:t>
      </w:r>
      <w:r>
        <w:rPr>
          <w:rFonts w:ascii="Arial" w:cs="Arial" w:eastAsia="Arial" w:hAnsi="Arial"/>
          <w:sz w:val="17"/>
          <w:szCs w:val="17"/>
          <w:color w:val="auto"/>
        </w:rPr>
        <w:t>). The fees payable by the Borrower to a successor Administrative Agent shall be the same as those payable to its predecessor unless otherwise agreed between the Borrower and such successor.</w:t>
      </w:r>
    </w:p>
    <w:p>
      <w:pPr>
        <w:spacing w:after="0" w:line="70" w:lineRule="exact"/>
        <w:rPr>
          <w:rFonts w:ascii="Arial" w:cs="Arial" w:eastAsia="Arial" w:hAnsi="Arial"/>
          <w:sz w:val="17"/>
          <w:szCs w:val="17"/>
          <w:color w:val="auto"/>
        </w:rPr>
      </w:pPr>
    </w:p>
    <w:p>
      <w:pPr>
        <w:ind w:left="4" w:right="40" w:firstLine="436"/>
        <w:spacing w:after="0" w:line="275" w:lineRule="auto"/>
        <w:tabs>
          <w:tab w:leader="none" w:pos="66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a Person may be removed as the Administrative Agent and a replacement Administrative Agent appointed by Required Lenders (determined after giving effect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by notice to the Borrowers and such Person) with the consent of the Borrowers (such consent not to be unreasonably withheld) or by any Borrower, and such replacement Administrative Agent, if the Required Lenders or any Borrower determine(s) that the Person serving as Administrative Agent is (without taking into account any provision in the definition of “Defaulting Lender” requiring notice from the Administrative Agent or any other party) a Defaulting</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04"/>
          </w:cols>
          <w:pgMar w:left="436" w:top="274" w:right="459" w:bottom="1440" w:gutter="0" w:footer="0" w:header="0"/>
        </w:sectPr>
      </w:pPr>
    </w:p>
    <w:bookmarkStart w:id="344" w:name="page345"/>
    <w:bookmarkEnd w:id="34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removal shall, to the fullest extent permitted by applicable law, in any event become effective if no such replacement Administrative Agent is appointed hereunder within 30 days after the giving of such notice and (ii) no such consent of the Borrowers shall be required if an Event of Default has occurred and is continuing at the time of such appointment.</w:t>
      </w:r>
    </w:p>
    <w:p>
      <w:pPr>
        <w:spacing w:after="0" w:line="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Lack of Reliance on the Administrative Agent</w:t>
      </w:r>
      <w:r>
        <w:rPr>
          <w:rFonts w:ascii="Arial" w:cs="Arial" w:eastAsia="Arial" w:hAnsi="Arial"/>
          <w:sz w:val="16"/>
          <w:szCs w:val="16"/>
          <w:color w:val="auto"/>
        </w:rPr>
        <w:t>. Independently and without reliance upon the Administrative Agent,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 (ii) its own appraisal of the creditworthiness of the Parent Guarantors, the Borrower and the Restricted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17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6" w:lineRule="exact"/>
        <w:rPr>
          <w:sz w:val="20"/>
          <w:szCs w:val="20"/>
          <w:color w:val="auto"/>
        </w:rPr>
      </w:pPr>
    </w:p>
    <w:p>
      <w:pPr>
        <w:jc w:val="both"/>
        <w:ind w:right="260" w:firstLine="440"/>
        <w:spacing w:after="0" w:line="259" w:lineRule="auto"/>
        <w:rPr>
          <w:sz w:val="20"/>
          <w:szCs w:val="20"/>
          <w:color w:val="auto"/>
        </w:rPr>
      </w:pPr>
      <w:r>
        <w:rPr>
          <w:rFonts w:ascii="Arial" w:cs="Arial" w:eastAsia="Arial" w:hAnsi="Arial"/>
          <w:sz w:val="18"/>
          <w:szCs w:val="18"/>
          <w:color w:val="auto"/>
        </w:rPr>
        <w:t>Any assignor of a Loan or seller of a participation hereunder shall be entitled to rely conclusively on a representation of the assignee Lender or Participant in the relevant Assignment and Assumption Agreement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36"/>
        <w:spacing w:after="0" w:line="263" w:lineRule="auto"/>
        <w:tabs>
          <w:tab w:leader="none" w:pos="6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Administrative Agent, Bookrunners, the Sustainability Coordinator listed on the cover page hereof nor Arrangers shall have any powers, duties or responsibilities under this Agreement or any of the other Loan Documents, except in its capacity, as applicable, as the Administrative Agent or a Lender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980"/>
          </w:cols>
          <w:pgMar w:left="440" w:top="274" w:right="479" w:bottom="1440" w:gutter="0" w:footer="0" w:header="0"/>
        </w:sectPr>
      </w:pPr>
    </w:p>
    <w:bookmarkStart w:id="345" w:name="page346"/>
    <w:bookmarkEnd w:id="345"/>
    <w:p>
      <w:pPr>
        <w:ind w:firstLine="436"/>
        <w:spacing w:after="0" w:line="255" w:lineRule="auto"/>
        <w:tabs>
          <w:tab w:leader="none" w:pos="6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not be required to deliver to any Lender originals or copies of any documents, instruments, notices, communications or other information received by the Administrative Agent from any Credit Party, any Subsidiary,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79"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12.4</w:t>
      </w:r>
      <w:r>
        <w:rPr>
          <w:rFonts w:ascii="Arial" w:cs="Arial" w:eastAsia="Arial" w:hAnsi="Arial"/>
          <w:sz w:val="18"/>
          <w:szCs w:val="18"/>
          <w:color w:val="auto"/>
        </w:rPr>
        <w:t>) allowed in such judicial proceeding; and</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12.4</w:t>
      </w:r>
      <w:r>
        <w:rPr>
          <w:rFonts w:ascii="Arial" w:cs="Arial" w:eastAsia="Arial" w:hAnsi="Arial"/>
          <w:sz w:val="16"/>
          <w:szCs w:val="16"/>
          <w:color w:val="auto"/>
        </w:rPr>
        <w:t>.</w:t>
      </w:r>
    </w:p>
    <w:p>
      <w:pPr>
        <w:spacing w:after="0" w:line="15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1" w:lineRule="auto"/>
        <w:tabs>
          <w:tab w:leader="none" w:pos="68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980"/>
          </w:cols>
          <w:pgMar w:left="440" w:top="274" w:right="479" w:bottom="1440" w:gutter="0" w:footer="0" w:header="0"/>
        </w:sectPr>
      </w:pPr>
    </w:p>
    <w:bookmarkStart w:id="346" w:name="page347"/>
    <w:bookmarkEnd w:id="346"/>
    <w:p>
      <w:pPr>
        <w:ind w:firstLine="436"/>
        <w:spacing w:after="0" w:line="284" w:lineRule="auto"/>
        <w:tabs>
          <w:tab w:leader="none" w:pos="695" w:val="left"/>
        </w:tabs>
        <w:numPr>
          <w:ilvl w:val="0"/>
          <w:numId w:val="2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Arial" w:cs="Arial" w:eastAsia="Arial" w:hAnsi="Arial"/>
          <w:sz w:val="16"/>
          <w:szCs w:val="16"/>
          <w:u w:val="single" w:color="auto"/>
          <w:color w:val="auto"/>
        </w:rPr>
        <w:t>Section 12.15</w:t>
      </w:r>
      <w:r>
        <w:rPr>
          <w:rFonts w:ascii="Arial" w:cs="Arial" w:eastAsia="Arial" w:hAnsi="Arial"/>
          <w:sz w:val="16"/>
          <w:szCs w:val="16"/>
          <w:color w:val="auto"/>
        </w:rPr>
        <w:t xml:space="preserve">, (ii) constituting property being sold or otherwise disposed of (to Persons other than any Credit Party) automatically upon the sale or other disposition thereof in compliance with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(iii) if approved, authorized or ratified in writing by the Required Lenders (or all of the Lenders hereunder, to the extent required by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(iv) constituting property acquired by any Credit Party after the Original Closing Date financed with Indebtedness secured by a Lien permitted by </w:t>
      </w:r>
      <w:r>
        <w:rPr>
          <w:rFonts w:ascii="Arial" w:cs="Arial" w:eastAsia="Arial" w:hAnsi="Arial"/>
          <w:sz w:val="16"/>
          <w:szCs w:val="16"/>
          <w:u w:val="single" w:color="auto"/>
          <w:color w:val="auto"/>
        </w:rPr>
        <w:t>Section 8.2(d)</w:t>
      </w:r>
      <w:r>
        <w:rPr>
          <w:rFonts w:ascii="Arial" w:cs="Arial" w:eastAsia="Arial" w:hAnsi="Arial"/>
          <w:sz w:val="16"/>
          <w:szCs w:val="16"/>
          <w:color w:val="auto"/>
        </w:rPr>
        <w:t xml:space="preserve">, (v) if the property subject to such Lien is owned by a Guarantor, automatically upon release of such Guarantor from its obligations under its Guarantee Agreements hereunder or under any other Loan Document as a result of a transaction permitted hereunder, (vi) automatically upon a Non-Stock Collateral Release Event or Collateral Release Event, as applicable, as provided in </w:t>
      </w:r>
      <w:r>
        <w:rPr>
          <w:rFonts w:ascii="Arial" w:cs="Arial" w:eastAsia="Arial" w:hAnsi="Arial"/>
          <w:sz w:val="16"/>
          <w:szCs w:val="16"/>
          <w:u w:val="single" w:color="auto"/>
          <w:color w:val="auto"/>
        </w:rPr>
        <w:t>Section 7.20</w:t>
      </w:r>
      <w:r>
        <w:rPr>
          <w:rFonts w:ascii="Arial" w:cs="Arial" w:eastAsia="Arial" w:hAnsi="Arial"/>
          <w:sz w:val="16"/>
          <w:szCs w:val="16"/>
          <w:color w:val="auto"/>
        </w:rPr>
        <w:t xml:space="preserve">, (vii) constituting property held by an Unrestricted Entity upon the designation of a Subsidiary of Crown Holdings as an Unrestricted Entity or (viii) as otherwise may be expressly provided in the relevant documentation granting such Lien or any Receivables Intercreditor Agreement, (2) to release or subordinate any Lien on any property granted to or held by the Administrative Agent under any Loan Document to the holder of any Lien on such property that is permitted by </w:t>
      </w:r>
      <w:r>
        <w:rPr>
          <w:rFonts w:ascii="Arial" w:cs="Arial" w:eastAsia="Arial" w:hAnsi="Arial"/>
          <w:sz w:val="16"/>
          <w:szCs w:val="16"/>
          <w:u w:val="single" w:color="auto"/>
          <w:color w:val="auto"/>
        </w:rPr>
        <w:t>Section 8.2(j)</w:t>
      </w:r>
      <w:r>
        <w:rPr>
          <w:rFonts w:ascii="Arial" w:cs="Arial" w:eastAsia="Arial" w:hAnsi="Arial"/>
          <w:sz w:val="16"/>
          <w:szCs w:val="16"/>
          <w:color w:val="auto"/>
        </w:rPr>
        <w:t xml:space="preserve"> to the extent in respect of Indebtedness under </w:t>
      </w:r>
      <w:r>
        <w:rPr>
          <w:rFonts w:ascii="Arial" w:cs="Arial" w:eastAsia="Arial" w:hAnsi="Arial"/>
          <w:sz w:val="16"/>
          <w:szCs w:val="16"/>
          <w:u w:val="single" w:color="auto"/>
          <w:color w:val="auto"/>
        </w:rPr>
        <w:t>Section 8.1(a)(xvi)</w:t>
      </w:r>
      <w:r>
        <w:rPr>
          <w:rFonts w:ascii="Arial" w:cs="Arial" w:eastAsia="Arial" w:hAnsi="Arial"/>
          <w:sz w:val="16"/>
          <w:szCs w:val="16"/>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 </w:t>
      </w:r>
      <w:r>
        <w:rPr>
          <w:rFonts w:ascii="Arial" w:cs="Arial" w:eastAsia="Arial" w:hAnsi="Arial"/>
          <w:sz w:val="16"/>
          <w:szCs w:val="16"/>
          <w:u w:val="single" w:color="auto"/>
          <w:color w:val="auto"/>
        </w:rPr>
        <w:t>Section 11.10</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right="40" w:firstLine="436"/>
        <w:spacing w:after="0" w:line="289" w:lineRule="auto"/>
        <w:tabs>
          <w:tab w:leader="none" w:pos="68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and Collateral Agents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 (as determined by a court of competent jurisdiction in a final and non-appealable decision).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20"/>
          </w:cols>
          <w:pgMar w:left="440" w:top="274" w:right="439" w:bottom="1440" w:gutter="0" w:footer="0" w:header="0"/>
        </w:sectPr>
      </w:pPr>
    </w:p>
    <w:bookmarkStart w:id="347" w:name="page348"/>
    <w:bookmarkEnd w:id="347"/>
    <w:p>
      <w:pPr>
        <w:ind w:right="1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11.11 </w:t>
      </w:r>
      <w:r>
        <w:rPr>
          <w:rFonts w:ascii="Arial" w:cs="Arial" w:eastAsia="Arial" w:hAnsi="Arial"/>
          <w:sz w:val="17"/>
          <w:szCs w:val="17"/>
          <w:u w:val="single" w:color="auto"/>
          <w:color w:val="auto"/>
        </w:rPr>
        <w:t>Bank Related Debt</w:t>
      </w:r>
      <w:r>
        <w:rPr>
          <w:rFonts w:ascii="Arial" w:cs="Arial" w:eastAsia="Arial" w:hAnsi="Arial"/>
          <w:sz w:val="17"/>
          <w:szCs w:val="17"/>
          <w:color w:val="auto"/>
        </w:rPr>
        <w:t xml:space="preserve">. Except as otherwise expressly set forth herein or in any Guarantee Agreement or any Security Document, no Hedge Bank that obtains the benefits of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178"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3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Withholding Tax Indemnity</w:t>
      </w:r>
      <w:r>
        <w:rPr>
          <w:rFonts w:ascii="Arial" w:cs="Arial" w:eastAsia="Arial" w:hAnsi="Arial"/>
          <w:sz w:val="17"/>
          <w:szCs w:val="17"/>
          <w:color w:val="auto"/>
        </w:rPr>
        <w:t xml:space="preserve">. To the extent required by any applicable law, the applicable Agent may withhold from any payment to any Lender an amount equivalent to any applicable withholding Tax. Without limiting or expanding the provisions of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Arial" w:cs="Arial" w:eastAsia="Arial" w:hAnsi="Arial"/>
          <w:sz w:val="17"/>
          <w:szCs w:val="17"/>
          <w:u w:val="single" w:color="auto"/>
          <w:color w:val="auto"/>
        </w:rPr>
        <w:t>Section 11.12</w:t>
      </w:r>
      <w:r>
        <w:rPr>
          <w:rFonts w:ascii="Arial" w:cs="Arial" w:eastAsia="Arial" w:hAnsi="Arial"/>
          <w:sz w:val="17"/>
          <w:szCs w:val="17"/>
          <w:color w:val="auto"/>
        </w:rPr>
        <w:t>, the term “Lender” shall include any Swing Line Lender and any Facing Agent.</w:t>
      </w:r>
    </w:p>
    <w:p>
      <w:pPr>
        <w:spacing w:after="0" w:line="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Holders</w:t>
      </w:r>
      <w:r>
        <w:rPr>
          <w:rFonts w:ascii="Arial" w:cs="Arial" w:eastAsia="Arial" w:hAnsi="Arial"/>
          <w:sz w:val="18"/>
          <w:szCs w:val="18"/>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11.14 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251585"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97" w:lineRule="exact"/>
        <w:rPr>
          <w:sz w:val="20"/>
          <w:szCs w:val="20"/>
          <w:color w:val="auto"/>
        </w:rPr>
      </w:pPr>
    </w:p>
    <w:p>
      <w:pPr>
        <w:ind w:firstLine="436"/>
        <w:spacing w:after="0" w:line="273" w:lineRule="auto"/>
        <w:tabs>
          <w:tab w:leader="none" w:pos="685" w:val="left"/>
        </w:tabs>
        <w:numPr>
          <w:ilvl w:val="0"/>
          <w:numId w:val="29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If the Administrative Agent (x) notifies a Lender, Facing Agent or Secured Creditor, or any Person who has received funds on behalf of a Lender, Facing Agent or Secured Creditor (any such Lender, Facing Agent, Secured Creditor or other recipient (and each of their respective successors and assigns) ,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-691515</wp:posOffset>
            </wp:positionV>
            <wp:extent cx="642937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0054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72909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8627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31965"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0689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00"/>
          </w:cols>
          <w:pgMar w:left="440" w:top="274" w:right="459" w:bottom="1440" w:gutter="0" w:footer="0" w:header="0"/>
        </w:sectPr>
      </w:pPr>
    </w:p>
    <w:bookmarkStart w:id="348" w:name="page349"/>
    <w:bookmarkEnd w:id="348"/>
    <w:p>
      <w:pPr>
        <w:spacing w:after="0" w:line="268"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Facing Agent, Secured Creditor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Administrative Agent pending its return or repayment as contemplated below in this Section 11.14 and held in trust for the benefit of the Administrative Agent, and such Lender, Facing Agent or Secured Creditor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(in the case of amounts denominated in Dollars), the Overnight Euro Rate (in the case of amounts denominated in Euro) or the Overnight Sterling Rate (in the case of amounts denominated in Sterling), as applicable,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-1784985</wp:posOffset>
            </wp:positionV>
            <wp:extent cx="696912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-1647825</wp:posOffset>
            </wp:positionV>
            <wp:extent cx="6875145"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-1510665</wp:posOffset>
            </wp:positionV>
            <wp:extent cx="676338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-1373505</wp:posOffset>
            </wp:positionV>
            <wp:extent cx="669480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-1236345</wp:posOffset>
            </wp:positionV>
            <wp:extent cx="669480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-1099185</wp:posOffset>
            </wp:positionV>
            <wp:extent cx="690054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-962025</wp:posOffset>
            </wp:positionV>
            <wp:extent cx="678942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-824865</wp:posOffset>
            </wp:positionV>
            <wp:extent cx="656653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-687705</wp:posOffset>
            </wp:positionV>
            <wp:extent cx="684911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-550545</wp:posOffset>
            </wp:positionV>
            <wp:extent cx="664337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690054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66051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626225"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53416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4" w:lineRule="exact"/>
        <w:rPr>
          <w:sz w:val="20"/>
          <w:szCs w:val="20"/>
          <w:color w:val="auto"/>
        </w:rPr>
      </w:pPr>
    </w:p>
    <w:p>
      <w:pPr>
        <w:ind w:right="60" w:firstLine="436"/>
        <w:spacing w:after="0" w:line="271" w:lineRule="auto"/>
        <w:tabs>
          <w:tab w:leader="none" w:pos="695" w:val="left"/>
        </w:tabs>
        <w:numPr>
          <w:ilvl w:val="0"/>
          <w:numId w:val="29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Without limiting immediately preceding clause (a), each Lender, Facing Agent, Secured Creditor or any Person who has received funds on behalf of a Lender, Facing Agent or Secured Creditor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w:t>
      </w:r>
      <w:r>
        <w:rPr>
          <w:rFonts w:ascii="Arial" w:cs="Arial" w:eastAsia="Arial" w:hAnsi="Arial"/>
          <w:sz w:val="17"/>
          <w:szCs w:val="17"/>
          <w:color w:val="0000FF"/>
        </w:rPr>
        <w:t xml:space="preserve"> </w:t>
      </w:r>
      <w:r>
        <w:rPr>
          <w:rFonts w:ascii="Arial" w:cs="Arial" w:eastAsia="Arial" w:hAnsi="Arial"/>
          <w:sz w:val="17"/>
          <w:szCs w:val="17"/>
          <w:color w:val="008000"/>
        </w:rPr>
        <w:t>by the Administrative Agent (or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any of its Affiliates) with respect to such payment, prepayment or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repayment, (y) that was not preceded or accompanied by a notice of payment, prepayment or repayment sent by the Administrative Agent (or any of its Affiliates), or (z) that such Lender, Facing Agent or Secured Creditor, or other such recipient, otherwise becomes aware was transmitted, or received, in error or by mistake (in whole or in part), then in each such case:</w:t>
      </w:r>
    </w:p>
    <w:p>
      <w:pPr>
        <w:spacing w:after="0" w:line="70" w:lineRule="exact"/>
        <w:rPr>
          <w:rFonts w:ascii="Arial" w:cs="Arial" w:eastAsia="Arial" w:hAnsi="Arial"/>
          <w:sz w:val="17"/>
          <w:szCs w:val="17"/>
          <w:u w:val="single" w:color="auto"/>
          <w:color w:val="0000FF"/>
        </w:rPr>
      </w:pPr>
    </w:p>
    <w:p>
      <w:pPr>
        <w:jc w:val="both"/>
        <w:ind w:left="440" w:right="260" w:firstLine="419"/>
        <w:spacing w:after="0" w:line="311" w:lineRule="auto"/>
        <w:tabs>
          <w:tab w:leader="none" w:pos="1078" w:val="left"/>
        </w:tabs>
        <w:numPr>
          <w:ilvl w:val="1"/>
          <w:numId w:val="29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40" w:lineRule="exact"/>
        <w:rPr>
          <w:rFonts w:ascii="Arial" w:cs="Arial" w:eastAsia="Arial" w:hAnsi="Arial"/>
          <w:sz w:val="16"/>
          <w:szCs w:val="16"/>
          <w:u w:val="single" w:color="auto"/>
          <w:color w:val="0000FF"/>
        </w:rPr>
      </w:pPr>
    </w:p>
    <w:p>
      <w:pPr>
        <w:ind w:left="440" w:right="20" w:firstLine="419"/>
        <w:spacing w:after="0" w:line="279" w:lineRule="auto"/>
        <w:tabs>
          <w:tab w:leader="none" w:pos="1128" w:val="left"/>
        </w:tabs>
        <w:numPr>
          <w:ilvl w:val="1"/>
          <w:numId w:val="29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such Lender, Facing Agent or Secured Creditor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11.14(b).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-2067560</wp:posOffset>
            </wp:positionV>
            <wp:extent cx="64979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-1930400</wp:posOffset>
            </wp:positionV>
            <wp:extent cx="654050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-1793240</wp:posOffset>
            </wp:positionV>
            <wp:extent cx="671195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-1656080</wp:posOffset>
            </wp:positionV>
            <wp:extent cx="68834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-1553210</wp:posOffset>
            </wp:positionV>
            <wp:extent cx="6797675" cy="4318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679767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-1381760</wp:posOffset>
            </wp:positionV>
            <wp:extent cx="69176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-1244600</wp:posOffset>
            </wp:positionV>
            <wp:extent cx="693483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-1107440</wp:posOffset>
            </wp:positionV>
            <wp:extent cx="292290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-901700</wp:posOffset>
            </wp:positionV>
            <wp:extent cx="625792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-764540</wp:posOffset>
            </wp:positionV>
            <wp:extent cx="653224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-627380</wp:posOffset>
            </wp:positionV>
            <wp:extent cx="5357495"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535749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-421640</wp:posOffset>
            </wp:positionV>
            <wp:extent cx="634365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-284480</wp:posOffset>
            </wp:positionV>
            <wp:extent cx="6532245"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-147320</wp:posOffset>
            </wp:positionV>
            <wp:extent cx="667766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-10160</wp:posOffset>
            </wp:positionV>
            <wp:extent cx="4714875"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43" w:lineRule="exact"/>
        <w:rPr>
          <w:sz w:val="20"/>
          <w:szCs w:val="20"/>
          <w:color w:val="auto"/>
        </w:rPr>
      </w:pPr>
    </w:p>
    <w:p>
      <w:pPr>
        <w:ind w:left="440" w:right="220" w:firstLine="423"/>
        <w:spacing w:after="0" w:line="342" w:lineRule="auto"/>
        <w:rPr>
          <w:sz w:val="20"/>
          <w:szCs w:val="20"/>
          <w:color w:val="auto"/>
        </w:rPr>
      </w:pPr>
      <w:r>
        <w:rPr>
          <w:rFonts w:ascii="Arial" w:cs="Arial" w:eastAsia="Arial" w:hAnsi="Arial"/>
          <w:sz w:val="16"/>
          <w:szCs w:val="16"/>
          <w:u w:val="single" w:color="auto"/>
          <w:color w:val="0000FF"/>
        </w:rPr>
        <w:t>For the avoidance of doubt, the failure to deliver a notice to the Administrative Agent pursuant to this Section 11.14(b) shall not have any effect on a Payment Recipient’s obligations pursuant to Section 11.14(a)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-177800</wp:posOffset>
            </wp:positionV>
            <wp:extent cx="628332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-40640</wp:posOffset>
            </wp:positionV>
            <wp:extent cx="602615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0980"/>
          </w:cols>
          <w:pgMar w:left="440" w:top="274" w:right="479" w:bottom="1440" w:gutter="0" w:footer="0" w:header="0"/>
        </w:sectPr>
      </w:pPr>
    </w:p>
    <w:bookmarkStart w:id="349" w:name="page350"/>
    <w:bookmarkEnd w:id="349"/>
    <w:p>
      <w:pPr>
        <w:ind w:firstLine="436"/>
        <w:spacing w:after="0" w:line="301" w:lineRule="auto"/>
        <w:tabs>
          <w:tab w:leader="none" w:pos="685" w:val="left"/>
        </w:tabs>
        <w:numPr>
          <w:ilvl w:val="0"/>
          <w:numId w:val="29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Facing Agent or Secured Creditor hereby authorizes the Administrative Agent to set off, net and apply any and all amounts at any time owing to such Lender, Facing Agent or Secured Creditor under any Loan Document, or otherwise payable or distributable by the Administrative Agent to such Lender, Facing Agent or Secured Creditor under any Loan Document with respect to any payment of principal, interest, fees or other amounts, against any amount that the Administrative Agent has demanded to be returned under immediately preceding clause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71195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83196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72909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93217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2827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7" w:lineRule="exact"/>
        <w:rPr>
          <w:sz w:val="20"/>
          <w:szCs w:val="20"/>
          <w:color w:val="auto"/>
        </w:rPr>
      </w:pPr>
    </w:p>
    <w:p>
      <w:pPr>
        <w:ind w:left="440" w:firstLine="419"/>
        <w:spacing w:after="0" w:line="284" w:lineRule="auto"/>
        <w:tabs>
          <w:tab w:leader="none" w:pos="1078" w:val="left"/>
        </w:tabs>
        <w:numPr>
          <w:ilvl w:val="0"/>
          <w:numId w:val="29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“Erroneous Payment Impacted Class”) in an amount equal to the Erroneous Payment Return Deficiency (or such lesser amount as the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the Administrative Agent in such instance)), and is hereby (together with the Borrowers) deemed to execute and deliver an Assignment and Assumption Agreement (or, to the extent applicable, an agreement incorporating an Assignment and Assumption Agreement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Company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86" w:lineRule="exact"/>
        <w:rPr>
          <w:rFonts w:ascii="Arial" w:cs="Arial" w:eastAsia="Arial" w:hAnsi="Arial"/>
          <w:sz w:val="16"/>
          <w:szCs w:val="16"/>
          <w:u w:val="single" w:color="auto"/>
          <w:color w:val="0000FF"/>
        </w:rPr>
      </w:pPr>
    </w:p>
    <w:p>
      <w:pPr>
        <w:ind w:left="440" w:right="160" w:firstLine="419"/>
        <w:spacing w:after="0" w:line="301" w:lineRule="auto"/>
        <w:tabs>
          <w:tab w:leader="none" w:pos="1128" w:val="left"/>
        </w:tabs>
        <w:numPr>
          <w:ilvl w:val="0"/>
          <w:numId w:val="29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Subject to Section 12.8 (but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-3653790</wp:posOffset>
            </wp:positionV>
            <wp:extent cx="627507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-3516630</wp:posOffset>
            </wp:positionV>
            <wp:extent cx="64979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-3379470</wp:posOffset>
            </wp:positionV>
            <wp:extent cx="637794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-3242310</wp:posOffset>
            </wp:positionV>
            <wp:extent cx="622363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-3105150</wp:posOffset>
            </wp:positionV>
            <wp:extent cx="64979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-2967990</wp:posOffset>
            </wp:positionV>
            <wp:extent cx="642937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-2830830</wp:posOffset>
            </wp:positionV>
            <wp:extent cx="6635115"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-2693670</wp:posOffset>
            </wp:positionV>
            <wp:extent cx="65233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-2556510</wp:posOffset>
            </wp:positionV>
            <wp:extent cx="671195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-2419350</wp:posOffset>
            </wp:positionV>
            <wp:extent cx="665226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-2282190</wp:posOffset>
            </wp:positionV>
            <wp:extent cx="628332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-2145030</wp:posOffset>
            </wp:positionV>
            <wp:extent cx="6463665"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-2007870</wp:posOffset>
            </wp:positionV>
            <wp:extent cx="65405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-1870710</wp:posOffset>
            </wp:positionV>
            <wp:extent cx="64979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-1733550</wp:posOffset>
            </wp:positionV>
            <wp:extent cx="617220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-1596390</wp:posOffset>
            </wp:positionV>
            <wp:extent cx="642937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-1459230</wp:posOffset>
            </wp:positionV>
            <wp:extent cx="647192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-1322070</wp:posOffset>
            </wp:positionV>
            <wp:extent cx="65405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-1184910</wp:posOffset>
            </wp:positionV>
            <wp:extent cx="65747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-1047750</wp:posOffset>
            </wp:positionV>
            <wp:extent cx="625792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-910590</wp:posOffset>
            </wp:positionV>
            <wp:extent cx="669480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-773430</wp:posOffset>
            </wp:positionV>
            <wp:extent cx="664337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-636270</wp:posOffset>
            </wp:positionV>
            <wp:extent cx="297434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-430530</wp:posOffset>
            </wp:positionV>
            <wp:extent cx="633476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-293370</wp:posOffset>
            </wp:positionV>
            <wp:extent cx="655764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-156210</wp:posOffset>
            </wp:positionV>
            <wp:extent cx="660082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-19050</wp:posOffset>
            </wp:positionV>
            <wp:extent cx="527177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527177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00"/>
          </w:cols>
          <w:pgMar w:left="440" w:top="274" w:right="459" w:bottom="1440" w:gutter="0" w:footer="0" w:header="0"/>
        </w:sectPr>
      </w:pPr>
    </w:p>
    <w:bookmarkStart w:id="350" w:name="page351"/>
    <w:bookmarkEnd w:id="350"/>
    <w:p>
      <w:pPr>
        <w:ind w:left="440" w:right="8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w:t>
      </w:r>
      <w:r>
        <w:rPr>
          <w:rFonts w:ascii="Arial" w:cs="Arial" w:eastAsia="Arial" w:hAnsi="Arial"/>
          <w:sz w:val="18"/>
          <w:szCs w:val="18"/>
          <w:u w:val="single" w:color="auto"/>
          <w:color w:val="008000"/>
        </w:rPr>
        <w:t>received by the Administrative Agent</w:t>
      </w:r>
      <w:r>
        <w:rPr>
          <w:rFonts w:ascii="Arial" w:cs="Arial" w:eastAsia="Arial" w:hAnsi="Arial"/>
          <w:sz w:val="18"/>
          <w:szCs w:val="18"/>
          <w:u w:val="single" w:color="auto"/>
          <w:color w:val="0000FF"/>
        </w:rPr>
        <w:t xml:space="preserve">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42937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-545465</wp:posOffset>
            </wp:positionV>
            <wp:extent cx="658368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-408305</wp:posOffset>
            </wp:positionV>
            <wp:extent cx="637794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-271145</wp:posOffset>
            </wp:positionV>
            <wp:extent cx="65493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-133985</wp:posOffset>
            </wp:positionV>
            <wp:extent cx="665226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27514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4" w:lineRule="exact"/>
        <w:rPr>
          <w:sz w:val="20"/>
          <w:szCs w:val="20"/>
          <w:color w:val="auto"/>
        </w:rPr>
      </w:pPr>
    </w:p>
    <w:p>
      <w:pPr>
        <w:ind w:firstLine="436"/>
        <w:spacing w:after="0" w:line="286" w:lineRule="auto"/>
        <w:tabs>
          <w:tab w:leader="none" w:pos="685" w:val="left"/>
        </w:tabs>
        <w:numPr>
          <w:ilvl w:val="0"/>
          <w:numId w:val="29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w:t>
      </w:r>
      <w:r>
        <w:rPr>
          <w:rFonts w:ascii="Arial" w:cs="Arial" w:eastAsia="Arial" w:hAnsi="Arial"/>
          <w:sz w:val="16"/>
          <w:szCs w:val="16"/>
          <w:u w:val="single" w:color="auto"/>
          <w:color w:val="008000"/>
        </w:rPr>
        <w:t>(and, in the case of</w:t>
      </w:r>
      <w:r>
        <w:rPr>
          <w:rFonts w:ascii="Arial" w:cs="Arial" w:eastAsia="Arial" w:hAnsi="Arial"/>
          <w:sz w:val="16"/>
          <w:szCs w:val="16"/>
          <w:u w:val="single" w:color="auto"/>
          <w:color w:val="0000FF"/>
        </w:rPr>
        <w:t xml:space="preserve"> any Payment Recipient who has received funds on behalf of a Lender, Facing Agent or Secured Party, to the rights and interests of such Lender, Facing Agent or Secured Party, as the case may be) under the Loan Documents with respect to such amount (the “Erroneous Payment Subrogation Rights”)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any Borrower or any other Loan Party; provided that this Section 11.14 shall not be interpreted to increase (or accelerate the due date for), or have the effect of increasing (or accelerating the due date for), the Obligations of such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such Borrower for the purpose of making such Erroneous Payment.</w:t>
      </w:r>
    </w:p>
    <w:p>
      <w:pPr>
        <w:spacing w:after="0" w:line="65" w:lineRule="exact"/>
        <w:rPr>
          <w:rFonts w:ascii="Arial" w:cs="Arial" w:eastAsia="Arial" w:hAnsi="Arial"/>
          <w:sz w:val="16"/>
          <w:szCs w:val="16"/>
          <w:u w:val="single" w:color="auto"/>
          <w:color w:val="0000FF"/>
        </w:rPr>
      </w:pPr>
    </w:p>
    <w:p>
      <w:pPr>
        <w:ind w:right="180" w:firstLine="436"/>
        <w:spacing w:after="0" w:line="259" w:lineRule="auto"/>
        <w:tabs>
          <w:tab w:leader="none" w:pos="665" w:val="left"/>
        </w:tabs>
        <w:numPr>
          <w:ilvl w:val="0"/>
          <w:numId w:val="2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78" w:lineRule="exact"/>
        <w:rPr>
          <w:rFonts w:ascii="Arial" w:cs="Arial" w:eastAsia="Arial" w:hAnsi="Arial"/>
          <w:sz w:val="18"/>
          <w:szCs w:val="18"/>
          <w:u w:val="single" w:color="auto"/>
          <w:color w:val="0000FF"/>
        </w:rPr>
      </w:pPr>
    </w:p>
    <w:p>
      <w:pPr>
        <w:ind w:right="200" w:firstLine="436"/>
        <w:spacing w:after="0" w:line="263" w:lineRule="auto"/>
        <w:tabs>
          <w:tab w:leader="none" w:pos="695" w:val="left"/>
        </w:tabs>
        <w:numPr>
          <w:ilvl w:val="0"/>
          <w:numId w:val="2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party’s obligations, agreements and waivers under this Section 11.14 shall survive the resignation or replacement of the Administrative Agent, any transfer of rights or obligations by, or the replacement of, a Lender or Facing Agent, the termination of the Commitments and/or the repayment, satisfaction or discharge of all Obligations (or any portion thereof)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-2745740</wp:posOffset>
            </wp:positionV>
            <wp:extent cx="665226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-2608580</wp:posOffset>
            </wp:positionV>
            <wp:extent cx="698627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-2471420</wp:posOffset>
            </wp:positionV>
            <wp:extent cx="68580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-2334260</wp:posOffset>
            </wp:positionV>
            <wp:extent cx="68408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-2197100</wp:posOffset>
            </wp:positionV>
            <wp:extent cx="663511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-2059940</wp:posOffset>
            </wp:positionV>
            <wp:extent cx="69176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-1922780</wp:posOffset>
            </wp:positionV>
            <wp:extent cx="666051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-1785620</wp:posOffset>
            </wp:positionV>
            <wp:extent cx="68922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-1648460</wp:posOffset>
            </wp:positionV>
            <wp:extent cx="68408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-1511300</wp:posOffset>
            </wp:positionV>
            <wp:extent cx="6866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-1374140</wp:posOffset>
            </wp:positionV>
            <wp:extent cx="694372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-1236980</wp:posOffset>
            </wp:positionV>
            <wp:extent cx="678053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-1099820</wp:posOffset>
            </wp:positionV>
            <wp:extent cx="508317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50831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-894080</wp:posOffset>
            </wp:positionV>
            <wp:extent cx="658368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-756920</wp:posOffset>
            </wp:positionV>
            <wp:extent cx="679767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-619760</wp:posOffset>
            </wp:positionV>
            <wp:extent cx="680656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-482600</wp:posOffset>
            </wp:positionV>
            <wp:extent cx="942975"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58368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57645"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8602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Waiver; Modifications in Writing</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9" w:lineRule="auto"/>
        <w:tabs>
          <w:tab w:leader="none" w:pos="6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00"/>
          </w:cols>
          <w:pgMar w:left="440" w:top="274" w:right="459" w:bottom="1440" w:gutter="0" w:footer="0" w:header="0"/>
        </w:sectPr>
      </w:pPr>
    </w:p>
    <w:bookmarkStart w:id="351" w:name="page352"/>
    <w:bookmarkEnd w:id="351"/>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63" w:lineRule="exact"/>
        <w:rPr>
          <w:sz w:val="20"/>
          <w:szCs w:val="20"/>
          <w:color w:val="auto"/>
        </w:rPr>
      </w:pPr>
    </w:p>
    <w:p>
      <w:pPr>
        <w:ind w:left="440" w:right="60" w:firstLine="419"/>
        <w:spacing w:after="0" w:line="263" w:lineRule="auto"/>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75" w:lineRule="exact"/>
        <w:rPr>
          <w:rFonts w:ascii="Arial" w:cs="Arial" w:eastAsia="Arial" w:hAnsi="Arial"/>
          <w:sz w:val="18"/>
          <w:szCs w:val="18"/>
          <w:color w:val="auto"/>
        </w:rPr>
      </w:pPr>
    </w:p>
    <w:p>
      <w:pPr>
        <w:ind w:left="440" w:right="200" w:firstLine="419"/>
        <w:spacing w:after="0" w:line="277" w:lineRule="auto"/>
        <w:tabs>
          <w:tab w:leader="none" w:pos="112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release all or substantially all of the Guarantors or all or substantially all of the Collateral (except as expressly provided in the Security Documents),</w:t>
      </w:r>
    </w:p>
    <w:p>
      <w:pPr>
        <w:spacing w:after="0" w:line="62" w:lineRule="exact"/>
        <w:rPr>
          <w:rFonts w:ascii="Arial" w:cs="Arial" w:eastAsia="Arial" w:hAnsi="Arial"/>
          <w:sz w:val="18"/>
          <w:szCs w:val="18"/>
          <w:color w:val="auto"/>
        </w:rPr>
      </w:pPr>
    </w:p>
    <w:p>
      <w:pPr>
        <w:ind w:left="440" w:right="60" w:firstLine="419"/>
        <w:spacing w:after="0" w:line="254" w:lineRule="auto"/>
        <w:tabs>
          <w:tab w:leader="none" w:pos="117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this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reduce the percentage specified in the definition of “Required Lenders” or amend, modify or waive any other provision of any Loan Document (other than the Receivables Intercreditor Agreements and the Security Documents, which are governed by </w:t>
      </w:r>
      <w:r>
        <w:rPr>
          <w:rFonts w:ascii="Arial" w:cs="Arial" w:eastAsia="Arial" w:hAnsi="Arial"/>
          <w:sz w:val="18"/>
          <w:szCs w:val="18"/>
          <w:u w:val="single" w:color="auto"/>
          <w:color w:val="auto"/>
        </w:rPr>
        <w:t>Section 12.17</w:t>
      </w:r>
      <w:r>
        <w:rPr>
          <w:rFonts w:ascii="Arial" w:cs="Arial" w:eastAsia="Arial" w:hAnsi="Arial"/>
          <w:sz w:val="18"/>
          <w:szCs w:val="18"/>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which, except as not otherwise restricted under such Sections, afford the protections to such additional extensions of credit of the type provided to the Term Loans on the Incremental Amendment No.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and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Fifth</w:t>
      </w:r>
      <w:r>
        <w:rPr>
          <w:rFonts w:ascii="Arial" w:cs="Arial" w:eastAsia="Arial" w:hAnsi="Arial"/>
          <w:sz w:val="18"/>
          <w:szCs w:val="18"/>
          <w:color w:val="auto"/>
        </w:rPr>
        <w:t xml:space="preserve"> Amendment Effective Date),</w:t>
      </w:r>
    </w:p>
    <w:p>
      <w:pPr>
        <w:spacing w:after="0" w:line="83" w:lineRule="exact"/>
        <w:rPr>
          <w:rFonts w:ascii="Arial" w:cs="Arial" w:eastAsia="Arial" w:hAnsi="Arial"/>
          <w:sz w:val="18"/>
          <w:szCs w:val="18"/>
          <w:color w:val="auto"/>
        </w:rPr>
      </w:pPr>
    </w:p>
    <w:p>
      <w:pPr>
        <w:ind w:left="1160" w:hanging="301"/>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consent to the assignment or transfer by any Credit Party of any of its rights and obligations under this Agreement,</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amend or modify the provisions of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10.5 </w:t>
      </w:r>
      <w:r>
        <w:rPr>
          <w:rFonts w:ascii="Arial" w:cs="Arial" w:eastAsia="Arial" w:hAnsi="Arial"/>
          <w:sz w:val="18"/>
          <w:szCs w:val="18"/>
          <w:color w:val="0000FF"/>
        </w:rPr>
        <w:t>or 12.6</w:t>
      </w:r>
      <w:r>
        <w:rPr>
          <w:rFonts w:ascii="Arial" w:cs="Arial" w:eastAsia="Arial" w:hAnsi="Arial"/>
          <w:sz w:val="18"/>
          <w:szCs w:val="18"/>
          <w:color w:val="auto"/>
        </w:rPr>
        <w:t xml:space="preserve"> in a manner that would by its terms alter the pro rata sharing of payments required thereby, except for technical amendments with respect to additional facilities, replacement loans or commitments, or extensions of the maturity date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amend or modify the definition of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-1004570</wp:posOffset>
            </wp:positionV>
            <wp:extent cx="5143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-1004570</wp:posOffset>
            </wp:positionV>
            <wp:extent cx="22288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-541655</wp:posOffset>
            </wp:positionV>
            <wp:extent cx="12382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-455930</wp:posOffset>
            </wp:positionV>
            <wp:extent cx="2603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-490220</wp:posOffset>
            </wp:positionV>
            <wp:extent cx="580390" cy="4318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580390" cy="4318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amendment, modification, supplement, waiver, discharge, termination or other change shall</w:t>
      </w:r>
    </w:p>
    <w:p>
      <w:pPr>
        <w:spacing w:after="0" w:line="117" w:lineRule="exact"/>
        <w:rPr>
          <w:sz w:val="20"/>
          <w:szCs w:val="20"/>
          <w:color w:val="auto"/>
        </w:rPr>
      </w:pPr>
    </w:p>
    <w:p>
      <w:pPr>
        <w:ind w:left="440" w:right="80" w:firstLine="952"/>
        <w:spacing w:after="0" w:line="257" w:lineRule="auto"/>
        <w:rPr>
          <w:sz w:val="20"/>
          <w:szCs w:val="20"/>
          <w:color w:val="auto"/>
        </w:rPr>
      </w:pPr>
      <w:r>
        <w:rPr>
          <w:rFonts w:ascii="Arial" w:cs="Arial" w:eastAsia="Arial" w:hAnsi="Arial"/>
          <w:sz w:val="18"/>
          <w:szCs w:val="18"/>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“Applicable LC Sublimit”, </w:t>
      </w:r>
      <w:r>
        <w:rPr>
          <w:rFonts w:ascii="Arial" w:cs="Arial" w:eastAsia="Arial" w:hAnsi="Arial"/>
          <w:sz w:val="18"/>
          <w:szCs w:val="18"/>
          <w:u w:val="single" w:color="auto"/>
          <w:color w:val="auto"/>
        </w:rPr>
        <w:t>Schedule 1.1(g)</w:t>
      </w:r>
      <w:r>
        <w:rPr>
          <w:rFonts w:ascii="Arial" w:cs="Arial" w:eastAsia="Arial" w:hAnsi="Arial"/>
          <w:sz w:val="18"/>
          <w:szCs w:val="18"/>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80" w:lineRule="exact"/>
        <w:rPr>
          <w:sz w:val="20"/>
          <w:szCs w:val="20"/>
          <w:color w:val="auto"/>
        </w:rPr>
      </w:pPr>
    </w:p>
    <w:p>
      <w:pPr>
        <w:ind w:left="440" w:right="120" w:firstLine="952"/>
        <w:spacing w:after="0" w:line="277" w:lineRule="auto"/>
        <w:rPr>
          <w:sz w:val="20"/>
          <w:szCs w:val="20"/>
          <w:color w:val="auto"/>
        </w:rPr>
      </w:pPr>
      <w:r>
        <w:rPr>
          <w:rFonts w:ascii="Arial" w:cs="Arial" w:eastAsia="Arial" w:hAnsi="Arial"/>
          <w:sz w:val="18"/>
          <w:szCs w:val="18"/>
          <w:color w:val="auto"/>
        </w:rPr>
        <w:t xml:space="preserve">without the consent of Administrative Agent and each Facing Agent, amend, modify or waive any provision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alter the rights or obligations of any Facing Agent with respect to Letters of Credit,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00"/>
          </w:cols>
          <w:pgMar w:left="440" w:top="274" w:right="459" w:bottom="1440" w:gutter="0" w:footer="0" w:header="0"/>
        </w:sectPr>
      </w:pPr>
    </w:p>
    <w:bookmarkStart w:id="352" w:name="page353"/>
    <w:bookmarkEnd w:id="352"/>
    <w:p>
      <w:pPr>
        <w:ind w:left="440" w:right="100" w:firstLine="9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the consent of Administrative Agent, U.K. Administrative Agent or Canadian Administrative Agent, amend, modify or waive any provision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79" w:lineRule="exact"/>
        <w:rPr>
          <w:sz w:val="20"/>
          <w:szCs w:val="20"/>
          <w:color w:val="auto"/>
        </w:rPr>
      </w:pPr>
    </w:p>
    <w:p>
      <w:pPr>
        <w:ind w:left="440" w:right="120" w:firstLine="952"/>
        <w:spacing w:after="0" w:line="263" w:lineRule="auto"/>
        <w:rPr>
          <w:sz w:val="20"/>
          <w:szCs w:val="20"/>
          <w:color w:val="auto"/>
        </w:rPr>
      </w:pPr>
      <w:r>
        <w:rPr>
          <w:rFonts w:ascii="Arial" w:cs="Arial" w:eastAsia="Arial" w:hAnsi="Arial"/>
          <w:sz w:val="18"/>
          <w:szCs w:val="18"/>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76" w:lineRule="exact"/>
        <w:rPr>
          <w:sz w:val="20"/>
          <w:szCs w:val="20"/>
          <w:color w:val="auto"/>
        </w:rPr>
      </w:pPr>
    </w:p>
    <w:p>
      <w:pPr>
        <w:ind w:left="440" w:right="20" w:firstLine="952"/>
        <w:spacing w:after="0" w:line="255" w:lineRule="auto"/>
        <w:rPr>
          <w:sz w:val="20"/>
          <w:szCs w:val="20"/>
          <w:color w:val="auto"/>
        </w:rPr>
      </w:pPr>
      <w:r>
        <w:rPr>
          <w:rFonts w:ascii="Arial" w:cs="Arial" w:eastAsia="Arial" w:hAnsi="Arial"/>
          <w:sz w:val="18"/>
          <w:szCs w:val="18"/>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(except for technical amendments with respect to additional facilities, replacement loans or commitments, or extensions of the maturity date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w:t>
      </w:r>
    </w:p>
    <w:p>
      <w:pPr>
        <w:spacing w:after="0" w:line="84" w:lineRule="exact"/>
        <w:rPr>
          <w:sz w:val="20"/>
          <w:szCs w:val="20"/>
          <w:color w:val="auto"/>
        </w:rPr>
      </w:pPr>
    </w:p>
    <w:p>
      <w:pPr>
        <w:ind w:left="440" w:right="60" w:firstLine="952"/>
        <w:spacing w:after="0" w:line="286" w:lineRule="auto"/>
        <w:rPr>
          <w:sz w:val="20"/>
          <w:szCs w:val="20"/>
          <w:color w:val="auto"/>
        </w:rPr>
      </w:pPr>
      <w:r>
        <w:rPr>
          <w:rFonts w:ascii="Arial" w:cs="Arial" w:eastAsia="Arial" w:hAnsi="Arial"/>
          <w:sz w:val="17"/>
          <w:szCs w:val="17"/>
          <w:color w:val="auto"/>
        </w:rPr>
        <w:t xml:space="preserve">without the consent of the Majority Lenders of the applicable Facility, amend the definition of Scheduled Term Repayments for such Facility in a manner that decreases or delays any Scheduled Term Repayment, except for technical amendments with respect to additional facilities, replacement loans or commitments, or extensions of the maturity date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w:t>
      </w:r>
    </w:p>
    <w:p>
      <w:pPr>
        <w:spacing w:after="0" w:line="1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 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70" w:lineRule="exact"/>
        <w:rPr>
          <w:sz w:val="20"/>
          <w:szCs w:val="20"/>
          <w:color w:val="auto"/>
        </w:rPr>
      </w:pPr>
    </w:p>
    <w:p>
      <w:pPr>
        <w:ind w:firstLine="436"/>
        <w:spacing w:after="0" w:line="291" w:lineRule="auto"/>
        <w:tabs>
          <w:tab w:leader="none" w:pos="69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If, in connection with any proposed change, waiver, discharge or termination of any of the provisions of this Agreement as contemplated by </w:t>
      </w:r>
      <w:r>
        <w:rPr>
          <w:rFonts w:ascii="Arial" w:cs="Arial" w:eastAsia="Arial" w:hAnsi="Arial"/>
          <w:sz w:val="16"/>
          <w:szCs w:val="16"/>
          <w:u w:val="single" w:color="auto"/>
          <w:color w:val="auto"/>
        </w:rPr>
        <w:t>clauses (a)(i)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inclusive, of the first proviso to the third sentence of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 and (F)</w:t>
      </w:r>
      <w:r>
        <w:rPr>
          <w:rFonts w:ascii="Arial" w:cs="Arial" w:eastAsia="Arial" w:hAnsi="Arial"/>
          <w:sz w:val="16"/>
          <w:szCs w:val="16"/>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so long as at the time of such replacement, each such Replacement Lender consents to the proposed amendment, modification, supplement, waiver, discharge, termination or other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00"/>
          </w:cols>
          <w:pgMar w:left="440" w:top="274" w:right="459" w:bottom="1440" w:gutter="0" w:footer="0" w:header="0"/>
        </w:sectPr>
      </w:pPr>
    </w:p>
    <w:bookmarkStart w:id="353" w:name="page354"/>
    <w:bookmarkEnd w:id="353"/>
    <w:p>
      <w:pPr>
        <w:ind w:left="440" w:right="480" w:firstLine="419"/>
        <w:spacing w:after="0" w:line="277" w:lineRule="auto"/>
        <w:tabs>
          <w:tab w:leader="none" w:pos="11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amendments effected pursuant to the foregoing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Schedules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1.1(d)</w:t>
      </w:r>
      <w:r>
        <w:rPr>
          <w:rFonts w:ascii="Arial" w:cs="Arial" w:eastAsia="Arial" w:hAnsi="Arial"/>
          <w:sz w:val="18"/>
          <w:szCs w:val="18"/>
          <w:color w:val="auto"/>
        </w:rPr>
        <w:t xml:space="preserve"> and any Receivables Intercreditor Agreement may be amended as follows:</w:t>
      </w:r>
    </w:p>
    <w:p>
      <w:pPr>
        <w:spacing w:after="0" w:line="62" w:lineRule="exact"/>
        <w:rPr>
          <w:sz w:val="20"/>
          <w:szCs w:val="20"/>
          <w:color w:val="auto"/>
        </w:rPr>
      </w:pPr>
    </w:p>
    <w:p>
      <w:pPr>
        <w:ind w:left="440" w:firstLine="419"/>
        <w:spacing w:after="0" w:line="254" w:lineRule="auto"/>
        <w:tabs>
          <w:tab w:leader="none" w:pos="1078"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Schedules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Arial" w:cs="Arial" w:eastAsia="Arial" w:hAnsi="Arial"/>
          <w:sz w:val="18"/>
          <w:szCs w:val="18"/>
          <w:u w:val="single" w:color="auto"/>
          <w:color w:val="auto"/>
        </w:rPr>
        <w:t>Exhibit 12.1(c)</w:t>
      </w:r>
      <w:r>
        <w:rPr>
          <w:rFonts w:ascii="Arial" w:cs="Arial" w:eastAsia="Arial" w:hAnsi="Arial"/>
          <w:sz w:val="18"/>
          <w:szCs w:val="18"/>
          <w:color w:val="auto"/>
        </w:rPr>
        <w:t xml:space="preserve"> (or such other form as mutually agreed by Crown Holdings and the Administrative Agent), providing for a Multicurrency Revolving Sublimit acceptable to U.K. Administrative Agent, (B) delivery to Administrative Agents of (1) to the extent not previously delivered, the Additional Security Documents required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8"/>
          <w:szCs w:val="18"/>
          <w:u w:val="single" w:color="auto"/>
          <w:color w:val="auto"/>
        </w:rPr>
        <w:t>Section 5.1(f)(ii)</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40" w:right="180" w:firstLine="419"/>
        <w:spacing w:after="0" w:line="263" w:lineRule="auto"/>
        <w:tabs>
          <w:tab w:leader="none" w:pos="1128"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Schedules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Any Receivables Intercreditor Agreement may be amended in writing by the parties thereto without the consent of the Lenders.</w:t>
      </w:r>
    </w:p>
    <w:p>
      <w:pPr>
        <w:spacing w:after="0" w:line="128" w:lineRule="exact"/>
        <w:rPr>
          <w:rFonts w:ascii="Arial" w:cs="Arial" w:eastAsia="Arial" w:hAnsi="Arial"/>
          <w:sz w:val="17"/>
          <w:szCs w:val="17"/>
          <w:color w:val="auto"/>
        </w:rPr>
      </w:pPr>
    </w:p>
    <w:p>
      <w:pPr>
        <w:ind w:right="80" w:firstLine="436"/>
        <w:spacing w:after="0" w:line="257" w:lineRule="auto"/>
        <w:tabs>
          <w:tab w:leader="none" w:pos="6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Notwithstanding the foregoing, upon the execution and delivery of all documentation required by Administrative Agent to be delivered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in connection with any Additional Facility, Replacement Term Loans, Replacement Term Commitments, 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79" w:lineRule="exact"/>
        <w:rPr>
          <w:rFonts w:ascii="Arial" w:cs="Arial" w:eastAsia="Arial" w:hAnsi="Arial"/>
          <w:sz w:val="18"/>
          <w:szCs w:val="18"/>
          <w:color w:val="auto"/>
        </w:rPr>
      </w:pPr>
    </w:p>
    <w:p>
      <w:pPr>
        <w:ind w:right="380" w:firstLine="436"/>
        <w:spacing w:after="0" w:line="263" w:lineRule="auto"/>
        <w:tabs>
          <w:tab w:leader="none" w:pos="68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 Revolving Lender may allocate any proportion of its Revolving Commitment or Revolving Credit Exposure with respect to any waiver, amendment, modification, consent or any other action pursuant to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any other Loan Document in order to vote separate portions thereof differently with respect thereto.</w:t>
      </w:r>
    </w:p>
    <w:p>
      <w:pPr>
        <w:spacing w:after="0" w:line="75" w:lineRule="exact"/>
        <w:rPr>
          <w:rFonts w:ascii="Arial" w:cs="Arial" w:eastAsia="Arial" w:hAnsi="Arial"/>
          <w:sz w:val="18"/>
          <w:szCs w:val="18"/>
          <w:color w:val="auto"/>
        </w:rPr>
      </w:pPr>
    </w:p>
    <w:p>
      <w:pPr>
        <w:ind w:right="200" w:firstLine="436"/>
        <w:spacing w:after="0" w:line="270" w:lineRule="auto"/>
        <w:tabs>
          <w:tab w:leader="none" w:pos="66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Arial" w:cs="Arial" w:eastAsia="Arial" w:hAnsi="Arial"/>
          <w:sz w:val="17"/>
          <w:szCs w:val="17"/>
          <w:u w:val="single" w:color="auto"/>
          <w:color w:val="auto"/>
        </w:rPr>
        <w:t>Refinanced Term Loans</w:t>
      </w:r>
      <w:r>
        <w:rPr>
          <w:rFonts w:ascii="Arial" w:cs="Arial" w:eastAsia="Arial" w:hAnsi="Arial"/>
          <w:sz w:val="17"/>
          <w:szCs w:val="17"/>
          <w:color w:val="auto"/>
        </w:rPr>
        <w:t>”) with a replacement term loan tranche hereunder which shall be Loans hereunder (“</w:t>
      </w:r>
      <w:r>
        <w:rPr>
          <w:rFonts w:ascii="Arial" w:cs="Arial" w:eastAsia="Arial" w:hAnsi="Arial"/>
          <w:sz w:val="17"/>
          <w:szCs w:val="17"/>
          <w:u w:val="single" w:color="auto"/>
          <w:color w:val="auto"/>
        </w:rPr>
        <w:t>Replacement Term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72" w:lineRule="exact"/>
        <w:rPr>
          <w:rFonts w:ascii="Arial" w:cs="Arial" w:eastAsia="Arial" w:hAnsi="Arial"/>
          <w:sz w:val="17"/>
          <w:szCs w:val="17"/>
          <w:color w:val="auto"/>
        </w:rPr>
      </w:pPr>
    </w:p>
    <w:p>
      <w:pPr>
        <w:ind w:right="60" w:firstLine="436"/>
        <w:spacing w:after="0" w:line="301" w:lineRule="auto"/>
        <w:tabs>
          <w:tab w:leader="none" w:pos="69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Notwithstanding the foregoing, with respect to amendments under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00"/>
          </w:cols>
          <w:pgMar w:left="440" w:top="274" w:right="459" w:bottom="1440" w:gutter="0" w:footer="0" w:header="0"/>
        </w:sectPr>
      </w:pPr>
    </w:p>
    <w:bookmarkStart w:id="354" w:name="page355"/>
    <w:bookmarkEnd w:id="354"/>
    <w:p>
      <w:pPr>
        <w:ind w:left="-20" w:firstLine="436"/>
        <w:spacing w:after="0" w:line="263" w:lineRule="auto"/>
        <w:tabs>
          <w:tab w:leader="none" w:pos="675"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amendments and waivers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any of financial definitions included in (and for purposes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will require only the consent of the Majority Lenders under the Revolving Facilities, the Term Loan A Facility and the Term Euro Facility and no other consents or approvals from any Lender shall be required.</w:t>
      </w:r>
    </w:p>
    <w:p>
      <w:pPr>
        <w:spacing w:after="0" w:line="75" w:lineRule="exact"/>
        <w:rPr>
          <w:rFonts w:ascii="Arial" w:cs="Arial" w:eastAsia="Arial" w:hAnsi="Arial"/>
          <w:sz w:val="18"/>
          <w:szCs w:val="18"/>
          <w:color w:val="auto"/>
        </w:rPr>
      </w:pPr>
    </w:p>
    <w:p>
      <w:pPr>
        <w:ind w:left="-20" w:right="20" w:firstLine="436"/>
        <w:spacing w:after="0" w:line="285" w:lineRule="auto"/>
        <w:tabs>
          <w:tab w:leader="none" w:pos="635" w:val="left"/>
        </w:tabs>
        <w:numPr>
          <w:ilvl w:val="0"/>
          <w:numId w:val="30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Loan Document or (C) directed or required the Administrative Agent, the Collateral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any Borrower or any of their Subsidiaries or Crown Holdings at such time of determination (including commitments with respect to any revolving credit facility) (each such item of Indebtedness, including the Loan and Commitments, “Specified Indebtedness” and each such Lender, a “Net Short Lender”)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 than any Excluded Lender) will be deemed to have represented to Crown Holdings and the Administrative Agent that it does not constitute a Net Short Lender, in each case, unless such Lender shall have notified Crown Holdings and the Administrative Agent prior to the requested response date with respect to such waiver, amendment or modification that it constitutes a Net Short Lender (it being understood and agreed that Crown Holdings and the Administrative Agent shall be entitled to rely on each such representation and deemed representation).</w:t>
      </w:r>
    </w:p>
    <w:p>
      <w:pPr>
        <w:spacing w:after="0" w:line="63" w:lineRule="exact"/>
        <w:rPr>
          <w:rFonts w:ascii="Arial" w:cs="Arial" w:eastAsia="Arial" w:hAnsi="Arial"/>
          <w:sz w:val="16"/>
          <w:szCs w:val="16"/>
          <w:u w:val="single" w:color="auto"/>
          <w:color w:val="0000FF"/>
        </w:rPr>
      </w:pPr>
    </w:p>
    <w:p>
      <w:pPr>
        <w:ind w:left="1060" w:hanging="221"/>
        <w:spacing w:after="0"/>
        <w:tabs>
          <w:tab w:leader="none" w:pos="1060" w:val="left"/>
        </w:tabs>
        <w:numPr>
          <w:ilvl w:val="1"/>
          <w:numId w:val="30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the preceding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-2513330</wp:posOffset>
            </wp:positionV>
            <wp:extent cx="648906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-2376170</wp:posOffset>
            </wp:positionV>
            <wp:extent cx="681482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-2239010</wp:posOffset>
            </wp:positionV>
            <wp:extent cx="667766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-2101850</wp:posOffset>
            </wp:positionV>
            <wp:extent cx="677227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-1964690</wp:posOffset>
            </wp:positionV>
            <wp:extent cx="683196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-1827530</wp:posOffset>
            </wp:positionV>
            <wp:extent cx="679767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-1690370</wp:posOffset>
            </wp:positionV>
            <wp:extent cx="690054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-1553210</wp:posOffset>
            </wp:positionV>
            <wp:extent cx="69176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-1416050</wp:posOffset>
            </wp:positionV>
            <wp:extent cx="663511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-1278890</wp:posOffset>
            </wp:positionV>
            <wp:extent cx="648906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-1141730</wp:posOffset>
            </wp:positionV>
            <wp:extent cx="682371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-1004570</wp:posOffset>
            </wp:positionV>
            <wp:extent cx="676338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-867410</wp:posOffset>
            </wp:positionV>
            <wp:extent cx="692658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-730250</wp:posOffset>
            </wp:positionV>
            <wp:extent cx="696087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-593090</wp:posOffset>
            </wp:positionV>
            <wp:extent cx="678942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-455930</wp:posOffset>
            </wp:positionV>
            <wp:extent cx="665226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-318770</wp:posOffset>
            </wp:positionV>
            <wp:extent cx="68922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-181610</wp:posOffset>
            </wp:positionV>
            <wp:extent cx="290576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23495</wp:posOffset>
            </wp:positionV>
            <wp:extent cx="184277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97" w:lineRule="exact"/>
        <w:rPr>
          <w:sz w:val="20"/>
          <w:szCs w:val="20"/>
          <w:color w:val="auto"/>
        </w:rPr>
      </w:pPr>
    </w:p>
    <w:p>
      <w:pPr>
        <w:jc w:val="both"/>
        <w:ind w:left="420" w:firstLine="419"/>
        <w:spacing w:after="0" w:line="259" w:lineRule="auto"/>
        <w:tabs>
          <w:tab w:leader="none" w:pos="1058" w:val="left"/>
        </w:tabs>
        <w:numPr>
          <w:ilvl w:val="0"/>
          <w:numId w:val="30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“Covered Affiliate” means any Affiliate of a Lender (provided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spacing w:after="0" w:line="78" w:lineRule="exact"/>
        <w:rPr>
          <w:rFonts w:ascii="Arial" w:cs="Arial" w:eastAsia="Arial" w:hAnsi="Arial"/>
          <w:sz w:val="18"/>
          <w:szCs w:val="18"/>
          <w:u w:val="single" w:color="auto"/>
          <w:color w:val="0000FF"/>
        </w:rPr>
      </w:pPr>
    </w:p>
    <w:p>
      <w:pPr>
        <w:ind w:left="420" w:right="180" w:firstLine="419"/>
        <w:spacing w:after="0" w:line="259" w:lineRule="auto"/>
        <w:tabs>
          <w:tab w:leader="none" w:pos="1108" w:val="left"/>
        </w:tabs>
        <w:numPr>
          <w:ilvl w:val="0"/>
          <w:numId w:val="30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“Excluded Lender” means (A) any Lender that is a Regulated Bank, (B) any Lender as of the Closing Date and (C)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-1029335</wp:posOffset>
            </wp:positionV>
            <wp:extent cx="642937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-892175</wp:posOffset>
            </wp:positionV>
            <wp:extent cx="666051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-755015</wp:posOffset>
            </wp:positionV>
            <wp:extent cx="655764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-617855</wp:posOffset>
            </wp:positionV>
            <wp:extent cx="38544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38544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-412115</wp:posOffset>
            </wp:positionV>
            <wp:extent cx="6231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-274955</wp:posOffset>
            </wp:positionV>
            <wp:extent cx="65747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-137795</wp:posOffset>
            </wp:positionV>
            <wp:extent cx="65493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-635</wp:posOffset>
            </wp:positionV>
            <wp:extent cx="376301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0960"/>
          </w:cols>
          <w:pgMar w:left="460" w:top="274" w:right="479" w:bottom="1440" w:gutter="0" w:footer="0" w:header="0"/>
        </w:sectPr>
      </w:pPr>
    </w:p>
    <w:bookmarkStart w:id="355" w:name="page356"/>
    <w:bookmarkEnd w:id="355"/>
    <w:p>
      <w:pPr>
        <w:ind w:right="60" w:firstLine="419"/>
        <w:spacing w:after="0" w:line="255" w:lineRule="auto"/>
        <w:tabs>
          <w:tab w:leader="none" w:pos="738" w:val="left"/>
        </w:tabs>
        <w:numPr>
          <w:ilvl w:val="0"/>
          <w:numId w:val="30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“Regulated Bank”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84" w:lineRule="exact"/>
        <w:rPr>
          <w:rFonts w:ascii="Arial" w:cs="Arial" w:eastAsia="Arial" w:hAnsi="Arial"/>
          <w:sz w:val="18"/>
          <w:szCs w:val="18"/>
          <w:u w:val="single" w:color="auto"/>
          <w:color w:val="0000FF"/>
        </w:rPr>
      </w:pPr>
    </w:p>
    <w:p>
      <w:pPr>
        <w:ind w:firstLine="419"/>
        <w:spacing w:after="0" w:line="284" w:lineRule="auto"/>
        <w:tabs>
          <w:tab w:leader="none" w:pos="728" w:val="left"/>
        </w:tabs>
        <w:numPr>
          <w:ilvl w:val="0"/>
          <w:numId w:val="30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For purposes of determining whether a Lender (alone or together with its Covered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Crown Holdings, any Borrower or any Subsidiary or any instrument issued or guaranteed by Crown Holdings, any Borrower or any Subsidiary shall not be deemed to create a short position with respect to such Specified Indebtedness, so long as (x) such index is not created, designed, administered or requested by such Lender or its Covered Affiliates and (y) Crown Holdings, the Borrowers and the other Subsidiaries and any instrument issued or guaranteed by such persons,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relevant Specified Indebtedness if such Lender or its Covered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Crown Holdings, any Borrower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Crown Holdings, any Borrower or any Subsidiary, in each case, other than as part of an index so long as (x) such index is not created, designed, administered or requested by such Lender or its Covered Affiliates and (y) Crown Holdings, any Borrower and the Subsidiaries, and any instrument issued or guaranteed by such persons, collectively, shall represent less than 5% of the components of such index.</w:t>
      </w:r>
    </w:p>
    <w:p>
      <w:pPr>
        <w:spacing w:after="0" w:line="70" w:lineRule="exact"/>
        <w:rPr>
          <w:rFonts w:ascii="Arial" w:cs="Arial" w:eastAsia="Arial" w:hAnsi="Arial"/>
          <w:sz w:val="16"/>
          <w:szCs w:val="16"/>
          <w:u w:val="single" w:color="auto"/>
          <w:color w:val="0000FF"/>
        </w:rPr>
      </w:pPr>
    </w:p>
    <w:p>
      <w:pPr>
        <w:ind w:right="180" w:firstLine="419"/>
        <w:spacing w:after="0" w:line="279" w:lineRule="auto"/>
        <w:tabs>
          <w:tab w:leader="none" w:pos="678" w:val="left"/>
        </w:tabs>
        <w:numPr>
          <w:ilvl w:val="0"/>
          <w:numId w:val="30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Except with respect to the exercise of setoff rights in accordance with Section 12.6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w:t>
      </w:r>
      <w:r>
        <w:rPr>
          <w:rFonts w:ascii="Arial" w:cs="Arial" w:eastAsia="Arial" w:hAnsi="Arial"/>
          <w:sz w:val="17"/>
          <w:szCs w:val="17"/>
          <w:color w:val="0000FF"/>
        </w:rPr>
        <w:t>exercised solely by the Administrative Agent or the Collateral Agent, as applicable, on behalf of the Secured Parties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-4399280</wp:posOffset>
            </wp:positionV>
            <wp:extent cx="630936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-4262120</wp:posOffset>
            </wp:positionV>
            <wp:extent cx="65747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-4124960</wp:posOffset>
            </wp:positionV>
            <wp:extent cx="641223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-3987800</wp:posOffset>
            </wp:positionV>
            <wp:extent cx="666940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-3850640</wp:posOffset>
            </wp:positionV>
            <wp:extent cx="640334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-3713480</wp:posOffset>
            </wp:positionV>
            <wp:extent cx="2785745"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2785745"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-3507740</wp:posOffset>
            </wp:positionV>
            <wp:extent cx="630047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-3370580</wp:posOffset>
            </wp:positionV>
            <wp:extent cx="670369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-3233420</wp:posOffset>
            </wp:positionV>
            <wp:extent cx="666940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-3096260</wp:posOffset>
            </wp:positionV>
            <wp:extent cx="654050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-2959100</wp:posOffset>
            </wp:positionV>
            <wp:extent cx="644652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-2821940</wp:posOffset>
            </wp:positionV>
            <wp:extent cx="653224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-2684780</wp:posOffset>
            </wp:positionV>
            <wp:extent cx="641223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-2547620</wp:posOffset>
            </wp:positionV>
            <wp:extent cx="648906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-2410460</wp:posOffset>
            </wp:positionV>
            <wp:extent cx="634365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-2273300</wp:posOffset>
            </wp:positionV>
            <wp:extent cx="644652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-2136140</wp:posOffset>
            </wp:positionV>
            <wp:extent cx="659193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-1998980</wp:posOffset>
            </wp:positionV>
            <wp:extent cx="636079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-1861820</wp:posOffset>
            </wp:positionV>
            <wp:extent cx="666051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-1724660</wp:posOffset>
            </wp:positionV>
            <wp:extent cx="647192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-1587500</wp:posOffset>
            </wp:positionV>
            <wp:extent cx="651510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-1450340</wp:posOffset>
            </wp:positionV>
            <wp:extent cx="668655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-1313180</wp:posOffset>
            </wp:positionV>
            <wp:extent cx="648906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-1176020</wp:posOffset>
            </wp:positionV>
            <wp:extent cx="660082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-1038860</wp:posOffset>
            </wp:positionV>
            <wp:extent cx="633476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-901700</wp:posOffset>
            </wp:positionV>
            <wp:extent cx="630047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-764540</wp:posOffset>
            </wp:positionV>
            <wp:extent cx="6454775"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-627380</wp:posOffset>
            </wp:positionV>
            <wp:extent cx="471487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-421640</wp:posOffset>
            </wp:positionV>
            <wp:extent cx="62064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-284480</wp:posOffset>
            </wp:positionV>
            <wp:extent cx="659193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626618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-10160</wp:posOffset>
            </wp:positionV>
            <wp:extent cx="5528945"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55333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5533390" cy="8255"/>
                    </a:xfrm>
                    <a:prstGeom prst="rect">
                      <a:avLst/>
                    </a:prstGeom>
                    <a:noFill/>
                  </pic:spPr>
                </pic:pic>
              </a:graphicData>
            </a:graphic>
          </wp:anchor>
        </w:drawing>
      </w:r>
    </w:p>
    <w:p>
      <w:pPr>
        <w:spacing w:after="0" w:line="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0560"/>
          </w:cols>
          <w:pgMar w:left="880" w:top="274" w:right="459" w:bottom="1440" w:gutter="0" w:footer="0" w:header="0"/>
        </w:sectPr>
      </w:pPr>
    </w:p>
    <w:bookmarkStart w:id="356" w:name="page357"/>
    <w:bookmarkEnd w:id="356"/>
    <w:p>
      <w:pPr>
        <w:ind w:left="440"/>
        <w:spacing w:after="0" w:line="270"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accordance with the terms thereof. Each Secured Party agrees that it shall not, and it shall not permit any of its Affiliates to, and hereby waives any right it or its Affiliates may have to, take or institute any actions or proceedings, judicial or otherwise, for any right or remedy against any Loan Party or any past, present or future Subsidiary of any Loan Party under any of the Loan Documents or in respect of any Swap Obligations or Secured Swap Obligations (including any exercise of any right of setoff, rights on account of any banker’s lien or similar claim or other rights of self-help), or institute any actions or proceedings, or otherwise commence any remedial procedures, with respect to any Collateral or any other property of any such Loan Party or any past, present or future Subsidiary of any Loan Party, </w:t>
      </w:r>
      <w:r>
        <w:rPr>
          <w:rFonts w:ascii="Arial" w:cs="Arial" w:eastAsia="Arial" w:hAnsi="Arial"/>
          <w:sz w:val="17"/>
          <w:szCs w:val="17"/>
          <w:u w:val="single" w:color="auto"/>
          <w:color w:val="008000"/>
        </w:rPr>
        <w:t>without the prior written consent of the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Administrative Agent. The </w:t>
      </w:r>
      <w:r>
        <w:rPr>
          <w:rFonts w:ascii="Arial" w:cs="Arial" w:eastAsia="Arial" w:hAnsi="Arial"/>
          <w:sz w:val="17"/>
          <w:szCs w:val="17"/>
          <w:u w:val="single" w:color="auto"/>
          <w:color w:val="0000FF"/>
        </w:rPr>
        <w:t>provisions of Section 12.1(i) and (j) may be enforced against any Secured Party by the Required Lenders, any Agent or</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Crown Holdings (or any of their Affiliates) and each Secured Party expressly acknowledges that this sentence shall be available as a defense of Crown Holdings (or any of its Affiliates) in any such action, proceeding or remedial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-1101090</wp:posOffset>
            </wp:positionV>
            <wp:extent cx="652335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-963930</wp:posOffset>
            </wp:positionV>
            <wp:extent cx="648906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-826770</wp:posOffset>
            </wp:positionV>
            <wp:extent cx="667766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-689610</wp:posOffset>
            </wp:positionV>
            <wp:extent cx="660908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-552450</wp:posOffset>
            </wp:positionV>
            <wp:extent cx="651510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-415290</wp:posOffset>
            </wp:positionV>
            <wp:extent cx="601789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-278130</wp:posOffset>
            </wp:positionV>
            <wp:extent cx="670369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-140970</wp:posOffset>
            </wp:positionV>
            <wp:extent cx="654050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-3810</wp:posOffset>
            </wp:positionV>
            <wp:extent cx="435483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53"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Crown Holdings agrees to, and to cause its Subsidiaries to, do such further acts and things and to execute and deliver to Agent such additional assignments, agreements, powers and instruments, as Agent may reasonably require or deem advisable to carry into effect the purposes of this Agreement or any of the Loan Documents or to better assure and confirm unto Agent its rights, powers and remedies hereunder.</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0" w:lineRule="auto"/>
        <w:tabs>
          <w:tab w:leader="none" w:pos="68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Unless otherwise specified in a notice sent or delivered in accordance with the foregoing provisions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72" w:lineRule="exact"/>
        <w:rPr>
          <w:rFonts w:ascii="Arial" w:cs="Arial" w:eastAsia="Arial" w:hAnsi="Arial"/>
          <w:sz w:val="17"/>
          <w:szCs w:val="17"/>
          <w:color w:val="auto"/>
        </w:rPr>
      </w:pPr>
    </w:p>
    <w:p>
      <w:pPr>
        <w:ind w:left="440" w:right="60" w:firstLine="419"/>
        <w:spacing w:after="0" w:line="259" w:lineRule="auto"/>
        <w:tabs>
          <w:tab w:leader="none" w:pos="107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if to Crown Holdings, Crown International, CCSC, U.S. Borrower, European Borrower or Canadian Borrower, to it at One Crown Way, Philadelphia, Pennsylvania 19154, attention: Mr. Tom Kelly (telecopy: (215) 276-6011), with a copy to Dechert LLP, 2929 Arch Street, Philadelphia, Pennsylvania 19104, attention: Mr. </w:t>
      </w:r>
      <w:r>
        <w:rPr>
          <w:rFonts w:ascii="Arial" w:cs="Arial" w:eastAsia="Arial" w:hAnsi="Arial"/>
          <w:sz w:val="18"/>
          <w:szCs w:val="18"/>
          <w:color w:val="FF0000"/>
          <w:strike w:val="1"/>
        </w:rPr>
        <w:t>William G. Lawlor</w:t>
      </w:r>
      <w:r>
        <w:rPr>
          <w:rFonts w:ascii="Arial" w:cs="Arial" w:eastAsia="Arial" w:hAnsi="Arial"/>
          <w:sz w:val="18"/>
          <w:szCs w:val="18"/>
          <w:u w:val="single" w:color="auto"/>
          <w:color w:val="0000FF"/>
        </w:rPr>
        <w:t>Ian A. Hartman</w:t>
      </w:r>
      <w:r>
        <w:rPr>
          <w:rFonts w:ascii="Arial" w:cs="Arial" w:eastAsia="Arial" w:hAnsi="Arial"/>
          <w:sz w:val="18"/>
          <w:szCs w:val="18"/>
          <w:color w:val="auto"/>
        </w:rPr>
        <w:t xml:space="preserve">, Esq. (telecopy: (215) 994-2222) </w:t>
      </w:r>
      <w:r>
        <w:rPr>
          <w:rFonts w:ascii="Arial" w:cs="Arial" w:eastAsia="Arial" w:hAnsi="Arial"/>
          <w:sz w:val="18"/>
          <w:szCs w:val="18"/>
          <w:color w:val="0000FF"/>
        </w:rPr>
        <w:t>and Ms. Angelina X. Liang,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Esq. (telecopy: (212) 698-3599)</w:t>
      </w:r>
      <w:r>
        <w:rPr>
          <w:rFonts w:ascii="Arial" w:cs="Arial" w:eastAsia="Arial" w:hAnsi="Arial"/>
          <w:sz w:val="18"/>
          <w:szCs w:val="18"/>
          <w:color w:val="000000"/>
        </w:rPr>
        <w:t>;</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to Administrative Agent, to it at the Notice Address;</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to U.K. Administrative Agent, to it at the Notice Address;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to Canadian Administrative Agent, to it at the Notice Address;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to Deutsche Bank AG London Branch, as Facing Agent, to it at 175 Bishopsgate, EC2A 2JN London,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-935990</wp:posOffset>
            </wp:positionV>
            <wp:extent cx="7200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-935990</wp:posOffset>
            </wp:positionV>
            <wp:extent cx="130302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-970280</wp:posOffset>
            </wp:positionV>
            <wp:extent cx="130111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30111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-798830</wp:posOffset>
            </wp:positionV>
            <wp:extent cx="146558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00"/>
          </w:cols>
          <w:pgMar w:left="440" w:top="274" w:right="459" w:bottom="1440" w:gutter="0" w:footer="0" w:header="0"/>
        </w:sectPr>
      </w:pPr>
    </w:p>
    <w:bookmarkStart w:id="357" w:name="page358"/>
    <w:bookmarkEnd w:id="357"/>
    <w:p>
      <w:pPr>
        <w:ind w:left="440" w:firstLine="419"/>
        <w:spacing w:after="0" w:line="263" w:lineRule="auto"/>
        <w:tabs>
          <w:tab w:leader="none" w:pos="1168"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75"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or by any Agent, the Lenders and the Facing Agent hereunder may be delivered or furnished by electronic communication (including e-mail and Internet or intranet websites)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Costs and Expenses;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6" w:lineRule="auto"/>
        <w:tabs>
          <w:tab w:leader="none" w:pos="685"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Each Credit Party (jointly and severally to the extent legally permissible) agrees to pay promptly upon request by any Agent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Sustainability Coordinator</w:t>
      </w:r>
      <w:r>
        <w:rPr>
          <w:rFonts w:ascii="Arial" w:cs="Arial" w:eastAsia="Arial" w:hAnsi="Arial"/>
          <w:sz w:val="16"/>
          <w:szCs w:val="16"/>
          <w:color w:val="0000FF"/>
        </w:rPr>
        <w:t xml:space="preserve"> </w:t>
      </w:r>
      <w:r>
        <w:rPr>
          <w:rFonts w:ascii="Arial" w:cs="Arial" w:eastAsia="Arial" w:hAnsi="Arial"/>
          <w:sz w:val="16"/>
          <w:szCs w:val="16"/>
          <w:color w:val="000000"/>
        </w:rPr>
        <w:t>(or any Lender in connection with any enforcement or atonement as provided below) (i) all reasonable out-of-pocket costs</w:t>
      </w:r>
      <w:r>
        <w:rPr>
          <w:rFonts w:ascii="Arial" w:cs="Arial" w:eastAsia="Arial" w:hAnsi="Arial"/>
          <w:sz w:val="16"/>
          <w:szCs w:val="16"/>
          <w:color w:val="0000FF"/>
        </w:rPr>
        <w:t xml:space="preserve"> </w:t>
      </w:r>
      <w:r>
        <w:rPr>
          <w:rFonts w:ascii="Arial" w:cs="Arial" w:eastAsia="Arial" w:hAnsi="Arial"/>
          <w:sz w:val="16"/>
          <w:szCs w:val="16"/>
          <w:color w:val="000000"/>
        </w:rPr>
        <w:t xml:space="preserve">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Administrative Agent and of Cahill Gordon &amp; Reindel </w:t>
      </w:r>
      <w:r>
        <w:rPr>
          <w:rFonts w:ascii="Arial" w:cs="Arial" w:eastAsia="Arial" w:hAnsi="Arial"/>
          <w:sz w:val="12"/>
          <w:szCs w:val="12"/>
          <w:color w:val="000000"/>
        </w:rPr>
        <w:t>LLP</w:t>
      </w:r>
      <w:r>
        <w:rPr>
          <w:rFonts w:ascii="Arial" w:cs="Arial" w:eastAsia="Arial" w:hAnsi="Arial"/>
          <w:sz w:val="16"/>
          <w:szCs w:val="16"/>
          <w:color w:val="000000"/>
        </w:rPr>
        <w:t xml:space="preserve">, counsel to Administrative Agent, and any local counsel retained by Administrative Agent relative thereto and other Attorney Costs,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w:t>
      </w:r>
      <w:r>
        <w:rPr>
          <w:rFonts w:ascii="Arial" w:cs="Arial" w:eastAsia="Arial" w:hAnsi="Arial"/>
          <w:sz w:val="16"/>
          <w:szCs w:val="16"/>
          <w:u w:val="single" w:color="auto"/>
          <w:color w:val="0000FF"/>
        </w:rPr>
        <w:t>Sustainability Coordinator, any</w:t>
      </w:r>
      <w:r>
        <w:rPr>
          <w:rFonts w:ascii="Arial" w:cs="Arial" w:eastAsia="Arial" w:hAnsi="Arial"/>
          <w:sz w:val="16"/>
          <w:szCs w:val="16"/>
          <w:color w:val="000000"/>
        </w:rPr>
        <w:t xml:space="preserve"> Lender 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-1932940</wp:posOffset>
            </wp:positionV>
            <wp:extent cx="9398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-1795780</wp:posOffset>
            </wp:positionV>
            <wp:extent cx="120840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-424180</wp:posOffset>
            </wp:positionV>
            <wp:extent cx="1423035"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0980"/>
          </w:cols>
          <w:pgMar w:left="440" w:top="274" w:right="479" w:bottom="1440" w:gutter="0" w:footer="0" w:header="0"/>
        </w:sectPr>
      </w:pPr>
    </w:p>
    <w:bookmarkStart w:id="358" w:name="page359"/>
    <w:bookmarkEnd w:id="358"/>
    <w:p>
      <w:pPr>
        <w:ind w:firstLine="436"/>
        <w:spacing w:after="0" w:line="285" w:lineRule="auto"/>
        <w:tabs>
          <w:tab w:leader="none" w:pos="695"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r>
        <w:rPr>
          <w:rFonts w:ascii="Arial" w:cs="Arial" w:eastAsia="Arial" w:hAnsi="Arial"/>
          <w:sz w:val="16"/>
          <w:szCs w:val="16"/>
          <w:color w:val="auto"/>
        </w:rPr>
        <w:t>. Each Credit Party (jointly and severally to the extent legally permissible) will indemnify and hold harmless each Agent</w:t>
      </w:r>
      <w:r>
        <w:rPr>
          <w:rFonts w:ascii="Arial" w:cs="Arial" w:eastAsia="Arial" w:hAnsi="Arial"/>
          <w:sz w:val="16"/>
          <w:szCs w:val="16"/>
          <w:u w:val="single" w:color="auto"/>
          <w:color w:val="0000FF"/>
        </w:rPr>
        <w:t>, each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Sustainability Coordinator</w:t>
      </w:r>
      <w:r>
        <w:rPr>
          <w:rFonts w:ascii="Arial" w:cs="Arial" w:eastAsia="Arial" w:hAnsi="Arial"/>
          <w:sz w:val="16"/>
          <w:szCs w:val="16"/>
          <w:color w:val="0000FF"/>
        </w:rPr>
        <w:t xml:space="preserve"> </w:t>
      </w:r>
      <w:r>
        <w:rPr>
          <w:rFonts w:ascii="Arial" w:cs="Arial" w:eastAsia="Arial" w:hAnsi="Arial"/>
          <w:sz w:val="16"/>
          <w:szCs w:val="16"/>
          <w:color w:val="000000"/>
        </w:rPr>
        <w:t>and each Lender and each director, officer, employee, agent, attorney and Affiliate of each Agent and each Lender (each such</w:t>
      </w:r>
      <w:r>
        <w:rPr>
          <w:rFonts w:ascii="Arial" w:cs="Arial" w:eastAsia="Arial" w:hAnsi="Arial"/>
          <w:sz w:val="16"/>
          <w:szCs w:val="16"/>
          <w:color w:val="0000FF"/>
        </w:rPr>
        <w:t xml:space="preserve"> </w:t>
      </w:r>
      <w:r>
        <w:rPr>
          <w:rFonts w:ascii="Arial" w:cs="Arial" w:eastAsia="Arial" w:hAnsi="Arial"/>
          <w:sz w:val="16"/>
          <w:szCs w:val="16"/>
          <w:color w:val="000000"/>
        </w:rPr>
        <w:t>Person an “</w:t>
      </w:r>
      <w:r>
        <w:rPr>
          <w:rFonts w:ascii="Arial" w:cs="Arial" w:eastAsia="Arial" w:hAnsi="Arial"/>
          <w:sz w:val="16"/>
          <w:szCs w:val="16"/>
          <w:u w:val="single" w:color="auto"/>
          <w:color w:val="000000"/>
        </w:rPr>
        <w:t>Indemnified Person</w:t>
      </w:r>
      <w:r>
        <w:rPr>
          <w:rFonts w:ascii="Arial" w:cs="Arial" w:eastAsia="Arial" w:hAnsi="Arial"/>
          <w:sz w:val="16"/>
          <w:szCs w:val="16"/>
          <w:color w:val="000000"/>
        </w:rPr>
        <w:t>” and collectively, the “</w:t>
      </w:r>
      <w:r>
        <w:rPr>
          <w:rFonts w:ascii="Arial" w:cs="Arial" w:eastAsia="Arial" w:hAnsi="Arial"/>
          <w:sz w:val="16"/>
          <w:szCs w:val="16"/>
          <w:u w:val="single" w:color="auto"/>
          <w:color w:val="000000"/>
        </w:rPr>
        <w:t>Indemnified Persons</w:t>
      </w:r>
      <w:r>
        <w:rPr>
          <w:rFonts w:ascii="Arial" w:cs="Arial" w:eastAsia="Arial" w:hAnsi="Arial"/>
          <w:sz w:val="16"/>
          <w:szCs w:val="16"/>
          <w:color w:val="000000"/>
        </w:rPr>
        <w:t xml:space="preserve">”)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 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w:t>
      </w:r>
    </w:p>
    <w:p>
      <w:pPr>
        <w:spacing w:after="0" w:line="60" w:lineRule="exact"/>
        <w:rPr>
          <w:rFonts w:ascii="Arial" w:cs="Arial" w:eastAsia="Arial" w:hAnsi="Arial"/>
          <w:sz w:val="16"/>
          <w:szCs w:val="16"/>
          <w:color w:val="auto"/>
        </w:rPr>
      </w:pPr>
    </w:p>
    <w:p>
      <w:pPr>
        <w:ind w:left="440" w:right="480" w:firstLine="419"/>
        <w:spacing w:after="0" w:line="263" w:lineRule="auto"/>
        <w:tabs>
          <w:tab w:leader="none" w:pos="107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75" w:lineRule="exact"/>
        <w:rPr>
          <w:rFonts w:ascii="Arial" w:cs="Arial" w:eastAsia="Arial" w:hAnsi="Arial"/>
          <w:sz w:val="18"/>
          <w:szCs w:val="18"/>
          <w:color w:val="auto"/>
        </w:rPr>
      </w:pPr>
    </w:p>
    <w:p>
      <w:pPr>
        <w:ind w:left="440" w:right="20" w:firstLine="419"/>
        <w:spacing w:after="0" w:line="277" w:lineRule="auto"/>
        <w:tabs>
          <w:tab w:leader="none" w:pos="112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that nothing contained herein shall affect the express contractual obligations of the Lenders to any Credit Party contained herein or in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6675120</wp:posOffset>
            </wp:positionH>
            <wp:positionV relativeFrom="paragraph">
              <wp:posOffset>-3302635</wp:posOffset>
            </wp:positionV>
            <wp:extent cx="26543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-3165475</wp:posOffset>
            </wp:positionV>
            <wp:extent cx="120840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5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12.4(b)</w:t>
      </w:r>
      <w:r>
        <w:rPr>
          <w:rFonts w:ascii="Arial" w:cs="Arial" w:eastAsia="Arial" w:hAnsi="Arial"/>
          <w:sz w:val="18"/>
          <w:szCs w:val="18"/>
          <w:color w:val="auto"/>
        </w:rPr>
        <w:t xml:space="preserve"> shall not apply to Taxes, except any Taxes that represent claims, demands, liabilities, damages, losses, costs, charges and expenses arising from any non-Tax claim.</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If any action, suit or proceeding arising from any of the foregoing is brought against any Agent, any Lender or any other Person indemnified or intended to be indemnified pursuant to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Crown Holdings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one action or separate but similar or related actions in the same jurisdiction arising out of the same general allegations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00"/>
          </w:cols>
          <w:pgMar w:left="440" w:top="274" w:right="459" w:bottom="1440" w:gutter="0" w:footer="0" w:header="0"/>
        </w:sectPr>
      </w:pPr>
    </w:p>
    <w:bookmarkStart w:id="359" w:name="page360"/>
    <w:bookmarkEnd w:id="359"/>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the Credit Parties shall not be liable for fees and expenses of more than one counsel (in addition to any local counsel), which counsel shall be designated by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w:t>
      </w:r>
    </w:p>
    <w:p>
      <w:pPr>
        <w:spacing w:after="0" w:line="1" w:lineRule="exact"/>
        <w:rPr>
          <w:sz w:val="20"/>
          <w:szCs w:val="20"/>
          <w:color w:val="auto"/>
        </w:rPr>
      </w:pPr>
    </w:p>
    <w:p>
      <w:pPr>
        <w:ind w:left="4" w:right="360" w:hanging="4"/>
        <w:spacing w:after="0" w:line="255" w:lineRule="auto"/>
        <w:tabs>
          <w:tab w:leader="none" w:pos="26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190"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 xml:space="preserve">Any and all amounts so expended by any Agent shall be repaid to it by the Credit Parties promptly upon such Agent’s demand therefor, with interest at the Default Rate in effect from time to time during the period including the date so expended by such Agent to the date of repayment. To the extent that the undertaking to indemnify, pay or hold harmless any Indemnified Person as set forth in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survive the termination of this Agreement and the discharge of the Credit Party’s other Obligations hereunder.</w:t>
      </w:r>
    </w:p>
    <w:p>
      <w:pPr>
        <w:spacing w:after="0" w:line="70" w:lineRule="exact"/>
        <w:rPr>
          <w:sz w:val="20"/>
          <w:szCs w:val="20"/>
          <w:color w:val="auto"/>
        </w:rPr>
      </w:pPr>
    </w:p>
    <w:p>
      <w:pPr>
        <w:ind w:left="4" w:right="40" w:firstLine="436"/>
        <w:spacing w:after="0" w:line="269" w:lineRule="auto"/>
        <w:tabs>
          <w:tab w:leader="none" w:pos="68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Foreign Exchange Indemnity</w:t>
      </w:r>
      <w:r>
        <w:rPr>
          <w:rFonts w:ascii="Arial" w:cs="Arial" w:eastAsia="Arial" w:hAnsi="Arial"/>
          <w:sz w:val="17"/>
          <w:szCs w:val="17"/>
          <w:color w:val="auto"/>
        </w:rPr>
        <w:t>. If any sum due from any Credit Party or any of its Subsidiaries under this Agreement or any order or judgment given or made in relation hereto has to be converted from the currency (the “</w:t>
      </w:r>
      <w:r>
        <w:rPr>
          <w:rFonts w:ascii="Arial" w:cs="Arial" w:eastAsia="Arial" w:hAnsi="Arial"/>
          <w:sz w:val="17"/>
          <w:szCs w:val="17"/>
          <w:u w:val="single" w:color="auto"/>
          <w:color w:val="auto"/>
        </w:rPr>
        <w:t>First Currency</w:t>
      </w:r>
      <w:r>
        <w:rPr>
          <w:rFonts w:ascii="Arial" w:cs="Arial" w:eastAsia="Arial" w:hAnsi="Arial"/>
          <w:sz w:val="17"/>
          <w:szCs w:val="17"/>
          <w:color w:val="auto"/>
        </w:rPr>
        <w:t>”) in which the same is payable hereunder or under such order or judgment into another currency (the “</w:t>
      </w:r>
      <w:r>
        <w:rPr>
          <w:rFonts w:ascii="Arial" w:cs="Arial" w:eastAsia="Arial" w:hAnsi="Arial"/>
          <w:sz w:val="17"/>
          <w:szCs w:val="17"/>
          <w:u w:val="single" w:color="auto"/>
          <w:color w:val="auto"/>
        </w:rPr>
        <w:t>Second Currency</w:t>
      </w:r>
      <w:r>
        <w:rPr>
          <w:rFonts w:ascii="Arial" w:cs="Arial" w:eastAsia="Arial" w:hAnsi="Arial"/>
          <w:sz w:val="17"/>
          <w:szCs w:val="17"/>
          <w:color w:val="auto"/>
        </w:rPr>
        <w:t>”) for the purpose of (i) making or filing a claim or proof against any Credit Party with any Governmental Authority or in any court or tribunal, or (ii) 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 survive the giving or making of any judgment or order in relation to all or any of such other obligations.</w:t>
      </w:r>
    </w:p>
    <w:p>
      <w:pPr>
        <w:spacing w:after="0" w:line="77" w:lineRule="exact"/>
        <w:rPr>
          <w:rFonts w:ascii="Arial" w:cs="Arial" w:eastAsia="Arial" w:hAnsi="Arial"/>
          <w:sz w:val="17"/>
          <w:szCs w:val="17"/>
          <w:color w:val="auto"/>
        </w:rPr>
      </w:pPr>
    </w:p>
    <w:p>
      <w:pPr>
        <w:ind w:left="4" w:right="20" w:firstLine="436"/>
        <w:spacing w:after="0" w:line="269" w:lineRule="auto"/>
        <w:tabs>
          <w:tab w:leader="none" w:pos="69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0984"/>
          </w:cols>
          <w:pgMar w:left="436" w:top="274" w:right="479" w:bottom="1440" w:gutter="0" w:footer="0" w:header="0"/>
        </w:sectPr>
      </w:pPr>
    </w:p>
    <w:bookmarkStart w:id="360" w:name="page361"/>
    <w:bookmarkEnd w:id="360"/>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Confirmations</w:t>
      </w:r>
      <w:r>
        <w:rPr>
          <w:rFonts w:ascii="Arial" w:cs="Arial" w:eastAsia="Arial" w:hAnsi="Arial"/>
          <w:sz w:val="18"/>
          <w:szCs w:val="18"/>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Adjustment; Setoff</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7" w:lineRule="auto"/>
        <w:tabs>
          <w:tab w:leader="none" w:pos="68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any lender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Arial" w:cs="Arial" w:eastAsia="Arial" w:hAnsi="Arial"/>
          <w:sz w:val="16"/>
          <w:szCs w:val="16"/>
          <w:u w:val="single" w:color="auto"/>
          <w:color w:val="auto"/>
        </w:rPr>
        <w:t>Section 12.6(a)</w:t>
      </w:r>
      <w:r>
        <w:rPr>
          <w:rFonts w:ascii="Arial" w:cs="Arial" w:eastAsia="Arial" w:hAnsi="Arial"/>
          <w:sz w:val="16"/>
          <w:szCs w:val="16"/>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59" w:lineRule="exact"/>
        <w:rPr>
          <w:rFonts w:ascii="Arial" w:cs="Arial" w:eastAsia="Arial" w:hAnsi="Arial"/>
          <w:sz w:val="16"/>
          <w:szCs w:val="16"/>
          <w:color w:val="auto"/>
        </w:rPr>
      </w:pPr>
    </w:p>
    <w:p>
      <w:pPr>
        <w:ind w:firstLine="436"/>
        <w:spacing w:after="0" w:line="285" w:lineRule="auto"/>
        <w:tabs>
          <w:tab w:leader="none" w:pos="69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 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0960"/>
          </w:cols>
          <w:pgMar w:left="440" w:top="274" w:right="499" w:bottom="1440" w:gutter="0" w:footer="0" w:header="0"/>
        </w:sectPr>
      </w:pPr>
    </w:p>
    <w:bookmarkStart w:id="361" w:name="page362"/>
    <w:bookmarkEnd w:id="361"/>
    <w:p>
      <w:pPr>
        <w:ind w:firstLine="436"/>
        <w:spacing w:after="0" w:line="255" w:lineRule="auto"/>
        <w:tabs>
          <w:tab w:leader="none" w:pos="685"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8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Execution in Counterparts; Electronic Execution</w:t>
      </w:r>
      <w:r>
        <w:rPr>
          <w:rFonts w:ascii="Arial" w:cs="Arial" w:eastAsia="Arial" w:hAnsi="Arial"/>
          <w:sz w:val="17"/>
          <w:szCs w:val="17"/>
          <w:color w:val="auto"/>
        </w:rPr>
        <w:t xml:space="preserve">.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w:t>
      </w:r>
      <w:r>
        <w:rPr>
          <w:rFonts w:ascii="Arial" w:cs="Arial" w:eastAsia="Arial" w:hAnsi="Arial"/>
          <w:sz w:val="17"/>
          <w:szCs w:val="17"/>
          <w:color w:val="FF0000"/>
          <w:strike w:val="1"/>
        </w:rPr>
        <w:t>Delivery of an executed counterpart of a signature page of this Agreement</w:t>
      </w:r>
      <w:r>
        <w:rPr>
          <w:rFonts w:ascii="Arial" w:cs="Arial" w:eastAsia="Arial" w:hAnsi="Arial"/>
          <w:sz w:val="17"/>
          <w:szCs w:val="17"/>
          <w:color w:val="auto"/>
        </w:rPr>
        <w:t xml:space="preserve"> </w:t>
      </w:r>
      <w:r>
        <w:rPr>
          <w:rFonts w:ascii="Arial" w:cs="Arial" w:eastAsia="Arial" w:hAnsi="Arial"/>
          <w:sz w:val="17"/>
          <w:szCs w:val="17"/>
          <w:color w:val="FF0000"/>
          <w:strike w:val="1"/>
        </w:rPr>
        <w:t>by telecopier, facsimile or other electronic transmission (i.e., a “pdf” or “tif”) shall be effective as delivery of a manually executed counterpart of this Agreement.</w:t>
      </w:r>
      <w:r>
        <w:rPr>
          <w:rFonts w:ascii="Arial" w:cs="Arial" w:eastAsia="Arial" w:hAnsi="Arial"/>
          <w:sz w:val="17"/>
          <w:szCs w:val="17"/>
          <w:u w:val="single" w:color="auto"/>
          <w:color w:val="0000FF"/>
          <w:strike w:val="1"/>
        </w:rPr>
        <w:t>The words “execution,” “execute,” “signed,” “signature,” and words of like import in or related to any document to be signed in connection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with this Agreement and the transactions contemplated hereby (including without limitation Assignment and Assumptions, amendments or other Borrowing Requests, amendments, modifications,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-1236345</wp:posOffset>
            </wp:positionV>
            <wp:extent cx="638619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-1099185</wp:posOffset>
            </wp:positionV>
            <wp:extent cx="661797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-962025</wp:posOffset>
            </wp:positionV>
            <wp:extent cx="678942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-824865</wp:posOffset>
            </wp:positionV>
            <wp:extent cx="685800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-687705</wp:posOffset>
            </wp:positionV>
            <wp:extent cx="678053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-550545</wp:posOffset>
            </wp:positionV>
            <wp:extent cx="668655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684911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43725"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60908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68580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Binding Effect; Assignment; Addition and Substitution of Lenders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7" w:lineRule="auto"/>
        <w:tabs>
          <w:tab w:leader="none" w:pos="68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Crown Holdings, U.S. Borrower, European Borrower, Canadian Borrower and each other Credit Party hereto</w:t>
      </w:r>
      <w:r>
        <w:rPr>
          <w:rFonts w:ascii="Arial" w:cs="Arial" w:eastAsia="Arial" w:hAnsi="Arial"/>
          <w:sz w:val="18"/>
          <w:szCs w:val="18"/>
          <w:i w:val="1"/>
          <w:iCs w:val="1"/>
          <w:color w:val="auto"/>
        </w:rPr>
        <w:t>,</w:t>
      </w:r>
      <w:r>
        <w:rPr>
          <w:rFonts w:ascii="Arial" w:cs="Arial" w:eastAsia="Arial" w:hAnsi="Arial"/>
          <w:sz w:val="18"/>
          <w:szCs w:val="18"/>
          <w:color w:val="auto"/>
        </w:rPr>
        <w:t xml:space="preserve"> Agents, the Lenders, all future holders of the Notes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79"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Lender may at any time sell to one or more banks or other financial institutions (other than any Disqualified Institutions) (“</w:t>
      </w:r>
      <w:r>
        <w:rPr>
          <w:rFonts w:ascii="Arial" w:cs="Arial" w:eastAsia="Arial" w:hAnsi="Arial"/>
          <w:sz w:val="18"/>
          <w:szCs w:val="18"/>
          <w:u w:val="single" w:color="auto"/>
          <w:color w:val="auto"/>
        </w:rPr>
        <w:t>Participants</w:t>
      </w:r>
      <w:r>
        <w:rPr>
          <w:rFonts w:ascii="Arial" w:cs="Arial" w:eastAsia="Arial" w:hAnsi="Arial"/>
          <w:sz w:val="18"/>
          <w:szCs w:val="18"/>
          <w:color w:val="auto"/>
        </w:rPr>
        <w:t>”) participating interests in all or any portion of its Commitment and Loans or participation in Letters of Credit or any other interest of such Lender hereunder (in respect of any Lender, its “</w:t>
      </w:r>
      <w:r>
        <w:rPr>
          <w:rFonts w:ascii="Arial" w:cs="Arial" w:eastAsia="Arial" w:hAnsi="Arial"/>
          <w:sz w:val="18"/>
          <w:szCs w:val="18"/>
          <w:u w:val="single" w:color="auto"/>
          <w:color w:val="auto"/>
        </w:rPr>
        <w:t>Credit Exposure</w:t>
      </w:r>
      <w:r>
        <w:rPr>
          <w:rFonts w:ascii="Arial" w:cs="Arial" w:eastAsia="Arial" w:hAnsi="Arial"/>
          <w:sz w:val="18"/>
          <w:szCs w:val="18"/>
          <w:color w:val="auto"/>
        </w:rPr>
        <w:t>”). In the event of any such sale by a Lender of participating interests to a Participant, such Lender’s obligations under this Agreement shall remain unchanged, such Lender shall remain solely responsible for the performance thereof, and the Credit Parties and Administrative Agents shall continue to deal solely and directly with such Lender in connection with such Lender’s rights and obligations under this Agreement. Crown Holdings, 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00"/>
          </w:cols>
          <w:pgMar w:left="440" w:top="274" w:right="459" w:bottom="1440" w:gutter="0" w:footer="0" w:header="0"/>
        </w:sectPr>
      </w:pPr>
    </w:p>
    <w:bookmarkStart w:id="362" w:name="page363"/>
    <w:bookmarkEnd w:id="36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right of setoff shall be subject to the obligation of such Participant to share with the Lenders, and the Lenders agree to share with such Participant, as provided in </w:t>
      </w:r>
      <w:r>
        <w:rPr>
          <w:rFonts w:ascii="Arial" w:cs="Arial" w:eastAsia="Arial" w:hAnsi="Arial"/>
          <w:sz w:val="16"/>
          <w:szCs w:val="16"/>
          <w:u w:val="single" w:color="auto"/>
          <w:color w:val="auto"/>
        </w:rPr>
        <w:t>Section 12.6</w:t>
      </w:r>
      <w:r>
        <w:rPr>
          <w:rFonts w:ascii="Arial" w:cs="Arial" w:eastAsia="Arial" w:hAnsi="Arial"/>
          <w:sz w:val="16"/>
          <w:szCs w:val="16"/>
          <w:color w:val="auto"/>
        </w:rPr>
        <w:t xml:space="preserve">. Crown Holdings, U.S. Borrower, European Borrower and each other Credit Party hereto also agrees that each Participant shall be entitled to the benefits of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(subject to the requirements and limitations of such Sections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it being understood that any forms required to be provided by any Participant pursuant to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shall be provided solely to the applicable Lender) with respect to its participation in the Loans outstanding from time to time, as if such Participant becomes a Lender on the date it acquired an interest pursuant to this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participant shall not be entitled to receive any greater payment,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than the participating Lender would have been entitled to receive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Repayment (other than 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188"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Each Lender that sells a participation to a Participant pursuant to this </w:t>
      </w:r>
      <w:r>
        <w:rPr>
          <w:rFonts w:ascii="Arial" w:cs="Arial" w:eastAsia="Arial" w:hAnsi="Arial"/>
          <w:sz w:val="17"/>
          <w:szCs w:val="17"/>
          <w:u w:val="single" w:color="auto"/>
          <w:color w:val="auto"/>
        </w:rPr>
        <w:t>Section 12.8(b)</w:t>
      </w:r>
      <w:r>
        <w:rPr>
          <w:rFonts w:ascii="Arial" w:cs="Arial" w:eastAsia="Arial" w:hAnsi="Arial"/>
          <w:sz w:val="17"/>
          <w:szCs w:val="17"/>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0980"/>
          </w:cols>
          <w:pgMar w:left="440" w:top="274" w:right="479" w:bottom="1440" w:gutter="0" w:footer="0" w:header="0"/>
        </w:sectPr>
      </w:pPr>
    </w:p>
    <w:bookmarkStart w:id="363" w:name="page364"/>
    <w:bookmarkEnd w:id="363"/>
    <w:p>
      <w:pPr>
        <w:jc w:val="both"/>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shall be construed so that the participations are at all times maintained in “registered form” within the meaning of Sections 163(f), 871(h)(2) and 881(c)(2) of the Code.</w:t>
      </w:r>
    </w:p>
    <w:p>
      <w:pPr>
        <w:spacing w:after="0" w:line="80" w:lineRule="exact"/>
        <w:rPr>
          <w:sz w:val="20"/>
          <w:szCs w:val="20"/>
          <w:color w:val="auto"/>
        </w:rPr>
      </w:pPr>
    </w:p>
    <w:p>
      <w:pPr>
        <w:ind w:firstLine="436"/>
        <w:spacing w:after="0" w:line="268" w:lineRule="auto"/>
        <w:tabs>
          <w:tab w:leader="none" w:pos="68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12.8</w:t>
      </w:r>
      <w:r>
        <w:rPr>
          <w:rFonts w:ascii="Arial" w:cs="Arial" w:eastAsia="Arial" w:hAnsi="Arial"/>
          <w:sz w:val="17"/>
          <w:szCs w:val="17"/>
          <w:color w:val="auto"/>
        </w:rPr>
        <w:t xml:space="preserve"> to the contrary, any Participant that is a Farm Credit Lender that (i) has purchased a participation in a minimum amount of $5,000,000.00 (ii) has been designated as a voting Participant (a “</w:t>
      </w:r>
      <w:r>
        <w:rPr>
          <w:rFonts w:ascii="Arial" w:cs="Arial" w:eastAsia="Arial" w:hAnsi="Arial"/>
          <w:sz w:val="17"/>
          <w:szCs w:val="17"/>
          <w:u w:val="single" w:color="auto"/>
          <w:color w:val="auto"/>
        </w:rPr>
        <w:t>Voting Participant</w:t>
      </w:r>
      <w:r>
        <w:rPr>
          <w:rFonts w:ascii="Arial" w:cs="Arial" w:eastAsia="Arial" w:hAnsi="Arial"/>
          <w:sz w:val="17"/>
          <w:szCs w:val="17"/>
          <w:color w:val="auto"/>
        </w:rPr>
        <w:t>”) in a notice (a “</w:t>
      </w:r>
      <w:r>
        <w:rPr>
          <w:rFonts w:ascii="Arial" w:cs="Arial" w:eastAsia="Arial" w:hAnsi="Arial"/>
          <w:sz w:val="17"/>
          <w:szCs w:val="17"/>
          <w:u w:val="single" w:color="auto"/>
          <w:color w:val="auto"/>
        </w:rPr>
        <w:t>Voting Participant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sent by the relevant Lender (including any existing Voting Participant) to the Administrative Agent and (iii) receives, prior to becoming a Voting Participant, the consent of the Administrative Agent (such consent to be required only to the extent and under the circumstances it would be required if such Voting Participant were to become a Lender pursuant to an assignment in accordance with this </w:t>
      </w:r>
      <w:r>
        <w:rPr>
          <w:rFonts w:ascii="Arial" w:cs="Arial" w:eastAsia="Arial" w:hAnsi="Arial"/>
          <w:sz w:val="17"/>
          <w:szCs w:val="17"/>
          <w:u w:val="single" w:color="auto"/>
          <w:color w:val="auto"/>
        </w:rPr>
        <w:t>Section 12.8</w:t>
      </w:r>
      <w:r>
        <w:rPr>
          <w:rFonts w:ascii="Arial" w:cs="Arial" w:eastAsia="Arial" w:hAnsi="Arial"/>
          <w:sz w:val="17"/>
          <w:szCs w:val="17"/>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w:t>
      </w:r>
      <w:r>
        <w:rPr>
          <w:rFonts w:ascii="Arial" w:cs="Arial" w:eastAsia="Arial" w:hAnsi="Arial"/>
          <w:sz w:val="17"/>
          <w:szCs w:val="17"/>
          <w:color w:val="FF0000"/>
          <w:strike w:val="1"/>
        </w:rPr>
        <w:t>Notwithstanding the foregoing, each Farm Credit Lender designated as a Voting</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Participant in </w:t>
      </w:r>
      <w:r>
        <w:rPr>
          <w:rFonts w:ascii="Arial" w:cs="Arial" w:eastAsia="Arial" w:hAnsi="Arial"/>
          <w:sz w:val="17"/>
          <w:szCs w:val="17"/>
          <w:u w:val="single" w:color="auto"/>
          <w:color w:val="FF0000"/>
          <w:strike w:val="1"/>
        </w:rPr>
        <w:t>Schedule 12.8(c)</w:t>
      </w:r>
      <w:r>
        <w:rPr>
          <w:rFonts w:ascii="Arial" w:cs="Arial" w:eastAsia="Arial" w:hAnsi="Arial"/>
          <w:sz w:val="17"/>
          <w:szCs w:val="17"/>
          <w:color w:val="FF0000"/>
          <w:strike w:val="1"/>
        </w:rPr>
        <w:t xml:space="preserve"> shall be a Voting Participant without delivery of a Voting Participant Notice and </w:t>
      </w:r>
      <w:r>
        <w:rPr>
          <w:rFonts w:ascii="Arial" w:cs="Arial" w:eastAsia="Arial" w:hAnsi="Arial"/>
          <w:sz w:val="17"/>
          <w:szCs w:val="17"/>
          <w:color w:val="008000"/>
          <w:strike w:val="1"/>
        </w:rPr>
        <w:t>without the prior written consent of the</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Administrative Agent. The </w:t>
      </w:r>
      <w:r>
        <w:rPr>
          <w:rFonts w:ascii="Arial" w:cs="Arial" w:eastAsia="Arial" w:hAnsi="Arial"/>
          <w:sz w:val="17"/>
          <w:szCs w:val="17"/>
          <w:u w:val="single" w:color="auto"/>
          <w:color w:val="0000FF"/>
          <w:strike w:val="1"/>
        </w:rPr>
        <w:t>The</w:t>
      </w:r>
      <w:r>
        <w:rPr>
          <w:rFonts w:ascii="Arial" w:cs="Arial" w:eastAsia="Arial" w:hAnsi="Arial"/>
          <w:sz w:val="17"/>
          <w:szCs w:val="17"/>
          <w:color w:val="008000"/>
          <w:strike w:val="1"/>
        </w:rPr>
        <w:t xml:space="preserve"> </w:t>
      </w:r>
      <w:r>
        <w:rPr>
          <w:rFonts w:ascii="Arial" w:cs="Arial" w:eastAsia="Arial" w:hAnsi="Arial"/>
          <w:sz w:val="17"/>
          <w:szCs w:val="17"/>
          <w:color w:val="000000"/>
          <w:strike w:val="1"/>
        </w:rPr>
        <w:t>selling Lender (including any existing Voting Participant) and the purchasing Voting Participant shall notify the</w:t>
      </w:r>
      <w:r>
        <w:rPr>
          <w:rFonts w:ascii="Arial" w:cs="Arial" w:eastAsia="Arial" w:hAnsi="Arial"/>
          <w:sz w:val="17"/>
          <w:szCs w:val="17"/>
          <w:color w:val="008000"/>
          <w:strike w:val="1"/>
        </w:rPr>
        <w:t xml:space="preserve"> </w:t>
      </w:r>
      <w:r>
        <w:rPr>
          <w:rFonts w:ascii="Arial" w:cs="Arial" w:eastAsia="Arial" w:hAnsi="Arial"/>
          <w:sz w:val="17"/>
          <w:szCs w:val="17"/>
          <w:color w:val="000000"/>
          <w:strike w:val="1"/>
        </w:rPr>
        <w:t>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73" w:lineRule="exact"/>
        <w:rPr>
          <w:rFonts w:ascii="Arial" w:cs="Arial" w:eastAsia="Arial" w:hAnsi="Arial"/>
          <w:sz w:val="17"/>
          <w:szCs w:val="17"/>
          <w:color w:val="auto"/>
        </w:rPr>
      </w:pPr>
    </w:p>
    <w:p>
      <w:pPr>
        <w:ind w:firstLine="436"/>
        <w:spacing w:after="0" w:line="268" w:lineRule="auto"/>
        <w:tabs>
          <w:tab w:leader="none" w:pos="69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Lender may at any time assign to one or more Eligible Assignees, including an Affiliate thereof (each an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all or any part of its Credit Exposure pursuant to an Assignment and Assumption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 respect to such Facility), and (ii) shall require the prior written consent of an Administrative Agent (not to be unreasonably withheld)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no Event of Default </w:t>
      </w:r>
      <w:r>
        <w:rPr>
          <w:rFonts w:ascii="Arial" w:cs="Arial" w:eastAsia="Arial" w:hAnsi="Arial"/>
          <w:sz w:val="17"/>
          <w:szCs w:val="17"/>
          <w:u w:val="single" w:color="auto"/>
          <w:color w:val="0000FF"/>
        </w:rPr>
        <w:t>pursuant to Sections 10.1(a) and (i)</w:t>
      </w:r>
      <w:r>
        <w:rPr>
          <w:rFonts w:ascii="Arial" w:cs="Arial" w:eastAsia="Arial" w:hAnsi="Arial"/>
          <w:sz w:val="17"/>
          <w:szCs w:val="17"/>
          <w:color w:val="auto"/>
        </w:rPr>
        <w:t xml:space="preserve"> then exists and is continuing, the applicable Borrower (the consent of such Borrower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fee shall be payable upon assignments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-2677795</wp:posOffset>
            </wp:positionV>
            <wp:extent cx="17145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-1100455</wp:posOffset>
            </wp:positionV>
            <wp:extent cx="161163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00"/>
          </w:cols>
          <w:pgMar w:left="440" w:top="274" w:right="459" w:bottom="1440" w:gutter="0" w:footer="0" w:header="0"/>
        </w:sectPr>
      </w:pPr>
    </w:p>
    <w:bookmarkStart w:id="364" w:name="page365"/>
    <w:bookmarkEnd w:id="36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 have if it were a Lender hereunder and the holder of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 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Arial" w:cs="Arial" w:eastAsia="Arial" w:hAnsi="Arial"/>
          <w:sz w:val="16"/>
          <w:szCs w:val="16"/>
          <w:u w:val="single" w:color="auto"/>
          <w:color w:val="auto"/>
        </w:rPr>
        <w:t>Section 12.8(d)</w:t>
      </w:r>
      <w:r>
        <w:rPr>
          <w:rFonts w:ascii="Arial" w:cs="Arial" w:eastAsia="Arial" w:hAnsi="Arial"/>
          <w:sz w:val="16"/>
          <w:szCs w:val="16"/>
          <w:color w:val="auto"/>
        </w:rPr>
        <w:t xml:space="preserve"> to a Person which is not already a Lender hereunder, the respective Assignee shall provide to the applicable and Administrative Agents the appropriate forms, certificates and information as provided in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if applicable. Each Assignee shall take such Credit Exposure subject to the provisions of this Agreement and to any request made, waiver or consent given or other action taken hereunder, prior to the receipt by Administrative Agents and the applicable Borrower of written notice of such transfer, by each previous holder of such Credit Exposure. Such Assignment and Assumption Agreement shall be deemed to amend this Agreement and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69" w:lineRule="exact"/>
        <w:rPr>
          <w:sz w:val="20"/>
          <w:szCs w:val="20"/>
          <w:color w:val="auto"/>
        </w:rPr>
      </w:pPr>
    </w:p>
    <w:p>
      <w:pPr>
        <w:ind w:right="80" w:firstLine="436"/>
        <w:spacing w:after="0" w:line="277" w:lineRule="auto"/>
        <w:tabs>
          <w:tab w:leader="none" w:pos="68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such assignment will be made to any Defaulting Lender or any of its Subsidiaries, or any Person who, upon becoming a Lender hereunder, would constitute any of the foregoing Persons described in this clause.</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000"/>
          </w:cols>
          <w:pgMar w:left="440" w:top="274" w:right="459" w:bottom="1440" w:gutter="0" w:footer="0" w:header="0"/>
        </w:sectPr>
      </w:pPr>
    </w:p>
    <w:bookmarkStart w:id="365" w:name="page366"/>
    <w:bookmarkEnd w:id="365"/>
    <w:p>
      <w:pPr>
        <w:ind w:left="-20" w:right="180" w:firstLine="436"/>
        <w:spacing w:after="0" w:line="273" w:lineRule="auto"/>
        <w:tabs>
          <w:tab w:leader="none" w:pos="645" w:val="left"/>
        </w:tabs>
        <w:numPr>
          <w:ilvl w:val="0"/>
          <w:numId w:val="3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Holdings and each Borrower authorize each Lender to disclose to any Participant or Assignee (each, a “</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and any prospective Transferee any and all financial information in such Lender’s possession concerning Crown Holdings, such Borrower and any of their Subsidiaries which 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or prospective Transferee agrees to treat any such information which is not public as confidential in accordance with the terms of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hereof.</w:t>
      </w:r>
    </w:p>
    <w:p>
      <w:pPr>
        <w:spacing w:after="0" w:line="69" w:lineRule="exact"/>
        <w:rPr>
          <w:rFonts w:ascii="Arial" w:cs="Arial" w:eastAsia="Arial" w:hAnsi="Arial"/>
          <w:sz w:val="17"/>
          <w:szCs w:val="17"/>
          <w:color w:val="auto"/>
        </w:rPr>
      </w:pPr>
    </w:p>
    <w:p>
      <w:pPr>
        <w:ind w:left="-20" w:right="100" w:firstLine="436"/>
        <w:spacing w:after="0" w:line="291" w:lineRule="auto"/>
        <w:tabs>
          <w:tab w:leader="none" w:pos="67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Lender with a Multicurrency Revolving Commitment hereby represents that it is a professional market party (</w:t>
      </w:r>
      <w:r>
        <w:rPr>
          <w:rFonts w:ascii="Arial" w:cs="Arial" w:eastAsia="Arial" w:hAnsi="Arial"/>
          <w:sz w:val="16"/>
          <w:szCs w:val="16"/>
          <w:i w:val="1"/>
          <w:iCs w:val="1"/>
          <w:color w:val="auto"/>
        </w:rPr>
        <w:t>professionele marktpartij</w:t>
      </w:r>
      <w:r>
        <w:rPr>
          <w:rFonts w:ascii="Arial" w:cs="Arial" w:eastAsia="Arial" w:hAnsi="Arial"/>
          <w:sz w:val="16"/>
          <w:szCs w:val="16"/>
          <w:color w:val="auto"/>
        </w:rPr>
        <w:t>) within the meaning of the Dutch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 xml:space="preserve">) at the Incremental Amendment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Amendment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 the Transferee shall confirm in the relevant assignment or transfer agreement to each such Borrower that it is a professional market party (</w:t>
      </w:r>
      <w:r>
        <w:rPr>
          <w:rFonts w:ascii="Arial" w:cs="Arial" w:eastAsia="Arial" w:hAnsi="Arial"/>
          <w:sz w:val="16"/>
          <w:szCs w:val="16"/>
          <w:i w:val="1"/>
          <w:iCs w:val="1"/>
          <w:color w:val="auto"/>
        </w:rPr>
        <w:t>professionele marktpartij</w:t>
      </w:r>
      <w:r>
        <w:rPr>
          <w:rFonts w:ascii="Arial" w:cs="Arial" w:eastAsia="Arial" w:hAnsi="Arial"/>
          <w:sz w:val="16"/>
          <w:szCs w:val="16"/>
          <w:color w:val="auto"/>
        </w:rPr>
        <w:t>) within the meaning of the Dutch Financial Supervisions Act.</w:t>
      </w:r>
    </w:p>
    <w:p>
      <w:pPr>
        <w:spacing w:after="0" w:line="58" w:lineRule="exact"/>
        <w:rPr>
          <w:rFonts w:ascii="Arial" w:cs="Arial" w:eastAsia="Arial" w:hAnsi="Arial"/>
          <w:sz w:val="16"/>
          <w:szCs w:val="16"/>
          <w:color w:val="auto"/>
        </w:rPr>
      </w:pPr>
    </w:p>
    <w:p>
      <w:pPr>
        <w:ind w:left="-20" w:right="80" w:firstLine="436"/>
        <w:spacing w:after="0" w:line="254" w:lineRule="auto"/>
        <w:tabs>
          <w:tab w:leader="none" w:pos="6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under this </w:t>
      </w:r>
      <w:r>
        <w:rPr>
          <w:rFonts w:ascii="Arial" w:cs="Arial" w:eastAsia="Arial" w:hAnsi="Arial"/>
          <w:sz w:val="18"/>
          <w:szCs w:val="18"/>
          <w:u w:val="single" w:color="auto"/>
          <w:color w:val="auto"/>
        </w:rPr>
        <w:t>Section 12.8(h)</w:t>
      </w:r>
      <w:r>
        <w:rPr>
          <w:rFonts w:ascii="Arial" w:cs="Arial" w:eastAsia="Arial" w:hAnsi="Arial"/>
          <w:sz w:val="18"/>
          <w:szCs w:val="18"/>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5890895</wp:posOffset>
            </wp:positionH>
            <wp:positionV relativeFrom="paragraph">
              <wp:posOffset>-1849120</wp:posOffset>
            </wp:positionV>
            <wp:extent cx="6032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6422390</wp:posOffset>
            </wp:positionH>
            <wp:positionV relativeFrom="paragraph">
              <wp:posOffset>-1849120</wp:posOffset>
            </wp:positionV>
            <wp:extent cx="22288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CONSENT TO JURISDICTION; MUTUAL WAIVER OF JURY TRIAL; SERVICE OF PROCESS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70" w:lineRule="auto"/>
        <w:tabs>
          <w:tab w:leader="none" w:pos="66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LEGAL ACTION OR PROCEEDING WITH RESPECT TO THIS AGREEMENT OR ANY OTHER LOAN DOCUMENT MAY BE BROUGHT IN THE COURTS OF THE STATE OF NEW YORK SITTING IN NEW YORK, NEW YORK OR COURTS OF THE UNITED STATES FOR THE SOUTHERN DISTRICT OF NEW YORK,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ORIGINAL CLOSING DATE AT 111 EIGHTH AVENUE, NEW YORK, NEW YORK 10011 AS ITS DESIGNEE, APPOINTEE AND ADMINISTRATIVE AGENT TO RECEIVE, ACCEPT AND ACKNOWLEDGE FOR AND ON ITS BEHALF, AND IN RESPECT OF ITS PROPERTY, SERVICE OF ANY AND ALL LEGAL PROCESS, SUMMONS, NOTICES AND DOCUMENTS WHICH MAY BE SERVED IN ANY SUCH ACTION OR PROCEEDING. IF 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0960"/>
          </w:cols>
          <w:pgMar w:left="460" w:top="274" w:right="479" w:bottom="1440" w:gutter="0" w:footer="0" w:header="0"/>
        </w:sectPr>
      </w:pPr>
    </w:p>
    <w:bookmarkStart w:id="366" w:name="page367"/>
    <w:bookmarkEnd w:id="36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REASON SUCH DESIGNEE, APPOINTEE AND ADMINISTRATIVE AGENT SHALL CEASE TO BE AVAILABLE TO ACT AS SUCH, EACH CREDIT PARTY AGREES TO DESIGNATE A NEW DESIGNEE, APPOINTEE AND ADMINISTRATIVE AGENT IN NEW YORK CITY ON THE 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77" w:lineRule="exact"/>
        <w:rPr>
          <w:sz w:val="20"/>
          <w:szCs w:val="20"/>
          <w:color w:val="auto"/>
        </w:rPr>
      </w:pPr>
    </w:p>
    <w:p>
      <w:pPr>
        <w:ind w:firstLine="436"/>
        <w:spacing w:after="0" w:line="257"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79" w:lineRule="exact"/>
        <w:rPr>
          <w:rFonts w:ascii="Arial" w:cs="Arial" w:eastAsia="Arial" w:hAnsi="Arial"/>
          <w:sz w:val="18"/>
          <w:szCs w:val="18"/>
          <w:color w:val="auto"/>
        </w:rPr>
      </w:pPr>
    </w:p>
    <w:p>
      <w:pPr>
        <w:ind w:right="320" w:firstLine="436"/>
        <w:spacing w:after="0" w:line="259" w:lineRule="auto"/>
        <w:tabs>
          <w:tab w:leader="none" w:pos="68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OF THE PARTIES TO THIS AGREEMENT HEREBY IRREVOCABLY WAIVES ANY RIGHT IT MAY HAVE TO TRIAL BY JURY IN ANY COURT OR JURISDICTION, INCLUDING WITHOUT LIMITATION THOSE REFERRED TO IN CLAUSE (A) ABOVE, IN RESPECT OF ANY MATTER ARISING OUT OF OR RELATING TO THIS AGREEMENT AND THE OTHER LOAN DOCUMENTS OR THE TRANSACTIONS CONTEMPLATED HEREBY OR THEREBY.</w:t>
      </w:r>
    </w:p>
    <w:p>
      <w:pPr>
        <w:spacing w:after="0" w:line="78"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AGREEMENT AND EACH NOTE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78"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EACH PARTY TO THIS AGREEMENT IRREVOCABLY CONSENTS TO SERVICE OF PROCESS IN THE MANNER PROVIDED FOR NOTICES IN </w:t>
      </w:r>
      <w:r>
        <w:rPr>
          <w:rFonts w:ascii="Arial" w:cs="Arial" w:eastAsia="Arial" w:hAnsi="Arial"/>
          <w:sz w:val="17"/>
          <w:szCs w:val="17"/>
          <w:u w:val="single" w:color="auto"/>
          <w:color w:val="auto"/>
        </w:rPr>
        <w:t>SECTION 12.3</w:t>
      </w:r>
      <w:r>
        <w:rPr>
          <w:rFonts w:ascii="Arial" w:cs="Arial" w:eastAsia="Arial" w:hAnsi="Arial"/>
          <w:sz w:val="17"/>
          <w:szCs w:val="17"/>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63" w:lineRule="exact"/>
        <w:rPr>
          <w:rFonts w:ascii="Arial" w:cs="Arial" w:eastAsia="Arial" w:hAnsi="Arial"/>
          <w:sz w:val="17"/>
          <w:szCs w:val="17"/>
          <w:color w:val="auto"/>
        </w:rPr>
      </w:pPr>
    </w:p>
    <w:p>
      <w:pPr>
        <w:ind w:right="120" w:firstLine="436"/>
        <w:spacing w:after="0" w:line="255" w:lineRule="auto"/>
        <w:tabs>
          <w:tab w:leader="none" w:pos="6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BY THE EXECUTION AND DELIVERY OF THIS AGREEMENT, EUROPEAN BORROWER AND EACH SUBSIDIARY BORROWER ACKNOWLEDGES THAT IT HAS BY SEPARATE WRITTEN INSTRUMENT, DESIGNATED AND APPOINTED CROWN HOLDINGS, INC., ONE CROWN WAY, PHILADELPHIA, PA 19154, ATTN: SENIOR VICE PRESIDENT—FINANCE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00"/>
          </w:cols>
          <w:pgMar w:left="440" w:top="274" w:right="459" w:bottom="1440" w:gutter="0" w:footer="0" w:header="0"/>
        </w:sectPr>
      </w:pPr>
    </w:p>
    <w:bookmarkStart w:id="367" w:name="page368"/>
    <w:bookmarkEnd w:id="367"/>
    <w:p>
      <w:pPr>
        <w:ind w:left="700" w:hanging="264"/>
        <w:spacing w:after="0"/>
        <w:tabs>
          <w:tab w:leader="none" w:pos="7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EUROPEAN BORROWER AND EACH SUBSIDIARY BORROWER, TO THE EXTENT THAT IT HAS OR HEREAFTER MAY</w:t>
      </w:r>
    </w:p>
    <w:p>
      <w:pPr>
        <w:spacing w:after="0" w:line="23"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89" w:lineRule="exact"/>
        <w:rPr>
          <w:rFonts w:ascii="Arial" w:cs="Arial" w:eastAsia="Arial" w:hAnsi="Arial"/>
          <w:sz w:val="18"/>
          <w:szCs w:val="18"/>
          <w:color w:val="auto"/>
        </w:rPr>
      </w:pPr>
    </w:p>
    <w:p>
      <w:pPr>
        <w:ind w:right="360" w:firstLine="436"/>
        <w:spacing w:after="0" w:line="263" w:lineRule="auto"/>
        <w:tabs>
          <w:tab w:leader="none" w:pos="69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EUROPEAN BORROWER AND CROWN DEVELOPPEMENT EACH, ON BEHALF OF ITSELF AND THEIR RESPECTIVE SUBSIDIARIES, HEREBY WAIVE THE BENEFIT OF THE PROVISIONS OF ARTICLE </w:t>
      </w:r>
      <w:r>
        <w:rPr>
          <w:rFonts w:ascii="Arial" w:cs="Arial" w:eastAsia="Arial" w:hAnsi="Arial"/>
          <w:sz w:val="18"/>
          <w:szCs w:val="18"/>
          <w:color w:val="FF0000"/>
          <w:strike w:val="1"/>
        </w:rPr>
        <w:t>XIV</w:t>
      </w:r>
      <w:r>
        <w:rPr>
          <w:rFonts w:ascii="Arial" w:cs="Arial" w:eastAsia="Arial" w:hAnsi="Arial"/>
          <w:sz w:val="18"/>
          <w:szCs w:val="18"/>
          <w:u w:val="single" w:color="auto"/>
          <w:color w:val="0000FF"/>
        </w:rPr>
        <w:t>14 AND ARTICLE 15</w:t>
      </w:r>
      <w:r>
        <w:rPr>
          <w:rFonts w:ascii="Arial" w:cs="Arial" w:eastAsia="Arial" w:hAnsi="Arial"/>
          <w:sz w:val="18"/>
          <w:szCs w:val="18"/>
          <w:color w:val="auto"/>
        </w:rPr>
        <w:t xml:space="preserve"> OF THE FRENCH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-139700</wp:posOffset>
            </wp:positionV>
            <wp:extent cx="10369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56"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Transfers of Notes</w:t>
      </w:r>
      <w:r>
        <w:rPr>
          <w:rFonts w:ascii="Arial" w:cs="Arial" w:eastAsia="Arial" w:hAnsi="Arial"/>
          <w:sz w:val="17"/>
          <w:szCs w:val="17"/>
          <w:color w:val="auto"/>
        </w:rPr>
        <w:t>.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Registry</w:t>
      </w:r>
      <w:r>
        <w:rPr>
          <w:rFonts w:ascii="Arial" w:cs="Arial" w:eastAsia="Arial" w:hAnsi="Arial"/>
          <w:sz w:val="16"/>
          <w:szCs w:val="16"/>
          <w:color w:val="auto"/>
        </w:rPr>
        <w:t xml:space="preserve">. Borrowers hereby designate Administrative Agent to serve as Borrowers’ agent, solely for purposes of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to maintain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Agents with respect to ownership of such Commitment and Loans and prior to such recordation all amounts owing to the transferor with respect to such Commitments and Loans shall remain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0980"/>
          </w:cols>
          <w:pgMar w:left="440" w:top="274" w:right="479" w:bottom="1440" w:gutter="0" w:footer="0" w:header="0"/>
        </w:sectPr>
      </w:pPr>
    </w:p>
    <w:bookmarkStart w:id="368" w:name="page369"/>
    <w:bookmarkEnd w:id="368"/>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owing to the transferor. The registration of assignment or transfer of all or part of any Commitment and Loans shall be recorded by Administrative Agents on the Register only upon the acceptance by such Administrative Agents of a properly executed and delivered Assignment and Assumption Agreement pursuant to </w:t>
      </w:r>
      <w:r>
        <w:rPr>
          <w:rFonts w:ascii="Arial" w:cs="Arial" w:eastAsia="Arial" w:hAnsi="Arial"/>
          <w:sz w:val="17"/>
          <w:szCs w:val="17"/>
          <w:u w:val="single" w:color="auto"/>
          <w:color w:val="auto"/>
        </w:rPr>
        <w:t>Section 12.8</w:t>
      </w:r>
      <w:r>
        <w:rPr>
          <w:rFonts w:ascii="Arial" w:cs="Arial" w:eastAsia="Arial" w:hAnsi="Arial"/>
          <w:sz w:val="17"/>
          <w:szCs w:val="17"/>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73"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USA PATRIOT Act and Beneficial Ownership Certificate Notice</w:t>
      </w:r>
      <w:r>
        <w:rPr>
          <w:rFonts w:ascii="Arial" w:cs="Arial" w:eastAsia="Arial" w:hAnsi="Arial"/>
          <w:sz w:val="17"/>
          <w:szCs w:val="17"/>
          <w:color w:val="auto"/>
        </w:rPr>
        <w:t>. Each Lender and the Administrative Agent (for itself and not on behalf of any Lender) hereby notifies Crown Holdings and each Borrower that pursuant to the requirements of the Patriot Act and the Beneficial Ownership Regulation, it is required to obtain, verify and record information that identifies Crown Holdings and each Borrower, which information includes the name and address of Crown Holdings and each Borrower, a Beneficial Ownership Certification (if any Borrower qualifies as a “legal entity customer” under the Beneficial Ownership Regulation) and other information that will allow such Lender or the Administrative Agent, as applicable, to identify Crown Holdings and each Borrower in accordance with the Patriot Act and the Beneficial Ownership Regulation.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and the Beneficial Ownership Regulation.</w:t>
      </w:r>
    </w:p>
    <w:p>
      <w:pPr>
        <w:spacing w:after="0" w:line="73"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Headings</w:t>
      </w:r>
      <w:r>
        <w:rPr>
          <w:rFonts w:ascii="Arial" w:cs="Arial" w:eastAsia="Arial" w:hAnsi="Arial"/>
          <w:sz w:val="18"/>
          <w:szCs w:val="18"/>
          <w:color w:val="auto"/>
        </w:rPr>
        <w:t>. The Table of Contents and Article and Section headings used in this Agreement are for convenience of reference only and shall not affect the construction of this Agreement.</w:t>
      </w:r>
    </w:p>
    <w:p>
      <w:pPr>
        <w:spacing w:after="0" w:line="62"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xml:space="preserve">.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 shall be continuing and shall survive any termination of this Agreement or any other Loan Document.</w:t>
      </w:r>
    </w:p>
    <w:p>
      <w:pPr>
        <w:spacing w:after="0" w:line="69"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the Agents, the Lenders, the Sustainability </w:t>
      </w:r>
      <w:r>
        <w:rPr>
          <w:rFonts w:ascii="Arial" w:cs="Arial" w:eastAsia="Arial" w:hAnsi="Arial"/>
          <w:sz w:val="16"/>
          <w:szCs w:val="16"/>
          <w:color w:val="FF0000"/>
          <w:strike w:val="1"/>
        </w:rPr>
        <w:t>Coordinator</w:t>
      </w:r>
      <w:r>
        <w:rPr>
          <w:rFonts w:ascii="Arial" w:cs="Arial" w:eastAsia="Arial" w:hAnsi="Arial"/>
          <w:sz w:val="16"/>
          <w:szCs w:val="16"/>
          <w:u w:val="single" w:color="auto"/>
          <w:color w:val="0000FF"/>
        </w:rPr>
        <w:t>Coordinators</w:t>
      </w:r>
      <w:r>
        <w:rPr>
          <w:rFonts w:ascii="Arial" w:cs="Arial" w:eastAsia="Arial" w:hAnsi="Arial"/>
          <w:sz w:val="16"/>
          <w:szCs w:val="16"/>
          <w:color w:val="auto"/>
        </w:rPr>
        <w:t xml:space="preserve">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 disclosure is made will be informed of the confidential nature of such information and instructed to keep such information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-538480</wp:posOffset>
            </wp:positionV>
            <wp:extent cx="600075"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4" w:right="220" w:hanging="4"/>
        <w:spacing w:after="0" w:line="260" w:lineRule="auto"/>
        <w:tabs>
          <w:tab w:leader="none" w:pos="25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extent requested by any governmental or regulatory authority purporting to have jurisdiction over it (including any self-regulatory authority, such as the National Association of Insurance Commissioners), (c) to the extent required by applicable laws or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004"/>
          </w:cols>
          <w:pgMar w:left="436" w:top="274" w:right="459" w:bottom="1440" w:gutter="0" w:footer="0" w:header="0"/>
        </w:sectPr>
      </w:pPr>
    </w:p>
    <w:bookmarkStart w:id="369" w:name="page370"/>
    <w:bookmarkEnd w:id="369"/>
    <w:p>
      <w:pPr>
        <w:ind w:left="4" w:right="2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w:t>
      </w:r>
    </w:p>
    <w:p>
      <w:pPr>
        <w:spacing w:after="0" w:line="2" w:lineRule="exact"/>
        <w:rPr>
          <w:sz w:val="20"/>
          <w:szCs w:val="20"/>
          <w:color w:val="auto"/>
        </w:rPr>
      </w:pPr>
    </w:p>
    <w:p>
      <w:pPr>
        <w:ind w:left="4" w:hanging="4"/>
        <w:spacing w:after="0" w:line="252" w:lineRule="auto"/>
        <w:tabs>
          <w:tab w:leader="none" w:pos="2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assignee of or Participant in (or any of its agents or professional advisers), or any prospective assignee of or Participant in, any of its rights and obligations under this Agreement, (ii) any actual or prospective counterparty (or its advisors) to any swap or derivative transaction relating to the Crown Holdings or any other Credit Party and its obligations or (iii) any rating agency, market data collector or direct or indirect provider of credit protection (or its brokers) to it or its Affiliates, (g) with the consent of Crown Holdings or (h) to the extent such information (x) becomes publicly available other than as a result of a breach of this Section or (y) becomes available to any Agent, any Lender or any Facing Agent or any of their respective Affiliates on a nonconfidential basis from a source other than Crown Holdings. Nothing in this provision shall imply that any party has waived any privilege that it may have with respect to advice it has received.</w:t>
      </w:r>
    </w:p>
    <w:p>
      <w:pPr>
        <w:spacing w:after="0" w:line="192" w:lineRule="exact"/>
        <w:rPr>
          <w:sz w:val="20"/>
          <w:szCs w:val="20"/>
          <w:color w:val="auto"/>
        </w:rPr>
      </w:pPr>
    </w:p>
    <w:p>
      <w:pPr>
        <w:ind w:left="4" w:right="140" w:firstLine="440"/>
        <w:spacing w:after="0" w:line="269"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Crown Holdings or any of its Subsidiaries relating to Crown Holdings or any of its Subsidiaries or any of their respective businesses in the context of this Agreement and any other Loan Document,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 </w:t>
      </w:r>
      <w:r>
        <w:rPr>
          <w:rFonts w:ascii="Arial" w:cs="Arial" w:eastAsia="Arial" w:hAnsi="Arial"/>
          <w:sz w:val="17"/>
          <w:szCs w:val="17"/>
          <w:u w:val="single" w:color="auto"/>
          <w:color w:val="0000FF"/>
        </w:rPr>
        <w:t>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Directive 2011/16/EU.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672909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532245"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389191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Concerning the Collateral and the Loan Documents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70" w:lineRule="auto"/>
        <w:tabs>
          <w:tab w:leader="none" w:pos="689"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Each Lender and each other Secured Creditor hereby irrevocably (for itself and its assignees, Participants and successors) authorizes Administrative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each U.S. Security Document on behalf of and for the benefit of that Lender or other Secured Creditor and its assignees, Participants and successors, and agrees to be bound by the terms of the Receivables Intercreditor Agreements and each U.S. Security Document. Each Lender and each other Secured Creditor agrees irrevocably (for itself and its assignees, Participants and successors) that it and its assignees, Participants and successors shall not have any right 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72" w:lineRule="exact"/>
        <w:rPr>
          <w:rFonts w:ascii="Arial" w:cs="Arial" w:eastAsia="Arial" w:hAnsi="Arial"/>
          <w:sz w:val="17"/>
          <w:szCs w:val="17"/>
          <w:color w:val="auto"/>
        </w:rPr>
      </w:pPr>
    </w:p>
    <w:p>
      <w:pPr>
        <w:ind w:left="4" w:right="60" w:firstLine="436"/>
        <w:spacing w:after="0" w:line="259" w:lineRule="auto"/>
        <w:tabs>
          <w:tab w:leader="none" w:pos="69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Canadian Revolving Lender, Multicurrency Revolving Lender and each Term Lender with Loans outstanding to European Borrower (for itself and its assignees, Participants and successors) hereby authorizes irrevocably U.K. Administrative Agent and Euro Collateral Agent to enter into the Receivables Intercreditor Agreements and any amendments thereto (including, if applicable, additional Receivables Intercreditor Agreements in connection with a Permitted Receivables or Factoring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004"/>
          </w:cols>
          <w:pgMar w:left="436" w:top="274" w:right="459" w:bottom="1440" w:gutter="0" w:footer="0" w:header="0"/>
        </w:sectPr>
      </w:pPr>
    </w:p>
    <w:bookmarkStart w:id="370" w:name="page371"/>
    <w:bookmarkEnd w:id="370"/>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Financing and any amendments thereto) and any amendments thereto and the Euro Security Documents on behalf of and for the benefit of that Lender and its assignees, Participants and successors, and agrees to be bound by the terms of the Receivables Intercreditor Agreements and the Euro Security Documents. Each Lender agrees that U.K. Administrative Agent, Canadian Administrative Agent and Euro Collateral Agent shall not enter into or consent to any amendment, modification, termination or waiver of any provision contained in the Euro Security Documents without the prior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58" w:lineRule="exact"/>
        <w:rPr>
          <w:sz w:val="20"/>
          <w:szCs w:val="20"/>
          <w:color w:val="auto"/>
        </w:rPr>
      </w:pPr>
    </w:p>
    <w:p>
      <w:pPr>
        <w:ind w:left="4" w:right="60" w:firstLine="436"/>
        <w:spacing w:after="0" w:line="259" w:lineRule="auto"/>
        <w:tabs>
          <w:tab w:leader="none" w:pos="6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firstLine="436"/>
        <w:spacing w:after="0" w:line="283" w:lineRule="auto"/>
        <w:tabs>
          <w:tab w:leader="none" w:pos="689"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Each Lender and each other Secured Creditor agrees that any action taken by Administrative Agents or the Required Lenders (or, where required by the express terms, hereof, a different proportion of the Lenders) in accordance with the provisions hereof or of the other Loan Documents, and the exercise by any Agent,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 for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Administrative Agent hereby appoints, authorizes and directs each Lender and each other Secured Creditor to act as collateral sub-agent for Administrative Agent and the Lenders for purposes of the perfection of all security interests and Liens with respect to Crown Holdings’ and its Subsidiaries’ respective deposit accounts maintained with, and Cash and Cash Equivalents held by, such Lender and each other Secured Creditor;</w:t>
      </w:r>
    </w:p>
    <w:p>
      <w:pPr>
        <w:spacing w:after="0" w:line="2" w:lineRule="exact"/>
        <w:rPr>
          <w:rFonts w:ascii="Arial" w:cs="Arial" w:eastAsia="Arial" w:hAnsi="Arial"/>
          <w:sz w:val="16"/>
          <w:szCs w:val="16"/>
          <w:color w:val="auto"/>
        </w:rPr>
      </w:pPr>
    </w:p>
    <w:p>
      <w:pPr>
        <w:jc w:val="both"/>
        <w:ind w:left="4" w:right="60" w:hanging="4"/>
        <w:spacing w:after="0" w:line="273" w:lineRule="auto"/>
        <w:tabs>
          <w:tab w:leader="none" w:pos="30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Creditor with respect to the Collateral under the Loan Documents relating thereto, applicable law or otherwise.</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0964"/>
          </w:cols>
          <w:pgMar w:left="436" w:top="274" w:right="499" w:bottom="1440" w:gutter="0" w:footer="0" w:header="0"/>
        </w:sectPr>
      </w:pPr>
    </w:p>
    <w:bookmarkStart w:id="371" w:name="page372"/>
    <w:bookmarkEnd w:id="371"/>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12.18 </w:t>
      </w:r>
      <w:r>
        <w:rPr>
          <w:rFonts w:ascii="Arial" w:cs="Arial" w:eastAsia="Arial" w:hAnsi="Arial"/>
          <w:sz w:val="18"/>
          <w:szCs w:val="18"/>
          <w:u w:val="single" w:color="auto"/>
          <w:color w:val="auto"/>
        </w:rPr>
        <w:t>U.K. Administrative Agent and Euro Collateral Agent as Joint Creditors</w:t>
      </w:r>
      <w:r>
        <w:rPr>
          <w:rFonts w:ascii="Arial" w:cs="Arial" w:eastAsia="Arial" w:hAnsi="Arial"/>
          <w:sz w:val="18"/>
          <w:szCs w:val="18"/>
          <w:color w:val="auto"/>
        </w:rPr>
        <w:t>. Each of the Credit Parties and each Lender and Agent agree that each of U.K. Administrative Agent and Euro Collateral Agent shall be:</w:t>
      </w:r>
    </w:p>
    <w:p>
      <w:pPr>
        <w:spacing w:after="0" w:line="62" w:lineRule="exact"/>
        <w:rPr>
          <w:sz w:val="20"/>
          <w:szCs w:val="20"/>
          <w:color w:val="auto"/>
        </w:rPr>
      </w:pPr>
    </w:p>
    <w:p>
      <w:pPr>
        <w:ind w:left="440" w:right="460" w:firstLine="952"/>
        <w:spacing w:after="0" w:line="342" w:lineRule="auto"/>
        <w:rPr>
          <w:sz w:val="20"/>
          <w:szCs w:val="20"/>
          <w:color w:val="auto"/>
        </w:rPr>
      </w:pPr>
      <w:r>
        <w:rPr>
          <w:rFonts w:ascii="Arial" w:cs="Arial" w:eastAsia="Arial" w:hAnsi="Arial"/>
          <w:sz w:val="16"/>
          <w:szCs w:val="16"/>
          <w:color w:val="auto"/>
        </w:rPr>
        <w:t>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16" w:lineRule="exact"/>
        <w:rPr>
          <w:sz w:val="20"/>
          <w:szCs w:val="20"/>
          <w:color w:val="auto"/>
        </w:rPr>
      </w:pPr>
    </w:p>
    <w:p>
      <w:pPr>
        <w:jc w:val="both"/>
        <w:ind w:left="440" w:firstLine="952"/>
        <w:spacing w:after="0" w:line="259" w:lineRule="auto"/>
        <w:rPr>
          <w:sz w:val="20"/>
          <w:szCs w:val="20"/>
          <w:color w:val="auto"/>
        </w:rPr>
      </w:pPr>
      <w:r>
        <w:rPr>
          <w:rFonts w:ascii="Arial" w:cs="Arial" w:eastAsia="Arial" w:hAnsi="Arial"/>
          <w:sz w:val="18"/>
          <w:szCs w:val="18"/>
          <w:color w:val="auto"/>
        </w:rPr>
        <w:t>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79" w:lineRule="exact"/>
        <w:rPr>
          <w:sz w:val="20"/>
          <w:szCs w:val="20"/>
          <w:color w:val="auto"/>
        </w:rPr>
      </w:pPr>
    </w:p>
    <w:p>
      <w:pPr>
        <w:ind w:left="440" w:right="300" w:firstLine="952"/>
        <w:spacing w:after="0" w:line="277" w:lineRule="auto"/>
        <w:rPr>
          <w:sz w:val="20"/>
          <w:szCs w:val="20"/>
          <w:color w:val="auto"/>
        </w:rPr>
      </w:pPr>
      <w:r>
        <w:rPr>
          <w:rFonts w:ascii="Arial" w:cs="Arial" w:eastAsia="Arial" w:hAnsi="Arial"/>
          <w:sz w:val="18"/>
          <w:szCs w:val="18"/>
          <w:color w:val="auto"/>
        </w:rPr>
        <w:t>a joint creditor (together with the relevant Lender or Agent) of each and every obligation under the Loan Documents to the extent such obligations are incurred by European Borrower, Canadian Borrower or another Non-U.S. Subsidiary;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u w:val="single" w:color="auto"/>
          <w:color w:val="auto"/>
        </w:rPr>
        <w:t>Dutch Parallel Debt</w:t>
      </w:r>
      <w:r>
        <w:rPr>
          <w:rFonts w:ascii="Arial" w:cs="Arial" w:eastAsia="Arial" w:hAnsi="Arial"/>
          <w:sz w:val="18"/>
          <w:szCs w:val="18"/>
          <w:color w:val="auto"/>
        </w:rPr>
        <w:t xml:space="preserve">. Solely for purposes of this </w:t>
      </w:r>
      <w:r>
        <w:rPr>
          <w:rFonts w:ascii="Arial" w:cs="Arial" w:eastAsia="Arial" w:hAnsi="Arial"/>
          <w:sz w:val="18"/>
          <w:szCs w:val="18"/>
          <w:u w:val="single" w:color="auto"/>
          <w:color w:val="auto"/>
        </w:rPr>
        <w:t>Section 12.19</w:t>
      </w:r>
      <w:r>
        <w:rPr>
          <w:rFonts w:ascii="Arial" w:cs="Arial" w:eastAsia="Arial" w:hAnsi="Arial"/>
          <w:sz w:val="18"/>
          <w:szCs w:val="18"/>
          <w:color w:val="auto"/>
        </w:rPr>
        <w:t>:</w:t>
      </w:r>
    </w:p>
    <w:p>
      <w:pPr>
        <w:spacing w:after="0" w:line="221"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Parallel Debt</w:t>
      </w:r>
      <w:r>
        <w:rPr>
          <w:rFonts w:ascii="Arial" w:cs="Arial" w:eastAsia="Arial" w:hAnsi="Arial"/>
          <w:sz w:val="18"/>
          <w:szCs w:val="18"/>
          <w:color w:val="auto"/>
        </w:rPr>
        <w:t>” means, in relation to an Underlying Debt, an obligation to pay to the Euro Collateral Agent an amount equal to (and in the same currency as) the amount of that Underlying Debt.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the European Borrower, the Canadian Borrower, any Subsidiary Borrower or a Non-U.S. Subsidiary.</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Debt</w:t>
      </w:r>
      <w:r>
        <w:rPr>
          <w:rFonts w:ascii="Arial" w:cs="Arial" w:eastAsia="Arial" w:hAnsi="Arial"/>
          <w:sz w:val="18"/>
          <w:szCs w:val="18"/>
          <w:color w:val="auto"/>
        </w:rPr>
        <w:t xml:space="preserve">” means, in relation to a Obligor, and at any given time, each obligation (whether present or future, actual or contingent) owing by any Obligor to a relevant Lender or Agent under </w:t>
      </w:r>
      <w:r>
        <w:rPr>
          <w:rFonts w:ascii="Arial" w:cs="Arial" w:eastAsia="Arial" w:hAnsi="Arial"/>
          <w:sz w:val="18"/>
          <w:szCs w:val="18"/>
          <w:u w:val="single" w:color="auto"/>
          <w:color w:val="auto"/>
        </w:rPr>
        <w:t>Section 12.18</w:t>
      </w:r>
      <w:r>
        <w:rPr>
          <w:rFonts w:ascii="Arial" w:cs="Arial" w:eastAsia="Arial" w:hAnsi="Arial"/>
          <w:sz w:val="18"/>
          <w:szCs w:val="18"/>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Obligor’s Dutch Parallel Debts.</w:t>
      </w:r>
    </w:p>
    <w:p>
      <w:pPr>
        <w:spacing w:after="0" w:line="76" w:lineRule="exact"/>
        <w:rPr>
          <w:sz w:val="20"/>
          <w:szCs w:val="20"/>
          <w:color w:val="auto"/>
        </w:rPr>
      </w:pPr>
    </w:p>
    <w:p>
      <w:pPr>
        <w:ind w:right="180" w:firstLine="436"/>
        <w:spacing w:after="0" w:line="263" w:lineRule="auto"/>
        <w:tabs>
          <w:tab w:leader="none" w:pos="68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75"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Dutch Parallel Debt is a separate and independent obligation and shall not constitute the Euro Collateral Agent and any Lender as joint creditors of any Underlying Debt.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No Obligor may pay any Dutch Parallel Debt other than at the instruction of, and in the manner determined by, the Euro Collateral Agent.</w:t>
      </w:r>
    </w:p>
    <w:p>
      <w:pPr>
        <w:spacing w:after="0" w:line="128" w:lineRule="exact"/>
        <w:rPr>
          <w:rFonts w:ascii="Arial" w:cs="Arial" w:eastAsia="Arial" w:hAnsi="Arial"/>
          <w:sz w:val="17"/>
          <w:szCs w:val="17"/>
          <w:color w:val="auto"/>
        </w:rPr>
      </w:pPr>
    </w:p>
    <w:p>
      <w:pPr>
        <w:ind w:right="160" w:firstLine="436"/>
        <w:spacing w:after="0" w:line="277" w:lineRule="auto"/>
        <w:tabs>
          <w:tab w:leader="none" w:pos="69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Section 12.19(c)</w:t>
      </w:r>
      <w:r>
        <w:rPr>
          <w:rFonts w:ascii="Arial" w:cs="Arial" w:eastAsia="Arial" w:hAnsi="Arial"/>
          <w:sz w:val="18"/>
          <w:szCs w:val="18"/>
          <w:color w:val="auto"/>
        </w:rPr>
        <w:t>, no Obligor shall be obliged to pay any Dutch Parallel Debt before the corresponding Underlying Debt has fallen due.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000"/>
          </w:cols>
          <w:pgMar w:left="440" w:top="274" w:right="459" w:bottom="1440" w:gutter="0" w:footer="0" w:header="0"/>
        </w:sectPr>
      </w:pPr>
    </w:p>
    <w:bookmarkStart w:id="372" w:name="page373"/>
    <w:bookmarkEnd w:id="372"/>
    <w:p>
      <w:pPr>
        <w:ind w:right="420" w:firstLine="436"/>
        <w:spacing w:after="0" w:line="308" w:lineRule="auto"/>
        <w:tabs>
          <w:tab w:leader="none" w:pos="685" w:val="left"/>
        </w:tabs>
        <w:numPr>
          <w:ilvl w:val="0"/>
          <w:numId w:val="3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made, or amount recovered, in respect of an Obligor’s Dutch Parallel Debts shall reduce the Underlying Debts owed to any Lender by the amount which that Lender is entitled to receive out of that payment or recovery under the Loan Documents.</w:t>
      </w:r>
    </w:p>
    <w:p>
      <w:pPr>
        <w:spacing w:after="0" w:line="38" w:lineRule="exact"/>
        <w:rPr>
          <w:rFonts w:ascii="Arial" w:cs="Arial" w:eastAsia="Arial" w:hAnsi="Arial"/>
          <w:sz w:val="17"/>
          <w:szCs w:val="17"/>
          <w:color w:val="auto"/>
        </w:rPr>
      </w:pPr>
    </w:p>
    <w:p>
      <w:pPr>
        <w:ind w:firstLine="436"/>
        <w:spacing w:after="0" w:line="286" w:lineRule="auto"/>
        <w:tabs>
          <w:tab w:leader="none" w:pos="66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57" w:lineRule="exact"/>
        <w:rPr>
          <w:rFonts w:ascii="Arial" w:cs="Arial" w:eastAsia="Arial" w:hAnsi="Arial"/>
          <w:sz w:val="17"/>
          <w:szCs w:val="17"/>
          <w:color w:val="auto"/>
        </w:rPr>
      </w:pPr>
    </w:p>
    <w:p>
      <w:pPr>
        <w:ind w:right="140" w:firstLine="436"/>
        <w:spacing w:after="0" w:line="259"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79" w:lineRule="exact"/>
        <w:rPr>
          <w:sz w:val="20"/>
          <w:szCs w:val="20"/>
          <w:color w:val="auto"/>
        </w:rPr>
      </w:pPr>
    </w:p>
    <w:p>
      <w:pPr>
        <w:jc w:val="both"/>
        <w:ind w:right="240" w:firstLine="440"/>
        <w:spacing w:after="0" w:line="301" w:lineRule="auto"/>
        <w:rPr>
          <w:sz w:val="20"/>
          <w:szCs w:val="20"/>
          <w:color w:val="auto"/>
        </w:rPr>
      </w:pPr>
      <w:r>
        <w:rPr>
          <w:rFonts w:ascii="Arial" w:cs="Arial" w:eastAsia="Arial" w:hAnsi="Arial"/>
          <w:sz w:val="16"/>
          <w:szCs w:val="16"/>
          <w:color w:val="auto"/>
        </w:rPr>
        <w:t xml:space="preserve">12.20 </w:t>
      </w:r>
      <w:r>
        <w:rPr>
          <w:rFonts w:ascii="Arial" w:cs="Arial" w:eastAsia="Arial" w:hAnsi="Arial"/>
          <w:sz w:val="16"/>
          <w:szCs w:val="16"/>
          <w:u w:val="single" w:color="auto"/>
          <w:color w:val="auto"/>
        </w:rPr>
        <w:t>Acknowledgement and Consent to Bail-In of</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EEA</w:t>
      </w:r>
      <w:r>
        <w:rPr>
          <w:rFonts w:ascii="Arial" w:cs="Arial" w:eastAsia="Arial" w:hAnsi="Arial"/>
          <w:sz w:val="16"/>
          <w:szCs w:val="16"/>
          <w:u w:val="single" w:color="auto"/>
          <w:color w:val="0000FF"/>
        </w:rPr>
        <w:t>Affected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Institutions</w:t>
      </w:r>
      <w:r>
        <w:rPr>
          <w:rFonts w:ascii="Arial" w:cs="Arial" w:eastAsia="Arial" w:hAnsi="Arial"/>
          <w:sz w:val="16"/>
          <w:szCs w:val="16"/>
          <w:color w:val="auto"/>
        </w:rPr>
        <w:t xml:space="preserve">. Notwithstanding anything to the contrary in any Loan Document or in any other agreement, arrangement or understanding among any such parties, each party hereto acknowledges that any liability of any </w:t>
      </w:r>
      <w:r>
        <w:rPr>
          <w:rFonts w:ascii="Arial" w:cs="Arial" w:eastAsia="Arial" w:hAnsi="Arial"/>
          <w:sz w:val="16"/>
          <w:szCs w:val="16"/>
          <w:color w:val="FF0000"/>
          <w:strike w:val="1"/>
        </w:rPr>
        <w:t>EEA</w:t>
      </w:r>
      <w:r>
        <w:rPr>
          <w:rFonts w:ascii="Arial" w:cs="Arial" w:eastAsia="Arial" w:hAnsi="Arial"/>
          <w:sz w:val="16"/>
          <w:szCs w:val="16"/>
          <w:u w:val="single" w:color="auto"/>
          <w:color w:val="0000FF"/>
        </w:rPr>
        <w:t>Affected</w:t>
      </w:r>
      <w:r>
        <w:rPr>
          <w:rFonts w:ascii="Arial" w:cs="Arial" w:eastAsia="Arial" w:hAnsi="Arial"/>
          <w:sz w:val="16"/>
          <w:szCs w:val="16"/>
          <w:color w:val="FF0000"/>
        </w:rPr>
        <w:t xml:space="preserve"> </w:t>
      </w:r>
      <w:r>
        <w:rPr>
          <w:rFonts w:ascii="Arial" w:cs="Arial" w:eastAsia="Arial" w:hAnsi="Arial"/>
          <w:sz w:val="16"/>
          <w:szCs w:val="16"/>
          <w:color w:val="000000"/>
        </w:rPr>
        <w:t>Financial Institution arising under any Loan Document, to the extent such liability is unsecured, may be subject to the write-down and</w:t>
      </w:r>
      <w:r>
        <w:rPr>
          <w:rFonts w:ascii="Arial" w:cs="Arial" w:eastAsia="Arial" w:hAnsi="Arial"/>
          <w:sz w:val="16"/>
          <w:szCs w:val="16"/>
          <w:color w:val="FF0000"/>
        </w:rPr>
        <w:t xml:space="preserve"> </w:t>
      </w:r>
      <w:r>
        <w:rPr>
          <w:rFonts w:ascii="Arial" w:cs="Arial" w:eastAsia="Arial" w:hAnsi="Arial"/>
          <w:sz w:val="16"/>
          <w:szCs w:val="16"/>
          <w:color w:val="000000"/>
        </w:rPr>
        <w:t xml:space="preserve">conversion powers of </w:t>
      </w:r>
      <w:r>
        <w:rPr>
          <w:rFonts w:ascii="Arial" w:cs="Arial" w:eastAsia="Arial" w:hAnsi="Arial"/>
          <w:sz w:val="16"/>
          <w:szCs w:val="16"/>
          <w:color w:val="FF0000"/>
          <w:strike w:val="1"/>
        </w:rPr>
        <w:t>an EEA</w:t>
      </w:r>
      <w:r>
        <w:rPr>
          <w:rFonts w:ascii="Arial" w:cs="Arial" w:eastAsia="Arial" w:hAnsi="Arial"/>
          <w:sz w:val="16"/>
          <w:szCs w:val="16"/>
          <w:u w:val="single" w:color="auto"/>
          <w:color w:val="0000FF"/>
        </w:rPr>
        <w:t>the applicable</w:t>
      </w:r>
      <w:r>
        <w:rPr>
          <w:rFonts w:ascii="Arial" w:cs="Arial" w:eastAsia="Arial" w:hAnsi="Arial"/>
          <w:sz w:val="16"/>
          <w:szCs w:val="16"/>
          <w:color w:val="000000"/>
        </w:rPr>
        <w:t xml:space="preserv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-156210</wp:posOffset>
            </wp:positionV>
            <wp:extent cx="39433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-19050</wp:posOffset>
            </wp:positionV>
            <wp:extent cx="63436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9" w:lineRule="exact"/>
        <w:rPr>
          <w:sz w:val="20"/>
          <w:szCs w:val="20"/>
          <w:color w:val="auto"/>
        </w:rPr>
      </w:pPr>
    </w:p>
    <w:p>
      <w:pPr>
        <w:ind w:right="520" w:firstLine="436"/>
        <w:spacing w:after="0" w:line="277" w:lineRule="auto"/>
        <w:tabs>
          <w:tab w:leader="none" w:pos="685" w:val="left"/>
        </w:tabs>
        <w:numPr>
          <w:ilvl w:val="0"/>
          <w:numId w:val="327"/>
        </w:numPr>
        <w:rPr>
          <w:rFonts w:ascii="Arial" w:cs="Arial" w:eastAsia="Arial" w:hAnsi="Arial"/>
          <w:sz w:val="18"/>
          <w:szCs w:val="18"/>
          <w:u w:val="single" w:color="auto"/>
          <w:color w:val="0000FF"/>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party hereto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and</w:t>
      </w:r>
    </w:p>
    <w:p>
      <w:pPr>
        <w:spacing w:after="0" w:line="62"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327"/>
        </w:numPr>
        <w:rPr>
          <w:rFonts w:ascii="Arial" w:cs="Arial" w:eastAsia="Arial" w:hAnsi="Arial"/>
          <w:sz w:val="18"/>
          <w:szCs w:val="18"/>
          <w:u w:val="single" w:color="auto"/>
          <w:color w:val="0000FF"/>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u w:val="single" w:color="auto"/>
          <w:color w:val="0000FF"/>
        </w:rPr>
      </w:pPr>
    </w:p>
    <w:p>
      <w:pPr>
        <w:ind w:left="1080" w:hanging="221"/>
        <w:spacing w:after="0"/>
        <w:tabs>
          <w:tab w:leader="none" w:pos="1080" w:val="left"/>
        </w:tabs>
        <w:numPr>
          <w:ilvl w:val="1"/>
          <w:numId w:val="327"/>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a reduction in full or in part or cancellation of any such liability;</w:t>
      </w:r>
    </w:p>
    <w:p>
      <w:pPr>
        <w:spacing w:after="0" w:line="117" w:lineRule="exact"/>
        <w:rPr>
          <w:rFonts w:ascii="Arial" w:cs="Arial" w:eastAsia="Arial" w:hAnsi="Arial"/>
          <w:sz w:val="18"/>
          <w:szCs w:val="18"/>
          <w:u w:val="single" w:color="auto"/>
          <w:color w:val="0000FF"/>
        </w:rPr>
      </w:pPr>
    </w:p>
    <w:p>
      <w:pPr>
        <w:ind w:left="440" w:right="360" w:firstLine="419"/>
        <w:spacing w:after="0" w:line="259" w:lineRule="auto"/>
        <w:tabs>
          <w:tab w:leader="none" w:pos="1128" w:val="left"/>
        </w:tabs>
        <w:numPr>
          <w:ilvl w:val="1"/>
          <w:numId w:val="327"/>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a conversion of all, or a portion of, such liability into shares or other instruments of ownership in such</w:t>
      </w:r>
      <w:r>
        <w:rPr>
          <w:rFonts w:ascii="Arial" w:cs="Arial" w:eastAsia="Arial" w:hAnsi="Arial"/>
          <w:sz w:val="18"/>
          <w:szCs w:val="18"/>
          <w:color w:val="FF0000"/>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FF0000"/>
        </w:rPr>
        <w:t xml:space="preserve"> </w:t>
      </w:r>
      <w:r>
        <w:rPr>
          <w:rFonts w:ascii="Arial" w:cs="Arial" w:eastAsia="Arial" w:hAnsi="Arial"/>
          <w:sz w:val="18"/>
          <w:szCs w:val="18"/>
          <w:color w:val="000000"/>
        </w:rPr>
        <w:t>Financial</w:t>
      </w:r>
      <w:r>
        <w:rPr>
          <w:rFonts w:ascii="Arial" w:cs="Arial" w:eastAsia="Arial" w:hAnsi="Arial"/>
          <w:sz w:val="18"/>
          <w:szCs w:val="18"/>
          <w:color w:val="FF0000"/>
        </w:rPr>
        <w:t xml:space="preserve"> </w:t>
      </w:r>
      <w:r>
        <w:rPr>
          <w:rFonts w:ascii="Arial" w:cs="Arial" w:eastAsia="Arial" w:hAnsi="Arial"/>
          <w:sz w:val="18"/>
          <w:szCs w:val="18"/>
          <w:color w:val="000000"/>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u w:val="single" w:color="auto"/>
          <w:color w:val="0000FF"/>
        </w:rPr>
      </w:pPr>
    </w:p>
    <w:p>
      <w:pPr>
        <w:ind w:left="440" w:right="80" w:firstLine="419"/>
        <w:spacing w:after="0" w:line="277" w:lineRule="auto"/>
        <w:tabs>
          <w:tab w:leader="none" w:pos="1178" w:val="left"/>
        </w:tabs>
        <w:numPr>
          <w:ilvl w:val="1"/>
          <w:numId w:val="327"/>
        </w:numPr>
        <w:rPr>
          <w:rFonts w:ascii="Arial" w:cs="Arial" w:eastAsia="Arial" w:hAnsi="Arial"/>
          <w:sz w:val="18"/>
          <w:szCs w:val="18"/>
          <w:u w:val="single" w:color="auto"/>
          <w:color w:val="0000FF"/>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the variation of the terms of such liability in connection with the exercise of the write-down and conversion powers of</w:t>
      </w:r>
      <w:r>
        <w:rPr>
          <w:rFonts w:ascii="Arial" w:cs="Arial" w:eastAsia="Arial" w:hAnsi="Arial"/>
          <w:sz w:val="18"/>
          <w:szCs w:val="18"/>
          <w:color w:val="FF0000"/>
        </w:rPr>
        <w:t xml:space="preserve"> </w:t>
      </w:r>
      <w:r>
        <w:rPr>
          <w:rFonts w:ascii="Arial" w:cs="Arial" w:eastAsia="Arial" w:hAnsi="Arial"/>
          <w:sz w:val="18"/>
          <w:szCs w:val="18"/>
          <w:color w:val="FF0000"/>
          <w:strike w:val="1"/>
        </w:rPr>
        <w:t>any EEA</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-1519555</wp:posOffset>
            </wp:positionV>
            <wp:extent cx="15430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-1519555</wp:posOffset>
            </wp:positionV>
            <wp:extent cx="643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-1382395</wp:posOffset>
            </wp:positionV>
            <wp:extent cx="39433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-1176655</wp:posOffset>
            </wp:positionV>
            <wp:extent cx="15430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-970915</wp:posOffset>
            </wp:positionV>
            <wp:extent cx="13716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-765175</wp:posOffset>
            </wp:positionV>
            <wp:extent cx="17145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-765175</wp:posOffset>
            </wp:positionV>
            <wp:extent cx="39433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-147955</wp:posOffset>
            </wp:positionV>
            <wp:extent cx="17145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-147955</wp:posOffset>
            </wp:positionV>
            <wp:extent cx="13716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46291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42"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Redesignation of Unrestricted Entities as Subsidiaries</w:t>
      </w:r>
      <w:r>
        <w:rPr>
          <w:rFonts w:ascii="Arial" w:cs="Arial" w:eastAsia="Arial" w:hAnsi="Arial"/>
          <w:sz w:val="18"/>
          <w:szCs w:val="18"/>
          <w:color w:val="auto"/>
        </w:rPr>
        <w:t xml:space="preserve">. Any Unrestricted Entity that would be a Subsidiary but for the last sentence of the definition of “Subsidiary” may be redesignated by Crown Holdings as a Subsidiary (with such redesignation being deemed to be an Acquisition by Crown Holdings of such Subsidiary which shall be deemed to constitute a Permitted Acquisition for purposes of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0980"/>
          </w:cols>
          <w:pgMar w:left="440" w:top="274" w:right="479" w:bottom="1440" w:gutter="0" w:footer="0" w:header="0"/>
        </w:sectPr>
      </w:pPr>
    </w:p>
    <w:bookmarkStart w:id="373" w:name="page374"/>
    <w:bookmarkEnd w:id="373"/>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Default exists or will exist (including, without limitation, the permissibility of any Investment, Indebtedness, Liens or other obligations existing at such Subsidiaries), (iii) Crown Holdings has complied, to the extent applicable, with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 (vi) on the desired effective date of such redesignation, Crown Holdings shall deliver a certificate from a Responsible Officer confirming clauses (ii) through</w:t>
      </w:r>
    </w:p>
    <w:p>
      <w:pPr>
        <w:spacing w:after="0" w:line="1" w:lineRule="exact"/>
        <w:rPr>
          <w:sz w:val="20"/>
          <w:szCs w:val="20"/>
          <w:color w:val="auto"/>
        </w:rPr>
      </w:pPr>
    </w:p>
    <w:p>
      <w:pPr>
        <w:ind w:left="4" w:right="340" w:hanging="4"/>
        <w:spacing w:after="0" w:line="277" w:lineRule="auto"/>
        <w:tabs>
          <w:tab w:leader="none" w:pos="25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6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No Fiduciary Responsibility</w:t>
      </w:r>
      <w:r>
        <w:rPr>
          <w:rFonts w:ascii="Arial" w:cs="Arial" w:eastAsia="Arial" w:hAnsi="Arial"/>
          <w:sz w:val="18"/>
          <w:szCs w:val="18"/>
          <w:color w:val="auto"/>
        </w:rPr>
        <w:t>.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80" w:lineRule="exact"/>
        <w:rPr>
          <w:sz w:val="20"/>
          <w:szCs w:val="20"/>
          <w:color w:val="auto"/>
        </w:rPr>
      </w:pPr>
    </w:p>
    <w:p>
      <w:pPr>
        <w:ind w:left="4" w:right="120" w:firstLine="440"/>
        <w:spacing w:after="0" w:line="268"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Joint and Several Liability</w:t>
      </w:r>
      <w:r>
        <w:rPr>
          <w:rFonts w:ascii="Arial" w:cs="Arial" w:eastAsia="Arial" w:hAnsi="Arial"/>
          <w:sz w:val="17"/>
          <w:szCs w:val="17"/>
          <w:color w:val="auto"/>
        </w:rPr>
        <w:t xml:space="preserve">. (a) 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Arial" w:cs="Arial" w:eastAsia="Arial" w:hAnsi="Arial"/>
          <w:sz w:val="17"/>
          <w:szCs w:val="17"/>
          <w:u w:val="single" w:color="auto"/>
          <w:color w:val="auto"/>
        </w:rPr>
        <w:t>Section 12.23</w:t>
      </w:r>
      <w:r>
        <w:rPr>
          <w:rFonts w:ascii="Arial" w:cs="Arial" w:eastAsia="Arial" w:hAnsi="Arial"/>
          <w:sz w:val="17"/>
          <w:szCs w:val="17"/>
          <w:color w:val="auto"/>
        </w:rPr>
        <w:t xml:space="preserve">, in bankruptcy or in any other instance, in each case of the foregoing clauses (i) through (iii), other than a defense of payment or performance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U.S. Borrower hereby waives any suit for breach of a contractual provision of any of the Loan Documents.</w:t>
      </w:r>
    </w:p>
    <w:p>
      <w:pPr>
        <w:spacing w:after="0" w:line="78" w:lineRule="exact"/>
        <w:rPr>
          <w:sz w:val="20"/>
          <w:szCs w:val="20"/>
          <w:color w:val="auto"/>
        </w:rPr>
      </w:pPr>
    </w:p>
    <w:p>
      <w:pPr>
        <w:ind w:left="4" w:right="120" w:firstLine="436"/>
        <w:spacing w:after="0" w:line="296" w:lineRule="auto"/>
        <w:tabs>
          <w:tab w:leader="none" w:pos="69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0964"/>
          </w:cols>
          <w:pgMar w:left="436" w:top="274" w:right="499" w:bottom="1440" w:gutter="0" w:footer="0" w:header="0"/>
        </w:sectPr>
      </w:pPr>
    </w:p>
    <w:bookmarkStart w:id="374" w:name="page375"/>
    <w:bookmarkEnd w:id="37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benefit of the applicable Lenders and shall immediately be paid to the Administrative Agent for the benefit of the applicable Lenders and credited and applied against the obligations of the applicable U.S. Borrower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84"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 xml:space="preserve">12.24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Hedging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2" w:lineRule="exact"/>
        <w:rPr>
          <w:sz w:val="20"/>
          <w:szCs w:val="20"/>
          <w:color w:val="auto"/>
        </w:rPr>
      </w:pPr>
    </w:p>
    <w:p>
      <w:pPr>
        <w:ind w:left="700" w:hanging="264"/>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12.24</w:t>
      </w:r>
      <w:r>
        <w:rPr>
          <w:rFonts w:ascii="Arial" w:cs="Arial" w:eastAsia="Arial" w:hAnsi="Arial"/>
          <w:sz w:val="18"/>
          <w:szCs w:val="18"/>
          <w:color w:val="auto"/>
        </w:rPr>
        <w:t>, the following terms have the following meanings:</w:t>
      </w:r>
    </w:p>
    <w:p>
      <w:pPr>
        <w:spacing w:after="0" w:line="117" w:lineRule="exact"/>
        <w:rPr>
          <w:rFonts w:ascii="Arial" w:cs="Arial" w:eastAsia="Arial" w:hAnsi="Arial"/>
          <w:sz w:val="18"/>
          <w:szCs w:val="18"/>
          <w:color w:val="auto"/>
        </w:rPr>
      </w:pPr>
    </w:p>
    <w:p>
      <w:pPr>
        <w:ind w:left="440" w:right="640" w:firstLine="419"/>
        <w:spacing w:after="0" w:line="277" w:lineRule="auto"/>
        <w:tabs>
          <w:tab w:leader="none" w:pos="107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62" w:lineRule="exact"/>
        <w:rPr>
          <w:rFonts w:ascii="Arial" w:cs="Arial" w:eastAsia="Arial" w:hAnsi="Arial"/>
          <w:sz w:val="18"/>
          <w:szCs w:val="18"/>
          <w:color w:val="auto"/>
        </w:rPr>
      </w:pPr>
    </w:p>
    <w:p>
      <w:pPr>
        <w:jc w:val="both"/>
        <w:ind w:left="440" w:right="320" w:firstLine="419"/>
        <w:spacing w:after="0" w:line="263" w:lineRule="auto"/>
        <w:tabs>
          <w:tab w:leader="none" w:pos="112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5" w:lineRule="exact"/>
        <w:rPr>
          <w:rFonts w:ascii="Arial" w:cs="Arial" w:eastAsia="Arial" w:hAnsi="Arial"/>
          <w:sz w:val="18"/>
          <w:szCs w:val="18"/>
          <w:color w:val="auto"/>
        </w:rPr>
      </w:pPr>
    </w:p>
    <w:p>
      <w:pPr>
        <w:ind w:left="440" w:right="420" w:firstLine="419"/>
        <w:spacing w:after="0" w:line="277" w:lineRule="auto"/>
        <w:tabs>
          <w:tab w:leader="none" w:pos="117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8" w:lineRule="exact"/>
        <w:rPr>
          <w:rFonts w:ascii="Arial" w:cs="Arial" w:eastAsia="Arial" w:hAnsi="Arial"/>
          <w:sz w:val="18"/>
          <w:szCs w:val="18"/>
          <w:color w:val="auto"/>
        </w:rPr>
      </w:pPr>
    </w:p>
    <w:p>
      <w:pPr>
        <w:ind w:left="440" w:right="300" w:firstLine="419"/>
        <w:spacing w:after="0" w:line="282" w:lineRule="auto"/>
        <w:tabs>
          <w:tab w:leader="none" w:pos="1168"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r>
        <w:rPr>
          <w:rFonts w:ascii="Arial" w:cs="Arial" w:eastAsia="Arial" w:hAnsi="Arial"/>
          <w:sz w:val="18"/>
          <w:szCs w:val="18"/>
          <w:b w:val="1"/>
          <w:bCs w:val="1"/>
          <w:color w:val="auto"/>
        </w:rPr>
        <w:t xml:space="preserve"> </w:t>
      </w:r>
      <w:r>
        <w:rPr>
          <w:rFonts w:ascii="Arial" w:cs="Arial" w:eastAsia="Arial" w:hAnsi="Arial"/>
          <w:sz w:val="18"/>
          <w:szCs w:val="18"/>
          <w:color w:val="auto"/>
        </w:rPr>
        <w:t>5390(c)(8)(D).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00"/>
          </w:cols>
          <w:pgMar w:left="440" w:top="274" w:right="459" w:bottom="1440" w:gutter="0" w:footer="0" w:header="0"/>
        </w:sectPr>
      </w:pPr>
    </w:p>
    <w:bookmarkStart w:id="375" w:name="page376"/>
    <w:bookmarkEnd w:id="3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12.25 </w:t>
      </w:r>
      <w:r>
        <w:rPr>
          <w:rFonts w:ascii="Arial" w:cs="Arial" w:eastAsia="Arial" w:hAnsi="Arial"/>
          <w:sz w:val="18"/>
          <w:szCs w:val="18"/>
          <w:u w:val="single" w:color="auto"/>
          <w:color w:val="auto"/>
        </w:rPr>
        <w:t>Certain ERISA Matters.</w:t>
      </w:r>
    </w:p>
    <w:p>
      <w:pPr>
        <w:spacing w:after="0" w:line="117" w:lineRule="exact"/>
        <w:rPr>
          <w:sz w:val="20"/>
          <w:szCs w:val="20"/>
          <w:color w:val="auto"/>
        </w:rPr>
      </w:pPr>
    </w:p>
    <w:p>
      <w:pPr>
        <w:ind w:left="4" w:firstLine="436"/>
        <w:spacing w:after="0" w:line="286" w:lineRule="auto"/>
        <w:tabs>
          <w:tab w:leader="none" w:pos="689" w:val="left"/>
        </w:tabs>
        <w:numPr>
          <w:ilvl w:val="1"/>
          <w:numId w:val="331"/>
        </w:numPr>
        <w:rPr>
          <w:rFonts w:ascii="Arial" w:cs="Arial" w:eastAsia="Arial" w:hAnsi="Arial"/>
          <w:sz w:val="17"/>
          <w:szCs w:val="17"/>
          <w:color w:val="auto"/>
        </w:rPr>
      </w:pPr>
      <w:r>
        <w:rPr>
          <w:rFonts w:ascii="Arial" w:cs="Arial" w:eastAsia="Arial" w:hAnsi="Arial"/>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57" w:lineRule="exact"/>
        <w:rPr>
          <w:rFonts w:ascii="Arial" w:cs="Arial" w:eastAsia="Arial" w:hAnsi="Arial"/>
          <w:sz w:val="17"/>
          <w:szCs w:val="17"/>
          <w:color w:val="auto"/>
        </w:rPr>
      </w:pPr>
    </w:p>
    <w:p>
      <w:pPr>
        <w:ind w:left="444" w:firstLine="419"/>
        <w:spacing w:after="0" w:line="263" w:lineRule="auto"/>
        <w:tabs>
          <w:tab w:leader="none" w:pos="1082" w:val="left"/>
        </w:tabs>
        <w:numPr>
          <w:ilvl w:val="2"/>
          <w:numId w:val="33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4" w:right="120" w:firstLine="419"/>
        <w:spacing w:after="0" w:line="273" w:lineRule="auto"/>
        <w:tabs>
          <w:tab w:leader="none" w:pos="1132" w:val="left"/>
        </w:tabs>
        <w:numPr>
          <w:ilvl w:val="2"/>
          <w:numId w:val="33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4" w:right="100" w:firstLine="419"/>
        <w:spacing w:after="0" w:line="254" w:lineRule="auto"/>
        <w:tabs>
          <w:tab w:leader="none" w:pos="1182" w:val="left"/>
        </w:tabs>
        <w:numPr>
          <w:ilvl w:val="2"/>
          <w:numId w:val="33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1164" w:hanging="301"/>
        <w:spacing w:after="0"/>
        <w:tabs>
          <w:tab w:leader="none" w:pos="1164" w:val="left"/>
        </w:tabs>
        <w:numPr>
          <w:ilvl w:val="2"/>
          <w:numId w:val="331"/>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Agents, in their sole discretion, and such</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102" w:lineRule="exact"/>
        <w:rPr>
          <w:rFonts w:ascii="Arial" w:cs="Arial" w:eastAsia="Arial" w:hAnsi="Arial"/>
          <w:sz w:val="16"/>
          <w:szCs w:val="16"/>
          <w:color w:val="auto"/>
        </w:rPr>
      </w:pPr>
    </w:p>
    <w:p>
      <w:pPr>
        <w:ind w:left="4" w:firstLine="436"/>
        <w:spacing w:after="0" w:line="291" w:lineRule="auto"/>
        <w:tabs>
          <w:tab w:leader="none" w:pos="69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004"/>
          </w:cols>
          <w:pgMar w:left="436" w:top="274" w:right="45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COLLECTION ACTION MECHANISM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extent permitted by applicable law and regulation: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Implementation of CAM.</w:t>
      </w:r>
    </w:p>
    <w:p>
      <w:pPr>
        <w:spacing w:after="0" w:line="117" w:lineRule="exact"/>
        <w:rPr>
          <w:sz w:val="20"/>
          <w:szCs w:val="20"/>
          <w:color w:val="auto"/>
        </w:rPr>
      </w:pPr>
    </w:p>
    <w:p>
      <w:pPr>
        <w:ind w:right="140" w:firstLine="436"/>
        <w:spacing w:after="0" w:line="291" w:lineRule="auto"/>
        <w:tabs>
          <w:tab w:leader="none" w:pos="68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 On the CAM Exchange Date, to the extent not otherwise prohibited by a Requirement of Law or otherwise, each Multicurrency Revolving Lender shall immediately be deemed to have acquired (and shall promptly make payment therefor to Swing Line Lender in accordance with</w:t>
      </w:r>
    </w:p>
    <w:p>
      <w:pPr>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2.1(c)(iii)</w:t>
      </w:r>
      <w:r>
        <w:rPr>
          <w:rFonts w:ascii="Arial" w:cs="Arial" w:eastAsia="Arial" w:hAnsi="Arial"/>
          <w:sz w:val="16"/>
          <w:szCs w:val="16"/>
          <w:color w:val="auto"/>
        </w:rPr>
        <w:t>)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Arial" w:cs="Arial" w:eastAsia="Arial" w:hAnsi="Arial"/>
          <w:sz w:val="16"/>
          <w:szCs w:val="16"/>
          <w:u w:val="single" w:color="auto"/>
          <w:color w:val="auto"/>
        </w:rPr>
        <w:t>Loans to be Converted</w:t>
      </w:r>
      <w:r>
        <w:rPr>
          <w:rFonts w:ascii="Arial" w:cs="Arial" w:eastAsia="Arial" w:hAnsi="Arial"/>
          <w:sz w:val="16"/>
          <w:szCs w:val="16"/>
          <w:color w:val="auto"/>
        </w:rPr>
        <w:t>”) shall be converted into Dollars (calculated on the basis of the relevant Exchange Rates as of the Business Day immediately preceding the CAM Exchange Date) (“</w:t>
      </w:r>
      <w:r>
        <w:rPr>
          <w:rFonts w:ascii="Arial" w:cs="Arial" w:eastAsia="Arial" w:hAnsi="Arial"/>
          <w:sz w:val="16"/>
          <w:szCs w:val="16"/>
          <w:u w:val="single" w:color="auto"/>
          <w:color w:val="auto"/>
        </w:rPr>
        <w:t>Converted Loans</w:t>
      </w:r>
      <w:r>
        <w:rPr>
          <w:rFonts w:ascii="Arial" w:cs="Arial" w:eastAsia="Arial" w:hAnsi="Arial"/>
          <w:sz w:val="16"/>
          <w:szCs w:val="16"/>
          <w:color w:val="auto"/>
        </w:rPr>
        <w:t>”), (iii) on each date on or after the CAM Exchange Date on which any B/As or B/A Equivalent Loans shall mature such B/As or B/A Equivalent Loans (“</w:t>
      </w:r>
      <w:r>
        <w:rPr>
          <w:rFonts w:ascii="Arial" w:cs="Arial" w:eastAsia="Arial" w:hAnsi="Arial"/>
          <w:sz w:val="16"/>
          <w:szCs w:val="16"/>
          <w:u w:val="single" w:color="auto"/>
          <w:color w:val="auto"/>
        </w:rPr>
        <w:t>Acceptances to be Converted</w:t>
      </w:r>
      <w:r>
        <w:rPr>
          <w:rFonts w:ascii="Arial" w:cs="Arial" w:eastAsia="Arial" w:hAnsi="Arial"/>
          <w:sz w:val="16"/>
          <w:szCs w:val="16"/>
          <w:color w:val="auto"/>
        </w:rPr>
        <w:t>”) shall be converted into Canadian Revolving Loans denominated in Dollars (calculated on the basis of the Exchange Rate as of the Business Day immediately preceding such maturity date) (“</w:t>
      </w:r>
      <w:r>
        <w:rPr>
          <w:rFonts w:ascii="Arial" w:cs="Arial" w:eastAsia="Arial" w:hAnsi="Arial"/>
          <w:sz w:val="16"/>
          <w:szCs w:val="16"/>
          <w:u w:val="single" w:color="auto"/>
          <w:color w:val="auto"/>
        </w:rPr>
        <w:t>Converted Acceptances</w:t>
      </w:r>
      <w:r>
        <w:rPr>
          <w:rFonts w:ascii="Arial" w:cs="Arial" w:eastAsia="Arial" w:hAnsi="Arial"/>
          <w:sz w:val="16"/>
          <w:szCs w:val="16"/>
          <w:color w:val="auto"/>
        </w:rPr>
        <w:t>”), (iv) on the CAM Exchange Date (with respect to Loans described in the foregoing clause (ii)), and on the respective maturity date (with respect to B/As and B/A Equivalent Loans described in the foregoing clause (iii))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and Converted Acceptances in an amount equal to its CAM Percentage of (x) the outstanding principal amount of the Loans (including Converted Loans) and (y) the face amount of matured B/As and B/A Equivalent Loans, as applicable. All Converted Loans and Converted Acceptances (which shall have been converted into Canadian Revolving Loans denominated in Dollars) shall bear interest at the rate which would otherwise be applicable to Base 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 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278" w:lineRule="exact"/>
        <w:rPr>
          <w:rFonts w:ascii="Arial" w:cs="Arial" w:eastAsia="Arial" w:hAnsi="Arial"/>
          <w:sz w:val="16"/>
          <w:szCs w:val="16"/>
          <w:color w:val="auto"/>
        </w:rPr>
      </w:pPr>
    </w:p>
    <w:p>
      <w:pPr>
        <w:ind w:right="40" w:firstLine="436"/>
        <w:spacing w:after="0" w:line="253" w:lineRule="auto"/>
        <w:tabs>
          <w:tab w:leader="none" w:pos="6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If, for any reason, the Loans to be Converted or Acceptances to be Converted, as the case may be, may not be converted into Dollars in the manner contemplated by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 Administrative Agent shall determine the Dollar Equivalent of the Loans to be Converted or Acceptances to be Converted, as the case may be (calculated on the basis of the Exchange Rate as of the Business Day immediately preceding the date on which such conversion would otherwise occur pursuant to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and (ii) effective on such CAM Exchange Date, each Lender severally, unconditionally and irrevocably agrees that it shall purchase in Dollars a participating interest in such Loans to be Converted or Acceptances to be Converted, as the case may be, in an amount equal to its CAM Percentage of such Loans to be Converted or Acceptances to be converted, as the case may be.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00"/>
          </w:cols>
          <w:pgMar w:left="440" w:top="270" w:right="459" w:bottom="1440" w:gutter="0" w:footer="0" w:header="0"/>
        </w:sectPr>
      </w:pPr>
    </w:p>
    <w:bookmarkStart w:id="377" w:name="page378"/>
    <w:bookmarkEnd w:id="377"/>
    <w:p>
      <w:pPr>
        <w:jc w:val="both"/>
        <w:ind w:left="-20" w:right="120" w:firstLine="436"/>
        <w:spacing w:after="0" w:line="301" w:lineRule="auto"/>
        <w:tabs>
          <w:tab w:leader="none" w:pos="665" w:val="left"/>
        </w:tabs>
        <w:numPr>
          <w:ilvl w:val="0"/>
          <w:numId w:val="3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any Taxes are required to be withheld from any amounts payable by a Lender (the “</w:t>
      </w:r>
      <w:r>
        <w:rPr>
          <w:rFonts w:ascii="Arial" w:cs="Arial" w:eastAsia="Arial" w:hAnsi="Arial"/>
          <w:sz w:val="16"/>
          <w:szCs w:val="16"/>
          <w:u w:val="single" w:color="auto"/>
          <w:color w:val="auto"/>
        </w:rPr>
        <w:t>First Lender</w:t>
      </w:r>
      <w:r>
        <w:rPr>
          <w:rFonts w:ascii="Arial" w:cs="Arial" w:eastAsia="Arial" w:hAnsi="Arial"/>
          <w:sz w:val="16"/>
          <w:szCs w:val="16"/>
          <w:color w:val="auto"/>
        </w:rPr>
        <w:t>”) to another Lender (the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in connection with its participating interest in any Loan or Converted Acceptance, each Borrower, with respect to the relevant Loans made to it, shall be required to pay additional amounts to the Other Lender receiving such payments from the First Lender to the same extent they would be required under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if such Borrower were making payments with respect to the participating interest directly to the Other Lender.</w:t>
      </w:r>
    </w:p>
    <w:p>
      <w:pPr>
        <w:spacing w:after="0" w:line="49" w:lineRule="exact"/>
        <w:rPr>
          <w:rFonts w:ascii="Arial" w:cs="Arial" w:eastAsia="Arial" w:hAnsi="Arial"/>
          <w:sz w:val="16"/>
          <w:szCs w:val="16"/>
          <w:color w:val="auto"/>
        </w:rPr>
      </w:pPr>
    </w:p>
    <w:p>
      <w:pPr>
        <w:ind w:left="-20" w:right="40" w:firstLine="436"/>
        <w:spacing w:after="0" w:line="296" w:lineRule="auto"/>
        <w:tabs>
          <w:tab w:leader="none" w:pos="67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5" w:lineRule="auto"/>
        <w:tabs>
          <w:tab w:leader="none" w:pos="66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the 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Letters of Credit, each Dollar Revolving Lender with respect to Dollar Letters of Credit and each Canadian Revolving Lender with respect to each Canadian Letter of Credit shall promptly pay over to Administrative 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 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Arial" w:cs="Arial" w:eastAsia="Arial" w:hAnsi="Arial"/>
          <w:sz w:val="16"/>
          <w:szCs w:val="16"/>
          <w:u w:val="single" w:color="auto"/>
          <w:color w:val="auto"/>
        </w:rPr>
        <w:t>LC Reserve Account</w:t>
      </w:r>
      <w:r>
        <w:rPr>
          <w:rFonts w:ascii="Arial" w:cs="Arial" w:eastAsia="Arial" w:hAnsi="Arial"/>
          <w:sz w:val="16"/>
          <w:szCs w:val="16"/>
          <w:color w:val="auto"/>
        </w:rPr>
        <w:t xml:space="preserve">”) for the 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 (d) 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0980"/>
          </w:cols>
          <w:pgMar w:left="460" w:top="274" w:right="459" w:bottom="1440" w:gutter="0" w:footer="0" w:header="0"/>
        </w:sectPr>
      </w:pPr>
    </w:p>
    <w:bookmarkStart w:id="378" w:name="page379"/>
    <w:bookmarkEnd w:id="378"/>
    <w:p>
      <w:pPr>
        <w:ind w:left="4" w:right="20" w:firstLine="436"/>
        <w:spacing w:after="0" w:line="284" w:lineRule="auto"/>
        <w:tabs>
          <w:tab w:leader="none" w:pos="699" w:val="left"/>
        </w:tabs>
        <w:numPr>
          <w:ilvl w:val="1"/>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In the event any Revolving Lender shall default on its obligation to pay over any amount to Administrative Agent in respect of any Letter of Credit as provided in this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Facing Agent shall, in the event of a drawing thereunder, have a claim against such Revolving Lender to the same extent as if such Lender had defaulted on its obligations under </w:t>
      </w:r>
      <w:r>
        <w:rPr>
          <w:rFonts w:ascii="Arial" w:cs="Arial" w:eastAsia="Arial" w:hAnsi="Arial"/>
          <w:sz w:val="16"/>
          <w:szCs w:val="16"/>
          <w:u w:val="single" w:color="auto"/>
          <w:color w:val="auto"/>
        </w:rPr>
        <w:t>subsection</w:t>
      </w:r>
    </w:p>
    <w:p>
      <w:pPr>
        <w:spacing w:after="0" w:line="2" w:lineRule="exact"/>
        <w:rPr>
          <w:rFonts w:ascii="Arial" w:cs="Arial" w:eastAsia="Arial" w:hAnsi="Arial"/>
          <w:sz w:val="16"/>
          <w:szCs w:val="16"/>
          <w:color w:val="auto"/>
        </w:rPr>
      </w:pPr>
    </w:p>
    <w:p>
      <w:pPr>
        <w:ind w:left="4" w:right="60" w:hanging="4"/>
        <w:spacing w:after="0" w:line="253" w:lineRule="auto"/>
        <w:tabs>
          <w:tab w:leader="none" w:pos="229" w:val="left"/>
        </w:tabs>
        <w:numPr>
          <w:ilvl w:val="0"/>
          <w:numId w:val="337"/>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but shall have no claim against any other Lender in respect of such defaulted amount, notwithstanding the exchange of interests in Borrowers’ reimbursement obligations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Each other Lender shall have a claim against such defaulting Revolving Lender for any damages sustained by it as a result of such default, including, in the event such Letter of Credit shall expire undrawn, its CAM Percentage of the defaulted amount.</w:t>
      </w:r>
    </w:p>
    <w:p>
      <w:pPr>
        <w:spacing w:after="0" w:line="84" w:lineRule="exact"/>
        <w:rPr>
          <w:rFonts w:ascii="Arial" w:cs="Arial" w:eastAsia="Arial" w:hAnsi="Arial"/>
          <w:sz w:val="18"/>
          <w:szCs w:val="18"/>
          <w:u w:val="single" w:color="auto"/>
          <w:color w:val="auto"/>
        </w:rPr>
      </w:pPr>
    </w:p>
    <w:p>
      <w:pPr>
        <w:jc w:val="both"/>
        <w:ind w:left="4" w:right="220" w:firstLine="436"/>
        <w:spacing w:after="0" w:line="263" w:lineRule="auto"/>
        <w:tabs>
          <w:tab w:leader="none" w:pos="68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75" w:lineRule="exact"/>
        <w:rPr>
          <w:rFonts w:ascii="Arial" w:cs="Arial" w:eastAsia="Arial" w:hAnsi="Arial"/>
          <w:sz w:val="18"/>
          <w:szCs w:val="18"/>
          <w:color w:val="auto"/>
        </w:rPr>
      </w:pPr>
    </w:p>
    <w:p>
      <w:pPr>
        <w:ind w:left="4" w:right="220" w:firstLine="436"/>
        <w:spacing w:after="0" w:line="259" w:lineRule="auto"/>
        <w:tabs>
          <w:tab w:leader="none" w:pos="69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78" w:lineRule="exact"/>
        <w:rPr>
          <w:rFonts w:ascii="Arial" w:cs="Arial" w:eastAsia="Arial" w:hAnsi="Arial"/>
          <w:sz w:val="18"/>
          <w:szCs w:val="18"/>
          <w:color w:val="auto"/>
        </w:rPr>
      </w:pPr>
    </w:p>
    <w:p>
      <w:pPr>
        <w:ind w:left="4" w:right="40" w:firstLine="436"/>
        <w:spacing w:after="0" w:line="296" w:lineRule="auto"/>
        <w:tabs>
          <w:tab w:leader="none" w:pos="689" w:val="left"/>
        </w:tabs>
        <w:numPr>
          <w:ilvl w:val="1"/>
          <w:numId w:val="337"/>
        </w:numPr>
        <w:rPr>
          <w:rFonts w:ascii="Arial" w:cs="Arial" w:eastAsia="Arial" w:hAnsi="Arial"/>
          <w:sz w:val="16"/>
          <w:szCs w:val="16"/>
          <w:color w:val="auto"/>
        </w:rPr>
      </w:pPr>
      <w:r>
        <w:rPr>
          <w:rFonts w:ascii="Arial" w:cs="Arial" w:eastAsia="Arial" w:hAnsi="Arial"/>
          <w:sz w:val="16"/>
          <w:szCs w:val="16"/>
          <w:color w:val="auto"/>
        </w:rPr>
        <w:t>Pending the withdrawal by any Lender of any amounts from its LC Reserve Account as contemplated by the above paragraphs, Administrative Agent will, at the direction of such Lender and 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 at intervals reasonably specified by any Administrative Agent, to withdraw the earnings on investments so made by such Administrative Agent with amounts in its LC Reserve Account and to retain such earnings for its own account.</w:t>
      </w:r>
    </w:p>
    <w:p>
      <w:pPr>
        <w:spacing w:after="0" w:line="37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GUARANTY</w:t>
      </w:r>
    </w:p>
    <w:p>
      <w:pPr>
        <w:spacing w:after="0" w:line="21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Guarantee of Each of the Parent Guarantors.</w:t>
      </w:r>
      <w:r>
        <w:rPr>
          <w:rFonts w:ascii="Arial" w:cs="Arial" w:eastAsia="Arial" w:hAnsi="Arial"/>
          <w:sz w:val="17"/>
          <w:szCs w:val="17"/>
          <w:color w:val="auto"/>
        </w:rPr>
        <w:t xml:space="preserve">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Letters of Credit have terminated, the Obligations are paid in full and the Commitments are terminated.</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004"/>
          </w:cols>
          <w:pgMar w:left="436" w:top="274" w:right="459" w:bottom="1440" w:gutter="0" w:footer="0" w:header="0"/>
        </w:sectPr>
      </w:pPr>
    </w:p>
    <w:bookmarkStart w:id="379" w:name="page380"/>
    <w:bookmarkEnd w:id="379"/>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Parent Guarantor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 Guarantor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Guarantee of European Borrower</w:t>
      </w:r>
      <w:r>
        <w:rPr>
          <w:rFonts w:ascii="Arial" w:cs="Arial" w:eastAsia="Arial" w:hAnsi="Arial"/>
          <w:sz w:val="17"/>
          <w:szCs w:val="17"/>
          <w:color w:val="auto"/>
        </w:rPr>
        <w:t xml:space="preserve">.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 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Subsidiary Borrower Obligations and Canadian Obligations are paid in full and the Commitments are terminated.</w:t>
      </w:r>
    </w:p>
    <w:p>
      <w:pPr>
        <w:spacing w:after="0" w:line="7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it will notify such Agent or such Multicurrency Revolving Lender or Canadian Revolving Lender in writing that such payment is made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which, notwithstanding any such payment or payments, shall remain liable for the unpaid and outstanding Subsidiary Borrower Obligations and Canadian Obligations until,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the Subsidiary Borrower Obligations and Canadian Obligations are paid in full and the Commitments are terminated.</w:t>
      </w:r>
    </w:p>
    <w:p>
      <w:pPr>
        <w:spacing w:after="0" w:line="7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Guarantee of Crown Finance</w:t>
      </w:r>
      <w:r>
        <w:rPr>
          <w:rFonts w:ascii="Arial" w:cs="Arial" w:eastAsia="Arial" w:hAnsi="Arial"/>
          <w:sz w:val="17"/>
          <w:szCs w:val="17"/>
          <w:color w:val="auto"/>
        </w:rPr>
        <w:t>.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0980"/>
          </w:cols>
          <w:pgMar w:left="440" w:top="274" w:right="479" w:bottom="1440" w:gutter="0" w:footer="0" w:header="0"/>
        </w:sectPr>
      </w:pPr>
    </w:p>
    <w:bookmarkStart w:id="380" w:name="page381"/>
    <w:bookmarkEnd w:id="38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disbursements of counsel) which may be paid or incurred by the Agents, the Facing Agents or any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Letters of Credit have terminated, the Obligations are paid in full and the Commitments are terminated.</w:t>
      </w:r>
    </w:p>
    <w:p>
      <w:pPr>
        <w:spacing w:after="0" w:line="16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Crown Finance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Amendments, etc. with Respect to the Applicable Obligations</w:t>
      </w:r>
      <w:r>
        <w:rPr>
          <w:rFonts w:ascii="Arial" w:cs="Arial" w:eastAsia="Arial" w:hAnsi="Arial"/>
          <w:sz w:val="17"/>
          <w:szCs w:val="17"/>
          <w:color w:val="auto"/>
        </w:rPr>
        <w:t xml:space="preserve">. Each Guarantor shall remain obligated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 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 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any property subject thereto.</w:t>
      </w:r>
    </w:p>
    <w:p>
      <w:pPr>
        <w:spacing w:after="0" w:line="7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xml:space="preserve">. Each Guarantor waives any and all notice of the creation, renewal, extension or accrual of any of the applicable Obligations and notice of or proof of reliance by the Agents, any Facing Agent or any Lender upon the guarantee contained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or acceptance of the guarantee contained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the applicable Obligations, and any of them, shall conclusively be deemed to have been created, contracted or incurred, or renewed, extended, amended or waived, in reliance upon the guarantee contained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The Agents will, to the extent permitted by applicable law, request payment of any applicable Obligation from the applicable Borrower before making any claim against the applicable Guarantor under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shall be construed as a continuing, absolute and unconditional guarantee of payment without regard to (a)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0980"/>
          </w:cols>
          <w:pgMar w:left="440" w:top="274" w:right="479" w:bottom="1440" w:gutter="0" w:footer="0" w:header="0"/>
        </w:sectPr>
      </w:pPr>
    </w:p>
    <w:bookmarkStart w:id="381" w:name="page382"/>
    <w:bookmarkEnd w:id="38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validity or enforceability of this Agreement or any other Loan Document, any of the applicable Obligations or any collateral security therefor or guarantee or right of offset with respect thereto at any time or from time to time held by any Agent, any Facing Agent or any Lender, (b) the legality under applicable laws of repayment by the relevant Borrower of any 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 (d) 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in bankruptcy or in any other instance. When any Agent, any Facing Agent or any Lender is pursuing its rights and remedies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and shall not impair or affect the rights and remedies, whether express, implied or available as a matter of law, of the Agents, the Facing Agents and the Lenders against any Guarantor.</w:t>
      </w:r>
    </w:p>
    <w:p>
      <w:pPr>
        <w:spacing w:after="0" w:line="7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Each of the guarantees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shall continue to be effective, or be reinstated, as the case may be, if at any time payment, or any part thereof, of any of the 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8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Each Guarantor hereby agrees that any payments in respect of the applicable Obligations pursuant to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57"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Independent Obligations</w:t>
      </w:r>
      <w:r>
        <w:rPr>
          <w:rFonts w:ascii="Arial" w:cs="Arial" w:eastAsia="Arial" w:hAnsi="Arial"/>
          <w:sz w:val="17"/>
          <w:szCs w:val="17"/>
          <w:color w:val="auto"/>
        </w:rPr>
        <w:t xml:space="preserve">. The obligations of each Guarantor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6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Guarantee Limitations for French Guarantees</w:t>
      </w:r>
      <w:r>
        <w:rPr>
          <w:rFonts w:ascii="Arial" w:cs="Arial" w:eastAsia="Arial" w:hAnsi="Arial"/>
          <w:sz w:val="16"/>
          <w:szCs w:val="16"/>
          <w:color w:val="auto"/>
        </w:rPr>
        <w:t xml:space="preserve">. The Obligations of any Guarantor incorporated under the laws of France under the Loan Documents (a) will not include any obligation or liability which if incurred would cause the infringement of the provision of financial assistance within the meaning of Article L. 225-216 of the French Commercial Code and/or would constitute a “misuse of corporate assets or powers” within the meaning of Article L. 241-3 or L. 242-6 of the French Commercial Code (such articles are applicable to </w:t>
      </w:r>
      <w:r>
        <w:rPr>
          <w:rFonts w:ascii="Arial" w:cs="Arial" w:eastAsia="Arial" w:hAnsi="Arial"/>
          <w:sz w:val="16"/>
          <w:szCs w:val="16"/>
          <w:i w:val="1"/>
          <w:iCs w:val="1"/>
          <w:color w:val="auto"/>
        </w:rPr>
        <w:t>societés par actions simplifiées</w:t>
      </w:r>
      <w:r>
        <w:rPr>
          <w:rFonts w:ascii="Arial" w:cs="Arial" w:eastAsia="Arial" w:hAnsi="Arial"/>
          <w:sz w:val="16"/>
          <w:szCs w:val="16"/>
          <w:color w:val="auto"/>
        </w:rPr>
        <w:t xml:space="preserve"> pursuant to Article 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244-1 of the French Commercial Code); and (b) shall be limited to the extent required by applicable law to the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00"/>
          </w:cols>
          <w:pgMar w:left="440" w:top="274" w:right="459" w:bottom="1440" w:gutter="0" w:footer="0" w:header="0"/>
        </w:sectPr>
      </w:pPr>
    </w:p>
    <w:bookmarkStart w:id="382" w:name="page383"/>
    <w:bookmarkEnd w:id="38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amount any such Guarantor can pay without exceeding its financial capacity or otherwise resulting in insolvency of such Guarantor, as 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Guarantee Limitations for Luxembourg Guarantees</w:t>
      </w:r>
      <w:r>
        <w:rPr>
          <w:rFonts w:ascii="Arial" w:cs="Arial" w:eastAsia="Arial" w:hAnsi="Arial"/>
          <w:sz w:val="18"/>
          <w:szCs w:val="18"/>
          <w:color w:val="auto"/>
        </w:rPr>
        <w:t>. Notwithstanding any provision to the contrary in this Agreement, the liability of any Guarantor incorporated under the laws of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xml:space="preserv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t>
      </w:r>
      <w:r>
        <w:rPr>
          <w:rFonts w:ascii="Arial" w:cs="Arial" w:eastAsia="Arial" w:hAnsi="Arial"/>
          <w:sz w:val="18"/>
          <w:szCs w:val="18"/>
          <w:i w:val="1"/>
          <w:iCs w:val="1"/>
          <w:color w:val="auto"/>
        </w:rPr>
        <w:t>Guaranty</w:t>
      </w:r>
      <w:r>
        <w:rPr>
          <w:rFonts w:ascii="Arial" w:cs="Arial" w:eastAsia="Arial" w:hAnsi="Arial"/>
          <w:sz w:val="18"/>
          <w:szCs w:val="18"/>
          <w:color w:val="auto"/>
        </w:rPr>
        <w:t>) for the obligations of any Credit Party, which is not a direct or indirect subsidiary of that Luxembourg Guarantor, may not exceed, in aggregate, the Maximum Amount (as defined below).</w:t>
      </w:r>
    </w:p>
    <w:p>
      <w:pPr>
        <w:spacing w:after="0" w:line="79" w:lineRule="exact"/>
        <w:rPr>
          <w:sz w:val="20"/>
          <w:szCs w:val="20"/>
          <w:color w:val="auto"/>
        </w:rPr>
      </w:pPr>
    </w:p>
    <w:p>
      <w:pPr>
        <w:ind w:left="680" w:hanging="244"/>
        <w:spacing w:after="0"/>
        <w:tabs>
          <w:tab w:leader="none" w:pos="6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Maximum Amount</w:t>
      </w:r>
      <w:r>
        <w:rPr>
          <w:rFonts w:ascii="Arial" w:cs="Arial" w:eastAsia="Arial" w:hAnsi="Arial"/>
          <w:sz w:val="17"/>
          <w:szCs w:val="17"/>
          <w:color w:val="auto"/>
        </w:rPr>
        <w:t>”, in relation to a Luxembourg Guarantor, means an amount equal to the aggregate (without double counting) of:</w:t>
      </w:r>
    </w:p>
    <w:p>
      <w:pPr>
        <w:spacing w:after="0" w:line="128" w:lineRule="exact"/>
        <w:rPr>
          <w:rFonts w:ascii="Arial" w:cs="Arial" w:eastAsia="Arial" w:hAnsi="Arial"/>
          <w:sz w:val="17"/>
          <w:szCs w:val="17"/>
          <w:color w:val="auto"/>
        </w:rPr>
      </w:pPr>
    </w:p>
    <w:p>
      <w:pPr>
        <w:ind w:left="1080" w:hanging="221"/>
        <w:spacing w:after="0"/>
        <w:tabs>
          <w:tab w:leader="none" w:pos="108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all moneys received by that Luxembourg Guarantor or its direct and indirect subsidiaries as a borrower under this Agreement;</w:t>
      </w:r>
    </w:p>
    <w:p>
      <w:pPr>
        <w:spacing w:after="0" w:line="128" w:lineRule="exact"/>
        <w:rPr>
          <w:rFonts w:ascii="Arial" w:cs="Arial" w:eastAsia="Arial" w:hAnsi="Arial"/>
          <w:sz w:val="17"/>
          <w:szCs w:val="17"/>
          <w:color w:val="auto"/>
        </w:rPr>
      </w:pPr>
    </w:p>
    <w:p>
      <w:pPr>
        <w:ind w:left="440" w:right="40" w:firstLine="419"/>
        <w:spacing w:after="0" w:line="263" w:lineRule="auto"/>
        <w:tabs>
          <w:tab w:leader="none" w:pos="112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an amount equal to one hundred </w:t>
      </w:r>
      <w:r>
        <w:rPr>
          <w:rFonts w:ascii="Arial" w:cs="Arial" w:eastAsia="Arial" w:hAnsi="Arial"/>
          <w:sz w:val="18"/>
          <w:szCs w:val="18"/>
          <w:i w:val="1"/>
          <w:iCs w:val="1"/>
          <w:color w:val="auto"/>
        </w:rPr>
        <w:t>per</w:t>
      </w:r>
      <w:r>
        <w:rPr>
          <w:rFonts w:ascii="Arial" w:cs="Arial" w:eastAsia="Arial" w:hAnsi="Arial"/>
          <w:sz w:val="18"/>
          <w:szCs w:val="18"/>
          <w:color w:val="auto"/>
        </w:rPr>
        <w:t xml:space="preserve"> cent 100% of the greater of:</w:t>
      </w:r>
    </w:p>
    <w:p>
      <w:pPr>
        <w:spacing w:after="0" w:line="117" w:lineRule="exact"/>
        <w:rPr>
          <w:rFonts w:ascii="Arial" w:cs="Arial" w:eastAsia="Arial" w:hAnsi="Arial"/>
          <w:sz w:val="18"/>
          <w:szCs w:val="18"/>
          <w:color w:val="auto"/>
        </w:rPr>
      </w:pPr>
    </w:p>
    <w:p>
      <w:pPr>
        <w:ind w:left="980" w:right="40" w:firstLine="408"/>
        <w:spacing w:after="0" w:line="272" w:lineRule="auto"/>
        <w:tabs>
          <w:tab w:leader="none" w:pos="1676" w:val="left"/>
        </w:tabs>
        <w:numPr>
          <w:ilvl w:val="2"/>
          <w:numId w:val="338"/>
        </w:numPr>
        <w:rPr>
          <w:rFonts w:ascii="Arial" w:cs="Arial" w:eastAsia="Arial" w:hAnsi="Arial"/>
          <w:sz w:val="17"/>
          <w:szCs w:val="17"/>
          <w:color w:val="auto"/>
        </w:rPr>
      </w:pPr>
      <w:r>
        <w:rPr>
          <w:rFonts w:ascii="Arial" w:cs="Arial" w:eastAsia="Arial" w:hAnsi="Arial"/>
          <w:sz w:val="17"/>
          <w:szCs w:val="17"/>
          <w:color w:val="auto"/>
        </w:rPr>
        <w:t>eighty per cent. (80%) of the sum of (i) the Luxembourg Guarantor’s own funds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Arial" w:cs="Arial" w:eastAsia="Arial" w:hAnsi="Arial"/>
          <w:sz w:val="17"/>
          <w:szCs w:val="17"/>
          <w:u w:val="single" w:color="auto"/>
          <w:color w:val="auto"/>
        </w:rPr>
        <w:t>Own Funds</w:t>
      </w:r>
      <w:r>
        <w:rPr>
          <w:rFonts w:ascii="Arial" w:cs="Arial" w:eastAsia="Arial" w:hAnsi="Arial"/>
          <w:sz w:val="17"/>
          <w:szCs w:val="17"/>
          <w:color w:val="auto"/>
        </w:rPr>
        <w:t>”) and (ii) the Luxembourg Guarantor’s debt which is subordinated in right of payment (whether generally or specifically) to any claim of any Lender under any of the Loan Documents (the “</w:t>
      </w:r>
      <w:r>
        <w:rPr>
          <w:rFonts w:ascii="Arial" w:cs="Arial" w:eastAsia="Arial" w:hAnsi="Arial"/>
          <w:sz w:val="17"/>
          <w:szCs w:val="17"/>
          <w:u w:val="single" w:color="auto"/>
          <w:color w:val="auto"/>
        </w:rPr>
        <w:t>Subordinated Debt</w:t>
      </w:r>
      <w:r>
        <w:rPr>
          <w:rFonts w:ascii="Arial" w:cs="Arial" w:eastAsia="Arial" w:hAnsi="Arial"/>
          <w:sz w:val="17"/>
          <w:szCs w:val="17"/>
          <w:color w:val="auto"/>
        </w:rPr>
        <w:t>”), in each case as determined on the basis of the then latest available annual accounts of the Luxembourg Guarantor duly established in accordance with applicable accounting rules, as at the date of this Agreement; and</w:t>
      </w:r>
    </w:p>
    <w:p>
      <w:pPr>
        <w:spacing w:after="0" w:line="69" w:lineRule="exact"/>
        <w:rPr>
          <w:rFonts w:ascii="Arial" w:cs="Arial" w:eastAsia="Arial" w:hAnsi="Arial"/>
          <w:sz w:val="17"/>
          <w:szCs w:val="17"/>
          <w:color w:val="auto"/>
        </w:rPr>
      </w:pPr>
    </w:p>
    <w:p>
      <w:pPr>
        <w:jc w:val="both"/>
        <w:ind w:left="980" w:firstLine="408"/>
        <w:spacing w:after="0" w:line="263" w:lineRule="auto"/>
        <w:tabs>
          <w:tab w:leader="none" w:pos="1666"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is called.</w:t>
      </w:r>
    </w:p>
    <w:p>
      <w:pPr>
        <w:spacing w:after="0" w:line="75" w:lineRule="exact"/>
        <w:rPr>
          <w:rFonts w:ascii="Arial" w:cs="Arial" w:eastAsia="Arial" w:hAnsi="Arial"/>
          <w:sz w:val="18"/>
          <w:szCs w:val="18"/>
          <w:color w:val="auto"/>
        </w:rPr>
      </w:pPr>
    </w:p>
    <w:p>
      <w:pPr>
        <w:ind w:right="120" w:firstLine="436"/>
        <w:spacing w:after="0" w:line="259" w:lineRule="auto"/>
        <w:tabs>
          <w:tab w:leader="none" w:pos="69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0980"/>
          </w:cols>
          <w:pgMar w:left="440" w:top="274" w:right="479" w:bottom="1440" w:gutter="0" w:footer="0" w:header="0"/>
        </w:sectPr>
      </w:pPr>
    </w:p>
    <w:bookmarkStart w:id="383" w:name="page384"/>
    <w:bookmarkEnd w:id="38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Luxembourg Guarantor 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49" w:lineRule="exact"/>
        <w:rPr>
          <w:sz w:val="20"/>
          <w:szCs w:val="20"/>
          <w:color w:val="auto"/>
        </w:rPr>
      </w:pPr>
    </w:p>
    <w:p>
      <w:pPr>
        <w:ind w:firstLine="436"/>
        <w:spacing w:after="0" w:line="279" w:lineRule="auto"/>
        <w:tabs>
          <w:tab w:leader="none" w:pos="685"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63" w:lineRule="exact"/>
        <w:rPr>
          <w:rFonts w:ascii="Arial" w:cs="Arial" w:eastAsia="Arial" w:hAnsi="Arial"/>
          <w:sz w:val="17"/>
          <w:szCs w:val="17"/>
          <w:color w:val="auto"/>
        </w:rPr>
      </w:pPr>
    </w:p>
    <w:p>
      <w:pPr>
        <w:ind w:right="40" w:firstLine="436"/>
        <w:spacing w:after="0" w:line="263" w:lineRule="auto"/>
        <w:tabs>
          <w:tab w:leader="none" w:pos="69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obligations of any Luxembourg Guarantor shall not extend to the guaranteeing or securing of any amount which would breach the prohibitions on financial assistance as set out in the Luxembourg law of 10 August 1915 on commercial companies, as amended (the “</w:t>
      </w:r>
      <w:r>
        <w:rPr>
          <w:rFonts w:ascii="Arial" w:cs="Arial" w:eastAsia="Arial" w:hAnsi="Arial"/>
          <w:sz w:val="18"/>
          <w:szCs w:val="18"/>
          <w:u w:val="single" w:color="auto"/>
          <w:color w:val="auto"/>
        </w:rPr>
        <w:t>Luxembourg Law</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1915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80" w:firstLine="436"/>
        <w:spacing w:after="0" w:line="263" w:lineRule="auto"/>
        <w:tabs>
          <w:tab w:leader="none" w:pos="68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Guarantee Limitations for Spanish Guarantees and Security</w:t>
      </w:r>
      <w:r>
        <w:rPr>
          <w:rFonts w:ascii="Arial" w:cs="Arial" w:eastAsia="Arial" w:hAnsi="Arial"/>
          <w:sz w:val="17"/>
          <w:szCs w:val="17"/>
          <w:color w:val="auto"/>
        </w:rPr>
        <w:t xml:space="preserve">.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Arial" w:cs="Arial" w:eastAsia="Arial" w:hAnsi="Arial"/>
          <w:sz w:val="17"/>
          <w:szCs w:val="17"/>
          <w:i w:val="1"/>
          <w:iCs w:val="1"/>
          <w:color w:val="auto"/>
        </w:rPr>
        <w:t>sociedad anónima</w:t>
      </w:r>
      <w:r>
        <w:rPr>
          <w:rFonts w:ascii="Arial" w:cs="Arial" w:eastAsia="Arial" w:hAnsi="Arial"/>
          <w:sz w:val="17"/>
          <w:szCs w:val="17"/>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Arial" w:cs="Arial" w:eastAsia="Arial" w:hAnsi="Arial"/>
          <w:sz w:val="17"/>
          <w:szCs w:val="17"/>
          <w:i w:val="1"/>
          <w:iCs w:val="1"/>
          <w:color w:val="auto"/>
        </w:rPr>
        <w:t>sociedades de responsabilidad limitada</w:t>
      </w:r>
      <w:r>
        <w:rPr>
          <w:rFonts w:ascii="Arial" w:cs="Arial" w:eastAsia="Arial" w:hAnsi="Arial"/>
          <w:sz w:val="17"/>
          <w:szCs w:val="17"/>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Guarantee Limitations for German Guarantees and Security.</w:t>
      </w:r>
    </w:p>
    <w:p>
      <w:pPr>
        <w:spacing w:after="0" w:line="117" w:lineRule="exact"/>
        <w:rPr>
          <w:sz w:val="20"/>
          <w:szCs w:val="20"/>
          <w:color w:val="auto"/>
        </w:rPr>
      </w:pPr>
    </w:p>
    <w:p>
      <w:pPr>
        <w:ind w:firstLine="436"/>
        <w:spacing w:after="0" w:line="254" w:lineRule="auto"/>
        <w:tabs>
          <w:tab w:leader="none" w:pos="6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the enforcement of the guarantee given by any Guarantor incorporated under the laws of Germany by the Administrative Agent would cause, in breach of sections 30 and 31 of the German Limited Liability Companies Act (</w:t>
      </w:r>
      <w:r>
        <w:rPr>
          <w:rFonts w:ascii="Arial" w:cs="Arial" w:eastAsia="Arial" w:hAnsi="Arial"/>
          <w:sz w:val="18"/>
          <w:szCs w:val="18"/>
          <w:i w:val="1"/>
          <w:iCs w:val="1"/>
          <w:color w:val="auto"/>
        </w:rPr>
        <w:t>Gesetz betreffend die Gesellschaften mit beschränkter Haftung</w:t>
      </w:r>
      <w:r>
        <w:rPr>
          <w:rFonts w:ascii="Arial" w:cs="Arial" w:eastAsia="Arial" w:hAnsi="Arial"/>
          <w:sz w:val="18"/>
          <w:szCs w:val="18"/>
          <w:color w:val="auto"/>
        </w:rPr>
        <w:t xml:space="preserve"> (“</w:t>
      </w:r>
      <w:r>
        <w:rPr>
          <w:rFonts w:ascii="Arial" w:cs="Arial" w:eastAsia="Arial" w:hAnsi="Arial"/>
          <w:sz w:val="18"/>
          <w:szCs w:val="18"/>
          <w:u w:val="single" w:color="auto"/>
          <w:color w:val="auto"/>
        </w:rPr>
        <w:t>GmbHG</w:t>
      </w:r>
      <w:r>
        <w:rPr>
          <w:rFonts w:ascii="Arial" w:cs="Arial" w:eastAsia="Arial" w:hAnsi="Arial"/>
          <w:sz w:val="18"/>
          <w:szCs w:val="18"/>
          <w:color w:val="auto"/>
        </w:rPr>
        <w:t>”)), the net assets (</w:t>
      </w:r>
      <w:r>
        <w:rPr>
          <w:rFonts w:ascii="Arial" w:cs="Arial" w:eastAsia="Arial" w:hAnsi="Arial"/>
          <w:sz w:val="18"/>
          <w:szCs w:val="18"/>
          <w:i w:val="1"/>
          <w:iCs w:val="1"/>
          <w:color w:val="auto"/>
        </w:rPr>
        <w:t>Reinvermögen</w:t>
      </w:r>
      <w:r>
        <w:rPr>
          <w:rFonts w:ascii="Arial" w:cs="Arial" w:eastAsia="Arial" w:hAnsi="Arial"/>
          <w:sz w:val="18"/>
          <w:szCs w:val="18"/>
          <w:color w:val="auto"/>
        </w:rPr>
        <w:t xml:space="preserve"> – being the total assets less liabilities) of the relevant Guarantor to fall below the amount of its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the Administrative Agent may not enforce the guarantee to the extent enforcement would require payment by the relevant Guarantor out of assets necessary to preserve its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For the purposes of the calculation, whether the net assets of the relevant Guarantor would fall below the amount of the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(if any), the following balance sheet items shall be adjusted as follows: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000"/>
          </w:cols>
          <w:pgMar w:left="440" w:top="274" w:right="459" w:bottom="1440" w:gutter="0" w:footer="0" w:header="0"/>
        </w:sectPr>
      </w:pPr>
    </w:p>
    <w:bookmarkStart w:id="384" w:name="page385"/>
    <w:bookmarkEnd w:id="384"/>
    <w:p>
      <w:pPr>
        <w:ind w:left="440" w:right="240" w:firstLine="419"/>
        <w:spacing w:after="0" w:line="277" w:lineRule="auto"/>
        <w:tabs>
          <w:tab w:leader="none" w:pos="1078" w:val="left"/>
        </w:tabs>
        <w:numPr>
          <w:ilvl w:val="1"/>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any increase in the nominal share capital which was carried out after the date hereof without the prior written consent of the Administrative Agent shall be deducted from the nominal share capital,</w:t>
      </w:r>
    </w:p>
    <w:p>
      <w:pPr>
        <w:spacing w:after="0" w:line="62" w:lineRule="exact"/>
        <w:rPr>
          <w:rFonts w:ascii="Arial" w:cs="Arial" w:eastAsia="Arial" w:hAnsi="Arial"/>
          <w:sz w:val="18"/>
          <w:szCs w:val="18"/>
          <w:color w:val="auto"/>
        </w:rPr>
      </w:pPr>
    </w:p>
    <w:p>
      <w:pPr>
        <w:ind w:left="440" w:right="960" w:firstLine="419"/>
        <w:spacing w:after="0" w:line="342" w:lineRule="auto"/>
        <w:tabs>
          <w:tab w:leader="none" w:pos="1128" w:val="left"/>
        </w:tabs>
        <w:numPr>
          <w:ilvl w:val="1"/>
          <w:numId w:val="341"/>
        </w:numPr>
        <w:rPr>
          <w:rFonts w:ascii="Arial" w:cs="Arial" w:eastAsia="Arial" w:hAnsi="Arial"/>
          <w:sz w:val="16"/>
          <w:szCs w:val="16"/>
          <w:color w:val="auto"/>
        </w:rPr>
      </w:pPr>
      <w:r>
        <w:rPr>
          <w:rFonts w:ascii="Arial" w:cs="Arial" w:eastAsia="Arial" w:hAnsi="Arial"/>
          <w:sz w:val="16"/>
          <w:szCs w:val="16"/>
          <w:color w:val="auto"/>
        </w:rPr>
        <w:t>loans provided to the relevant Guarantor by any third party, as far as such loans are (or would in insolvency proceedings be) subordinated pursuant to Section 39 para. 1 no. 5 or para. 2 of the German Insolvency Code (</w:t>
      </w:r>
      <w:r>
        <w:rPr>
          <w:rFonts w:ascii="Arial" w:cs="Arial" w:eastAsia="Arial" w:hAnsi="Arial"/>
          <w:sz w:val="16"/>
          <w:szCs w:val="16"/>
          <w:i w:val="1"/>
          <w:iCs w:val="1"/>
          <w:color w:val="auto"/>
        </w:rPr>
        <w:t>Insolvenzverordnung</w:t>
      </w:r>
      <w:r>
        <w:rPr>
          <w:rFonts w:ascii="Arial" w:cs="Arial" w:eastAsia="Arial" w:hAnsi="Arial"/>
          <w:sz w:val="16"/>
          <w:szCs w:val="16"/>
          <w:color w:val="auto"/>
        </w:rPr>
        <w:t>), and</w:t>
      </w:r>
    </w:p>
    <w:p>
      <w:pPr>
        <w:spacing w:after="0" w:line="15" w:lineRule="exact"/>
        <w:rPr>
          <w:rFonts w:ascii="Arial" w:cs="Arial" w:eastAsia="Arial" w:hAnsi="Arial"/>
          <w:sz w:val="16"/>
          <w:szCs w:val="16"/>
          <w:color w:val="auto"/>
        </w:rPr>
      </w:pPr>
    </w:p>
    <w:p>
      <w:pPr>
        <w:ind w:left="1180" w:hanging="321"/>
        <w:spacing w:after="0"/>
        <w:tabs>
          <w:tab w:leader="none" w:pos="118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funds borrowed by any Borrower under the Credit Agreement which have been on lent to the relevant Guarantor shall be disregarded.</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addition, the relevant Guarantor, if and to the extent legally permissible, shall</w:t>
      </w:r>
    </w:p>
    <w:p>
      <w:pPr>
        <w:spacing w:after="0" w:line="117" w:lineRule="exact"/>
        <w:rPr>
          <w:rFonts w:ascii="Arial" w:cs="Arial" w:eastAsia="Arial" w:hAnsi="Arial"/>
          <w:sz w:val="18"/>
          <w:szCs w:val="18"/>
          <w:color w:val="auto"/>
        </w:rPr>
      </w:pPr>
    </w:p>
    <w:p>
      <w:pPr>
        <w:ind w:left="440" w:firstLine="419"/>
        <w:spacing w:after="0" w:line="259" w:lineRule="auto"/>
        <w:tabs>
          <w:tab w:leader="none" w:pos="107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a situation where enforcement of the guarantee is limited pursuant to the paragraph (a) above, sell any and all of its assets that are reflected on its balance sheet with a book value that is significantly lower than the market value of the asset if such asset is not essential for the conduct of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 if through such realization, the amount which may be enforced pursuant to paragraph (a) above, can be increased, and,</w:t>
      </w:r>
    </w:p>
    <w:p>
      <w:pPr>
        <w:spacing w:after="0" w:line="78" w:lineRule="exact"/>
        <w:rPr>
          <w:rFonts w:ascii="Arial" w:cs="Arial" w:eastAsia="Arial" w:hAnsi="Arial"/>
          <w:sz w:val="18"/>
          <w:szCs w:val="18"/>
          <w:color w:val="auto"/>
        </w:rPr>
      </w:pPr>
    </w:p>
    <w:p>
      <w:pPr>
        <w:ind w:left="440" w:right="120" w:firstLine="419"/>
        <w:spacing w:after="0" w:line="342" w:lineRule="auto"/>
        <w:tabs>
          <w:tab w:leader="none" w:pos="1128"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1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Executive Proceedings</w:t>
      </w:r>
      <w:r>
        <w:rPr>
          <w:rFonts w:ascii="Arial" w:cs="Arial" w:eastAsia="Arial" w:hAnsi="Arial"/>
          <w:sz w:val="18"/>
          <w:szCs w:val="18"/>
          <w:color w:val="auto"/>
        </w:rPr>
        <w:t>.</w:t>
      </w:r>
    </w:p>
    <w:p>
      <w:pPr>
        <w:spacing w:after="0" w:line="117" w:lineRule="exact"/>
        <w:rPr>
          <w:sz w:val="20"/>
          <w:szCs w:val="20"/>
          <w:color w:val="auto"/>
        </w:rPr>
      </w:pPr>
    </w:p>
    <w:p>
      <w:pPr>
        <w:ind w:right="360" w:firstLine="436"/>
        <w:spacing w:after="0" w:line="229" w:lineRule="auto"/>
        <w:tabs>
          <w:tab w:leader="none" w:pos="68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January) (“</w:t>
      </w:r>
      <w:r>
        <w:rPr>
          <w:rFonts w:ascii="Arial" w:cs="Arial" w:eastAsia="Arial" w:hAnsi="Arial"/>
          <w:sz w:val="18"/>
          <w:szCs w:val="18"/>
          <w:i w:val="1"/>
          <w:iCs w:val="1"/>
          <w:color w:val="auto"/>
        </w:rPr>
        <w:t>Ley de Ejuiciamiento Civil</w:t>
      </w:r>
      <w:r>
        <w:rPr>
          <w:rFonts w:ascii="Arial" w:cs="Arial" w:eastAsia="Arial" w:hAnsi="Arial"/>
          <w:sz w:val="18"/>
          <w:szCs w:val="18"/>
          <w:color w:val="auto"/>
        </w:rPr>
        <w:t>”) (the “</w:t>
      </w:r>
      <w:r>
        <w:rPr>
          <w:rFonts w:ascii="Arial" w:cs="Arial" w:eastAsia="Arial" w:hAnsi="Arial"/>
          <w:sz w:val="18"/>
          <w:szCs w:val="18"/>
          <w:u w:val="single" w:color="auto"/>
          <w:color w:val="auto"/>
        </w:rPr>
        <w:t>Civil Procedural Law</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Upon enforcement, the sum payable by any Spanish Obligor shall be the total aggregate amount of the balance of the accounts maintained by the Administrative Agent (or the relevant Lender, as the case may be). For the purposes of Articles 517 </w:t>
      </w:r>
      <w:r>
        <w:rPr>
          <w:rFonts w:ascii="Arial" w:cs="Arial" w:eastAsia="Arial" w:hAnsi="Arial"/>
          <w:sz w:val="18"/>
          <w:szCs w:val="18"/>
          <w:u w:val="single" w:color="auto"/>
          <w:color w:val="auto"/>
        </w:rPr>
        <w:t>et seq</w:t>
      </w:r>
      <w:r>
        <w:rPr>
          <w:rFonts w:ascii="Arial" w:cs="Arial" w:eastAsia="Arial" w:hAnsi="Arial"/>
          <w:sz w:val="18"/>
          <w:szCs w:val="18"/>
          <w:color w:val="auto"/>
        </w:rPr>
        <w:t>. of the Civil Procedural Law, the Credit Parties expressly agree that such balances shall be considered as due, liquid and payable and may be claimed pursuant to the same provisions of such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00"/>
          </w:cols>
          <w:pgMar w:left="440" w:top="274" w:right="459" w:bottom="1440" w:gutter="0" w:footer="0" w:header="0"/>
        </w:sectPr>
      </w:pPr>
    </w:p>
    <w:bookmarkStart w:id="385" w:name="page386"/>
    <w:bookmarkEnd w:id="385"/>
    <w:p>
      <w:pPr>
        <w:ind w:left="680" w:hanging="244"/>
        <w:spacing w:after="0"/>
        <w:tabs>
          <w:tab w:leader="none" w:pos="6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purpose of the provisions of Art, 571, </w:t>
      </w:r>
      <w:r>
        <w:rPr>
          <w:rFonts w:ascii="Arial" w:cs="Arial" w:eastAsia="Arial" w:hAnsi="Arial"/>
          <w:sz w:val="17"/>
          <w:szCs w:val="17"/>
          <w:u w:val="single" w:color="auto"/>
          <w:color w:val="auto"/>
        </w:rPr>
        <w:t>et seq</w:t>
      </w:r>
      <w:r>
        <w:rPr>
          <w:rFonts w:ascii="Arial" w:cs="Arial" w:eastAsia="Arial" w:hAnsi="Arial"/>
          <w:sz w:val="17"/>
          <w:szCs w:val="17"/>
          <w:color w:val="auto"/>
        </w:rPr>
        <w:t>. of the Civil Procedural Law, it is expressly agreed by the Credit Parties that the</w:t>
      </w:r>
    </w:p>
    <w:p>
      <w:pPr>
        <w:spacing w:after="0" w:line="34" w:lineRule="exact"/>
        <w:rPr>
          <w:rFonts w:ascii="Arial" w:cs="Arial" w:eastAsia="Arial" w:hAnsi="Arial"/>
          <w:sz w:val="17"/>
          <w:szCs w:val="17"/>
          <w:color w:val="auto"/>
        </w:rPr>
      </w:pPr>
    </w:p>
    <w:p>
      <w:pPr>
        <w:ind w:right="140"/>
        <w:spacing w:after="0" w:line="277" w:lineRule="auto"/>
        <w:rPr>
          <w:rFonts w:ascii="Arial" w:cs="Arial" w:eastAsia="Arial" w:hAnsi="Arial"/>
          <w:sz w:val="17"/>
          <w:szCs w:val="17"/>
          <w:color w:val="auto"/>
        </w:rPr>
      </w:pPr>
      <w:r>
        <w:rPr>
          <w:rFonts w:ascii="Arial" w:cs="Arial" w:eastAsia="Arial" w:hAnsi="Arial"/>
          <w:sz w:val="17"/>
          <w:szCs w:val="17"/>
          <w:color w:val="auto"/>
        </w:rPr>
        <w:t>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64" w:lineRule="exact"/>
        <w:rPr>
          <w:rFonts w:ascii="Arial" w:cs="Arial" w:eastAsia="Arial" w:hAnsi="Arial"/>
          <w:sz w:val="17"/>
          <w:szCs w:val="17"/>
          <w:color w:val="auto"/>
        </w:rPr>
      </w:pPr>
    </w:p>
    <w:p>
      <w:pPr>
        <w:ind w:left="1080" w:hanging="221"/>
        <w:spacing w:after="0"/>
        <w:tabs>
          <w:tab w:leader="none" w:pos="10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 original notarial first or authentic copy of this Agreement;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notarial certificate, if necessary, for the purposes described in paragraph (d) below;</w:t>
      </w:r>
    </w:p>
    <w:p>
      <w:pPr>
        <w:spacing w:after="0" w:line="117" w:lineRule="exact"/>
        <w:rPr>
          <w:rFonts w:ascii="Arial" w:cs="Arial" w:eastAsia="Arial" w:hAnsi="Arial"/>
          <w:sz w:val="18"/>
          <w:szCs w:val="18"/>
          <w:color w:val="auto"/>
        </w:rPr>
      </w:pPr>
    </w:p>
    <w:p>
      <w:pPr>
        <w:ind w:left="440" w:right="180" w:firstLine="419"/>
        <w:spacing w:after="0" w:line="301" w:lineRule="auto"/>
        <w:tabs>
          <w:tab w:leader="none" w:pos="1178"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notarial document (</w:t>
      </w:r>
      <w:r>
        <w:rPr>
          <w:rFonts w:ascii="Arial" w:cs="Arial" w:eastAsia="Arial" w:hAnsi="Arial"/>
          <w:sz w:val="16"/>
          <w:szCs w:val="16"/>
          <w:i w:val="1"/>
          <w:iCs w:val="1"/>
          <w:color w:val="auto"/>
        </w:rPr>
        <w:t>acta notarial</w:t>
      </w:r>
      <w:r>
        <w:rPr>
          <w:rFonts w:ascii="Arial" w:cs="Arial" w:eastAsia="Arial" w:hAnsi="Arial"/>
          <w:sz w:val="16"/>
          <w:szCs w:val="16"/>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49" w:lineRule="exact"/>
        <w:rPr>
          <w:rFonts w:ascii="Arial" w:cs="Arial" w:eastAsia="Arial" w:hAnsi="Arial"/>
          <w:sz w:val="16"/>
          <w:szCs w:val="16"/>
          <w:color w:val="auto"/>
        </w:rPr>
      </w:pPr>
    </w:p>
    <w:p>
      <w:pPr>
        <w:ind w:left="1160" w:hanging="301"/>
        <w:spacing w:after="0"/>
        <w:tabs>
          <w:tab w:leader="none" w:pos="116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 notarial document (</w:t>
      </w:r>
      <w:r>
        <w:rPr>
          <w:rFonts w:ascii="Arial" w:cs="Arial" w:eastAsia="Arial" w:hAnsi="Arial"/>
          <w:sz w:val="16"/>
          <w:szCs w:val="16"/>
          <w:i w:val="1"/>
          <w:iCs w:val="1"/>
          <w:color w:val="auto"/>
        </w:rPr>
        <w:t>acta notarial</w:t>
      </w:r>
      <w:r>
        <w:rPr>
          <w:rFonts w:ascii="Arial" w:cs="Arial" w:eastAsia="Arial" w:hAnsi="Arial"/>
          <w:sz w:val="16"/>
          <w:szCs w:val="16"/>
          <w:color w:val="auto"/>
        </w:rPr>
        <w:t>) evidencing that the Spanish Obligor has been served notice of the amount that is due and payable.</w:t>
      </w:r>
    </w:p>
    <w:p>
      <w:pPr>
        <w:spacing w:after="0" w:line="140" w:lineRule="exact"/>
        <w:rPr>
          <w:rFonts w:ascii="Arial" w:cs="Arial" w:eastAsia="Arial" w:hAnsi="Arial"/>
          <w:sz w:val="16"/>
          <w:szCs w:val="16"/>
          <w:color w:val="auto"/>
        </w:rPr>
      </w:pPr>
    </w:p>
    <w:p>
      <w:pPr>
        <w:jc w:val="both"/>
        <w:ind w:firstLine="436"/>
        <w:spacing w:after="0" w:line="342" w:lineRule="auto"/>
        <w:tabs>
          <w:tab w:leader="none" w:pos="69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15" w:lineRule="exact"/>
        <w:rPr>
          <w:rFonts w:ascii="Arial" w:cs="Arial" w:eastAsia="Arial" w:hAnsi="Arial"/>
          <w:sz w:val="16"/>
          <w:szCs w:val="16"/>
          <w:color w:val="auto"/>
        </w:rPr>
      </w:pPr>
    </w:p>
    <w:p>
      <w:pPr>
        <w:ind w:right="100" w:firstLine="436"/>
        <w:spacing w:after="0" w:line="277" w:lineRule="auto"/>
        <w:tabs>
          <w:tab w:leader="none" w:pos="68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amount of the balances so established shall be notified to the Spanish Obligor in an attestable manner at least three (3) days in advance of exercising the executive action set out in paragraph (c) above.</w:t>
      </w:r>
    </w:p>
    <w:p>
      <w:pPr>
        <w:spacing w:after="0" w:line="62" w:lineRule="exact"/>
        <w:rPr>
          <w:rFonts w:ascii="Arial" w:cs="Arial" w:eastAsia="Arial" w:hAnsi="Arial"/>
          <w:sz w:val="18"/>
          <w:szCs w:val="18"/>
          <w:color w:val="auto"/>
        </w:rPr>
      </w:pPr>
    </w:p>
    <w:p>
      <w:pPr>
        <w:ind w:right="440" w:firstLine="436"/>
        <w:spacing w:after="0" w:line="301" w:lineRule="auto"/>
        <w:tabs>
          <w:tab w:leader="none" w:pos="6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4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Spanish Public Document</w:t>
      </w:r>
      <w:r>
        <w:rPr>
          <w:rFonts w:ascii="Arial" w:cs="Arial" w:eastAsia="Arial" w:hAnsi="Arial"/>
          <w:sz w:val="18"/>
          <w:szCs w:val="18"/>
          <w:color w:val="auto"/>
        </w:rPr>
        <w:t xml:space="preserve"> . Upon demand by the Administrative Agent or the Collateral Agents, each Spanish Obligor agrees to participate in the raising of this Agreement to the status of a Spanish Public Document (</w:t>
      </w:r>
      <w:r>
        <w:rPr>
          <w:rFonts w:ascii="Arial" w:cs="Arial" w:eastAsia="Arial" w:hAnsi="Arial"/>
          <w:sz w:val="18"/>
          <w:szCs w:val="18"/>
          <w:i w:val="1"/>
          <w:iCs w:val="1"/>
          <w:color w:val="auto"/>
        </w:rPr>
        <w:t>elevación a público</w:t>
      </w:r>
      <w:r>
        <w:rPr>
          <w:rFonts w:ascii="Arial" w:cs="Arial" w:eastAsia="Arial" w:hAnsi="Arial"/>
          <w:sz w:val="18"/>
          <w:szCs w:val="18"/>
          <w:color w:val="auto"/>
        </w:rPr>
        <w:t>).</w:t>
      </w:r>
    </w:p>
    <w:p>
      <w:pPr>
        <w:spacing w:after="0" w:line="62"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14.16 </w:t>
      </w:r>
      <w:r>
        <w:rPr>
          <w:rFonts w:ascii="Arial" w:cs="Arial" w:eastAsia="Arial" w:hAnsi="Arial"/>
          <w:sz w:val="17"/>
          <w:szCs w:val="17"/>
          <w:u w:val="single" w:color="auto"/>
          <w:color w:val="auto"/>
        </w:rPr>
        <w:t>Guarantee of Each U.S. Borrower</w:t>
      </w:r>
      <w:r>
        <w:rPr>
          <w:rFonts w:ascii="Arial" w:cs="Arial" w:eastAsia="Arial" w:hAnsi="Arial"/>
          <w:sz w:val="17"/>
          <w:szCs w:val="17"/>
          <w:color w:val="auto"/>
        </w:rPr>
        <w:t xml:space="preserve">. 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Letters of Credit have terminated, the Obligations are paid in full and the Commitments are terminated.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000"/>
          </w:cols>
          <w:pgMar w:left="440" w:top="274" w:right="459" w:bottom="1440" w:gutter="0" w:footer="0" w:header="0"/>
        </w:sectPr>
      </w:pPr>
    </w:p>
    <w:bookmarkStart w:id="386" w:name="page387"/>
    <w:bookmarkEnd w:id="386"/>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U.S. Borrower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0800"/>
          </w:cols>
          <w:pgMar w:left="440" w:top="274" w:right="659" w:bottom="1440" w:gutter="0" w:footer="0" w:header="0"/>
        </w:sectPr>
      </w:pPr>
    </w:p>
    <w:bookmarkStart w:id="387" w:name="page388"/>
    <w:bookmarkEnd w:id="387"/>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officers thereunto duly authorized,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CROWN AMERICAS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CROWN EUROPEAN HOLDINGS S.A.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CROWN INTERNATIONAL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CROWN CORK &amp; SEAL COMPANY,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80"/>
          </w:cols>
          <w:pgMar w:left="440" w:top="274" w:right="1079" w:bottom="1440" w:gutter="0" w:footer="0" w:header="0"/>
        </w:sectPr>
      </w:pPr>
    </w:p>
    <w:bookmarkStart w:id="388" w:name="page389"/>
    <w:bookmarkEnd w:id="38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METAL PACKAGING CANADA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its general partner, </w:t>
      </w:r>
      <w:r>
        <w:rPr>
          <w:rFonts w:ascii="Arial" w:cs="Arial" w:eastAsia="Arial" w:hAnsi="Arial"/>
          <w:sz w:val="18"/>
          <w:szCs w:val="18"/>
          <w:b w:val="1"/>
          <w:bCs w:val="1"/>
          <w:color w:val="auto"/>
        </w:rPr>
        <w:t>CROWN METAL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PACKAGING CANADA INC.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260"/>
          </w:cols>
          <w:pgMar w:left="1440" w:top="270" w:right="1199" w:bottom="1440" w:gutter="0" w:footer="0" w:header="0"/>
        </w:sectPr>
      </w:pPr>
    </w:p>
    <w:bookmarkStart w:id="389" w:name="page390"/>
    <w:bookmarkEnd w:id="38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UK HOLDINGS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CROWN CORK &amp; SEAL DEUTSCHLAND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HOLDINGS 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CROWN VERPAKKING NEDERLAND B.V.</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140"/>
          </w:cols>
          <w:pgMar w:left="1440" w:top="270" w:right="1319" w:bottom="1440" w:gutter="0" w:footer="0" w:header="0"/>
        </w:sectPr>
      </w:pPr>
    </w:p>
    <w:bookmarkStart w:id="390" w:name="page391"/>
    <w:bookmarkEnd w:id="39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DEUTSCHE BANK AG NEW YORK BRANCH, </w:t>
      </w:r>
      <w:r>
        <w:rPr>
          <w:rFonts w:ascii="Arial" w:cs="Arial" w:eastAsia="Arial" w:hAnsi="Arial"/>
          <w:sz w:val="17"/>
          <w:szCs w:val="17"/>
          <w:color w:val="auto"/>
        </w:rPr>
        <w:t>in its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individual capacity and as Administrative Agent, U.S.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Collateral Agent and Euro Collateral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DEUTSCHE BANK AG LONDON BRANCH</w:t>
      </w:r>
      <w:r>
        <w:rPr>
          <w:rFonts w:ascii="Arial" w:cs="Arial" w:eastAsia="Arial" w:hAnsi="Arial"/>
          <w:sz w:val="17"/>
          <w:szCs w:val="17"/>
          <w:color w:val="auto"/>
        </w:rPr>
        <w:t>, as U.K.</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00"/>
          </w:cols>
          <w:pgMar w:left="1440" w:top="270" w:right="659" w:bottom="1440" w:gutter="0" w:footer="0" w:header="0"/>
        </w:sectPr>
      </w:pPr>
    </w:p>
    <w:bookmarkStart w:id="391" w:name="page392"/>
    <w:bookmarkEnd w:id="39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CANADA BRANCH</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Canadian 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sectPr>
      <w:pgSz w:w="11900" w:h="16838" w:orient="portrait"/>
      <w:cols w:equalWidth="0" w:num="1">
        <w:col w:w="9360"/>
      </w:cols>
      <w:pgMar w:left="1440" w:top="27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8A6394"/>
    <w:multiLevelType w:val="hybridMultilevel"/>
    <w:lvl w:ilvl="0">
      <w:lvlJc w:val="left"/>
      <w:lvlText w:val="☐"/>
      <w:numFmt w:val="bullet"/>
      <w:start w:val="1"/>
    </w:lvl>
  </w:abstractNum>
  <w:abstractNum w:abstractNumId="1">
    <w:nsid w:val="24E60401"/>
    <w:multiLevelType w:val="hybridMultilevel"/>
    <w:lvl w:ilvl="0">
      <w:lvlJc w:val="left"/>
      <w:lvlText w:val="(%1)"/>
      <w:numFmt w:val="decimal"/>
      <w:start w:val="2"/>
    </w:lvl>
  </w:abstractNum>
  <w:abstractNum w:abstractNumId="2">
    <w:nsid w:val="2A6AD9BE"/>
    <w:multiLevelType w:val="hybridMultilevel"/>
    <w:lvl w:ilvl="0">
      <w:lvlJc w:val="left"/>
      <w:lvlText w:val="(%1)"/>
      <w:numFmt w:val="lowerLetter"/>
      <w:start w:val="1"/>
    </w:lvl>
  </w:abstractNum>
  <w:abstractNum w:abstractNumId="3">
    <w:nsid w:val="BAAC1B4"/>
    <w:multiLevelType w:val="hybridMultilevel"/>
    <w:lvl w:ilvl="0">
      <w:lvlJc w:val="left"/>
      <w:lvlText w:val="(%1)"/>
      <w:numFmt w:val="lowerLetter"/>
      <w:start w:val="1"/>
    </w:lvl>
  </w:abstractNum>
  <w:abstractNum w:abstractNumId="4">
    <w:nsid w:val="36B2ACBC"/>
    <w:multiLevelType w:val="hybridMultilevel"/>
    <w:lvl w:ilvl="0">
      <w:lvlJc w:val="left"/>
      <w:lvlText w:val="(%1)"/>
      <w:numFmt w:val="lowerLetter"/>
      <w:start w:val="1"/>
    </w:lvl>
    <w:lvl w:ilvl="1">
      <w:lvlJc w:val="left"/>
      <w:lvlText w:val="(%2)"/>
      <w:numFmt w:val="lowerRoman"/>
      <w:start w:val="1"/>
    </w:lvl>
  </w:abstractNum>
  <w:abstractNum w:abstractNumId="5">
    <w:nsid w:val="779D8544"/>
    <w:multiLevelType w:val="hybridMultilevel"/>
    <w:lvl w:ilvl="0">
      <w:lvlJc w:val="left"/>
      <w:lvlText w:val="(%1)"/>
      <w:numFmt w:val="lowerLetter"/>
      <w:start w:val="35"/>
    </w:lvl>
    <w:lvl w:ilvl="1">
      <w:lvlJc w:val="left"/>
      <w:lvlText w:val="(%2)"/>
      <w:numFmt w:val="lowerRoman"/>
      <w:start w:val="2"/>
    </w:lvl>
  </w:abstractNum>
  <w:abstractNum w:abstractNumId="6">
    <w:nsid w:val="4AB26E78"/>
    <w:multiLevelType w:val="hybridMultilevel"/>
    <w:lvl w:ilvl="0">
      <w:lvlJc w:val="left"/>
      <w:lvlText w:val="%1"/>
      <w:numFmt w:val="lowerLetter"/>
      <w:start w:val="1"/>
    </w:lvl>
    <w:lvl w:ilvl="1">
      <w:lvlJc w:val="left"/>
      <w:lvlText w:val="(%2)"/>
      <w:numFmt w:val="lowerRoman"/>
      <w:start w:val="5"/>
    </w:lvl>
  </w:abstractNum>
  <w:abstractNum w:abstractNumId="7">
    <w:nsid w:val="21FAA2FA"/>
    <w:multiLevelType w:val="hybridMultilevel"/>
    <w:lvl w:ilvl="0">
      <w:lvlJc w:val="left"/>
      <w:lvlText w:val="(%1)"/>
      <w:numFmt w:val="lowerLetter"/>
      <w:start w:val="3"/>
    </w:lvl>
    <w:lvl w:ilvl="1">
      <w:lvlJc w:val="left"/>
      <w:lvlText w:val="%2"/>
      <w:numFmt w:val="lowerRoman"/>
      <w:start w:val="1"/>
    </w:lvl>
  </w:abstractNum>
  <w:abstractNum w:abstractNumId="8">
    <w:nsid w:val="5451CF49"/>
    <w:multiLevelType w:val="hybridMultilevel"/>
    <w:lvl w:ilvl="0">
      <w:lvlJc w:val="left"/>
      <w:lvlText w:val="(%1)"/>
      <w:numFmt w:val="lowerRoman"/>
      <w:start w:val="1"/>
    </w:lvl>
  </w:abstractNum>
  <w:abstractNum w:abstractNumId="9">
    <w:nsid w:val="6181EF69"/>
    <w:multiLevelType w:val="hybridMultilevel"/>
    <w:lvl w:ilvl="0">
      <w:lvlJc w:val="left"/>
      <w:lvlText w:val="(%1)"/>
      <w:numFmt w:val="lowerLetter"/>
      <w:start w:val="1"/>
    </w:lvl>
  </w:abstractNum>
  <w:abstractNum w:abstractNumId="10">
    <w:nsid w:val="3E6400E6"/>
    <w:multiLevelType w:val="hybridMultilevel"/>
    <w:lvl w:ilvl="0">
      <w:lvlJc w:val="left"/>
      <w:lvlText w:val="(%1)"/>
      <w:numFmt w:val="lowerLetter"/>
      <w:start w:val="1"/>
    </w:lvl>
  </w:abstractNum>
  <w:abstractNum w:abstractNumId="11">
    <w:nsid w:val="14217E23"/>
    <w:multiLevelType w:val="hybridMultilevel"/>
    <w:lvl w:ilvl="0">
      <w:lvlJc w:val="left"/>
      <w:lvlText w:val="(%1)"/>
      <w:numFmt w:val="lowerLetter"/>
      <w:start w:val="1"/>
    </w:lvl>
  </w:abstractNum>
  <w:abstractNum w:abstractNumId="12">
    <w:nsid w:val="710757D0"/>
    <w:multiLevelType w:val="hybridMultilevel"/>
    <w:lvl w:ilvl="0">
      <w:lvlJc w:val="left"/>
      <w:lvlText w:val="(%1)"/>
      <w:numFmt w:val="lowerLetter"/>
      <w:start w:val="3"/>
    </w:lvl>
  </w:abstractNum>
  <w:abstractNum w:abstractNumId="13">
    <w:nsid w:val="5015CD1A"/>
    <w:multiLevelType w:val="hybridMultilevel"/>
    <w:lvl w:ilvl="0">
      <w:lvlJc w:val="left"/>
      <w:lvlText w:val="(%1)"/>
      <w:numFmt w:val="lowerRoman"/>
      <w:start w:val="1"/>
    </w:lvl>
  </w:abstractNum>
  <w:abstractNum w:abstractNumId="14">
    <w:nsid w:val="424479DA"/>
    <w:multiLevelType w:val="hybridMultilevel"/>
    <w:lvl w:ilvl="0">
      <w:lvlJc w:val="left"/>
      <w:lvlText w:val="(%1)"/>
      <w:numFmt w:val="lowerRoman"/>
      <w:start w:val="3"/>
    </w:lvl>
  </w:abstractNum>
  <w:abstractNum w:abstractNumId="15">
    <w:nsid w:val="1A9A9E69"/>
    <w:multiLevelType w:val="hybridMultilevel"/>
    <w:lvl w:ilvl="0">
      <w:lvlJc w:val="left"/>
      <w:lvlText w:val="(%1)"/>
      <w:numFmt w:val="lowerLetter"/>
      <w:start w:val="1"/>
    </w:lvl>
  </w:abstractNum>
  <w:abstractNum w:abstractNumId="16">
    <w:nsid w:val="475E256A"/>
    <w:multiLevelType w:val="hybridMultilevel"/>
    <w:lvl w:ilvl="0">
      <w:lvlJc w:val="left"/>
      <w:lvlText w:val="(%1)"/>
      <w:numFmt w:val="lowerLetter"/>
      <w:start w:val="25"/>
    </w:lvl>
  </w:abstractNum>
  <w:abstractNum w:abstractNumId="17">
    <w:nsid w:val="368DB37E"/>
    <w:multiLevelType w:val="hybridMultilevel"/>
    <w:lvl w:ilvl="0">
      <w:lvlJc w:val="left"/>
      <w:lvlText w:val="%1"/>
      <w:numFmt w:val="lowerLetter"/>
      <w:start w:val="1"/>
    </w:lvl>
    <w:lvl w:ilvl="1">
      <w:lvlJc w:val="left"/>
      <w:lvlText w:val="(%2)"/>
      <w:numFmt w:val="lowerLetter"/>
      <w:start w:val="1"/>
    </w:lvl>
  </w:abstractNum>
  <w:abstractNum w:abstractNumId="18">
    <w:nsid w:val="6A3B714C"/>
    <w:multiLevelType w:val="hybridMultilevel"/>
    <w:lvl w:ilvl="0">
      <w:lvlJc w:val="left"/>
      <w:lvlText w:val="(%1)"/>
      <w:numFmt w:val="lowerLetter"/>
      <w:start w:val="35"/>
    </w:lvl>
    <w:lvl w:ilvl="1">
      <w:lvlJc w:val="left"/>
      <w:lvlText w:val="(%2)"/>
      <w:numFmt w:val="lowerLetter"/>
      <w:start w:val="2"/>
    </w:lvl>
  </w:abstractNum>
  <w:abstractNum w:abstractNumId="19">
    <w:nsid w:val="327B517E"/>
    <w:multiLevelType w:val="hybridMultilevel"/>
    <w:lvl w:ilvl="0">
      <w:lvlJc w:val="left"/>
      <w:lvlText w:val="(%1)"/>
      <w:numFmt w:val="lowerLetter"/>
      <w:start w:val="1"/>
    </w:lvl>
  </w:abstractNum>
  <w:abstractNum w:abstractNumId="20">
    <w:nsid w:val="1F461B51"/>
    <w:multiLevelType w:val="hybridMultilevel"/>
    <w:lvl w:ilvl="0">
      <w:lvlJc w:val="left"/>
      <w:lvlText w:val="(%1)"/>
      <w:numFmt w:val="lowerLetter"/>
      <w:start w:val="1"/>
    </w:lvl>
  </w:abstractNum>
  <w:abstractNum w:abstractNumId="21">
    <w:nsid w:val="29BACF25"/>
    <w:multiLevelType w:val="hybridMultilevel"/>
    <w:lvl w:ilvl="0">
      <w:lvlJc w:val="left"/>
      <w:lvlText w:val="(%1)"/>
      <w:numFmt w:val="lowerLetter"/>
      <w:start w:val="3"/>
    </w:lvl>
  </w:abstractNum>
  <w:abstractNum w:abstractNumId="22">
    <w:nsid w:val="5D5BABB3"/>
    <w:multiLevelType w:val="hybridMultilevel"/>
    <w:lvl w:ilvl="0">
      <w:lvlJc w:val="left"/>
      <w:lvlText w:val="(%1)"/>
      <w:numFmt w:val="lowerRoman"/>
      <w:start w:val="2"/>
    </w:lvl>
  </w:abstractNum>
  <w:abstractNum w:abstractNumId="23">
    <w:nsid w:val="51BF6B48"/>
    <w:multiLevelType w:val="hybridMultilevel"/>
    <w:lvl w:ilvl="0">
      <w:lvlJc w:val="left"/>
      <w:lvlText w:val="(%1)"/>
      <w:numFmt w:val="lowerLetter"/>
      <w:start w:val="2"/>
    </w:lvl>
  </w:abstractNum>
  <w:abstractNum w:abstractNumId="24">
    <w:nsid w:val="7E0F6384"/>
    <w:multiLevelType w:val="hybridMultilevel"/>
    <w:lvl w:ilvl="0">
      <w:lvlJc w:val="left"/>
      <w:lvlText w:val="(%1)"/>
      <w:numFmt w:val="lowerLetter"/>
      <w:start w:val="1"/>
    </w:lvl>
  </w:abstractNum>
  <w:abstractNum w:abstractNumId="25">
    <w:nsid w:val="2B4B8B53"/>
    <w:multiLevelType w:val="hybridMultilevel"/>
    <w:lvl w:ilvl="0">
      <w:lvlJc w:val="left"/>
      <w:lvlText w:val="(%1)"/>
      <w:numFmt w:val="lowerLetter"/>
      <w:start w:val="1"/>
    </w:lvl>
  </w:abstractNum>
  <w:abstractNum w:abstractNumId="26">
    <w:nsid w:val="72E3413A"/>
    <w:multiLevelType w:val="hybridMultilevel"/>
    <w:lvl w:ilvl="0">
      <w:lvlJc w:val="left"/>
      <w:lvlText w:val="(%1)"/>
      <w:numFmt w:val="lowerRoman"/>
      <w:start w:val="6"/>
    </w:lvl>
  </w:abstractNum>
  <w:abstractNum w:abstractNumId="27">
    <w:nsid w:val="116AE494"/>
    <w:multiLevelType w:val="hybridMultilevel"/>
    <w:lvl w:ilvl="0">
      <w:lvlJc w:val="left"/>
      <w:lvlText w:val="(%1)"/>
      <w:numFmt w:val="lowerRoman"/>
      <w:start w:val="10"/>
    </w:lvl>
  </w:abstractNum>
  <w:abstractNum w:abstractNumId="28">
    <w:nsid w:val="3494B2FB"/>
    <w:multiLevelType w:val="hybridMultilevel"/>
    <w:lvl w:ilvl="0">
      <w:lvlJc w:val="left"/>
      <w:lvlText w:val="(%1)"/>
      <w:numFmt w:val="lowerLetter"/>
      <w:start w:val="1"/>
    </w:lvl>
  </w:abstractNum>
  <w:abstractNum w:abstractNumId="29">
    <w:nsid w:val="B13A31"/>
    <w:multiLevelType w:val="hybridMultilevel"/>
    <w:lvl w:ilvl="0">
      <w:lvlJc w:val="left"/>
      <w:lvlText w:val="(%1)"/>
      <w:numFmt w:val="lowerLetter"/>
      <w:start w:val="3"/>
    </w:lvl>
  </w:abstractNum>
  <w:abstractNum w:abstractNumId="30">
    <w:nsid w:val="64429599"/>
    <w:multiLevelType w:val="hybridMultilevel"/>
    <w:lvl w:ilvl="0">
      <w:lvlJc w:val="left"/>
      <w:lvlText w:val="(%1)"/>
      <w:numFmt w:val="decimal"/>
      <w:start w:val="1"/>
    </w:lvl>
  </w:abstractNum>
  <w:abstractNum w:abstractNumId="31">
    <w:nsid w:val="631F1690"/>
    <w:multiLevelType w:val="hybridMultilevel"/>
    <w:lvl w:ilvl="0">
      <w:lvlJc w:val="left"/>
      <w:lvlText w:val="(%1)"/>
      <w:numFmt w:val="lowerLetter"/>
      <w:start w:val="2"/>
    </w:lvl>
  </w:abstractNum>
  <w:abstractNum w:abstractNumId="32">
    <w:nsid w:val="25973E32"/>
    <w:multiLevelType w:val="hybridMultilevel"/>
    <w:lvl w:ilvl="0">
      <w:lvlJc w:val="left"/>
      <w:lvlText w:val="(%1)"/>
      <w:numFmt w:val="lowerLetter"/>
      <w:start w:val="5"/>
    </w:lvl>
  </w:abstractNum>
  <w:abstractNum w:abstractNumId="33">
    <w:nsid w:val="EAD6F57"/>
    <w:multiLevelType w:val="hybridMultilevel"/>
    <w:lvl w:ilvl="0">
      <w:lvlJc w:val="left"/>
      <w:lvlText w:val="(%1)"/>
      <w:numFmt w:val="decimal"/>
      <w:start w:val="2"/>
    </w:lvl>
  </w:abstractNum>
  <w:abstractNum w:abstractNumId="34">
    <w:nsid w:val="6EC9D844"/>
    <w:multiLevelType w:val="hybridMultilevel"/>
    <w:lvl w:ilvl="0">
      <w:lvlJc w:val="left"/>
      <w:lvlText w:val="%1"/>
      <w:numFmt w:val="upperLetter"/>
      <w:start w:val="1"/>
    </w:lvl>
    <w:lvl w:ilvl="1">
      <w:lvlJc w:val="left"/>
      <w:lvlText w:val="(%2)"/>
      <w:numFmt w:val="lowerRoman"/>
      <w:start w:val="1"/>
    </w:lvl>
  </w:abstractNum>
  <w:abstractNum w:abstractNumId="35">
    <w:nsid w:val="5C49EAEE"/>
    <w:multiLevelType w:val="hybridMultilevel"/>
    <w:lvl w:ilvl="0">
      <w:lvlJc w:val="left"/>
      <w:lvlText w:val="(%1)"/>
      <w:numFmt w:val="upperLetter"/>
      <w:start w:val="1"/>
    </w:lvl>
    <w:lvl w:ilvl="1">
      <w:lvlJc w:val="left"/>
      <w:lvlText w:val="(%2)"/>
      <w:numFmt w:val="lowerRoman"/>
      <w:start w:val="3"/>
    </w:lvl>
  </w:abstractNum>
  <w:abstractNum w:abstractNumId="36">
    <w:nsid w:val="64AF49B"/>
    <w:multiLevelType w:val="hybridMultilevel"/>
    <w:lvl w:ilvl="0">
      <w:lvlJc w:val="left"/>
      <w:lvlText w:val="(%1)"/>
      <w:numFmt w:val="lowerRoman"/>
      <w:start w:val="4"/>
    </w:lvl>
  </w:abstractNum>
  <w:abstractNum w:abstractNumId="37">
    <w:nsid w:val="397C46BC"/>
    <w:multiLevelType w:val="hybridMultilevel"/>
    <w:lvl w:ilvl="0">
      <w:lvlJc w:val="left"/>
      <w:lvlText w:val="(%1)"/>
      <w:numFmt w:val="lowerRoman"/>
      <w:start w:val="1"/>
    </w:lvl>
  </w:abstractNum>
  <w:abstractNum w:abstractNumId="38">
    <w:nsid w:val="7E448DE9"/>
    <w:multiLevelType w:val="hybridMultilevel"/>
    <w:lvl w:ilvl="0">
      <w:lvlJc w:val="left"/>
      <w:lvlText w:val="%1"/>
      <w:numFmt w:val="lowerLetter"/>
      <w:start w:val="1"/>
    </w:lvl>
    <w:lvl w:ilvl="1">
      <w:lvlJc w:val="left"/>
      <w:lvlText w:val="(%2)"/>
      <w:numFmt w:val="lowerLetter"/>
      <w:start w:val="1"/>
    </w:lvl>
  </w:abstractNum>
  <w:abstractNum w:abstractNumId="39">
    <w:nsid w:val="5A9CC3E5"/>
    <w:multiLevelType w:val="hybridMultilevel"/>
    <w:lvl w:ilvl="0">
      <w:lvlJc w:val="left"/>
      <w:lvlText w:val="(%1)"/>
      <w:numFmt w:val="lowerLetter"/>
      <w:start w:val="24"/>
    </w:lvl>
    <w:lvl w:ilvl="1">
      <w:lvlJc w:val="left"/>
      <w:lvlText w:val="(%2)"/>
      <w:numFmt w:val="lowerLetter"/>
      <w:start w:val="2"/>
    </w:lvl>
  </w:abstractNum>
  <w:abstractNum w:abstractNumId="40">
    <w:nsid w:val="1AFE3625"/>
    <w:multiLevelType w:val="hybridMultilevel"/>
    <w:lvl w:ilvl="0">
      <w:lvlJc w:val="left"/>
      <w:lvlText w:val="(%1)"/>
      <w:numFmt w:val="lowerRoman"/>
      <w:start w:val="1"/>
    </w:lvl>
  </w:abstractNum>
  <w:abstractNum w:abstractNumId="41">
    <w:nsid w:val="3CA88ECF"/>
    <w:multiLevelType w:val="hybridMultilevel"/>
    <w:lvl w:ilvl="0">
      <w:lvlJc w:val="left"/>
      <w:lvlText w:val="(%1)"/>
      <w:numFmt w:val="lowerLetter"/>
      <w:start w:val="2"/>
    </w:lvl>
  </w:abstractNum>
  <w:abstractNum w:abstractNumId="42">
    <w:nsid w:val="6EBE4208"/>
    <w:multiLevelType w:val="hybridMultilevel"/>
    <w:lvl w:ilvl="0">
      <w:lvlJc w:val="left"/>
      <w:lvlText w:val="(%1)"/>
      <w:numFmt w:val="lowerLetter"/>
      <w:start w:val="2"/>
    </w:lvl>
  </w:abstractNum>
  <w:abstractNum w:abstractNumId="43">
    <w:nsid w:val="C058DF5"/>
    <w:multiLevelType w:val="hybridMultilevel"/>
    <w:lvl w:ilvl="0">
      <w:lvlJc w:val="left"/>
      <w:lvlText w:val="(%1)"/>
      <w:numFmt w:val="lowerLetter"/>
      <w:start w:val="1"/>
    </w:lvl>
  </w:abstractNum>
  <w:abstractNum w:abstractNumId="44">
    <w:nsid w:val="CBE5BE9"/>
    <w:multiLevelType w:val="hybridMultilevel"/>
    <w:lvl w:ilvl="0">
      <w:lvlJc w:val="left"/>
      <w:lvlText w:val="(%1)"/>
      <w:numFmt w:val="lowerRoman"/>
      <w:start w:val="2"/>
    </w:lvl>
  </w:abstractNum>
  <w:abstractNum w:abstractNumId="45">
    <w:nsid w:val="3102BBE2"/>
    <w:multiLevelType w:val="hybridMultilevel"/>
    <w:lvl w:ilvl="0">
      <w:lvlJc w:val="left"/>
      <w:lvlText w:val="(%1)"/>
      <w:numFmt w:val="lowerLetter"/>
      <w:start w:val="61"/>
    </w:lvl>
  </w:abstractNum>
  <w:abstractNum w:abstractNumId="46">
    <w:nsid w:val="26A02C5E"/>
    <w:multiLevelType w:val="hybridMultilevel"/>
    <w:lvl w:ilvl="0">
      <w:lvlJc w:val="left"/>
      <w:lvlText w:val="(%1)"/>
      <w:numFmt w:val="lowerLetter"/>
      <w:start w:val="1"/>
    </w:lvl>
  </w:abstractNum>
  <w:abstractNum w:abstractNumId="47">
    <w:nsid w:val="541C8153"/>
    <w:multiLevelType w:val="hybridMultilevel"/>
    <w:lvl w:ilvl="0">
      <w:lvlJc w:val="left"/>
      <w:lvlText w:val="(%1)"/>
      <w:numFmt w:val="lowerLetter"/>
      <w:start w:val="1"/>
    </w:lvl>
  </w:abstractNum>
  <w:abstractNum w:abstractNumId="48">
    <w:nsid w:val="67906F60"/>
    <w:multiLevelType w:val="hybridMultilevel"/>
    <w:lvl w:ilvl="0">
      <w:lvlJc w:val="left"/>
      <w:lvlText w:val="(%1)"/>
      <w:numFmt w:val="lowerRoman"/>
      <w:start w:val="1"/>
    </w:lvl>
  </w:abstractNum>
  <w:abstractNum w:abstractNumId="49">
    <w:nsid w:val="10DB9DAA"/>
    <w:multiLevelType w:val="hybridMultilevel"/>
    <w:lvl w:ilvl="0">
      <w:lvlJc w:val="left"/>
      <w:lvlText w:val="(%1)"/>
      <w:numFmt w:val="lowerRoman"/>
      <w:start w:val="1"/>
    </w:lvl>
  </w:abstractNum>
  <w:abstractNum w:abstractNumId="50">
    <w:nsid w:val="697D2D2"/>
    <w:multiLevelType w:val="hybridMultilevel"/>
    <w:lvl w:ilvl="0">
      <w:lvlJc w:val="left"/>
      <w:lvlText w:val="(%1)"/>
      <w:numFmt w:val="lowerRoman"/>
      <w:start w:val="3"/>
    </w:lvl>
  </w:abstractNum>
  <w:abstractNum w:abstractNumId="51">
    <w:nsid w:val="6D68AB2"/>
    <w:multiLevelType w:val="hybridMultilevel"/>
    <w:lvl w:ilvl="0">
      <w:lvlJc w:val="left"/>
      <w:lvlText w:val="(%1)"/>
      <w:numFmt w:val="lowerRoman"/>
      <w:start w:val="5"/>
    </w:lvl>
  </w:abstractNum>
  <w:abstractNum w:abstractNumId="52">
    <w:nsid w:val="3A966CD0"/>
    <w:multiLevelType w:val="hybridMultilevel"/>
    <w:lvl w:ilvl="0">
      <w:lvlJc w:val="left"/>
      <w:lvlText w:val="(%1)"/>
      <w:numFmt w:val="lowerRoman"/>
      <w:start w:val="1"/>
    </w:lvl>
  </w:abstractNum>
  <w:abstractNum w:abstractNumId="53">
    <w:nsid w:val="63F37E85"/>
    <w:multiLevelType w:val="hybridMultilevel"/>
    <w:lvl w:ilvl="0">
      <w:lvlJc w:val="left"/>
      <w:lvlText w:val="(%1)"/>
      <w:numFmt w:val="lowerRoman"/>
      <w:start w:val="1"/>
    </w:lvl>
  </w:abstractNum>
  <w:abstractNum w:abstractNumId="54">
    <w:nsid w:val="5895F5FA"/>
    <w:multiLevelType w:val="hybridMultilevel"/>
    <w:lvl w:ilvl="0">
      <w:lvlJc w:val="left"/>
      <w:lvlText w:val="(%1)"/>
      <w:numFmt w:val="lowerRoman"/>
      <w:start w:val="1"/>
    </w:lvl>
  </w:abstractNum>
  <w:abstractNum w:abstractNumId="55">
    <w:nsid w:val="38A5D054"/>
    <w:multiLevelType w:val="hybridMultilevel"/>
    <w:lvl w:ilvl="0">
      <w:lvlJc w:val="left"/>
      <w:lvlText w:val="(%1)"/>
      <w:numFmt w:val="lowerRoman"/>
      <w:start w:val="1"/>
    </w:lvl>
  </w:abstractNum>
  <w:abstractNum w:abstractNumId="56">
    <w:nsid w:val="F3F09D8"/>
    <w:multiLevelType w:val="hybridMultilevel"/>
    <w:lvl w:ilvl="0">
      <w:lvlJc w:val="left"/>
      <w:lvlText w:val="(%1)"/>
      <w:numFmt w:val="lowerRoman"/>
      <w:start w:val="1"/>
    </w:lvl>
  </w:abstractNum>
  <w:abstractNum w:abstractNumId="57">
    <w:nsid w:val="4B793735"/>
    <w:multiLevelType w:val="hybridMultilevel"/>
    <w:lvl w:ilvl="0">
      <w:lvlJc w:val="left"/>
      <w:lvlText w:val="(%1)"/>
      <w:numFmt w:val="lowerRoman"/>
      <w:start w:val="1"/>
    </w:lvl>
  </w:abstractNum>
  <w:abstractNum w:abstractNumId="58">
    <w:nsid w:val="4A10B4E8"/>
    <w:multiLevelType w:val="hybridMultilevel"/>
    <w:lvl w:ilvl="0">
      <w:lvlJc w:val="left"/>
      <w:lvlText w:val="(%1)"/>
      <w:numFmt w:val="lowerLetter"/>
      <w:start w:val="1"/>
    </w:lvl>
  </w:abstractNum>
  <w:abstractNum w:abstractNumId="59">
    <w:nsid w:val="43D3BCD4"/>
    <w:multiLevelType w:val="hybridMultilevel"/>
    <w:lvl w:ilvl="0">
      <w:lvlJc w:val="left"/>
      <w:lvlText w:val="(%1)"/>
      <w:numFmt w:val="lowerRoman"/>
      <w:start w:val="2"/>
    </w:lvl>
  </w:abstractNum>
  <w:abstractNum w:abstractNumId="60">
    <w:nsid w:val="4C2A7166"/>
    <w:multiLevelType w:val="hybridMultilevel"/>
    <w:lvl w:ilvl="0">
      <w:lvlJc w:val="left"/>
      <w:lvlText w:val="(%1)"/>
      <w:numFmt w:val="lowerLetter"/>
      <w:start w:val="1"/>
    </w:lvl>
  </w:abstractNum>
  <w:abstractNum w:abstractNumId="61">
    <w:nsid w:val="2E534A82"/>
    <w:multiLevelType w:val="hybridMultilevel"/>
    <w:lvl w:ilvl="0">
      <w:lvlJc w:val="left"/>
      <w:lvlText w:val="(%1)"/>
      <w:numFmt w:val="lowerLetter"/>
      <w:start w:val="3"/>
    </w:lvl>
  </w:abstractNum>
  <w:abstractNum w:abstractNumId="62">
    <w:nsid w:val="26F2D364"/>
    <w:multiLevelType w:val="hybridMultilevel"/>
    <w:lvl w:ilvl="0">
      <w:lvlJc w:val="left"/>
      <w:lvlText w:val="(%1)"/>
      <w:numFmt w:val="lowerLetter"/>
      <w:start w:val="1"/>
    </w:lvl>
  </w:abstractNum>
  <w:abstractNum w:abstractNumId="63">
    <w:nsid w:val="71C1AF98"/>
    <w:multiLevelType w:val="hybridMultilevel"/>
    <w:lvl w:ilvl="0">
      <w:lvlJc w:val="left"/>
      <w:lvlText w:val="(%1)"/>
      <w:numFmt w:val="lowerLetter"/>
      <w:start w:val="1"/>
    </w:lvl>
    <w:lvl w:ilvl="1">
      <w:lvlJc w:val="left"/>
      <w:lvlText w:val="(%2)"/>
      <w:numFmt w:val="lowerLetter"/>
      <w:start w:val="9"/>
    </w:lvl>
  </w:abstractNum>
  <w:abstractNum w:abstractNumId="64">
    <w:nsid w:val="3D00B9D9"/>
    <w:multiLevelType w:val="hybridMultilevel"/>
    <w:lvl w:ilvl="0">
      <w:lvlJc w:val="left"/>
      <w:lvlText w:val="(%1)"/>
      <w:numFmt w:val="lowerRoman"/>
      <w:start w:val="2"/>
    </w:lvl>
    <w:lvl w:ilvl="1">
      <w:lvlJc w:val="left"/>
      <w:lvlText w:val="(%2)"/>
      <w:numFmt w:val="lowerRoman"/>
      <w:start w:val="2"/>
    </w:lvl>
  </w:abstractNum>
  <w:abstractNum w:abstractNumId="65">
    <w:nsid w:val="15BCABA8"/>
    <w:multiLevelType w:val="hybridMultilevel"/>
    <w:lvl w:ilvl="0">
      <w:lvlJc w:val="left"/>
      <w:lvlText w:val="(%1)"/>
      <w:numFmt w:val="lowerLetter"/>
      <w:start w:val="2"/>
    </w:lvl>
    <w:lvl w:ilvl="1">
      <w:lvlJc w:val="left"/>
      <w:lvlText w:val="(%2)"/>
      <w:numFmt w:val="lowerRoman"/>
      <w:start w:val="1"/>
    </w:lvl>
  </w:abstractNum>
  <w:abstractNum w:abstractNumId="66">
    <w:nsid w:val="4E0B9A87"/>
    <w:multiLevelType w:val="hybridMultilevel"/>
    <w:lvl w:ilvl="0">
      <w:lvlJc w:val="left"/>
      <w:lvlText w:val="%1"/>
      <w:numFmt w:val="lowerLetter"/>
      <w:start w:val="1"/>
    </w:lvl>
    <w:lvl w:ilvl="1">
      <w:lvlJc w:val="left"/>
      <w:lvlText w:val="(%2)"/>
      <w:numFmt w:val="lowerLetter"/>
      <w:start w:val="61"/>
    </w:lvl>
  </w:abstractNum>
  <w:abstractNum w:abstractNumId="67">
    <w:nsid w:val="434BAE75"/>
    <w:multiLevelType w:val="hybridMultilevel"/>
    <w:lvl w:ilvl="0">
      <w:lvlJc w:val="left"/>
      <w:lvlText w:val="(%1)"/>
      <w:numFmt w:val="lowerLetter"/>
      <w:start w:val="2"/>
    </w:lvl>
    <w:lvl w:ilvl="1">
      <w:lvlJc w:val="left"/>
      <w:lvlText w:val="%2"/>
      <w:numFmt w:val="lowerLetter"/>
      <w:start w:val="1"/>
    </w:lvl>
  </w:abstractNum>
  <w:abstractNum w:abstractNumId="68">
    <w:nsid w:val="4F38F265"/>
    <w:multiLevelType w:val="hybridMultilevel"/>
    <w:lvl w:ilvl="0">
      <w:lvlJc w:val="left"/>
      <w:lvlText w:val="(%1)"/>
      <w:numFmt w:val="lowerLetter"/>
      <w:start w:val="3"/>
    </w:lvl>
    <w:lvl w:ilvl="1">
      <w:lvlJc w:val="left"/>
      <w:lvlText w:val="(%2)"/>
      <w:numFmt w:val="lowerRoman"/>
      <w:start w:val="1"/>
    </w:lvl>
  </w:abstractNum>
  <w:abstractNum w:abstractNumId="69">
    <w:nsid w:val="4C502870"/>
    <w:multiLevelType w:val="hybridMultilevel"/>
    <w:lvl w:ilvl="0">
      <w:lvlJc w:val="left"/>
      <w:lvlText w:val="%1"/>
      <w:numFmt w:val="upperLetter"/>
      <w:start w:val="1"/>
    </w:lvl>
    <w:lvl w:ilvl="1">
      <w:lvlJc w:val="left"/>
      <w:lvlText w:val="(%2)"/>
      <w:numFmt w:val="lowerRoman"/>
      <w:start w:val="3"/>
    </w:lvl>
  </w:abstractNum>
  <w:abstractNum w:abstractNumId="70">
    <w:nsid w:val="1DE8725A"/>
    <w:multiLevelType w:val="hybridMultilevel"/>
    <w:lvl w:ilvl="0">
      <w:lvlJc w:val="left"/>
      <w:lvlText w:val="(%1)"/>
      <w:numFmt w:val="upperLetter"/>
      <w:start w:val="4"/>
    </w:lvl>
    <w:lvl w:ilvl="1">
      <w:lvlJc w:val="left"/>
      <w:lvlText w:val="%2"/>
      <w:numFmt w:val="lowerRoman"/>
      <w:start w:val="1"/>
    </w:lvl>
  </w:abstractNum>
  <w:abstractNum w:abstractNumId="71">
    <w:nsid w:val="6A37288A"/>
    <w:multiLevelType w:val="hybridMultilevel"/>
    <w:lvl w:ilvl="0">
      <w:lvlJc w:val="left"/>
      <w:lvlText w:val="%1"/>
      <w:numFmt w:val="lowerLetter"/>
      <w:start w:val="1"/>
    </w:lvl>
    <w:lvl w:ilvl="1">
      <w:lvlJc w:val="left"/>
      <w:lvlText w:val="(%2)"/>
      <w:numFmt w:val="lowerLetter"/>
      <w:start w:val="1"/>
    </w:lvl>
  </w:abstractNum>
  <w:abstractNum w:abstractNumId="72">
    <w:nsid w:val="8F8B73F"/>
    <w:multiLevelType w:val="hybridMultilevel"/>
    <w:lvl w:ilvl="0">
      <w:lvlJc w:val="left"/>
      <w:lvlText w:val="(%1)"/>
      <w:numFmt w:val="lowerLetter"/>
      <w:start w:val="9"/>
    </w:lvl>
    <w:lvl w:ilvl="1">
      <w:lvlJc w:val="left"/>
      <w:lvlText w:val="%2"/>
      <w:numFmt w:val="lowerLetter"/>
      <w:start w:val="1"/>
    </w:lvl>
  </w:abstractNum>
  <w:abstractNum w:abstractNumId="73">
    <w:nsid w:val="CA6B462"/>
    <w:multiLevelType w:val="hybridMultilevel"/>
    <w:lvl w:ilvl="0">
      <w:lvlJc w:val="left"/>
      <w:lvlText w:val="(%1)"/>
      <w:numFmt w:val="decimal"/>
      <w:start w:val="10"/>
    </w:lvl>
  </w:abstractNum>
  <w:abstractNum w:abstractNumId="74">
    <w:nsid w:val="763CB680"/>
    <w:multiLevelType w:val="hybridMultilevel"/>
    <w:lvl w:ilvl="0">
      <w:lvlJc w:val="left"/>
      <w:lvlText w:val="(%1)"/>
      <w:numFmt w:val="lowerRoman"/>
      <w:start w:val="2"/>
    </w:lvl>
  </w:abstractNum>
  <w:abstractNum w:abstractNumId="75">
    <w:nsid w:val="15B71329"/>
    <w:multiLevelType w:val="hybridMultilevel"/>
    <w:lvl w:ilvl="0">
      <w:lvlJc w:val="left"/>
      <w:lvlText w:val="(%1)"/>
      <w:numFmt w:val="lowerRoman"/>
      <w:start w:val="2"/>
    </w:lvl>
  </w:abstractNum>
  <w:abstractNum w:abstractNumId="76">
    <w:nsid w:val="3DA97044"/>
    <w:multiLevelType w:val="hybridMultilevel"/>
    <w:lvl w:ilvl="0">
      <w:lvlJc w:val="left"/>
      <w:lvlText w:val="(%1)"/>
      <w:numFmt w:val="lowerLetter"/>
      <w:start w:val="26"/>
    </w:lvl>
  </w:abstractNum>
  <w:abstractNum w:abstractNumId="77">
    <w:nsid w:val="1CDCE2DE"/>
    <w:multiLevelType w:val="hybridMultilevel"/>
    <w:lvl w:ilvl="0">
      <w:lvlJc w:val="left"/>
      <w:lvlText w:val="%1"/>
      <w:numFmt w:val="decimal"/>
      <w:start w:val="1"/>
    </w:lvl>
    <w:lvl w:ilvl="1">
      <w:lvlJc w:val="left"/>
      <w:lvlText w:val="(%2)"/>
      <w:numFmt w:val="lowerLetter"/>
      <w:start w:val="1"/>
    </w:lvl>
  </w:abstractNum>
  <w:abstractNum w:abstractNumId="78">
    <w:nsid w:val="69D3947C"/>
    <w:multiLevelType w:val="hybridMultilevel"/>
    <w:lvl w:ilvl="0">
      <w:lvlJc w:val="left"/>
      <w:lvlText w:val="(%1)"/>
      <w:numFmt w:val="decimal"/>
      <w:start w:val="2"/>
    </w:lvl>
    <w:lvl w:ilvl="1">
      <w:lvlJc w:val="left"/>
      <w:lvlText w:val="(%2)"/>
      <w:numFmt w:val="lowerLetter"/>
      <w:start w:val="3"/>
    </w:lvl>
  </w:abstractNum>
  <w:abstractNum w:abstractNumId="79">
    <w:nsid w:val="2539DFA5"/>
    <w:multiLevelType w:val="hybridMultilevel"/>
    <w:lvl w:ilvl="0">
      <w:lvlJc w:val="left"/>
      <w:lvlText w:val="%1"/>
      <w:numFmt w:val="lowerLetter"/>
      <w:start w:val="1"/>
    </w:lvl>
    <w:lvl w:ilvl="1">
      <w:lvlJc w:val="left"/>
      <w:lvlText w:val="(%2)"/>
      <w:numFmt w:val="lowerLetter"/>
      <w:start w:val="4"/>
    </w:lvl>
  </w:abstractNum>
  <w:abstractNum w:abstractNumId="80">
    <w:nsid w:val="2DB88089"/>
    <w:multiLevelType w:val="hybridMultilevel"/>
    <w:lvl w:ilvl="0">
      <w:lvlJc w:val="left"/>
      <w:lvlText w:val="(%1)"/>
      <w:numFmt w:val="lowerLetter"/>
      <w:start w:val="35"/>
    </w:lvl>
    <w:lvl w:ilvl="1">
      <w:lvlJc w:val="left"/>
      <w:lvlText w:val="(%2)"/>
      <w:numFmt w:val="lowerLetter"/>
      <w:start w:val="6"/>
    </w:lvl>
  </w:abstractNum>
  <w:abstractNum w:abstractNumId="81">
    <w:nsid w:val="706B674E"/>
    <w:multiLevelType w:val="hybridMultilevel"/>
    <w:lvl w:ilvl="0">
      <w:lvlJc w:val="left"/>
      <w:lvlText w:val="(%1)"/>
      <w:numFmt w:val="lowerLetter"/>
      <w:start w:val="7"/>
    </w:lvl>
  </w:abstractNum>
  <w:abstractNum w:abstractNumId="82">
    <w:nsid w:val="2C106A57"/>
    <w:multiLevelType w:val="hybridMultilevel"/>
    <w:lvl w:ilvl="0">
      <w:lvlJc w:val="left"/>
      <w:lvlText w:val="%1"/>
      <w:numFmt w:val="upperLetter"/>
      <w:start w:val="1"/>
    </w:lvl>
    <w:lvl w:ilvl="1">
      <w:lvlJc w:val="left"/>
      <w:lvlText w:val="(%2)"/>
      <w:numFmt w:val="lowerLetter"/>
      <w:start w:val="1"/>
    </w:lvl>
  </w:abstractNum>
  <w:abstractNum w:abstractNumId="83">
    <w:nsid w:val="684EED59"/>
    <w:multiLevelType w:val="hybridMultilevel"/>
    <w:lvl w:ilvl="0">
      <w:lvlJc w:val="left"/>
      <w:lvlText w:val="(%1)"/>
      <w:numFmt w:val="upperLetter"/>
      <w:start w:val="24"/>
    </w:lvl>
    <w:lvl w:ilvl="1">
      <w:lvlJc w:val="left"/>
      <w:lvlText w:val="%2"/>
      <w:numFmt w:val="lowerLetter"/>
      <w:start w:val="1"/>
    </w:lvl>
  </w:abstractNum>
  <w:abstractNum w:abstractNumId="84">
    <w:nsid w:val="545EE5D3"/>
    <w:multiLevelType w:val="hybridMultilevel"/>
    <w:lvl w:ilvl="0">
      <w:lvlJc w:val="left"/>
      <w:lvlText w:val="(%1)"/>
      <w:numFmt w:val="lowerLetter"/>
      <w:start w:val="2"/>
    </w:lvl>
  </w:abstractNum>
  <w:abstractNum w:abstractNumId="85">
    <w:nsid w:val="4A66051"/>
    <w:multiLevelType w:val="hybridMultilevel"/>
    <w:lvl w:ilvl="0">
      <w:lvlJc w:val="left"/>
      <w:lvlText w:val="(%1)"/>
      <w:numFmt w:val="decimal"/>
      <w:start w:val="3"/>
    </w:lvl>
  </w:abstractNum>
  <w:abstractNum w:abstractNumId="86">
    <w:nsid w:val="20F4BDAD"/>
    <w:multiLevelType w:val="hybridMultilevel"/>
    <w:lvl w:ilvl="0">
      <w:lvlJc w:val="left"/>
      <w:lvlText w:val="(%1)"/>
      <w:numFmt w:val="lowerLetter"/>
      <w:start w:val="5"/>
    </w:lvl>
  </w:abstractNum>
  <w:abstractNum w:abstractNumId="87">
    <w:nsid w:val="639DEFAC"/>
    <w:multiLevelType w:val="hybridMultilevel"/>
    <w:lvl w:ilvl="0">
      <w:lvlJc w:val="left"/>
      <w:lvlText w:val="(%1)"/>
      <w:numFmt w:val="lowerLetter"/>
      <w:start w:val="1"/>
    </w:lvl>
  </w:abstractNum>
  <w:abstractNum w:abstractNumId="88">
    <w:nsid w:val="501F9786"/>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89">
    <w:nsid w:val="6B057295"/>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2"/>
    </w:lvl>
  </w:abstractNum>
  <w:abstractNum w:abstractNumId="90">
    <w:nsid w:val="2771AC8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91">
    <w:nsid w:val="1C4A08EC"/>
    <w:multiLevelType w:val="hybridMultilevel"/>
    <w:lvl w:ilvl="0">
      <w:lvlJc w:val="left"/>
      <w:lvlText w:val="(%1)"/>
      <w:numFmt w:val="lowerLetter"/>
      <w:start w:val="4"/>
    </w:lvl>
  </w:abstractNum>
  <w:abstractNum w:abstractNumId="92">
    <w:nsid w:val="1958BD17"/>
    <w:multiLevelType w:val="hybridMultilevel"/>
    <w:lvl w:ilvl="0">
      <w:lvlJc w:val="left"/>
      <w:lvlText w:val="(%1)"/>
      <w:numFmt w:val="lowerRoman"/>
      <w:start w:val="2"/>
    </w:lvl>
  </w:abstractNum>
  <w:abstractNum w:abstractNumId="93">
    <w:nsid w:val="4E647FE4"/>
    <w:multiLevelType w:val="hybridMultilevel"/>
    <w:lvl w:ilvl="0">
      <w:lvlJc w:val="left"/>
      <w:lvlText w:val="(%1)"/>
      <w:numFmt w:val="lowerLetter"/>
      <w:start w:val="5"/>
    </w:lvl>
  </w:abstractNum>
  <w:abstractNum w:abstractNumId="94">
    <w:nsid w:val="E0BB885"/>
    <w:multiLevelType w:val="hybridMultilevel"/>
    <w:lvl w:ilvl="0">
      <w:lvlJc w:val="left"/>
      <w:lvlText w:val="(%1)"/>
      <w:numFmt w:val="lowerRoman"/>
      <w:start w:val="1"/>
    </w:lvl>
    <w:lvl w:ilvl="1">
      <w:lvlJc w:val="left"/>
      <w:lvlText w:val="(%2)"/>
      <w:numFmt w:val="upperLetter"/>
      <w:start w:val="1"/>
    </w:lvl>
  </w:abstractNum>
  <w:abstractNum w:abstractNumId="95">
    <w:nsid w:val="565976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96">
    <w:nsid w:val="64212B8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97">
    <w:nsid w:val="5C17530C"/>
    <w:multiLevelType w:val="hybridMultilevel"/>
    <w:lvl w:ilvl="0">
      <w:lvlJc w:val="left"/>
      <w:lvlText w:val="%1"/>
      <w:numFmt w:val="lowerLetter"/>
      <w:start w:val="1"/>
    </w:lvl>
    <w:lvl w:ilvl="1">
      <w:lvlJc w:val="left"/>
      <w:lvlText w:val="(%2)"/>
      <w:numFmt w:val="lowerLetter"/>
      <w:start w:val="8"/>
    </w:lvl>
  </w:abstractNum>
  <w:abstractNum w:abstractNumId="98">
    <w:nsid w:val="19A52566"/>
    <w:multiLevelType w:val="hybridMultilevel"/>
    <w:lvl w:ilvl="0">
      <w:lvlJc w:val="left"/>
      <w:lvlText w:val="(%1)"/>
      <w:numFmt w:val="lowerLetter"/>
      <w:start w:val="9"/>
    </w:lvl>
    <w:lvl w:ilvl="1">
      <w:lvlJc w:val="left"/>
      <w:lvlText w:val="%2"/>
      <w:numFmt w:val="lowerLetter"/>
      <w:start w:val="1"/>
    </w:lvl>
  </w:abstractNum>
  <w:abstractNum w:abstractNumId="99">
    <w:nsid w:val="335A1DF1"/>
    <w:multiLevelType w:val="hybridMultilevel"/>
    <w:lvl w:ilvl="0">
      <w:lvlJc w:val="left"/>
      <w:lvlText w:val="%1"/>
      <w:numFmt w:val="lowerLetter"/>
      <w:start w:val="1"/>
    </w:lvl>
    <w:lvl w:ilvl="1">
      <w:lvlJc w:val="left"/>
      <w:lvlText w:val="(%2)"/>
      <w:numFmt w:val="lowerLetter"/>
      <w:start w:val="9"/>
    </w:lvl>
  </w:abstractNum>
  <w:abstractNum w:abstractNumId="100">
    <w:nsid w:val="28677B7C"/>
    <w:multiLevelType w:val="hybridMultilevel"/>
    <w:lvl w:ilvl="0">
      <w:lvlJc w:val="left"/>
      <w:lvlText w:val="(%1)"/>
      <w:numFmt w:val="lowerLetter"/>
      <w:start w:val="9"/>
    </w:lvl>
    <w:lvl w:ilvl="1">
      <w:lvlJc w:val="left"/>
      <w:lvlText w:val="(%2)"/>
      <w:numFmt w:val="lowerLetter"/>
      <w:start w:val="10"/>
    </w:lvl>
  </w:abstractNum>
  <w:abstractNum w:abstractNumId="101">
    <w:nsid w:val="378D97C0"/>
    <w:multiLevelType w:val="hybridMultilevel"/>
    <w:lvl w:ilvl="0">
      <w:lvlJc w:val="left"/>
      <w:lvlText w:val="(%1)"/>
      <w:numFmt w:val="lowerLetter"/>
      <w:start w:val="1"/>
    </w:lvl>
  </w:abstractNum>
  <w:abstractNum w:abstractNumId="102">
    <w:nsid w:val="1D91467C"/>
    <w:multiLevelType w:val="hybridMultilevel"/>
    <w:lvl w:ilvl="0">
      <w:lvlJc w:val="left"/>
      <w:lvlText w:val="%1"/>
      <w:numFmt w:val="lowerLetter"/>
      <w:start w:val="1"/>
    </w:lvl>
    <w:lvl w:ilvl="1">
      <w:lvlJc w:val="left"/>
      <w:lvlText w:val="(%2)"/>
      <w:numFmt w:val="lowerRoman"/>
      <w:start w:val="1"/>
    </w:lvl>
  </w:abstractNum>
  <w:abstractNum w:abstractNumId="103">
    <w:nsid w:val="316032BB"/>
    <w:multiLevelType w:val="hybridMultilevel"/>
    <w:lvl w:ilvl="0">
      <w:lvlJc w:val="left"/>
      <w:lvlText w:val="(%1)"/>
      <w:numFmt w:val="lowerLetter"/>
      <w:start w:val="1"/>
    </w:lvl>
    <w:lvl w:ilvl="1">
      <w:lvlJc w:val="left"/>
      <w:lvlText w:val="%2"/>
      <w:numFmt w:val="lowerRoman"/>
      <w:start w:val="1"/>
    </w:lvl>
  </w:abstractNum>
  <w:abstractNum w:abstractNumId="104">
    <w:nsid w:val="44344C22"/>
    <w:multiLevelType w:val="hybridMultilevel"/>
    <w:lvl w:ilvl="0">
      <w:lvlJc w:val="left"/>
      <w:lvlText w:val="(%1)"/>
      <w:numFmt w:val="lowerLetter"/>
      <w:start w:val="25"/>
    </w:lvl>
  </w:abstractNum>
  <w:abstractNum w:abstractNumId="105">
    <w:nsid w:val="13CDFCFC"/>
    <w:multiLevelType w:val="hybridMultilevel"/>
    <w:lvl w:ilvl="0">
      <w:lvlJc w:val="left"/>
      <w:lvlText w:val="%1"/>
      <w:numFmt w:val="lowerLetter"/>
      <w:start w:val="1"/>
    </w:lvl>
    <w:lvl w:ilvl="1">
      <w:lvlJc w:val="left"/>
      <w:lvlText w:val="(%2)"/>
      <w:numFmt w:val="lowerLetter"/>
      <w:start w:val="3"/>
    </w:lvl>
  </w:abstractNum>
  <w:abstractNum w:abstractNumId="106">
    <w:nsid w:val="471745E4"/>
    <w:multiLevelType w:val="hybridMultilevel"/>
    <w:lvl w:ilvl="0">
      <w:lvlJc w:val="left"/>
      <w:lvlText w:val="(%1)"/>
      <w:numFmt w:val="lowerLetter"/>
      <w:start w:val="24"/>
    </w:lvl>
    <w:lvl w:ilvl="1">
      <w:lvlJc w:val="left"/>
      <w:lvlText w:val="(%2)"/>
      <w:numFmt w:val="lowerLetter"/>
      <w:start w:val="5"/>
    </w:lvl>
  </w:abstractNum>
  <w:abstractNum w:abstractNumId="107">
    <w:nsid w:val="1DDBC66"/>
    <w:multiLevelType w:val="hybridMultilevel"/>
    <w:lvl w:ilvl="0">
      <w:lvlJc w:val="left"/>
      <w:lvlText w:val="(%1)"/>
      <w:numFmt w:val="lowerLetter"/>
      <w:start w:val="6"/>
    </w:lvl>
  </w:abstractNum>
  <w:abstractNum w:abstractNumId="108">
    <w:nsid w:val="30AADFDA"/>
    <w:multiLevelType w:val="hybridMultilevel"/>
    <w:lvl w:ilvl="0">
      <w:lvlJc w:val="left"/>
      <w:lvlText w:val="(%1)"/>
      <w:numFmt w:val="lowerLetter"/>
      <w:start w:val="1"/>
    </w:lvl>
  </w:abstractNum>
  <w:abstractNum w:abstractNumId="109">
    <w:nsid w:val="30EADA61"/>
    <w:multiLevelType w:val="hybridMultilevel"/>
    <w:lvl w:ilvl="0">
      <w:lvlJc w:val="left"/>
      <w:lvlText w:val="(%1)"/>
      <w:numFmt w:val="lowerLetter"/>
      <w:start w:val="2"/>
    </w:lvl>
  </w:abstractNum>
  <w:abstractNum w:abstractNumId="110">
    <w:nsid w:val="27179C0B"/>
    <w:multiLevelType w:val="hybridMultilevel"/>
    <w:lvl w:ilvl="0">
      <w:lvlJc w:val="left"/>
      <w:lvlText w:val="(%1)"/>
      <w:numFmt w:val="lowerLetter"/>
      <w:start w:val="1"/>
    </w:lvl>
  </w:abstractNum>
  <w:abstractNum w:abstractNumId="111">
    <w:nsid w:val="5E636063"/>
    <w:multiLevelType w:val="hybridMultilevel"/>
    <w:lvl w:ilvl="0">
      <w:lvlJc w:val="left"/>
      <w:lvlText w:val="%1"/>
      <w:numFmt w:val="upperLetter"/>
      <w:start w:val="1"/>
    </w:lvl>
    <w:lvl w:ilvl="1">
      <w:lvlJc w:val="left"/>
      <w:lvlText w:val="(%2)"/>
      <w:numFmt w:val="lowerLetter"/>
      <w:start w:val="1"/>
    </w:lvl>
  </w:abstractNum>
  <w:abstractNum w:abstractNumId="112">
    <w:nsid w:val="215641AF"/>
    <w:multiLevelType w:val="hybridMultilevel"/>
    <w:lvl w:ilvl="0">
      <w:lvlJc w:val="left"/>
      <w:lvlText w:val="(%1)"/>
      <w:numFmt w:val="upperLetter"/>
      <w:start w:val="3"/>
    </w:lvl>
    <w:lvl w:ilvl="1">
      <w:lvlJc w:val="left"/>
      <w:lvlText w:val="(%2)"/>
      <w:numFmt w:val="lowerLetter"/>
      <w:start w:val="2"/>
    </w:lvl>
  </w:abstractNum>
  <w:abstractNum w:abstractNumId="113">
    <w:nsid w:val="53280662"/>
    <w:multiLevelType w:val="hybridMultilevel"/>
    <w:lvl w:ilvl="0">
      <w:lvlJc w:val="left"/>
      <w:lvlText w:val="(%1)"/>
      <w:numFmt w:val="upperLetter"/>
      <w:start w:val="1"/>
    </w:lvl>
    <w:lvl w:ilvl="1">
      <w:lvlJc w:val="left"/>
      <w:lvlText w:val="(%2)"/>
      <w:numFmt w:val="lowerLetter"/>
      <w:start w:val="3"/>
    </w:lvl>
  </w:abstractNum>
  <w:abstractNum w:abstractNumId="114">
    <w:nsid w:val="46B24DBC"/>
    <w:multiLevelType w:val="hybridMultilevel"/>
    <w:lvl w:ilvl="0">
      <w:lvlJc w:val="left"/>
      <w:lvlText w:val="(%1)"/>
      <w:numFmt w:val="lowerLetter"/>
      <w:start w:val="1"/>
    </w:lvl>
  </w:abstractNum>
  <w:abstractNum w:abstractNumId="115">
    <w:nsid w:val="75B52783"/>
    <w:multiLevelType w:val="hybridMultilevel"/>
    <w:lvl w:ilvl="0">
      <w:lvlJc w:val="left"/>
      <w:lvlText w:val="(%1)"/>
      <w:numFmt w:val="lowerLetter"/>
      <w:start w:val="2"/>
    </w:lvl>
  </w:abstractNum>
  <w:abstractNum w:abstractNumId="116">
    <w:nsid w:val="57CE66B4"/>
    <w:multiLevelType w:val="hybridMultilevel"/>
    <w:lvl w:ilvl="0">
      <w:lvlJc w:val="left"/>
      <w:lvlText w:val="(%1)"/>
      <w:numFmt w:val="lowerLetter"/>
      <w:start w:val="1"/>
    </w:lvl>
  </w:abstractNum>
  <w:abstractNum w:abstractNumId="117">
    <w:nsid w:val="67A70B69"/>
    <w:multiLevelType w:val="hybridMultilevel"/>
    <w:lvl w:ilvl="0">
      <w:lvlJc w:val="left"/>
      <w:lvlText w:val="(%1)"/>
      <w:numFmt w:val="lowerLetter"/>
      <w:start w:val="1"/>
    </w:lvl>
    <w:lvl w:ilvl="1">
      <w:lvlJc w:val="left"/>
      <w:lvlText w:val="(%2)"/>
      <w:numFmt w:val="lowerRoman"/>
      <w:start w:val="1"/>
    </w:lvl>
  </w:abstractNum>
  <w:abstractNum w:abstractNumId="118">
    <w:nsid w:val="5953172F"/>
    <w:multiLevelType w:val="hybridMultilevel"/>
    <w:lvl w:ilvl="0">
      <w:lvlJc w:val="left"/>
      <w:lvlText w:val="(%1)"/>
      <w:numFmt w:val="lowerLetter"/>
      <w:start w:val="3"/>
    </w:lvl>
  </w:abstractNum>
  <w:abstractNum w:abstractNumId="119">
    <w:nsid w:val="27EDFE3A"/>
    <w:multiLevelType w:val="hybridMultilevel"/>
    <w:lvl w:ilvl="0">
      <w:lvlJc w:val="left"/>
      <w:lvlText w:val="(%1)"/>
      <w:numFmt w:val="lowerLetter"/>
      <w:start w:val="7"/>
    </w:lvl>
  </w:abstractNum>
  <w:abstractNum w:abstractNumId="120">
    <w:nsid w:val="52AC7DFF"/>
    <w:multiLevelType w:val="hybridMultilevel"/>
    <w:lvl w:ilvl="0">
      <w:lvlJc w:val="left"/>
      <w:lvlText w:val="(%1)"/>
      <w:numFmt w:val="lowerLetter"/>
      <w:start w:val="1"/>
    </w:lvl>
  </w:abstractNum>
  <w:abstractNum w:abstractNumId="121">
    <w:nsid w:val="C4C3AF"/>
    <w:multiLevelType w:val="hybridMultilevel"/>
    <w:lvl w:ilvl="0">
      <w:lvlJc w:val="left"/>
      <w:lvlText w:val="(%1)"/>
      <w:numFmt w:val="lowerLetter"/>
      <w:start w:val="8"/>
    </w:lvl>
  </w:abstractNum>
  <w:abstractNum w:abstractNumId="122">
    <w:nsid w:val="44380727"/>
    <w:multiLevelType w:val="hybridMultilevel"/>
    <w:lvl w:ilvl="0">
      <w:lvlJc w:val="left"/>
      <w:lvlText w:val="(%1)"/>
      <w:numFmt w:val="lowerLetter"/>
      <w:start w:val="13"/>
    </w:lvl>
  </w:abstractNum>
  <w:abstractNum w:abstractNumId="123">
    <w:nsid w:val="6C053B16"/>
    <w:multiLevelType w:val="hybridMultilevel"/>
    <w:lvl w:ilvl="0">
      <w:lvlJc w:val="left"/>
      <w:lvlText w:val="(%1)"/>
      <w:numFmt w:val="lowerLetter"/>
      <w:start w:val="1"/>
    </w:lvl>
  </w:abstractNum>
  <w:abstractNum w:abstractNumId="124">
    <w:nsid w:val="4F294393"/>
    <w:multiLevelType w:val="hybridMultilevel"/>
    <w:lvl w:ilvl="0">
      <w:lvlJc w:val="left"/>
      <w:lvlText w:val="(%1)"/>
      <w:numFmt w:val="lowerLetter"/>
      <w:start w:val="2"/>
    </w:lvl>
  </w:abstractNum>
  <w:abstractNum w:abstractNumId="125">
    <w:nsid w:val="5243BFAC"/>
    <w:multiLevelType w:val="hybridMultilevel"/>
    <w:lvl w:ilvl="0">
      <w:lvlJc w:val="left"/>
      <w:lvlText w:val="(%1)"/>
      <w:numFmt w:val="lowerLetter"/>
      <w:start w:val="1"/>
    </w:lvl>
  </w:abstractNum>
  <w:abstractNum w:abstractNumId="126">
    <w:nsid w:val="425EB207"/>
    <w:multiLevelType w:val="hybridMultilevel"/>
    <w:lvl w:ilvl="0">
      <w:lvlJc w:val="left"/>
      <w:lvlText w:val="(%1)"/>
      <w:numFmt w:val="lowerLetter"/>
      <w:start w:val="3"/>
    </w:lvl>
  </w:abstractNum>
  <w:abstractNum w:abstractNumId="127">
    <w:nsid w:val="334A6F1F"/>
    <w:multiLevelType w:val="hybridMultilevel"/>
    <w:lvl w:ilvl="0">
      <w:lvlJc w:val="left"/>
      <w:lvlText w:val="(%1)"/>
      <w:numFmt w:val="lowerLetter"/>
      <w:start w:val="1"/>
    </w:lvl>
  </w:abstractNum>
  <w:abstractNum w:abstractNumId="128">
    <w:nsid w:val="2E5B12B8"/>
    <w:multiLevelType w:val="hybridMultilevel"/>
    <w:lvl w:ilvl="0">
      <w:lvlJc w:val="left"/>
      <w:lvlText w:val="(%1)"/>
      <w:numFmt w:val="lowerLetter"/>
      <w:start w:val="3"/>
    </w:lvl>
  </w:abstractNum>
  <w:abstractNum w:abstractNumId="129">
    <w:nsid w:val="5C03D76D"/>
    <w:multiLevelType w:val="hybridMultilevel"/>
    <w:lvl w:ilvl="0">
      <w:lvlJc w:val="left"/>
      <w:lvlText w:val="(%1)"/>
      <w:numFmt w:val="lowerLetter"/>
      <w:start w:val="1"/>
    </w:lvl>
    <w:lvl w:ilvl="1">
      <w:lvlJc w:val="left"/>
      <w:lvlText w:val="(%2)"/>
      <w:numFmt w:val="lowerRoman"/>
      <w:start w:val="1"/>
    </w:lvl>
  </w:abstractNum>
  <w:abstractNum w:abstractNumId="130">
    <w:nsid w:val="66A48D11"/>
    <w:multiLevelType w:val="hybridMultilevel"/>
    <w:lvl w:ilvl="0">
      <w:lvlJc w:val="left"/>
      <w:lvlText w:val="(%1)"/>
      <w:numFmt w:val="lowerLetter"/>
      <w:start w:val="1"/>
    </w:lvl>
    <w:lvl w:ilvl="1">
      <w:lvlJc w:val="left"/>
      <w:lvlText w:val="(%2)"/>
      <w:numFmt w:val="lowerRoman"/>
      <w:start w:val="1"/>
    </w:lvl>
  </w:abstractNum>
  <w:abstractNum w:abstractNumId="131">
    <w:nsid w:val="56C28E34"/>
    <w:multiLevelType w:val="hybridMultilevel"/>
    <w:lvl w:ilvl="0">
      <w:lvlJc w:val="left"/>
      <w:lvlText w:val="(%1)"/>
      <w:numFmt w:val="lowerRoman"/>
      <w:start w:val="2"/>
    </w:lvl>
  </w:abstractNum>
  <w:abstractNum w:abstractNumId="132">
    <w:nsid w:val="13916F2D"/>
    <w:multiLevelType w:val="hybridMultilevel"/>
    <w:lvl w:ilvl="0">
      <w:lvlJc w:val="left"/>
      <w:lvlText w:val="(%1)"/>
      <w:numFmt w:val="lowerLetter"/>
      <w:start w:val="2"/>
    </w:lvl>
    <w:lvl w:ilvl="1">
      <w:lvlJc w:val="left"/>
      <w:lvlText w:val="(%2)"/>
      <w:numFmt w:val="lowerRoman"/>
      <w:start w:val="1"/>
    </w:lvl>
  </w:abstractNum>
  <w:abstractNum w:abstractNumId="133">
    <w:nsid w:val="435D38D"/>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134">
    <w:nsid w:val="822C0EF"/>
    <w:multiLevelType w:val="hybridMultilevel"/>
    <w:lvl w:ilvl="0">
      <w:lvlJc w:val="left"/>
      <w:lvlText w:val="(%1)"/>
      <w:numFmt w:val="lowerRoman"/>
      <w:start w:val="2"/>
    </w:lvl>
  </w:abstractNum>
  <w:abstractNum w:abstractNumId="135">
    <w:nsid w:val="57C5BB4F"/>
    <w:multiLevelType w:val="hybridMultilevel"/>
    <w:lvl w:ilvl="0">
      <w:lvlJc w:val="left"/>
      <w:lvlText w:val="(%1)"/>
      <w:numFmt w:val="lowerLetter"/>
      <w:start w:val="3"/>
    </w:lvl>
  </w:abstractNum>
  <w:abstractNum w:abstractNumId="136">
    <w:nsid w:val="1803D089"/>
    <w:multiLevelType w:val="hybridMultilevel"/>
    <w:lvl w:ilvl="0">
      <w:lvlJc w:val="left"/>
      <w:lvlText w:val="(%1)"/>
      <w:numFmt w:val="lowerLetter"/>
      <w:start w:val="5"/>
    </w:lvl>
  </w:abstractNum>
  <w:abstractNum w:abstractNumId="137">
    <w:nsid w:val="4F3A06D4"/>
    <w:multiLevelType w:val="hybridMultilevel"/>
    <w:lvl w:ilvl="0">
      <w:lvlJc w:val="left"/>
      <w:lvlText w:val="(%1)"/>
      <w:numFmt w:val="lowerLetter"/>
      <w:start w:val="1"/>
    </w:lvl>
  </w:abstractNum>
  <w:abstractNum w:abstractNumId="138">
    <w:nsid w:val="59A377B6"/>
    <w:multiLevelType w:val="hybridMultilevel"/>
    <w:lvl w:ilvl="0">
      <w:lvlJc w:val="left"/>
      <w:lvlText w:val="(%1)"/>
      <w:numFmt w:val="lowerLetter"/>
      <w:start w:val="1"/>
    </w:lvl>
  </w:abstractNum>
  <w:abstractNum w:abstractNumId="139">
    <w:nsid w:val="48AEB063"/>
    <w:multiLevelType w:val="hybridMultilevel"/>
    <w:lvl w:ilvl="0">
      <w:lvlJc w:val="left"/>
      <w:lvlText w:val="%1"/>
      <w:numFmt w:val="lowerLetter"/>
      <w:start w:val="1"/>
    </w:lvl>
    <w:lvl w:ilvl="1">
      <w:lvlJc w:val="left"/>
      <w:lvlText w:val="(%2)"/>
      <w:numFmt w:val="lowerLetter"/>
      <w:start w:val="2"/>
    </w:lvl>
  </w:abstractNum>
  <w:abstractNum w:abstractNumId="140">
    <w:nsid w:val="24E135"/>
    <w:multiLevelType w:val="hybridMultilevel"/>
    <w:lvl w:ilvl="0">
      <w:lvlJc w:val="left"/>
      <w:lvlText w:val="(%1)"/>
      <w:numFmt w:val="lowerLetter"/>
      <w:start w:val="9"/>
    </w:lvl>
    <w:lvl w:ilvl="1">
      <w:lvlJc w:val="left"/>
      <w:lvlText w:val="(%2)"/>
      <w:numFmt w:val="lowerLetter"/>
      <w:start w:val="4"/>
    </w:lvl>
  </w:abstractNum>
  <w:abstractNum w:abstractNumId="141">
    <w:nsid w:val="BB13C1"/>
    <w:multiLevelType w:val="hybridMultilevel"/>
    <w:lvl w:ilvl="0">
      <w:lvlJc w:val="left"/>
      <w:lvlText w:val="(%1)"/>
      <w:numFmt w:val="lowerLetter"/>
      <w:start w:val="9"/>
    </w:lvl>
    <w:lvl w:ilvl="1">
      <w:lvlJc w:val="left"/>
      <w:lvlText w:val="(%2)"/>
      <w:numFmt w:val="lowerLetter"/>
      <w:start w:val="5"/>
    </w:lvl>
  </w:abstractNum>
  <w:abstractNum w:abstractNumId="142">
    <w:nsid w:val="271210C7"/>
    <w:multiLevelType w:val="hybridMultilevel"/>
    <w:lvl w:ilvl="0">
      <w:lvlJc w:val="left"/>
      <w:lvlText w:val="(%1)"/>
      <w:numFmt w:val="lowerLetter"/>
      <w:start w:val="1"/>
    </w:lvl>
  </w:abstractNum>
  <w:abstractNum w:abstractNumId="143">
    <w:nsid w:val="217B22E4"/>
    <w:multiLevelType w:val="hybridMultilevel"/>
    <w:lvl w:ilvl="0">
      <w:lvlJc w:val="left"/>
      <w:lvlText w:val="(%1)"/>
      <w:numFmt w:val="lowerLetter"/>
      <w:start w:val="1"/>
    </w:lvl>
    <w:lvl w:ilvl="1">
      <w:lvlJc w:val="left"/>
      <w:lvlText w:val="(%2)"/>
      <w:numFmt w:val="lowerRoman"/>
      <w:start w:val="1"/>
    </w:lvl>
  </w:abstractNum>
  <w:abstractNum w:abstractNumId="144">
    <w:nsid w:val="53E31A24"/>
    <w:multiLevelType w:val="hybridMultilevel"/>
    <w:lvl w:ilvl="0">
      <w:lvlJc w:val="left"/>
      <w:lvlText w:val="(%1)"/>
      <w:numFmt w:val="lowerLetter"/>
      <w:start w:val="2"/>
    </w:lvl>
  </w:abstractNum>
  <w:abstractNum w:abstractNumId="145">
    <w:nsid w:val="6DC45E83"/>
    <w:multiLevelType w:val="hybridMultilevel"/>
    <w:lvl w:ilvl="0">
      <w:lvlJc w:val="left"/>
      <w:lvlText w:val="%1"/>
      <w:numFmt w:val="lowerLetter"/>
      <w:start w:val="1"/>
    </w:lvl>
    <w:lvl w:ilvl="1">
      <w:lvlJc w:val="left"/>
      <w:lvlText w:val="(%2)"/>
      <w:numFmt w:val="lowerRoman"/>
      <w:start w:val="1"/>
    </w:lvl>
  </w:abstractNum>
  <w:abstractNum w:abstractNumId="146">
    <w:nsid w:val="17304A67"/>
    <w:multiLevelType w:val="hybridMultilevel"/>
    <w:lvl w:ilvl="0">
      <w:lvlJc w:val="left"/>
      <w:lvlText w:val="(%1)"/>
      <w:numFmt w:val="lowerLetter"/>
      <w:start w:val="7"/>
    </w:lvl>
    <w:lvl w:ilvl="1">
      <w:lvlJc w:val="left"/>
      <w:lvlText w:val="%2"/>
      <w:numFmt w:val="lowerRoman"/>
      <w:start w:val="1"/>
    </w:lvl>
  </w:abstractNum>
  <w:abstractNum w:abstractNumId="147">
    <w:nsid w:val="2BB180D8"/>
    <w:multiLevelType w:val="hybridMultilevel"/>
    <w:lvl w:ilvl="0">
      <w:lvlJc w:val="left"/>
      <w:lvlText w:val="(%1)"/>
      <w:numFmt w:val="lowerLetter"/>
      <w:start w:val="1"/>
    </w:lvl>
  </w:abstractNum>
  <w:abstractNum w:abstractNumId="148">
    <w:nsid w:val="556B69ED"/>
    <w:multiLevelType w:val="hybridMultilevel"/>
    <w:lvl w:ilvl="0">
      <w:lvlJc w:val="left"/>
      <w:lvlText w:val="(%1)"/>
      <w:numFmt w:val="lowerLetter"/>
      <w:start w:val="2"/>
    </w:lvl>
  </w:abstractNum>
  <w:abstractNum w:abstractNumId="149">
    <w:nsid w:val="70836196"/>
    <w:multiLevelType w:val="hybridMultilevel"/>
    <w:lvl w:ilvl="0">
      <w:lvlJc w:val="left"/>
      <w:lvlText w:val="(%1)"/>
      <w:numFmt w:val="lowerLetter"/>
      <w:start w:val="1"/>
    </w:lvl>
  </w:abstractNum>
  <w:abstractNum w:abstractNumId="150">
    <w:nsid w:val="539F7F12"/>
    <w:multiLevelType w:val="hybridMultilevel"/>
    <w:lvl w:ilvl="0">
      <w:lvlJc w:val="left"/>
      <w:lvlText w:val="(%1)"/>
      <w:numFmt w:val="lowerRoman"/>
      <w:start w:val="2"/>
    </w:lvl>
  </w:abstractNum>
  <w:abstractNum w:abstractNumId="151">
    <w:nsid w:val="2817E7EC"/>
    <w:multiLevelType w:val="hybridMultilevel"/>
    <w:lvl w:ilvl="0">
      <w:lvlJc w:val="left"/>
      <w:lvlText w:val="(%1)"/>
      <w:numFmt w:val="lowerLetter"/>
      <w:start w:val="2"/>
    </w:lvl>
  </w:abstractNum>
  <w:abstractNum w:abstractNumId="152">
    <w:nsid w:val="71482545"/>
    <w:multiLevelType w:val="hybridMultilevel"/>
    <w:lvl w:ilvl="0">
      <w:lvlJc w:val="left"/>
      <w:lvlText w:val="(%1)"/>
      <w:numFmt w:val="lowerLetter"/>
      <w:start w:val="1"/>
    </w:lvl>
  </w:abstractNum>
  <w:abstractNum w:abstractNumId="153">
    <w:nsid w:val="17D78639"/>
    <w:multiLevelType w:val="hybridMultilevel"/>
    <w:lvl w:ilvl="0">
      <w:lvlJc w:val="left"/>
      <w:lvlText w:val="(%1)"/>
      <w:numFmt w:val="lowerRoman"/>
      <w:start w:val="1"/>
    </w:lvl>
  </w:abstractNum>
  <w:abstractNum w:abstractNumId="154">
    <w:nsid w:val="141D2302"/>
    <w:multiLevelType w:val="hybridMultilevel"/>
    <w:lvl w:ilvl="0">
      <w:lvlJc w:val="left"/>
      <w:lvlText w:val="(%1)"/>
      <w:numFmt w:val="upperLetter"/>
      <w:start w:val="9"/>
    </w:lvl>
  </w:abstractNum>
  <w:abstractNum w:abstractNumId="155">
    <w:nsid w:val="407168D8"/>
    <w:multiLevelType w:val="hybridMultilevel"/>
    <w:lvl w:ilvl="0">
      <w:lvlJc w:val="left"/>
      <w:lvlText w:val="%1"/>
      <w:numFmt w:val="lowerRoman"/>
      <w:start w:val="1"/>
    </w:lvl>
    <w:lvl w:ilvl="1">
      <w:lvlJc w:val="left"/>
      <w:lvlText w:val="(%2)"/>
      <w:numFmt w:val="upperLetter"/>
      <w:start w:val="61"/>
    </w:lvl>
  </w:abstractNum>
  <w:abstractNum w:abstractNumId="156">
    <w:nsid w:val="6A1B45E5"/>
    <w:multiLevelType w:val="hybridMultilevel"/>
    <w:lvl w:ilvl="0">
      <w:lvlJc w:val="left"/>
      <w:lvlText w:val="(%1)"/>
      <w:numFmt w:val="lowerRoman"/>
      <w:start w:val="10"/>
    </w:lvl>
    <w:lvl w:ilvl="1">
      <w:lvlJc w:val="left"/>
      <w:lvlText w:val="%2"/>
      <w:numFmt w:val="upperLetter"/>
      <w:start w:val="1"/>
    </w:lvl>
  </w:abstractNum>
  <w:abstractNum w:abstractNumId="157">
    <w:nsid w:val="567BD50A"/>
    <w:multiLevelType w:val="hybridMultilevel"/>
    <w:lvl w:ilvl="0">
      <w:lvlJc w:val="left"/>
      <w:lvlText w:val="(%1)"/>
      <w:numFmt w:val="upperLetter"/>
      <w:start w:val="22"/>
    </w:lvl>
  </w:abstractNum>
  <w:abstractNum w:abstractNumId="158">
    <w:nsid w:val="73BBD7F8"/>
    <w:multiLevelType w:val="hybridMultilevel"/>
    <w:lvl w:ilvl="0">
      <w:lvlJc w:val="left"/>
      <w:lvlText w:val="(%1)"/>
      <w:numFmt w:val="lowerRoman"/>
      <w:start w:val="2"/>
    </w:lvl>
  </w:abstractNum>
  <w:abstractNum w:abstractNumId="159">
    <w:nsid w:val="1876589D"/>
    <w:multiLevelType w:val="hybridMultilevel"/>
    <w:lvl w:ilvl="0">
      <w:lvlJc w:val="left"/>
      <w:lvlText w:val="(%1)"/>
      <w:numFmt w:val="lowerLetter"/>
      <w:start w:val="5"/>
    </w:lvl>
  </w:abstractNum>
  <w:abstractNum w:abstractNumId="160">
    <w:nsid w:val="327FAC77"/>
    <w:multiLevelType w:val="hybridMultilevel"/>
    <w:lvl w:ilvl="0">
      <w:lvlJc w:val="left"/>
      <w:lvlText w:val="(%1)"/>
      <w:numFmt w:val="lowerRoman"/>
      <w:start w:val="1"/>
    </w:lvl>
  </w:abstractNum>
  <w:abstractNum w:abstractNumId="161">
    <w:nsid w:val="5A606509"/>
    <w:multiLevelType w:val="hybridMultilevel"/>
    <w:lvl w:ilvl="0">
      <w:lvlJc w:val="left"/>
      <w:lvlText w:val="%1"/>
      <w:numFmt w:val="upperLetter"/>
      <w:start w:val="1"/>
    </w:lvl>
    <w:lvl w:ilvl="1">
      <w:lvlJc w:val="left"/>
      <w:lvlText w:val="(%2)"/>
      <w:numFmt w:val="upperLetter"/>
      <w:start w:val="1"/>
    </w:lvl>
  </w:abstractNum>
  <w:abstractNum w:abstractNumId="162">
    <w:nsid w:val="6F38E6D1"/>
    <w:multiLevelType w:val="hybridMultilevel"/>
    <w:lvl w:ilvl="0">
      <w:lvlJc w:val="left"/>
      <w:lvlText w:val="(%1)"/>
      <w:numFmt w:val="upperLetter"/>
      <w:start w:val="1"/>
    </w:lvl>
    <w:lvl w:ilvl="1">
      <w:lvlJc w:val="left"/>
      <w:lvlText w:val="(%2)"/>
      <w:numFmt w:val="upperLetter"/>
      <w:start w:val="2"/>
    </w:lvl>
  </w:abstractNum>
  <w:abstractNum w:abstractNumId="163">
    <w:nsid w:val="46111BA5"/>
    <w:multiLevelType w:val="hybridMultilevel"/>
    <w:lvl w:ilvl="0">
      <w:lvlJc w:val="left"/>
      <w:lvlText w:val="(%1)"/>
      <w:numFmt w:val="lowerLetter"/>
      <w:start w:val="6"/>
    </w:lvl>
  </w:abstractNum>
  <w:abstractNum w:abstractNumId="164">
    <w:nsid w:val="5E963896"/>
    <w:multiLevelType w:val="hybridMultilevel"/>
    <w:lvl w:ilvl="0">
      <w:lvlJc w:val="left"/>
      <w:lvlText w:val="(%1)"/>
      <w:numFmt w:val="upperLetter"/>
      <w:start w:val="1"/>
    </w:lvl>
    <w:lvl w:ilvl="1">
      <w:lvlJc w:val="left"/>
      <w:lvlText w:val="(%2)"/>
      <w:numFmt w:val="upperLetter"/>
      <w:start w:val="9"/>
    </w:lvl>
  </w:abstractNum>
  <w:abstractNum w:abstractNumId="165">
    <w:nsid w:val="775BA7C1"/>
    <w:multiLevelType w:val="hybridMultilevel"/>
    <w:lvl w:ilvl="0">
      <w:lvlJc w:val="left"/>
      <w:lvlText w:val="%1"/>
      <w:numFmt w:val="upperLetter"/>
      <w:start w:val="1"/>
    </w:lvl>
    <w:lvl w:ilvl="1">
      <w:lvlJc w:val="left"/>
      <w:lvlText w:val="(%2)"/>
      <w:numFmt w:val="upperLetter"/>
      <w:start w:val="35"/>
    </w:lvl>
  </w:abstractNum>
  <w:abstractNum w:abstractNumId="166">
    <w:nsid w:val="1DD6D6F4"/>
    <w:multiLevelType w:val="hybridMultilevel"/>
    <w:lvl w:ilvl="0">
      <w:lvlJc w:val="left"/>
      <w:lvlText w:val="(%1)"/>
      <w:numFmt w:val="upperLetter"/>
      <w:start w:val="2"/>
    </w:lvl>
    <w:lvl w:ilvl="1">
      <w:lvlJc w:val="left"/>
      <w:lvlText w:val="(%2)"/>
      <w:numFmt w:val="upperLetter"/>
      <w:start w:val="9"/>
    </w:lvl>
  </w:abstractNum>
  <w:abstractNum w:abstractNumId="167">
    <w:nsid w:val="769A091F"/>
    <w:multiLevelType w:val="hybridMultilevel"/>
    <w:lvl w:ilvl="0">
      <w:lvlJc w:val="left"/>
      <w:lvlText w:val="(%1)"/>
      <w:numFmt w:val="upperLetter"/>
      <w:start w:val="35"/>
    </w:lvl>
  </w:abstractNum>
  <w:abstractNum w:abstractNumId="168">
    <w:nsid w:val="4695AE95"/>
    <w:multiLevelType w:val="hybridMultilevel"/>
    <w:lvl w:ilvl="0">
      <w:lvlJc w:val="left"/>
      <w:lvlText w:val="(%1)"/>
      <w:numFmt w:val="upperLetter"/>
      <w:start w:val="1"/>
    </w:lvl>
    <w:lvl w:ilvl="1">
      <w:lvlJc w:val="left"/>
      <w:lvlText w:val="(%2)"/>
      <w:numFmt w:val="upperLetter"/>
      <w:start w:val="9"/>
    </w:lvl>
    <w:lvl w:ilvl="2">
      <w:lvlJc w:val="left"/>
      <w:lvlText w:val="(%3)"/>
      <w:numFmt w:val="decimal"/>
      <w:start w:val="1"/>
    </w:lvl>
  </w:abstractNum>
  <w:abstractNum w:abstractNumId="169">
    <w:nsid w:val="777A4EAA"/>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70">
    <w:nsid w:val="3F48B98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171">
    <w:nsid w:val="46BA8FC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172">
    <w:nsid w:val="7835626C"/>
    <w:multiLevelType w:val="hybridMultilevel"/>
    <w:lvl w:ilvl="0">
      <w:lvlJc w:val="left"/>
      <w:lvlText w:val="%1"/>
      <w:numFmt w:val="upperLetter"/>
      <w:start w:val="1"/>
    </w:lvl>
    <w:lvl w:ilvl="1">
      <w:lvlJc w:val="left"/>
      <w:lvlText w:val="(%2)"/>
      <w:numFmt w:val="upperLetter"/>
      <w:start w:val="61"/>
    </w:lvl>
    <w:lvl w:ilvl="2">
      <w:lvlJc w:val="left"/>
      <w:lvlText w:val="%3"/>
      <w:numFmt w:val="decimal"/>
      <w:start w:val="1"/>
    </w:lvl>
    <w:lvl w:ilvl="3">
      <w:lvlJc w:val="left"/>
      <w:lvlText w:val="%4"/>
      <w:numFmt w:val="lowerLetter"/>
      <w:start w:val="1"/>
    </w:lvl>
  </w:abstractNum>
  <w:abstractNum w:abstractNumId="173">
    <w:nsid w:val="665ACA49"/>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74">
    <w:nsid w:val="6835B2AE"/>
    <w:multiLevelType w:val="hybridMultilevel"/>
    <w:lvl w:ilvl="0">
      <w:lvlJc w:val="left"/>
      <w:lvlText w:val="(%1)"/>
      <w:numFmt w:val="upperLetter"/>
      <w:start w:val="1"/>
    </w:lvl>
  </w:abstractNum>
  <w:abstractNum w:abstractNumId="175">
    <w:nsid w:val="4C187C90"/>
    <w:multiLevelType w:val="hybridMultilevel"/>
    <w:lvl w:ilvl="0">
      <w:lvlJc w:val="left"/>
      <w:lvlText w:val="%1"/>
      <w:numFmt w:val="upperLetter"/>
      <w:start w:val="1"/>
    </w:lvl>
    <w:lvl w:ilvl="1">
      <w:lvlJc w:val="left"/>
      <w:lvlText w:val="(%2)"/>
      <w:numFmt w:val="upperLetter"/>
      <w:start w:val="35"/>
    </w:lvl>
  </w:abstractNum>
  <w:abstractNum w:abstractNumId="176">
    <w:nsid w:val="541F28CD"/>
    <w:multiLevelType w:val="hybridMultilevel"/>
    <w:lvl w:ilvl="0">
      <w:lvlJc w:val="left"/>
      <w:lvlText w:val="(%1)"/>
      <w:numFmt w:val="upperLetter"/>
      <w:start w:val="3"/>
    </w:lvl>
    <w:lvl w:ilvl="1">
      <w:lvlJc w:val="left"/>
      <w:lvlText w:val="%2"/>
      <w:numFmt w:val="upperLetter"/>
      <w:start w:val="1"/>
    </w:lvl>
  </w:abstractNum>
  <w:abstractNum w:abstractNumId="177">
    <w:nsid w:val="7F65FD16"/>
    <w:multiLevelType w:val="hybridMultilevel"/>
    <w:lvl w:ilvl="0">
      <w:lvlJc w:val="left"/>
      <w:lvlText w:val="(%1)"/>
      <w:numFmt w:val="upperLetter"/>
      <w:start w:val="1"/>
    </w:lvl>
  </w:abstractNum>
  <w:abstractNum w:abstractNumId="178">
    <w:nsid w:val="77C9FD68"/>
    <w:multiLevelType w:val="hybridMultilevel"/>
    <w:lvl w:ilvl="0">
      <w:lvlJc w:val="left"/>
      <w:lvlText w:val="(%1)"/>
      <w:numFmt w:val="upperLetter"/>
      <w:start w:val="3"/>
    </w:lvl>
  </w:abstractNum>
  <w:abstractNum w:abstractNumId="179">
    <w:nsid w:val="298A92BA"/>
    <w:multiLevelType w:val="hybridMultilevel"/>
    <w:lvl w:ilvl="0">
      <w:lvlJc w:val="left"/>
      <w:lvlText w:val="(%1)"/>
      <w:numFmt w:val="upperLetter"/>
      <w:start w:val="1"/>
    </w:lvl>
  </w:abstractNum>
  <w:abstractNum w:abstractNumId="180">
    <w:nsid w:val="6FE95EAC"/>
    <w:multiLevelType w:val="hybridMultilevel"/>
    <w:lvl w:ilvl="0">
      <w:lvlJc w:val="left"/>
      <w:lvlText w:val="(%1)"/>
      <w:numFmt w:val="upperLetter"/>
      <w:start w:val="9"/>
    </w:lvl>
  </w:abstractNum>
  <w:abstractNum w:abstractNumId="181">
    <w:nsid w:val="4B697C7A"/>
    <w:multiLevelType w:val="hybridMultilevel"/>
    <w:lvl w:ilvl="0">
      <w:lvlJc w:val="left"/>
      <w:lvlText w:val="(%1)"/>
      <w:numFmt w:val="upperLetter"/>
      <w:start w:val="35"/>
    </w:lvl>
    <w:lvl w:ilvl="1">
      <w:lvlJc w:val="left"/>
      <w:lvlText w:val="(%2)"/>
      <w:numFmt w:val="decimal"/>
      <w:start w:val="1"/>
    </w:lvl>
  </w:abstractNum>
  <w:abstractNum w:abstractNumId="182">
    <w:nsid w:val="51A27AA6"/>
    <w:multiLevelType w:val="hybridMultilevel"/>
    <w:lvl w:ilvl="0">
      <w:lvlJc w:val="left"/>
      <w:lvlText w:val="(%1)"/>
      <w:numFmt w:val="upperLetter"/>
      <w:start w:val="61"/>
    </w:lvl>
    <w:lvl w:ilvl="1">
      <w:lvlJc w:val="left"/>
      <w:lvlText w:val="(%2)"/>
      <w:numFmt w:val="decimal"/>
      <w:start w:val="1"/>
    </w:lvl>
  </w:abstractNum>
  <w:abstractNum w:abstractNumId="183">
    <w:nsid w:val="613183F2"/>
    <w:multiLevelType w:val="hybridMultilevel"/>
    <w:lvl w:ilvl="0">
      <w:lvlJc w:val="left"/>
      <w:lvlText w:val="%1"/>
      <w:numFmt w:val="upperLetter"/>
      <w:start w:val="1"/>
    </w:lvl>
    <w:lvl w:ilvl="1">
      <w:lvlJc w:val="left"/>
      <w:lvlText w:val="(%2)"/>
      <w:numFmt w:val="upperLetter"/>
      <w:start w:val="9"/>
    </w:lvl>
  </w:abstractNum>
  <w:abstractNum w:abstractNumId="184">
    <w:nsid w:val="634102B4"/>
    <w:multiLevelType w:val="hybridMultilevel"/>
    <w:lvl w:ilvl="0">
      <w:lvlJc w:val="left"/>
      <w:lvlText w:val="(%1)"/>
      <w:numFmt w:val="upperLetter"/>
      <w:start w:val="35"/>
    </w:lvl>
    <w:lvl w:ilvl="1">
      <w:lvlJc w:val="left"/>
      <w:lvlText w:val="%2"/>
      <w:numFmt w:val="upperLetter"/>
      <w:start w:val="1"/>
    </w:lvl>
  </w:abstractNum>
  <w:abstractNum w:abstractNumId="185">
    <w:nsid w:val="65BF9DA8"/>
    <w:multiLevelType w:val="hybridMultilevel"/>
    <w:lvl w:ilvl="0">
      <w:lvlJc w:val="left"/>
      <w:lvlText w:val="(%1)"/>
      <w:numFmt w:val="decimal"/>
      <w:start w:val="2"/>
    </w:lvl>
  </w:abstractNum>
  <w:abstractNum w:abstractNumId="186">
    <w:nsid w:val="21A2ECCA"/>
    <w:multiLevelType w:val="hybridMultilevel"/>
    <w:lvl w:ilvl="0">
      <w:lvlJc w:val="left"/>
      <w:lvlText w:val="(%1)"/>
      <w:numFmt w:val="decimal"/>
      <w:start w:val="1"/>
    </w:lvl>
  </w:abstractNum>
  <w:abstractNum w:abstractNumId="187">
    <w:nsid w:val="4D5C4899"/>
    <w:multiLevelType w:val="hybridMultilevel"/>
    <w:lvl w:ilvl="0">
      <w:lvlJc w:val="left"/>
      <w:lvlText w:val="(%1)"/>
      <w:numFmt w:val="upperLetter"/>
      <w:start w:val="9"/>
    </w:lvl>
    <w:lvl w:ilvl="1">
      <w:lvlJc w:val="left"/>
      <w:lvlText w:val="(%2)"/>
      <w:numFmt w:val="decimal"/>
      <w:start w:val="1"/>
    </w:lvl>
  </w:abstractNum>
  <w:abstractNum w:abstractNumId="188">
    <w:nsid w:val="3C3B72B2"/>
    <w:multiLevelType w:val="hybridMultilevel"/>
    <w:lvl w:ilvl="0">
      <w:lvlJc w:val="left"/>
      <w:lvlText w:val="(%1)"/>
      <w:numFmt w:val="upperLetter"/>
      <w:start w:val="35"/>
    </w:lvl>
    <w:lvl w:ilvl="1">
      <w:lvlJc w:val="left"/>
      <w:lvlText w:val="(%2)"/>
      <w:numFmt w:val="decimal"/>
      <w:start w:val="1"/>
    </w:lvl>
  </w:abstractNum>
  <w:abstractNum w:abstractNumId="189">
    <w:nsid w:val="155EC4C2"/>
    <w:multiLevelType w:val="hybridMultilevel"/>
    <w:lvl w:ilvl="0">
      <w:lvlJc w:val="left"/>
      <w:lvlText w:val="(%1)"/>
      <w:numFmt w:val="lowerLetter"/>
      <w:start w:val="7"/>
    </w:lvl>
  </w:abstractNum>
  <w:abstractNum w:abstractNumId="190">
    <w:nsid w:val="65D2A137"/>
    <w:multiLevelType w:val="hybridMultilevel"/>
    <w:lvl w:ilvl="0">
      <w:lvlJc w:val="left"/>
      <w:lvlText w:val="(%1)"/>
      <w:numFmt w:val="lowerLetter"/>
      <w:start w:val="1"/>
    </w:lvl>
  </w:abstractNum>
  <w:abstractNum w:abstractNumId="191">
    <w:nsid w:val="6EBB1F2A"/>
    <w:multiLevelType w:val="hybridMultilevel"/>
    <w:lvl w:ilvl="0">
      <w:lvlJc w:val="left"/>
      <w:lvlText w:val="(%1)"/>
      <w:numFmt w:val="lowerRoman"/>
      <w:start w:val="2"/>
    </w:lvl>
  </w:abstractNum>
  <w:abstractNum w:abstractNumId="192">
    <w:nsid w:val="6FBF29CB"/>
    <w:multiLevelType w:val="hybridMultilevel"/>
    <w:lvl w:ilvl="0">
      <w:lvlJc w:val="left"/>
      <w:lvlText w:val="(%1)"/>
      <w:numFmt w:val="lowerRoman"/>
      <w:start w:val="4"/>
    </w:lvl>
  </w:abstractNum>
  <w:abstractNum w:abstractNumId="193">
    <w:nsid w:val="550B8808"/>
    <w:multiLevelType w:val="hybridMultilevel"/>
    <w:lvl w:ilvl="0">
      <w:lvlJc w:val="left"/>
      <w:lvlText w:val="(%1)"/>
      <w:numFmt w:val="lowerLetter"/>
      <w:start w:val="2"/>
    </w:lvl>
    <w:lvl w:ilvl="1">
      <w:lvlJc w:val="left"/>
      <w:lvlText w:val="(%2)"/>
      <w:numFmt w:val="lowerRoman"/>
      <w:start w:val="1"/>
    </w:lvl>
  </w:abstractNum>
  <w:abstractNum w:abstractNumId="194">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95">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6">
    <w:nsid w:val="4C672FC9"/>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1"/>
    </w:lvl>
  </w:abstractNum>
  <w:abstractNum w:abstractNumId="197">
    <w:nsid w:val="52A311C3"/>
    <w:multiLevelType w:val="hybridMultilevel"/>
    <w:lvl w:ilvl="0">
      <w:lvlJc w:val="left"/>
      <w:lvlText w:val="(%1)"/>
      <w:numFmt w:val="lowerLetter"/>
      <w:start w:val="4"/>
    </w:lvl>
  </w:abstractNum>
  <w:abstractNum w:abstractNumId="198">
    <w:nsid w:val="44EF6B80"/>
    <w:multiLevelType w:val="hybridMultilevel"/>
    <w:lvl w:ilvl="0">
      <w:lvlJc w:val="left"/>
      <w:lvlText w:val="(%1)"/>
      <w:numFmt w:val="lowerRoman"/>
      <w:start w:val="1"/>
    </w:lvl>
  </w:abstractNum>
  <w:abstractNum w:abstractNumId="199">
    <w:nsid w:val="12FCDE5E"/>
    <w:multiLevelType w:val="hybridMultilevel"/>
    <w:lvl w:ilvl="0">
      <w:lvlJc w:val="left"/>
      <w:lvlText w:val="(%1)"/>
      <w:numFmt w:val="lowerRoman"/>
      <w:start w:val="1"/>
    </w:lvl>
  </w:abstractNum>
  <w:abstractNum w:abstractNumId="200">
    <w:nsid w:val="4A1D606E"/>
    <w:multiLevelType w:val="hybridMultilevel"/>
    <w:lvl w:ilvl="0">
      <w:lvlJc w:val="left"/>
      <w:lvlText w:val="(%1)"/>
      <w:numFmt w:val="lowerLetter"/>
      <w:start w:val="1"/>
    </w:lvl>
  </w:abstractNum>
  <w:abstractNum w:abstractNumId="201">
    <w:nsid w:val="4382503"/>
    <w:multiLevelType w:val="hybridMultilevel"/>
    <w:lvl w:ilvl="0">
      <w:lvlJc w:val="left"/>
      <w:lvlText w:val="(%1)"/>
      <w:numFmt w:val="lowerLetter"/>
      <w:start w:val="2"/>
    </w:lvl>
  </w:abstractNum>
  <w:abstractNum w:abstractNumId="202">
    <w:nsid w:val="59B76E28"/>
    <w:multiLevelType w:val="hybridMultilevel"/>
    <w:lvl w:ilvl="0">
      <w:lvlJc w:val="left"/>
      <w:lvlText w:val="(%1)"/>
      <w:numFmt w:val="lowerLetter"/>
      <w:start w:val="3"/>
    </w:lvl>
  </w:abstractNum>
  <w:abstractNum w:abstractNumId="203">
    <w:nsid w:val="4252C2DA"/>
    <w:multiLevelType w:val="hybridMultilevel"/>
    <w:lvl w:ilvl="0">
      <w:lvlJc w:val="left"/>
      <w:lvlText w:val="(%1)"/>
      <w:numFmt w:val="lowerLetter"/>
      <w:start w:val="1"/>
    </w:lvl>
  </w:abstractNum>
  <w:abstractNum w:abstractNumId="204">
    <w:nsid w:val="6A92EF4C"/>
    <w:multiLevelType w:val="hybridMultilevel"/>
    <w:lvl w:ilvl="0">
      <w:lvlJc w:val="left"/>
      <w:lvlText w:val="(%1)"/>
      <w:numFmt w:val="lowerLetter"/>
      <w:start w:val="3"/>
    </w:lvl>
  </w:abstractNum>
  <w:abstractNum w:abstractNumId="205">
    <w:nsid w:val="41ED20D7"/>
    <w:multiLevelType w:val="hybridMultilevel"/>
    <w:lvl w:ilvl="0">
      <w:lvlJc w:val="left"/>
      <w:lvlText w:val="%1"/>
      <w:numFmt w:val="lowerLetter"/>
      <w:start w:val="1"/>
    </w:lvl>
    <w:lvl w:ilvl="1">
      <w:lvlJc w:val="left"/>
      <w:lvlText w:val="(%2)"/>
      <w:numFmt w:val="lowerLetter"/>
      <w:start w:val="1"/>
    </w:lvl>
  </w:abstractNum>
  <w:abstractNum w:abstractNumId="206">
    <w:nsid w:val="E6B3F6A"/>
    <w:multiLevelType w:val="hybridMultilevel"/>
    <w:lvl w:ilvl="0">
      <w:lvlJc w:val="left"/>
      <w:lvlText w:val="(%1)"/>
      <w:numFmt w:val="lowerLetter"/>
      <w:start w:val="35"/>
    </w:lvl>
    <w:lvl w:ilvl="1">
      <w:lvlJc w:val="left"/>
      <w:lvlText w:val="(%2)"/>
      <w:numFmt w:val="lowerLetter"/>
      <w:start w:val="2"/>
    </w:lvl>
  </w:abstractNum>
  <w:abstractNum w:abstractNumId="207">
    <w:nsid w:val="3EB21819"/>
    <w:multiLevelType w:val="hybridMultilevel"/>
    <w:lvl w:ilvl="0">
      <w:lvlJc w:val="left"/>
      <w:lvlText w:val="(%1)"/>
      <w:numFmt w:val="lowerLetter"/>
      <w:start w:val="3"/>
    </w:lvl>
  </w:abstractNum>
  <w:abstractNum w:abstractNumId="208">
    <w:nsid w:val="41531DED"/>
    <w:multiLevelType w:val="hybridMultilevel"/>
    <w:lvl w:ilvl="0">
      <w:lvlJc w:val="left"/>
      <w:lvlText w:val="(%1)"/>
      <w:numFmt w:val="lowerLetter"/>
      <w:start w:val="1"/>
    </w:lvl>
  </w:abstractNum>
  <w:abstractNum w:abstractNumId="209">
    <w:nsid w:val="6353CD2"/>
    <w:multiLevelType w:val="hybridMultilevel"/>
    <w:lvl w:ilvl="0">
      <w:lvlJc w:val="left"/>
      <w:lvlText w:val="(%1)"/>
      <w:numFmt w:val="lowerLetter"/>
      <w:start w:val="5"/>
    </w:lvl>
  </w:abstractNum>
  <w:abstractNum w:abstractNumId="210">
    <w:nsid w:val="683CAAD3"/>
    <w:multiLevelType w:val="hybridMultilevel"/>
    <w:lvl w:ilvl="0">
      <w:lvlJc w:val="left"/>
      <w:lvlText w:val="(%1)"/>
      <w:numFmt w:val="lowerLetter"/>
      <w:start w:val="1"/>
    </w:lvl>
  </w:abstractNum>
  <w:abstractNum w:abstractNumId="211">
    <w:nsid w:val="313C7C99"/>
    <w:multiLevelType w:val="hybridMultilevel"/>
    <w:lvl w:ilvl="0">
      <w:lvlJc w:val="left"/>
      <w:lvlText w:val="(%1)"/>
      <w:numFmt w:val="lowerLetter"/>
      <w:start w:val="6"/>
    </w:lvl>
  </w:abstractNum>
  <w:abstractNum w:abstractNumId="212">
    <w:nsid w:val="519EB94C"/>
    <w:multiLevelType w:val="hybridMultilevel"/>
    <w:lvl w:ilvl="0">
      <w:lvlJc w:val="left"/>
      <w:lvlText w:val="%1"/>
      <w:numFmt w:val="lowerLetter"/>
      <w:start w:val="1"/>
    </w:lvl>
    <w:lvl w:ilvl="1">
      <w:lvlJc w:val="left"/>
      <w:lvlText w:val="(%2)"/>
      <w:numFmt w:val="lowerLetter"/>
      <w:start w:val="1"/>
    </w:lvl>
  </w:abstractNum>
  <w:abstractNum w:abstractNumId="213">
    <w:nsid w:val="39DF2579"/>
    <w:multiLevelType w:val="hybridMultilevel"/>
    <w:lvl w:ilvl="0">
      <w:lvlJc w:val="left"/>
      <w:lvlText w:val="(%1)"/>
      <w:numFmt w:val="lowerLetter"/>
      <w:start w:val="9"/>
    </w:lvl>
    <w:lvl w:ilvl="1">
      <w:lvlJc w:val="left"/>
      <w:lvlText w:val="%2"/>
      <w:numFmt w:val="lowerLetter"/>
      <w:start w:val="1"/>
    </w:lvl>
  </w:abstractNum>
  <w:abstractNum w:abstractNumId="214">
    <w:nsid w:val="126E008B"/>
    <w:multiLevelType w:val="hybridMultilevel"/>
    <w:lvl w:ilvl="0">
      <w:lvlJc w:val="left"/>
      <w:lvlText w:val="(%1)"/>
      <w:numFmt w:val="lowerLetter"/>
      <w:start w:val="2"/>
    </w:lvl>
    <w:lvl w:ilvl="1">
      <w:lvlJc w:val="left"/>
      <w:lvlText w:val="(%2)"/>
      <w:numFmt w:val="lowerRoman"/>
      <w:start w:val="1"/>
    </w:lvl>
  </w:abstractNum>
  <w:abstractNum w:abstractNumId="215">
    <w:nsid w:val="34DFBC00"/>
    <w:multiLevelType w:val="hybridMultilevel"/>
    <w:lvl w:ilvl="0">
      <w:lvlJc w:val="left"/>
      <w:lvlText w:val="(%1)"/>
      <w:numFmt w:val="upperLetter"/>
      <w:start w:val="1"/>
    </w:lvl>
  </w:abstractNum>
  <w:abstractNum w:abstractNumId="216">
    <w:nsid w:val="1F9EC322"/>
    <w:multiLevelType w:val="hybridMultilevel"/>
    <w:lvl w:ilvl="0">
      <w:lvlJc w:val="left"/>
      <w:lvlText w:val="(%1)"/>
      <w:numFmt w:val="lowerRoman"/>
      <w:start w:val="2"/>
    </w:lvl>
  </w:abstractNum>
  <w:abstractNum w:abstractNumId="217">
    <w:nsid w:val="3410ED56"/>
    <w:multiLevelType w:val="hybridMultilevel"/>
    <w:lvl w:ilvl="0">
      <w:lvlJc w:val="left"/>
      <w:lvlText w:val="(%1)"/>
      <w:numFmt w:val="lowerRoman"/>
      <w:start w:val="1"/>
    </w:lvl>
  </w:abstractNum>
  <w:abstractNum w:abstractNumId="218">
    <w:nsid w:val="23C049A"/>
    <w:multiLevelType w:val="hybridMultilevel"/>
    <w:lvl w:ilvl="0">
      <w:lvlJc w:val="left"/>
      <w:lvlText w:val="(%1)"/>
      <w:numFmt w:val="lowerLetter"/>
      <w:start w:val="1"/>
    </w:lvl>
  </w:abstractNum>
  <w:abstractNum w:abstractNumId="219">
    <w:nsid w:val="5BDA35D4"/>
    <w:multiLevelType w:val="hybridMultilevel"/>
    <w:lvl w:ilvl="0">
      <w:lvlJc w:val="left"/>
      <w:lvlText w:val="(%1)"/>
      <w:numFmt w:val="lowerLetter"/>
      <w:start w:val="3"/>
    </w:lvl>
  </w:abstractNum>
  <w:abstractNum w:abstractNumId="220">
    <w:nsid w:val="496FB218"/>
    <w:multiLevelType w:val="hybridMultilevel"/>
    <w:lvl w:ilvl="0">
      <w:lvlJc w:val="left"/>
      <w:lvlText w:val="(%1)"/>
      <w:numFmt w:val="lowerRoman"/>
      <w:start w:val="1"/>
    </w:lvl>
  </w:abstractNum>
  <w:abstractNum w:abstractNumId="221">
    <w:nsid w:val="680EA5D1"/>
    <w:multiLevelType w:val="hybridMultilevel"/>
    <w:lvl w:ilvl="0">
      <w:lvlJc w:val="left"/>
      <w:lvlText w:val="(%1)"/>
      <w:numFmt w:val="lowerLetter"/>
      <w:start w:val="1"/>
    </w:lvl>
  </w:abstractNum>
  <w:abstractNum w:abstractNumId="222">
    <w:nsid w:val="4A9554FE"/>
    <w:multiLevelType w:val="hybridMultilevel"/>
    <w:lvl w:ilvl="0">
      <w:lvlJc w:val="left"/>
      <w:lvlText w:val="(%1)"/>
      <w:numFmt w:val="lowerLetter"/>
      <w:start w:val="4"/>
    </w:lvl>
  </w:abstractNum>
  <w:abstractNum w:abstractNumId="223">
    <w:nsid w:val="392EDBE4"/>
    <w:multiLevelType w:val="hybridMultilevel"/>
    <w:lvl w:ilvl="0">
      <w:lvlJc w:val="left"/>
      <w:lvlText w:val="(%1)"/>
      <w:numFmt w:val="lowerLetter"/>
      <w:start w:val="1"/>
    </w:lvl>
    <w:lvl w:ilvl="1">
      <w:lvlJc w:val="left"/>
      <w:lvlText w:val="(%2)"/>
      <w:numFmt w:val="lowerRoman"/>
      <w:start w:val="1"/>
    </w:lvl>
  </w:abstractNum>
  <w:abstractNum w:abstractNumId="224">
    <w:nsid w:val="3D1A2DD9"/>
    <w:multiLevelType w:val="hybridMultilevel"/>
    <w:lvl w:ilvl="0">
      <w:lvlJc w:val="left"/>
      <w:lvlText w:val="(%1)"/>
      <w:numFmt w:val="lowerLetter"/>
      <w:start w:val="1"/>
    </w:lvl>
  </w:abstractNum>
  <w:abstractNum w:abstractNumId="225">
    <w:nsid w:val="7F618FCD"/>
    <w:multiLevelType w:val="hybridMultilevel"/>
    <w:lvl w:ilvl="0">
      <w:lvlJc w:val="left"/>
      <w:lvlText w:val="(%1)"/>
      <w:numFmt w:val="lowerLetter"/>
      <w:start w:val="3"/>
    </w:lvl>
  </w:abstractNum>
  <w:abstractNum w:abstractNumId="226">
    <w:nsid w:val="7843E45"/>
    <w:multiLevelType w:val="hybridMultilevel"/>
    <w:lvl w:ilvl="0">
      <w:lvlJc w:val="left"/>
      <w:lvlText w:val="(%1)"/>
      <w:numFmt w:val="lowerLetter"/>
      <w:start w:val="6"/>
    </w:lvl>
  </w:abstractNum>
  <w:abstractNum w:abstractNumId="227">
    <w:nsid w:val="9815DA3"/>
    <w:multiLevelType w:val="hybridMultilevel"/>
    <w:lvl w:ilvl="0">
      <w:lvlJc w:val="left"/>
      <w:lvlText w:val="(%1)"/>
      <w:numFmt w:val="lowerLetter"/>
      <w:start w:val="5"/>
    </w:lvl>
  </w:abstractNum>
  <w:abstractNum w:abstractNumId="228">
    <w:nsid w:val="5204A191"/>
    <w:multiLevelType w:val="hybridMultilevel"/>
    <w:lvl w:ilvl="0">
      <w:lvlJc w:val="left"/>
      <w:lvlText w:val="(%1)"/>
      <w:numFmt w:val="lowerLetter"/>
      <w:start w:val="1"/>
    </w:lvl>
  </w:abstractNum>
  <w:abstractNum w:abstractNumId="229">
    <w:nsid w:val="4C73A9C6"/>
    <w:multiLevelType w:val="hybridMultilevel"/>
    <w:lvl w:ilvl="0">
      <w:lvlJc w:val="left"/>
      <w:lvlText w:val="(%1)"/>
      <w:numFmt w:val="lowerLetter"/>
      <w:start w:val="1"/>
    </w:lvl>
  </w:abstractNum>
  <w:abstractNum w:abstractNumId="230">
    <w:nsid w:val="1C7E3C01"/>
    <w:multiLevelType w:val="hybridMultilevel"/>
    <w:lvl w:ilvl="0">
      <w:lvlJc w:val="left"/>
      <w:lvlText w:val="(%1)"/>
      <w:numFmt w:val="lowerLetter"/>
      <w:start w:val="2"/>
    </w:lvl>
  </w:abstractNum>
  <w:abstractNum w:abstractNumId="231">
    <w:nsid w:val="1C2201FF"/>
    <w:multiLevelType w:val="hybridMultilevel"/>
    <w:lvl w:ilvl="0">
      <w:lvlJc w:val="left"/>
      <w:lvlText w:val="(%1)"/>
      <w:numFmt w:val="lowerLetter"/>
      <w:start w:val="1"/>
    </w:lvl>
    <w:lvl w:ilvl="1">
      <w:lvlJc w:val="left"/>
      <w:lvlText w:val="(%2)"/>
      <w:numFmt w:val="lowerLetter"/>
      <w:start w:val="9"/>
    </w:lvl>
  </w:abstractNum>
  <w:abstractNum w:abstractNumId="232">
    <w:nsid w:val="50ABCEC9"/>
    <w:multiLevelType w:val="hybridMultilevel"/>
    <w:lvl w:ilvl="0">
      <w:lvlJc w:val="left"/>
      <w:lvlText w:val="%1"/>
      <w:numFmt w:val="decimal"/>
      <w:start w:val="1"/>
    </w:lvl>
    <w:lvl w:ilvl="1">
      <w:lvlJc w:val="left"/>
      <w:lvlText w:val="(%2)"/>
      <w:numFmt w:val="lowerRoman"/>
      <w:start w:val="2"/>
    </w:lvl>
  </w:abstractNum>
  <w:abstractNum w:abstractNumId="233">
    <w:nsid w:val="7635AA2A"/>
    <w:multiLevelType w:val="hybridMultilevel"/>
    <w:lvl w:ilvl="0">
      <w:lvlJc w:val="left"/>
      <w:lvlText w:val="(%1)"/>
      <w:numFmt w:val="decimal"/>
      <w:start w:val="3"/>
    </w:lvl>
    <w:lvl w:ilvl="1">
      <w:lvlJc w:val="left"/>
      <w:lvlText w:val="(%2)"/>
      <w:numFmt w:val="lowerRoman"/>
      <w:start w:val="10"/>
    </w:lvl>
  </w:abstractNum>
  <w:abstractNum w:abstractNumId="234">
    <w:nsid w:val="5E74C4D9"/>
    <w:multiLevelType w:val="hybridMultilevel"/>
    <w:lvl w:ilvl="0">
      <w:lvlJc w:val="left"/>
      <w:lvlText w:val="%1"/>
      <w:numFmt w:val="lowerRoman"/>
      <w:start w:val="1"/>
    </w:lvl>
    <w:lvl w:ilvl="1">
      <w:lvlJc w:val="left"/>
      <w:lvlText w:val="(%2)"/>
      <w:numFmt w:val="lowerRoman"/>
      <w:start w:val="12"/>
    </w:lvl>
  </w:abstractNum>
  <w:abstractNum w:abstractNumId="235">
    <w:nsid w:val="3B3EBE15"/>
    <w:multiLevelType w:val="hybridMultilevel"/>
    <w:lvl w:ilvl="0">
      <w:lvlJc w:val="left"/>
      <w:lvlText w:val="(%1)"/>
      <w:numFmt w:val="lowerRoman"/>
      <w:start w:val="16"/>
    </w:lvl>
    <w:lvl w:ilvl="1">
      <w:lvlJc w:val="left"/>
      <w:lvlText w:val="(%2)"/>
      <w:numFmt w:val="lowerRoman"/>
      <w:start w:val="14"/>
    </w:lvl>
  </w:abstractNum>
  <w:abstractNum w:abstractNumId="236">
    <w:nsid w:val="3822CB01"/>
    <w:multiLevelType w:val="hybridMultilevel"/>
    <w:lvl w:ilvl="0">
      <w:lvlJc w:val="left"/>
      <w:lvlText w:val="(%1)"/>
      <w:numFmt w:val="lowerRoman"/>
      <w:start w:val="18"/>
    </w:lvl>
  </w:abstractNum>
  <w:abstractNum w:abstractNumId="237">
    <w:nsid w:val="6CE00443"/>
    <w:multiLevelType w:val="hybridMultilevel"/>
    <w:lvl w:ilvl="0">
      <w:lvlJc w:val="left"/>
      <w:lvlText w:val="%1"/>
      <w:numFmt w:val="decimal"/>
      <w:start w:val="1"/>
    </w:lvl>
    <w:lvl w:ilvl="1">
      <w:lvlJc w:val="left"/>
      <w:lvlText w:val="(%2)"/>
      <w:numFmt w:val="lowerRoman"/>
      <w:start w:val="27"/>
    </w:lvl>
  </w:abstractNum>
  <w:abstractNum w:abstractNumId="238">
    <w:nsid w:val="79F0D62F"/>
    <w:multiLevelType w:val="hybridMultilevel"/>
    <w:lvl w:ilvl="0">
      <w:lvlJc w:val="left"/>
      <w:lvlText w:val="(%1)"/>
      <w:numFmt w:val="decimal"/>
      <w:start w:val="1"/>
    </w:lvl>
    <w:lvl w:ilvl="1">
      <w:lvlJc w:val="left"/>
      <w:lvlText w:val="(%2)"/>
      <w:numFmt w:val="lowerRoman"/>
      <w:start w:val="30"/>
    </w:lvl>
  </w:abstractNum>
  <w:abstractNum w:abstractNumId="239">
    <w:nsid w:val="7975E8EE"/>
    <w:multiLevelType w:val="hybridMultilevel"/>
    <w:lvl w:ilvl="0">
      <w:lvlJc w:val="left"/>
      <w:lvlText w:val="(%1)"/>
      <w:numFmt w:val="lowerRoman"/>
      <w:start w:val="32"/>
    </w:lvl>
  </w:abstractNum>
  <w:abstractNum w:abstractNumId="240">
    <w:nsid w:val="73154115"/>
    <w:multiLevelType w:val="hybridMultilevel"/>
    <w:lvl w:ilvl="0">
      <w:lvlJc w:val="left"/>
      <w:lvlText w:val="(%1)"/>
      <w:numFmt w:val="lowerLetter"/>
      <w:start w:val="2"/>
    </w:lvl>
  </w:abstractNum>
  <w:abstractNum w:abstractNumId="241">
    <w:nsid w:val="622D8102"/>
    <w:multiLevelType w:val="hybridMultilevel"/>
    <w:lvl w:ilvl="0">
      <w:lvlJc w:val="left"/>
      <w:lvlText w:val="(%1)"/>
      <w:numFmt w:val="lowerLetter"/>
      <w:start w:val="1"/>
    </w:lvl>
  </w:abstractNum>
  <w:abstractNum w:abstractNumId="242">
    <w:nsid w:val="2AB26587"/>
    <w:multiLevelType w:val="hybridMultilevel"/>
    <w:lvl w:ilvl="0">
      <w:lvlJc w:val="left"/>
      <w:lvlText w:val="(%1)"/>
      <w:numFmt w:val="lowerLetter"/>
      <w:start w:val="7"/>
    </w:lvl>
    <w:lvl w:ilvl="1">
      <w:lvlJc w:val="left"/>
      <w:lvlText w:val="(%2)"/>
      <w:numFmt w:val="decimal"/>
      <w:start w:val="1"/>
    </w:lvl>
  </w:abstractNum>
  <w:abstractNum w:abstractNumId="243">
    <w:nsid w:val="44B3FA61"/>
    <w:multiLevelType w:val="hybridMultilevel"/>
    <w:lvl w:ilvl="0">
      <w:lvlJc w:val="left"/>
      <w:lvlText w:val="(%1)"/>
      <w:numFmt w:val="lowerLetter"/>
      <w:start w:val="14"/>
    </w:lvl>
  </w:abstractNum>
  <w:abstractNum w:abstractNumId="244">
    <w:nsid w:val="1C0CA67C"/>
    <w:multiLevelType w:val="hybridMultilevel"/>
    <w:lvl w:ilvl="0">
      <w:lvlJc w:val="left"/>
      <w:lvlText w:val="(%1)"/>
      <w:numFmt w:val="lowerLetter"/>
      <w:start w:val="24"/>
    </w:lvl>
  </w:abstractNum>
  <w:abstractNum w:abstractNumId="245">
    <w:nsid w:val="3D206613"/>
    <w:multiLevelType w:val="hybridMultilevel"/>
    <w:lvl w:ilvl="0">
      <w:lvlJc w:val="left"/>
      <w:lvlText w:val="(%1)"/>
      <w:numFmt w:val="lowerLetter"/>
      <w:start w:val="27"/>
    </w:lvl>
  </w:abstractNum>
  <w:abstractNum w:abstractNumId="246">
    <w:nsid w:val="7993B662"/>
    <w:multiLevelType w:val="hybridMultilevel"/>
    <w:lvl w:ilvl="0">
      <w:lvlJc w:val="left"/>
      <w:lvlText w:val="(%1)"/>
      <w:numFmt w:val="lowerLetter"/>
      <w:start w:val="33"/>
    </w:lvl>
  </w:abstractNum>
  <w:abstractNum w:abstractNumId="247">
    <w:nsid w:val="3BAB699E"/>
    <w:multiLevelType w:val="hybridMultilevel"/>
    <w:lvl w:ilvl="0">
      <w:lvlJc w:val="left"/>
      <w:lvlText w:val="%1"/>
      <w:numFmt w:val="lowerLetter"/>
      <w:start w:val="1"/>
    </w:lvl>
    <w:lvl w:ilvl="1">
      <w:lvlJc w:val="left"/>
      <w:lvlText w:val="(%2)"/>
      <w:numFmt w:val="lowerLetter"/>
      <w:start w:val="1"/>
    </w:lvl>
  </w:abstractNum>
  <w:abstractNum w:abstractNumId="248">
    <w:nsid w:val="71315369"/>
    <w:multiLevelType w:val="hybridMultilevel"/>
    <w:lvl w:ilvl="0">
      <w:lvlJc w:val="left"/>
      <w:lvlText w:val="(%1)"/>
      <w:numFmt w:val="lowerLetter"/>
      <w:start w:val="25"/>
    </w:lvl>
    <w:lvl w:ilvl="1">
      <w:lvlJc w:val="left"/>
      <w:lvlText w:val="%2"/>
      <w:numFmt w:val="lowerLetter"/>
      <w:start w:val="1"/>
    </w:lvl>
  </w:abstractNum>
  <w:abstractNum w:abstractNumId="249">
    <w:nsid w:val="7BCFBAFC"/>
    <w:multiLevelType w:val="hybridMultilevel"/>
    <w:lvl w:ilvl="0">
      <w:lvlJc w:val="left"/>
      <w:lvlText w:val="(%1)"/>
      <w:numFmt w:val="decimal"/>
      <w:start w:val="1"/>
    </w:lvl>
    <w:lvl w:ilvl="1">
      <w:lvlJc w:val="left"/>
      <w:lvlText w:val="(%2)"/>
      <w:numFmt w:val="lowerLetter"/>
      <w:start w:val="2"/>
    </w:lvl>
  </w:abstractNum>
  <w:abstractNum w:abstractNumId="250">
    <w:nsid w:val="17859F72"/>
    <w:multiLevelType w:val="hybridMultilevel"/>
    <w:lvl w:ilvl="0">
      <w:lvlJc w:val="left"/>
      <w:lvlText w:val="(%1)"/>
      <w:numFmt w:val="lowerLetter"/>
      <w:start w:val="1"/>
    </w:lvl>
  </w:abstractNum>
  <w:abstractNum w:abstractNumId="251">
    <w:nsid w:val="3AA10581"/>
    <w:multiLevelType w:val="hybridMultilevel"/>
    <w:lvl w:ilvl="0">
      <w:lvlJc w:val="left"/>
      <w:lvlText w:val="(%1)"/>
      <w:numFmt w:val="lowerLetter"/>
      <w:start w:val="2"/>
    </w:lvl>
  </w:abstractNum>
  <w:abstractNum w:abstractNumId="252">
    <w:nsid w:val="63DE60CD"/>
    <w:multiLevelType w:val="hybridMultilevel"/>
    <w:lvl w:ilvl="0">
      <w:lvlJc w:val="left"/>
      <w:lvlText w:val="(%1)"/>
      <w:numFmt w:val="lowerLetter"/>
      <w:start w:val="13"/>
    </w:lvl>
  </w:abstractNum>
  <w:abstractNum w:abstractNumId="253">
    <w:nsid w:val="621AF471"/>
    <w:multiLevelType w:val="hybridMultilevel"/>
    <w:lvl w:ilvl="0">
      <w:lvlJc w:val="left"/>
      <w:lvlText w:val="(%1)"/>
      <w:numFmt w:val="lowerLetter"/>
      <w:start w:val="24"/>
    </w:lvl>
  </w:abstractNum>
  <w:abstractNum w:abstractNumId="254">
    <w:nsid w:val="73CFE165"/>
    <w:multiLevelType w:val="hybridMultilevel"/>
    <w:lvl w:ilvl="0">
      <w:lvlJc w:val="left"/>
      <w:lvlText w:val="%1"/>
      <w:numFmt w:val="decimal"/>
      <w:start w:val="1"/>
    </w:lvl>
    <w:lvl w:ilvl="1">
      <w:lvlJc w:val="left"/>
      <w:lvlText w:val="(%2)"/>
      <w:numFmt w:val="lowerLetter"/>
      <w:start w:val="27"/>
    </w:lvl>
  </w:abstractNum>
  <w:abstractNum w:abstractNumId="255">
    <w:nsid w:val="20F88EA6"/>
    <w:multiLevelType w:val="hybridMultilevel"/>
    <w:lvl w:ilvl="0">
      <w:lvlJc w:val="left"/>
      <w:lvlText w:val="(%1)"/>
      <w:numFmt w:val="decimal"/>
      <w:start w:val="1"/>
    </w:lvl>
    <w:lvl w:ilvl="1">
      <w:lvlJc w:val="left"/>
      <w:lvlText w:val="%2"/>
      <w:numFmt w:val="lowerLetter"/>
      <w:start w:val="1"/>
    </w:lvl>
  </w:abstractNum>
  <w:abstractNum w:abstractNumId="256">
    <w:nsid w:val="617C843E"/>
    <w:multiLevelType w:val="hybridMultilevel"/>
    <w:lvl w:ilvl="0">
      <w:lvlJc w:val="left"/>
      <w:lvlText w:val="(%1)"/>
      <w:numFmt w:val="lowerLetter"/>
      <w:start w:val="1"/>
    </w:lvl>
  </w:abstractNum>
  <w:abstractNum w:abstractNumId="257">
    <w:nsid w:val="7B541FAB"/>
    <w:multiLevelType w:val="hybridMultilevel"/>
    <w:lvl w:ilvl="0">
      <w:lvlJc w:val="left"/>
      <w:lvlText w:val="%1"/>
      <w:numFmt w:val="lowerLetter"/>
      <w:start w:val="1"/>
    </w:lvl>
    <w:lvl w:ilvl="1">
      <w:lvlJc w:val="left"/>
      <w:lvlText w:val="(%2)"/>
      <w:numFmt w:val="lowerLetter"/>
      <w:start w:val="6"/>
    </w:lvl>
  </w:abstractNum>
  <w:abstractNum w:abstractNumId="258">
    <w:nsid w:val="2A79EC49"/>
    <w:multiLevelType w:val="hybridMultilevel"/>
    <w:lvl w:ilvl="0">
      <w:lvlJc w:val="left"/>
      <w:lvlText w:val="(%1)"/>
      <w:numFmt w:val="lowerLetter"/>
      <w:start w:val="2"/>
    </w:lvl>
    <w:lvl w:ilvl="1">
      <w:lvlJc w:val="left"/>
      <w:lvlText w:val="(%2)"/>
      <w:numFmt w:val="lowerLetter"/>
      <w:start w:val="7"/>
    </w:lvl>
  </w:abstractNum>
  <w:abstractNum w:abstractNumId="259">
    <w:nsid w:val="338125CF"/>
    <w:multiLevelType w:val="hybridMultilevel"/>
    <w:lvl w:ilvl="0">
      <w:lvlJc w:val="left"/>
      <w:lvlText w:val="(%1)"/>
      <w:numFmt w:val="lowerRoman"/>
      <w:start w:val="1"/>
    </w:lvl>
  </w:abstractNum>
  <w:abstractNum w:abstractNumId="260">
    <w:nsid w:val="47C7C971"/>
    <w:multiLevelType w:val="hybridMultilevel"/>
    <w:lvl w:ilvl="0">
      <w:lvlJc w:val="left"/>
      <w:lvlText w:val="(%1)"/>
      <w:numFmt w:val="lowerRoman"/>
      <w:start w:val="4"/>
    </w:lvl>
  </w:abstractNum>
  <w:abstractNum w:abstractNumId="261">
    <w:nsid w:val="46F8284B"/>
    <w:multiLevelType w:val="hybridMultilevel"/>
    <w:lvl w:ilvl="0">
      <w:lvlJc w:val="left"/>
      <w:lvlText w:val="(%1)"/>
      <w:numFmt w:val="lowerLetter"/>
      <w:start w:val="15"/>
    </w:lvl>
  </w:abstractNum>
  <w:abstractNum w:abstractNumId="262">
    <w:nsid w:val="4FA327CE"/>
    <w:multiLevelType w:val="hybridMultilevel"/>
    <w:lvl w:ilvl="0">
      <w:lvlJc w:val="left"/>
      <w:lvlText w:val="(%1)"/>
      <w:numFmt w:val="lowerRoman"/>
      <w:start w:val="10"/>
    </w:lvl>
  </w:abstractNum>
  <w:abstractNum w:abstractNumId="263">
    <w:nsid w:val="1873983A"/>
    <w:multiLevelType w:val="hybridMultilevel"/>
    <w:lvl w:ilvl="0">
      <w:lvlJc w:val="left"/>
      <w:lvlText w:val="(%1)"/>
      <w:numFmt w:val="lowerRoman"/>
      <w:start w:val="10"/>
    </w:lvl>
  </w:abstractNum>
  <w:abstractNum w:abstractNumId="264">
    <w:nsid w:val="3D2DD275"/>
    <w:multiLevelType w:val="hybridMultilevel"/>
    <w:lvl w:ilvl="0">
      <w:lvlJc w:val="left"/>
      <w:lvlText w:val="(%1)"/>
      <w:numFmt w:val="lowerLetter"/>
      <w:start w:val="1"/>
    </w:lvl>
  </w:abstractNum>
  <w:abstractNum w:abstractNumId="265">
    <w:nsid w:val="2E17ECA7"/>
    <w:multiLevelType w:val="hybridMultilevel"/>
    <w:lvl w:ilvl="0">
      <w:lvlJc w:val="left"/>
      <w:lvlText w:val="(%1)"/>
      <w:numFmt w:val="lowerLetter"/>
      <w:start w:val="6"/>
    </w:lvl>
  </w:abstractNum>
  <w:abstractNum w:abstractNumId="266">
    <w:nsid w:val="53B2564F"/>
    <w:multiLevelType w:val="hybridMultilevel"/>
    <w:lvl w:ilvl="0">
      <w:lvlJc w:val="left"/>
      <w:lvlText w:val="(%1)"/>
      <w:numFmt w:val="lowerLetter"/>
      <w:start w:val="14"/>
    </w:lvl>
  </w:abstractNum>
  <w:abstractNum w:abstractNumId="267">
    <w:nsid w:val="75509D76"/>
    <w:multiLevelType w:val="hybridMultilevel"/>
    <w:lvl w:ilvl="0">
      <w:lvlJc w:val="left"/>
      <w:lvlText w:val="(%1)"/>
      <w:numFmt w:val="lowerLetter"/>
      <w:start w:val="1"/>
    </w:lvl>
  </w:abstractNum>
  <w:abstractNum w:abstractNumId="268">
    <w:nsid w:val="1AF7F0EA"/>
    <w:multiLevelType w:val="hybridMultilevel"/>
    <w:lvl w:ilvl="0">
      <w:lvlJc w:val="left"/>
      <w:lvlText w:val="(%1)"/>
      <w:numFmt w:val="lowerLetter"/>
      <w:start w:val="7"/>
    </w:lvl>
  </w:abstractNum>
  <w:abstractNum w:abstractNumId="269">
    <w:nsid w:val="4DA32C7E"/>
    <w:multiLevelType w:val="hybridMultilevel"/>
    <w:lvl w:ilvl="0">
      <w:lvlJc w:val="left"/>
      <w:lvlText w:val="(%1)"/>
      <w:numFmt w:val="lowerLetter"/>
      <w:start w:val="1"/>
    </w:lvl>
  </w:abstractNum>
  <w:abstractNum w:abstractNumId="270">
    <w:nsid w:val="6EC68664"/>
    <w:multiLevelType w:val="hybridMultilevel"/>
    <w:lvl w:ilvl="0">
      <w:lvlJc w:val="left"/>
      <w:lvlText w:val="(%1)"/>
      <w:numFmt w:val="lowerLetter"/>
      <w:start w:val="7"/>
    </w:lvl>
  </w:abstractNum>
  <w:abstractNum w:abstractNumId="271">
    <w:nsid w:val="E0D31FF"/>
    <w:multiLevelType w:val="hybridMultilevel"/>
    <w:lvl w:ilvl="0">
      <w:lvlJc w:val="left"/>
      <w:lvlText w:val="(%1)"/>
      <w:numFmt w:val="lowerLetter"/>
      <w:start w:val="1"/>
    </w:lvl>
  </w:abstractNum>
  <w:abstractNum w:abstractNumId="272">
    <w:nsid w:val="2FD0AD81"/>
    <w:multiLevelType w:val="hybridMultilevel"/>
    <w:lvl w:ilvl="0">
      <w:lvlJc w:val="left"/>
      <w:lvlText w:val="(%1)"/>
      <w:numFmt w:val="lowerLetter"/>
      <w:start w:val="2"/>
    </w:lvl>
  </w:abstractNum>
  <w:abstractNum w:abstractNumId="273">
    <w:nsid w:val="1978EBEB"/>
    <w:multiLevelType w:val="hybridMultilevel"/>
    <w:lvl w:ilvl="0">
      <w:lvlJc w:val="left"/>
      <w:lvlText w:val="(%1)"/>
      <w:numFmt w:val="lowerLetter"/>
      <w:start w:val="1"/>
    </w:lvl>
  </w:abstractNum>
  <w:abstractNum w:abstractNumId="274">
    <w:nsid w:val="52C12C61"/>
    <w:multiLevelType w:val="hybridMultilevel"/>
    <w:lvl w:ilvl="0">
      <w:lvlJc w:val="left"/>
      <w:lvlText w:val="(%1)"/>
      <w:numFmt w:val="lowerLetter"/>
      <w:start w:val="1"/>
    </w:lvl>
  </w:abstractNum>
  <w:abstractNum w:abstractNumId="275">
    <w:nsid w:val="4BDD53FD"/>
    <w:multiLevelType w:val="hybridMultilevel"/>
    <w:lvl w:ilvl="0">
      <w:lvlJc w:val="left"/>
      <w:lvlText w:val="%1"/>
      <w:numFmt w:val="lowerLetter"/>
      <w:start w:val="1"/>
    </w:lvl>
    <w:lvl w:ilvl="1">
      <w:lvlJc w:val="left"/>
      <w:lvlText w:val="(%2)"/>
      <w:numFmt w:val="lowerLetter"/>
      <w:start w:val="3"/>
    </w:lvl>
  </w:abstractNum>
  <w:abstractNum w:abstractNumId="276">
    <w:nsid w:val="569951FE"/>
    <w:multiLevelType w:val="hybridMultilevel"/>
    <w:lvl w:ilvl="0">
      <w:lvlJc w:val="left"/>
      <w:lvlText w:val="(%1)"/>
      <w:numFmt w:val="lowerLetter"/>
      <w:start w:val="3"/>
    </w:lvl>
    <w:lvl w:ilvl="1">
      <w:lvlJc w:val="left"/>
      <w:lvlText w:val="(%2)"/>
      <w:numFmt w:val="lowerLetter"/>
      <w:start w:val="4"/>
    </w:lvl>
  </w:abstractNum>
  <w:abstractNum w:abstractNumId="277">
    <w:nsid w:val="4C54E2C3"/>
    <w:multiLevelType w:val="hybridMultilevel"/>
    <w:lvl w:ilvl="0">
      <w:lvlJc w:val="left"/>
      <w:lvlText w:val="(%1)"/>
      <w:numFmt w:val="lowerLetter"/>
      <w:start w:val="35"/>
    </w:lvl>
    <w:lvl w:ilvl="1">
      <w:lvlJc w:val="left"/>
      <w:lvlText w:val="%2"/>
      <w:numFmt w:val="lowerLetter"/>
      <w:start w:val="1"/>
    </w:lvl>
  </w:abstractNum>
  <w:abstractNum w:abstractNumId="278">
    <w:nsid w:val="788BD9B"/>
    <w:multiLevelType w:val="hybridMultilevel"/>
    <w:lvl w:ilvl="0">
      <w:lvlJc w:val="left"/>
      <w:lvlText w:val="(%1)"/>
      <w:numFmt w:val="decimal"/>
      <w:start w:val="60"/>
    </w:lvl>
    <w:lvl w:ilvl="1">
      <w:lvlJc w:val="left"/>
      <w:lvlText w:val="(%2)"/>
      <w:numFmt w:val="lowerLetter"/>
      <w:start w:val="10"/>
    </w:lvl>
  </w:abstractNum>
  <w:abstractNum w:abstractNumId="279">
    <w:nsid w:val="47CAA567"/>
    <w:multiLevelType w:val="hybridMultilevel"/>
    <w:lvl w:ilvl="0">
      <w:lvlJc w:val="left"/>
      <w:lvlText w:val="(%1)"/>
      <w:numFmt w:val="upperLetter"/>
      <w:start w:val="1"/>
    </w:lvl>
  </w:abstractNum>
  <w:abstractNum w:abstractNumId="280">
    <w:nsid w:val="48249DBF"/>
    <w:multiLevelType w:val="hybridMultilevel"/>
    <w:lvl w:ilvl="0">
      <w:lvlJc w:val="left"/>
      <w:lvlText w:val="(%1)"/>
      <w:numFmt w:val="lowerLetter"/>
      <w:start w:val="1"/>
    </w:lvl>
  </w:abstractNum>
  <w:abstractNum w:abstractNumId="281">
    <w:nsid w:val="1F0E5D0D"/>
    <w:multiLevelType w:val="hybridMultilevel"/>
    <w:lvl w:ilvl="0">
      <w:lvlJc w:val="left"/>
      <w:lvlText w:val="(%1)"/>
      <w:numFmt w:val="lowerLetter"/>
      <w:start w:val="2"/>
    </w:lvl>
  </w:abstractNum>
  <w:abstractNum w:abstractNumId="282">
    <w:nsid w:val="26BAAE9"/>
    <w:multiLevelType w:val="hybridMultilevel"/>
    <w:lvl w:ilvl="0">
      <w:lvlJc w:val="left"/>
      <w:lvlText w:val="(%1)"/>
      <w:numFmt w:val="lowerLetter"/>
      <w:start w:val="1"/>
    </w:lvl>
  </w:abstractNum>
  <w:abstractNum w:abstractNumId="283">
    <w:nsid w:val="2C02FE8C"/>
    <w:multiLevelType w:val="hybridMultilevel"/>
    <w:lvl w:ilvl="0">
      <w:lvlJc w:val="left"/>
      <w:lvlText w:val="%1"/>
      <w:numFmt w:val="lowerLetter"/>
      <w:start w:val="1"/>
    </w:lvl>
    <w:lvl w:ilvl="1">
      <w:lvlJc w:val="left"/>
      <w:lvlText w:val="(%2)"/>
      <w:numFmt w:val="lowerLetter"/>
      <w:start w:val="1"/>
    </w:lvl>
  </w:abstractNum>
  <w:abstractNum w:abstractNumId="284">
    <w:nsid w:val="129517E"/>
    <w:multiLevelType w:val="hybridMultilevel"/>
    <w:lvl w:ilvl="0">
      <w:lvlJc w:val="left"/>
      <w:lvlText w:val="(%1)"/>
      <w:numFmt w:val="lowerLetter"/>
      <w:start w:val="3"/>
    </w:lvl>
    <w:lvl w:ilvl="1">
      <w:lvlJc w:val="left"/>
      <w:lvlText w:val="(%2)"/>
      <w:numFmt w:val="lowerLetter"/>
      <w:start w:val="2"/>
    </w:lvl>
  </w:abstractNum>
  <w:abstractNum w:abstractNumId="285">
    <w:nsid w:val="763B8C4E"/>
    <w:multiLevelType w:val="hybridMultilevel"/>
    <w:lvl w:ilvl="0">
      <w:lvlJc w:val="left"/>
      <w:lvlText w:val="(%1)"/>
      <w:numFmt w:val="lowerLetter"/>
      <w:start w:val="1"/>
    </w:lvl>
  </w:abstractNum>
  <w:abstractNum w:abstractNumId="286">
    <w:nsid w:val="4CFB8D32"/>
    <w:multiLevelType w:val="hybridMultilevel"/>
    <w:lvl w:ilvl="0">
      <w:lvlJc w:val="left"/>
      <w:lvlText w:val="(%1)"/>
      <w:numFmt w:val="lowerLetter"/>
      <w:start w:val="2"/>
    </w:lvl>
  </w:abstractNum>
  <w:abstractNum w:abstractNumId="287">
    <w:nsid w:val="62A5D5BD"/>
    <w:multiLevelType w:val="hybridMultilevel"/>
    <w:lvl w:ilvl="0">
      <w:lvlJc w:val="left"/>
      <w:lvlText w:val="(%1)"/>
      <w:numFmt w:val="lowerLetter"/>
      <w:start w:val="1"/>
    </w:lvl>
  </w:abstractNum>
  <w:abstractNum w:abstractNumId="288">
    <w:nsid w:val="718FABF9"/>
    <w:multiLevelType w:val="hybridMultilevel"/>
    <w:lvl w:ilvl="0">
      <w:lvlJc w:val="left"/>
      <w:lvlText w:val="(%1)"/>
      <w:numFmt w:val="lowerLetter"/>
      <w:start w:val="2"/>
    </w:lvl>
  </w:abstractNum>
  <w:abstractNum w:abstractNumId="289">
    <w:nsid w:val="7775797C"/>
    <w:multiLevelType w:val="hybridMultilevel"/>
    <w:lvl w:ilvl="0">
      <w:lvlJc w:val="left"/>
      <w:lvlText w:val="(%1)"/>
      <w:numFmt w:val="lowerLetter"/>
      <w:start w:val="1"/>
    </w:lvl>
  </w:abstractNum>
  <w:abstractNum w:abstractNumId="290">
    <w:nsid w:val="1626FB8C"/>
    <w:multiLevelType w:val="hybridMultilevel"/>
    <w:lvl w:ilvl="0">
      <w:lvlJc w:val="left"/>
      <w:lvlText w:val="(%1)"/>
      <w:numFmt w:val="lowerLetter"/>
      <w:start w:val="2"/>
    </w:lvl>
    <w:lvl w:ilvl="1">
      <w:lvlJc w:val="left"/>
      <w:lvlText w:val="(%2)"/>
      <w:numFmt w:val="lowerRoman"/>
      <w:start w:val="1"/>
    </w:lvl>
  </w:abstractNum>
  <w:abstractNum w:abstractNumId="291">
    <w:nsid w:val="3957756A"/>
    <w:multiLevelType w:val="hybridMultilevel"/>
    <w:lvl w:ilvl="0">
      <w:lvlJc w:val="left"/>
      <w:lvlText w:val="(%1)"/>
      <w:numFmt w:val="lowerLetter"/>
      <w:start w:val="3"/>
    </w:lvl>
  </w:abstractNum>
  <w:abstractNum w:abstractNumId="292">
    <w:nsid w:val="3E6DA1C7"/>
    <w:multiLevelType w:val="hybridMultilevel"/>
    <w:lvl w:ilvl="0">
      <w:lvlJc w:val="left"/>
      <w:lvlText w:val="(%1)"/>
      <w:numFmt w:val="lowerRoman"/>
      <w:start w:val="1"/>
    </w:lvl>
  </w:abstractNum>
  <w:abstractNum w:abstractNumId="293">
    <w:nsid w:val="65CA235B"/>
    <w:multiLevelType w:val="hybridMultilevel"/>
    <w:lvl w:ilvl="0">
      <w:lvlJc w:val="left"/>
      <w:lvlText w:val="(%1)"/>
      <w:numFmt w:val="lowerLetter"/>
      <w:start w:val="5"/>
    </w:lvl>
  </w:abstractNum>
  <w:abstractNum w:abstractNumId="294">
    <w:nsid w:val="51CB0DA4"/>
    <w:multiLevelType w:val="hybridMultilevel"/>
    <w:lvl w:ilvl="0">
      <w:lvlJc w:val="left"/>
      <w:lvlText w:val="(%1)"/>
      <w:numFmt w:val="lowerLetter"/>
      <w:start w:val="1"/>
    </w:lvl>
  </w:abstractNum>
  <w:abstractNum w:abstractNumId="295">
    <w:nsid w:val="7B9B743C"/>
    <w:multiLevelType w:val="hybridMultilevel"/>
    <w:lvl w:ilvl="0">
      <w:lvlJc w:val="left"/>
      <w:lvlText w:val="(%1)"/>
      <w:numFmt w:val="lowerRoman"/>
      <w:start w:val="1"/>
    </w:lvl>
  </w:abstractNum>
  <w:abstractNum w:abstractNumId="296">
    <w:nsid w:val="13E21002"/>
    <w:multiLevelType w:val="hybridMultilevel"/>
    <w:lvl w:ilvl="0">
      <w:lvlJc w:val="left"/>
      <w:lvlText w:val="(%1)"/>
      <w:numFmt w:val="lowerLetter"/>
      <w:start w:val="2"/>
    </w:lvl>
  </w:abstractNum>
  <w:abstractNum w:abstractNumId="297">
    <w:nsid w:val="257D63F4"/>
    <w:multiLevelType w:val="hybridMultilevel"/>
    <w:lvl w:ilvl="0">
      <w:lvlJc w:val="left"/>
      <w:lvlText w:val="(%1)"/>
      <w:numFmt w:val="lowerLetter"/>
      <w:start w:val="3"/>
    </w:lvl>
  </w:abstractNum>
  <w:abstractNum w:abstractNumId="298">
    <w:nsid w:val="70EC11B2"/>
    <w:multiLevelType w:val="hybridMultilevel"/>
    <w:lvl w:ilvl="0">
      <w:lvlJc w:val="left"/>
      <w:lvlText w:val="%1"/>
      <w:numFmt w:val="lowerLetter"/>
      <w:start w:val="1"/>
    </w:lvl>
    <w:lvl w:ilvl="1">
      <w:lvlJc w:val="left"/>
      <w:lvlText w:val="(%2)"/>
      <w:numFmt w:val="lowerRoman"/>
      <w:start w:val="1"/>
    </w:lvl>
  </w:abstractNum>
  <w:abstractNum w:abstractNumId="299">
    <w:nsid w:val="2EDA00ED"/>
    <w:multiLevelType w:val="hybridMultilevel"/>
    <w:lvl w:ilvl="0">
      <w:lvlJc w:val="left"/>
      <w:lvlText w:val="(%1)"/>
      <w:numFmt w:val="lowerLetter"/>
      <w:start w:val="4"/>
    </w:lvl>
    <w:lvl w:ilvl="1">
      <w:lvlJc w:val="left"/>
      <w:lvlText w:val="%2"/>
      <w:numFmt w:val="lowerRoman"/>
      <w:start w:val="1"/>
    </w:lvl>
  </w:abstractNum>
  <w:abstractNum w:abstractNumId="300">
    <w:nsid w:val="73209072"/>
    <w:multiLevelType w:val="hybridMultilevel"/>
    <w:lvl w:ilvl="0">
      <w:lvlJc w:val="left"/>
      <w:lvlText w:val="(%1)"/>
      <w:numFmt w:val="lowerLetter"/>
      <w:start w:val="8"/>
    </w:lvl>
    <w:lvl w:ilvl="1">
      <w:lvlJc w:val="left"/>
      <w:lvlText w:val="(%2)"/>
      <w:numFmt w:val="lowerLetter"/>
      <w:start w:val="10"/>
    </w:lvl>
  </w:abstractNum>
  <w:abstractNum w:abstractNumId="301">
    <w:nsid w:val="5FB29816"/>
    <w:multiLevelType w:val="hybridMultilevel"/>
    <w:lvl w:ilvl="0">
      <w:lvlJc w:val="left"/>
      <w:lvlText w:val="(%1)"/>
      <w:numFmt w:val="lowerRoman"/>
      <w:start w:val="1"/>
    </w:lvl>
  </w:abstractNum>
  <w:abstractNum w:abstractNumId="302">
    <w:nsid w:val="3CE732EC"/>
    <w:multiLevelType w:val="hybridMultilevel"/>
    <w:lvl w:ilvl="0">
      <w:lvlJc w:val="left"/>
      <w:lvlText w:val="(%1)"/>
      <w:numFmt w:val="lowerRoman"/>
      <w:start w:val="3"/>
    </w:lvl>
  </w:abstractNum>
  <w:abstractNum w:abstractNumId="303">
    <w:nsid w:val="22F13DF3"/>
    <w:multiLevelType w:val="hybridMultilevel"/>
    <w:lvl w:ilvl="0">
      <w:lvlJc w:val="left"/>
      <w:lvlText w:val="(%1)"/>
      <w:numFmt w:val="lowerLetter"/>
      <w:start w:val="1"/>
    </w:lvl>
    <w:lvl w:ilvl="1">
      <w:lvlJc w:val="left"/>
      <w:lvlText w:val="(%2)"/>
      <w:numFmt w:val="lowerRoman"/>
      <w:start w:val="1"/>
    </w:lvl>
  </w:abstractNum>
  <w:abstractNum w:abstractNumId="304">
    <w:nsid w:val="792B8401"/>
    <w:multiLevelType w:val="hybridMultilevel"/>
    <w:lvl w:ilvl="0">
      <w:lvlJc w:val="left"/>
      <w:lvlText w:val="%1"/>
      <w:numFmt w:val="lowerLetter"/>
      <w:start w:val="1"/>
    </w:lvl>
    <w:lvl w:ilvl="1">
      <w:lvlJc w:val="left"/>
      <w:lvlText w:val="(%2)"/>
      <w:numFmt w:val="lowerRoman"/>
      <w:start w:val="6"/>
    </w:lvl>
  </w:abstractNum>
  <w:abstractNum w:abstractNumId="305">
    <w:nsid w:val="FA85F4D"/>
    <w:multiLevelType w:val="hybridMultilevel"/>
    <w:lvl w:ilvl="0">
      <w:lvlJc w:val="left"/>
      <w:lvlText w:val="(%1)"/>
      <w:numFmt w:val="lowerLetter"/>
      <w:start w:val="2"/>
    </w:lvl>
    <w:lvl w:ilvl="1">
      <w:lvlJc w:val="left"/>
      <w:lvlText w:val="%2"/>
      <w:numFmt w:val="lowerRoman"/>
      <w:start w:val="1"/>
    </w:lvl>
  </w:abstractNum>
  <w:abstractNum w:abstractNumId="306">
    <w:nsid w:val="6ECE91F0"/>
    <w:multiLevelType w:val="hybridMultilevel"/>
    <w:lvl w:ilvl="0">
      <w:lvlJc w:val="left"/>
      <w:lvlText w:val="(%1)"/>
      <w:numFmt w:val="lowerLetter"/>
      <w:start w:val="1"/>
    </w:lvl>
  </w:abstractNum>
  <w:abstractNum w:abstractNumId="307">
    <w:nsid w:val="4FC4D600"/>
    <w:multiLevelType w:val="hybridMultilevel"/>
    <w:lvl w:ilvl="0">
      <w:lvlJc w:val="left"/>
      <w:lvlText w:val="(%1)"/>
      <w:numFmt w:val="lowerLetter"/>
      <w:start w:val="2"/>
    </w:lvl>
    <w:lvl w:ilvl="1">
      <w:lvlJc w:val="left"/>
      <w:lvlText w:val="(%2)"/>
      <w:numFmt w:val="lowerRoman"/>
      <w:start w:val="1"/>
    </w:lvl>
  </w:abstractNum>
  <w:abstractNum w:abstractNumId="308">
    <w:nsid w:val="5BFD4210"/>
    <w:multiLevelType w:val="hybridMultilevel"/>
    <w:lvl w:ilvl="0">
      <w:lvlJc w:val="left"/>
      <w:lvlText w:val="(%1)"/>
      <w:numFmt w:val="lowerRoman"/>
      <w:start w:val="2"/>
    </w:lvl>
  </w:abstractNum>
  <w:abstractNum w:abstractNumId="309">
    <w:nsid w:val="76574F8B"/>
    <w:multiLevelType w:val="hybridMultilevel"/>
    <w:lvl w:ilvl="0">
      <w:lvlJc w:val="left"/>
      <w:lvlText w:val="(%1)"/>
      <w:numFmt w:val="lowerLetter"/>
      <w:start w:val="3"/>
    </w:lvl>
  </w:abstractNum>
  <w:abstractNum w:abstractNumId="310">
    <w:nsid w:val="178F7B67"/>
    <w:multiLevelType w:val="hybridMultilevel"/>
    <w:lvl w:ilvl="0">
      <w:lvlJc w:val="left"/>
      <w:lvlText w:val="(%1)"/>
      <w:numFmt w:val="lowerLetter"/>
      <w:start w:val="1"/>
    </w:lvl>
  </w:abstractNum>
  <w:abstractNum w:abstractNumId="311">
    <w:nsid w:val="2421DFCF"/>
    <w:multiLevelType w:val="hybridMultilevel"/>
    <w:lvl w:ilvl="0">
      <w:lvlJc w:val="left"/>
      <w:lvlText w:val="(%1)"/>
      <w:numFmt w:val="lowerLetter"/>
      <w:start w:val="3"/>
    </w:lvl>
  </w:abstractNum>
  <w:abstractNum w:abstractNumId="312">
    <w:nsid w:val="1565AC99"/>
    <w:multiLevelType w:val="hybridMultilevel"/>
    <w:lvl w:ilvl="0">
      <w:lvlJc w:val="left"/>
      <w:lvlText w:val="(%1)"/>
      <w:numFmt w:val="lowerLetter"/>
      <w:start w:val="1"/>
    </w:lvl>
  </w:abstractNum>
  <w:abstractNum w:abstractNumId="313">
    <w:nsid w:val="19FB2650"/>
    <w:multiLevelType w:val="hybridMultilevel"/>
    <w:lvl w:ilvl="0">
      <w:lvlJc w:val="left"/>
      <w:lvlText w:val="(%1)"/>
      <w:numFmt w:val="lowerLetter"/>
      <w:start w:val="3"/>
    </w:lvl>
  </w:abstractNum>
  <w:abstractNum w:abstractNumId="314">
    <w:nsid w:val="5024DE5B"/>
    <w:multiLevelType w:val="hybridMultilevel"/>
    <w:lvl w:ilvl="0">
      <w:lvlJc w:val="left"/>
      <w:lvlText w:val="(%1)"/>
      <w:numFmt w:val="lowerLetter"/>
      <w:start w:val="5"/>
    </w:lvl>
  </w:abstractNum>
  <w:abstractNum w:abstractNumId="315">
    <w:nsid w:val="168EFE17"/>
    <w:multiLevelType w:val="hybridMultilevel"/>
    <w:lvl w:ilvl="0">
      <w:lvlJc w:val="left"/>
      <w:lvlText w:val="(%1)"/>
      <w:numFmt w:val="lowerLetter"/>
      <w:start w:val="6"/>
    </w:lvl>
  </w:abstractNum>
  <w:abstractNum w:abstractNumId="316">
    <w:nsid w:val="1036B29F"/>
    <w:multiLevelType w:val="hybridMultilevel"/>
    <w:lvl w:ilvl="0">
      <w:lvlJc w:val="left"/>
      <w:lvlText w:val="(%1)"/>
      <w:numFmt w:val="lowerLetter"/>
      <w:start w:val="1"/>
    </w:lvl>
  </w:abstractNum>
  <w:abstractNum w:abstractNumId="317">
    <w:nsid w:val="1D206B8E"/>
    <w:multiLevelType w:val="hybridMultilevel"/>
    <w:lvl w:ilvl="0">
      <w:lvlJc w:val="left"/>
      <w:lvlText w:val="(%1)"/>
      <w:numFmt w:val="lowerLetter"/>
      <w:start w:val="2"/>
    </w:lvl>
  </w:abstractNum>
  <w:abstractNum w:abstractNumId="318">
    <w:nsid w:val="7934D3D4"/>
    <w:multiLevelType w:val="hybridMultilevel"/>
    <w:lvl w:ilvl="0">
      <w:lvlJc w:val="left"/>
      <w:lvlText w:val="(%1)"/>
      <w:numFmt w:val="lowerLetter"/>
      <w:start w:val="7"/>
    </w:lvl>
  </w:abstractNum>
  <w:abstractNum w:abstractNumId="319">
    <w:nsid w:val="1C65E98"/>
    <w:multiLevelType w:val="hybridMultilevel"/>
    <w:lvl w:ilvl="0">
      <w:lvlJc w:val="left"/>
      <w:lvlText w:val="(%1)"/>
      <w:numFmt w:val="lowerLetter"/>
      <w:start w:val="2"/>
    </w:lvl>
  </w:abstractNum>
  <w:abstractNum w:abstractNumId="320">
    <w:nsid w:val="1495E50A"/>
    <w:multiLevelType w:val="hybridMultilevel"/>
    <w:lvl w:ilvl="0">
      <w:lvlJc w:val="left"/>
      <w:lvlText w:val="(%1)"/>
      <w:numFmt w:val="lowerRoman"/>
      <w:start w:val="1"/>
    </w:lvl>
  </w:abstractNum>
  <w:abstractNum w:abstractNumId="321">
    <w:nsid w:val="F5BCF61"/>
    <w:multiLevelType w:val="hybridMultilevel"/>
    <w:lvl w:ilvl="0">
      <w:lvlJc w:val="left"/>
      <w:lvlText w:val="(%1)"/>
      <w:numFmt w:val="lowerLetter"/>
      <w:start w:val="1"/>
    </w:lvl>
  </w:abstractNum>
  <w:abstractNum w:abstractNumId="322">
    <w:nsid w:val="3B1DD403"/>
    <w:multiLevelType w:val="hybridMultilevel"/>
    <w:lvl w:ilvl="0">
      <w:lvlJc w:val="left"/>
      <w:lvlText w:val="%1"/>
      <w:numFmt w:val="lowerRoman"/>
      <w:start w:val="1"/>
    </w:lvl>
    <w:lvl w:ilvl="1">
      <w:lvlJc w:val="left"/>
      <w:lvlText w:val="(%2)"/>
      <w:numFmt w:val="lowerLetter"/>
      <w:start w:val="3"/>
    </w:lvl>
  </w:abstractNum>
  <w:abstractNum w:abstractNumId="323">
    <w:nsid w:val="530386D1"/>
    <w:multiLevelType w:val="hybridMultilevel"/>
    <w:lvl w:ilvl="0">
      <w:lvlJc w:val="left"/>
      <w:lvlText w:val="(%1)"/>
      <w:numFmt w:val="lowerRoman"/>
      <w:start w:val="4"/>
    </w:lvl>
    <w:lvl w:ilvl="1">
      <w:lvlJc w:val="left"/>
      <w:lvlText w:val="%2"/>
      <w:numFmt w:val="lowerLetter"/>
      <w:start w:val="1"/>
    </w:lvl>
  </w:abstractNum>
  <w:abstractNum w:abstractNumId="324">
    <w:nsid w:val="7525F2BC"/>
    <w:multiLevelType w:val="hybridMultilevel"/>
    <w:lvl w:ilvl="0">
      <w:lvlJc w:val="left"/>
      <w:lvlText w:val="(%1)"/>
      <w:numFmt w:val="lowerLetter"/>
      <w:start w:val="1"/>
    </w:lvl>
  </w:abstractNum>
  <w:abstractNum w:abstractNumId="325">
    <w:nsid w:val="CE8E1A7"/>
    <w:multiLevelType w:val="hybridMultilevel"/>
    <w:lvl w:ilvl="0">
      <w:lvlJc w:val="left"/>
      <w:lvlText w:val="(%1)"/>
      <w:numFmt w:val="lowerLetter"/>
      <w:start w:val="5"/>
    </w:lvl>
  </w:abstractNum>
  <w:abstractNum w:abstractNumId="326">
    <w:nsid w:val="4E9EFB0D"/>
    <w:multiLevelType w:val="hybridMultilevel"/>
    <w:lvl w:ilvl="0">
      <w:lvlJc w:val="left"/>
      <w:lvlText w:val="(%1)"/>
      <w:numFmt w:val="lowerLetter"/>
      <w:start w:val="1"/>
    </w:lvl>
    <w:lvl w:ilvl="1">
      <w:lvlJc w:val="left"/>
      <w:lvlText w:val="(%2)"/>
      <w:numFmt w:val="lowerRoman"/>
      <w:start w:val="1"/>
    </w:lvl>
  </w:abstractNum>
  <w:abstractNum w:abstractNumId="327">
    <w:nsid w:val="90802BE"/>
    <w:multiLevelType w:val="hybridMultilevel"/>
    <w:lvl w:ilvl="0">
      <w:lvlJc w:val="left"/>
      <w:lvlText w:val="(%1)"/>
      <w:numFmt w:val="lowerRoman"/>
      <w:start w:val="5"/>
    </w:lvl>
  </w:abstractNum>
  <w:abstractNum w:abstractNumId="328">
    <w:nsid w:val="3266459B"/>
    <w:multiLevelType w:val="hybridMultilevel"/>
    <w:lvl w:ilvl="0">
      <w:lvlJc w:val="left"/>
      <w:lvlText w:val="(%1)"/>
      <w:numFmt w:val="lowerLetter"/>
      <w:start w:val="2"/>
    </w:lvl>
  </w:abstractNum>
  <w:abstractNum w:abstractNumId="329">
    <w:nsid w:val="3F8B0CBF"/>
    <w:multiLevelType w:val="hybridMultilevel"/>
    <w:lvl w:ilvl="0">
      <w:lvlJc w:val="left"/>
      <w:lvlText w:val="(%1)"/>
      <w:numFmt w:val="lowerLetter"/>
      <w:start w:val="2"/>
    </w:lvl>
    <w:lvl w:ilvl="1">
      <w:lvlJc w:val="left"/>
      <w:lvlText w:val="(%2)"/>
      <w:numFmt w:val="lowerRoman"/>
      <w:start w:val="1"/>
    </w:lvl>
  </w:abstractNum>
  <w:abstractNum w:abstractNumId="330">
    <w:nsid w:val="37E203A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1">
    <w:nsid w:val="2586D60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32">
    <w:nsid w:val="1F3DA4D5"/>
    <w:multiLevelType w:val="hybridMultilevel"/>
    <w:lvl w:ilvl="0">
      <w:lvlJc w:val="left"/>
      <w:lvlText w:val="(%1)"/>
      <w:numFmt w:val="lowerLetter"/>
      <w:start w:val="1"/>
    </w:lvl>
  </w:abstractNum>
  <w:abstractNum w:abstractNumId="333">
    <w:nsid w:val="74C93698"/>
    <w:multiLevelType w:val="hybridMultilevel"/>
    <w:lvl w:ilvl="0">
      <w:lvlJc w:val="left"/>
      <w:lvlText w:val="(%1)"/>
      <w:numFmt w:val="lowerLetter"/>
      <w:start w:val="3"/>
    </w:lvl>
  </w:abstractNum>
  <w:abstractNum w:abstractNumId="334">
    <w:nsid w:val="48781401"/>
    <w:multiLevelType w:val="hybridMultilevel"/>
    <w:lvl w:ilvl="0">
      <w:lvlJc w:val="left"/>
      <w:lvlText w:val="(%1)"/>
      <w:numFmt w:val="lowerLetter"/>
      <w:start w:val="1"/>
    </w:lvl>
  </w:abstractNum>
  <w:abstractNum w:abstractNumId="335">
    <w:nsid w:val="186928D6"/>
    <w:multiLevelType w:val="hybridMultilevel"/>
    <w:lvl w:ilvl="0">
      <w:lvlJc w:val="left"/>
      <w:lvlText w:val="%1"/>
      <w:numFmt w:val="lowerLetter"/>
      <w:start w:val="1"/>
    </w:lvl>
    <w:lvl w:ilvl="1">
      <w:lvlJc w:val="left"/>
      <w:lvlText w:val="(%2)"/>
      <w:numFmt w:val="lowerLetter"/>
      <w:start w:val="2"/>
    </w:lvl>
  </w:abstractNum>
  <w:abstractNum w:abstractNumId="336">
    <w:nsid w:val="47195E5"/>
    <w:multiLevelType w:val="hybridMultilevel"/>
    <w:lvl w:ilvl="0">
      <w:lvlJc w:val="left"/>
      <w:lvlText w:val="(%1)"/>
      <w:numFmt w:val="lowerLetter"/>
      <w:start w:val="6"/>
    </w:lvl>
    <w:lvl w:ilvl="1">
      <w:lvlJc w:val="left"/>
      <w:lvlText w:val="(%2)"/>
      <w:numFmt w:val="lowerLetter"/>
      <w:start w:val="3"/>
    </w:lvl>
  </w:abstractNum>
  <w:abstractNum w:abstractNumId="337">
    <w:nsid w:val="3746A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8">
    <w:nsid w:val="682DFED6"/>
    <w:multiLevelType w:val="hybridMultilevel"/>
    <w:lvl w:ilvl="0">
      <w:lvlJc w:val="left"/>
      <w:lvlText w:val="(%1)"/>
      <w:numFmt w:val="lowerLetter"/>
      <w:start w:val="3"/>
    </w:lvl>
  </w:abstractNum>
  <w:abstractNum w:abstractNumId="339">
    <w:nsid w:val="606ED7F6"/>
    <w:multiLevelType w:val="hybridMultilevel"/>
    <w:lvl w:ilvl="0">
      <w:lvlJc w:val="left"/>
      <w:lvlText w:val="(%1)"/>
      <w:numFmt w:val="lowerLetter"/>
      <w:start w:val="1"/>
    </w:lvl>
  </w:abstractNum>
  <w:abstractNum w:abstractNumId="340">
    <w:nsid w:val="2D9DF57D"/>
    <w:multiLevelType w:val="hybridMultilevel"/>
    <w:lvl w:ilvl="0">
      <w:lvlJc w:val="left"/>
      <w:lvlText w:val="%1"/>
      <w:numFmt w:val="lowerLetter"/>
      <w:start w:val="1"/>
    </w:lvl>
    <w:lvl w:ilvl="1">
      <w:lvlJc w:val="left"/>
      <w:lvlText w:val="(%2)"/>
      <w:numFmt w:val="lowerRoman"/>
      <w:start w:val="1"/>
    </w:lvl>
  </w:abstractNum>
  <w:abstractNum w:abstractNumId="341">
    <w:nsid w:val="7FBD7A3E"/>
    <w:multiLevelType w:val="hybridMultilevel"/>
    <w:lvl w:ilvl="0">
      <w:lvlJc w:val="left"/>
      <w:lvlText w:val="(%1)"/>
      <w:numFmt w:val="lowerLetter"/>
      <w:start w:val="2"/>
    </w:lvl>
    <w:lvl w:ilvl="1">
      <w:lvlJc w:val="left"/>
      <w:lvlText w:val="(%2)"/>
      <w:numFmt w:val="lowerRoman"/>
      <w:start w:val="1"/>
    </w:lvl>
  </w:abstractNum>
  <w:abstractNum w:abstractNumId="342">
    <w:nsid w:val="490B7C5"/>
    <w:multiLevelType w:val="hybridMultilevel"/>
    <w:lvl w:ilvl="0">
      <w:lvlJc w:val="left"/>
      <w:lvlText w:val="(%1)"/>
      <w:numFmt w:val="lowerLetter"/>
      <w:start w:val="1"/>
    </w:lvl>
  </w:abstractNum>
  <w:abstractNum w:abstractNumId="343">
    <w:nsid w:val="4303A21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2022-08-11T06:09:08Z</dcterms:created>
  <dcterms:modified xsi:type="dcterms:W3CDTF">2022-08-11T06:09:08Z</dcterms:modified>
</cp:coreProperties>
</file>