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Rost John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EVP &amp; COO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04/17/2026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1,811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19,682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360"/>
              <w:spacing w:after="0" w:line="213" w:lineRule="exact"/>
              <w:rPr>
                <w:sz w:val="20"/>
                <w:szCs w:val="20"/>
                <w:color w:val="auto"/>
              </w:rPr>
            </w:pPr>
            <w:r>
              <w:rPr>
                <w:rFonts w:ascii="Times New Roman" w:cs="Times New Roman" w:eastAsia="Times New Roman" w:hAnsi="Times New Roman"/>
                <w:sz w:val="17"/>
                <w:szCs w:val="17"/>
                <w:color w:val="0000FF"/>
              </w:rPr>
              <w:t>298</w:t>
            </w:r>
            <w:r>
              <w:rPr>
                <w:rFonts w:ascii="Times New Roman" w:cs="Times New Roman" w:eastAsia="Times New Roman" w:hAnsi="Times New Roman"/>
                <w:sz w:val="22"/>
                <w:szCs w:val="22"/>
                <w:color w:val="008000"/>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1,811 shares of Restricted Common Stock under the 2022 Stock-Based Compensation Plan. 623 time-vested restricted shares vest over a three year period as follows:</w:t>
      </w:r>
    </w:p>
    <w:p>
      <w:pPr>
        <w:spacing w:after="0" w:line="11" w:lineRule="exact"/>
        <w:rPr>
          <w:rFonts w:ascii="Times New Roman" w:cs="Times New Roman" w:eastAsia="Times New Roman" w:hAnsi="Times New Roman"/>
          <w:sz w:val="13"/>
          <w:szCs w:val="13"/>
          <w:color w:val="008000"/>
        </w:rPr>
      </w:pPr>
    </w:p>
    <w:p>
      <w:pPr>
        <w:ind w:left="40" w:right="260" w:firstLine="7"/>
        <w:spacing w:after="0"/>
        <w:tabs>
          <w:tab w:leader="none" w:pos="2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time-vested restricted shares on April 16, 2027 and January 3, 2028 and 207 time-vested restricted shares on January 3, 2029. 557 performance-based restricted shares are targeted to vest on January 3, 2029 based on the Company's Total Shareholder Return versus a defined peer group of companies, with the final number of performance-based vested shares varying from 0 to 200% of 557. 631 performance-based restricted shares are targeted to vest on January 3, 2029 based on the Return on Invested Capital achieved by the Company compared to the ROIC target, with the final number of performance-based vested shares varying from 0 to 200% of 631.</w:t>
      </w:r>
    </w:p>
    <w:p>
      <w:pPr>
        <w:spacing w:after="0" w:line="2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March 31, 2026, the Reporting Person owned 298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04/21/2026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08"/>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18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2026-04-21T13:52:18Z</dcterms:created>
  <dcterms:modified xsi:type="dcterms:W3CDTF">2026-04-21T13:52:18Z</dcterms:modified>
</cp:coreProperties>
</file>