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Gifford Gerard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94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94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color w:val="0000FF"/>
              </w:rPr>
              <w:t>EVP &amp; CAO</w:t>
            </w: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02/26/2026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2,505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108,815</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02/26/2026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5,915</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115.36</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102,900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5,859</w:t>
            </w:r>
          </w:p>
        </w:tc>
        <w:tc>
          <w:tcPr>
            <w:tcW w:w="300" w:type="dxa"/>
            <w:vAlign w:val="bottom"/>
          </w:tcPr>
          <w:p>
            <w:pPr>
              <w:spacing w:after="0"/>
              <w:rPr>
                <w:sz w:val="21"/>
                <w:szCs w:val="21"/>
                <w:color w:val="auto"/>
              </w:rPr>
            </w:pPr>
          </w:p>
        </w:tc>
        <w:tc>
          <w:tcPr>
            <w:tcW w:w="560" w:type="dxa"/>
            <w:vAlign w:val="bottom"/>
            <w:vMerge w:val="restart"/>
          </w:tcPr>
          <w:p>
            <w:pPr>
              <w:jc w:val="center"/>
              <w:ind w:right="311"/>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401(k)Plan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266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26, 2026 whose grant was originally reported on a Form 4 filed with the Securities and Exchange Commission on January 6, 2023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12,526. The Return on Invested Capital achieved by the Company compared to the ROIC target yielded a 120% payout. As a result, 2,505 additional performance-based restricted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9910"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2026-03-02T08:18:10Z</dcterms:created>
  <dcterms:modified xsi:type="dcterms:W3CDTF">2026-03-02T08:18:10Z</dcterms:modified>
</cp:coreProperties>
</file>