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Madeksza Matt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00"/>
        <w:spacing w:after="0" w:line="365" w:lineRule="auto"/>
        <w:rPr>
          <w:sz w:val="20"/>
          <w:szCs w:val="20"/>
          <w:color w:val="auto"/>
        </w:rPr>
      </w:pPr>
      <w:r>
        <w:rPr>
          <w:rFonts w:ascii="Times New Roman" w:cs="Times New Roman" w:eastAsia="Times New Roman" w:hAnsi="Times New Roman"/>
          <w:sz w:val="17"/>
          <w:szCs w:val="17"/>
          <w:color w:val="0000FF"/>
        </w:rPr>
        <w:t>HIDDEN RIVER CORPORATE CENTER TWO 14025 RIVEREDGE DRIVE,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33637</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CROWN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CCK</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1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7"/>
                <w:szCs w:val="17"/>
                <w:color w:val="0000FF"/>
              </w:rPr>
              <w:t>President - Transit Packaging</w:t>
            </w:r>
          </w:p>
        </w:tc>
        <w:tc>
          <w:tcPr>
            <w:tcW w:w="0" w:type="dxa"/>
            <w:vAlign w:val="bottom"/>
          </w:tcPr>
          <w:p>
            <w:pPr>
              <w:spacing w:after="0"/>
              <w:rPr>
                <w:sz w:val="1"/>
                <w:szCs w:val="1"/>
                <w:color w:val="auto"/>
              </w:rPr>
            </w:pPr>
          </w:p>
        </w:tc>
      </w:tr>
      <w:tr>
        <w:trPr>
          <w:trHeight w:val="226"/>
        </w:trPr>
        <w:tc>
          <w:tcPr>
            <w:tcW w:w="2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01/03/2025</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01/03/2025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13,642</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44,109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01/06/2025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right="77"/>
              <w:spacing w:after="0" w:line="320" w:lineRule="exact"/>
              <w:rPr>
                <w:sz w:val="20"/>
                <w:szCs w:val="20"/>
                <w:color w:val="auto"/>
              </w:rPr>
            </w:pPr>
            <w:r>
              <w:rPr>
                <w:rFonts w:ascii="Times New Roman" w:cs="Times New Roman" w:eastAsia="Times New Roman" w:hAnsi="Times New Roman"/>
                <w:sz w:val="34"/>
                <w:szCs w:val="34"/>
                <w:color w:val="0000FF"/>
                <w:vertAlign w:val="subscript"/>
              </w:rPr>
              <w:t>698</w:t>
            </w:r>
            <w:r>
              <w:rPr>
                <w:rFonts w:ascii="Times New Roman" w:cs="Times New Roman" w:eastAsia="Times New Roman" w:hAnsi="Times New Roman"/>
                <w:sz w:val="11"/>
                <w:szCs w:val="11"/>
                <w:color w:val="008000"/>
              </w:rPr>
              <w:t>(2)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80.11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43,411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13,642 shares of Restricted Common Stock under the 2022 Stock-Based Compensation Plan. 4,704 time-vested restricted shares vest over a three year period as follows: 1,568 time-vested restricted shares on January 5, 2026, January 4, 2027 and January 3, 2028, respectively. 4,179 performance-based restricted shares are targeted to vest on January 3, 2028 based on the Company's Total Shareholder Return versus a defined peer group of companies, with the final number of performance-based vested shares varying from 0 to 200% of 4,179. 4,759 performance-based restricted shares are targeted to vest on January 3, 2028 based on the Return on Invested Capital achieved by the Company compared to the ROIC target, with the final number of performance-based vested shares varying from 0 to 4,759.</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transferred to the Company for tax withholding in connection with vesting of restricted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Rosemary Haselroth, by</w:t>
            </w:r>
          </w:p>
        </w:tc>
        <w:tc>
          <w:tcPr>
            <w:tcW w:w="1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01/07/2025</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1490" TargetMode="External"/><Relationship Id="rId14"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2025-01-07T08:44:15Z</dcterms:created>
  <dcterms:modified xsi:type="dcterms:W3CDTF">2025-01-07T08:44:15Z</dcterms:modified>
</cp:coreProperties>
</file>