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2025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TRANSITION PERIOD FROM  ____  TO 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001-41550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CROWN HOLDINGS,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520" w:type="dxa"/>
        <w:jc w:val="left"/>
        <w:tblInd w:w="0" w:type="dxa"/>
        <w:tblLayout w:type="fixed"/>
        <w:tblCellMar>
          <w:top w:w="28" w:type="dxa"/>
          <w:left w:w="28" w:type="dxa"/>
          <w:bottom w:w="28" w:type="dxa"/>
          <w:right w:w="28" w:type="dxa"/>
        </w:tblCellMar>
      </w:tblPr>
      <w:tblGrid>
        <w:gridCol w:w="1071"/>
        <w:gridCol w:w="939"/>
        <w:gridCol w:w="944"/>
        <w:gridCol w:w="240"/>
        <w:gridCol w:w="240"/>
        <w:gridCol w:w="241"/>
        <w:gridCol w:w="120"/>
        <w:gridCol w:w="120"/>
        <w:gridCol w:w="121"/>
        <w:gridCol w:w="433"/>
        <w:gridCol w:w="433"/>
        <w:gridCol w:w="618"/>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14025 Riveredge Drive, Suite 300</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Tampa</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33637</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215-698-5100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3/8% Debentures Due 2026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48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Exchange Act Rule 12b-2).    Yes ☐   No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There were 116,375,594</w:t>
      </w:r>
      <w:r>
        <w:rPr>
          <w:color w:val="FF0000"/>
          <w:shd w:fill="FFFFFF" w:val="clear"/>
        </w:rPr>
        <w:t xml:space="preserve"> </w:t>
      </w:r>
      <w:r>
        <w:rPr>
          <w:rFonts w:ascii="Times New Roman;serif" w:hAnsi="Times New Roman;serif"/>
          <w:b w:val="false"/>
          <w:color w:val="000000"/>
          <w:sz w:val="18"/>
          <w:shd w:fill="FFFFFF" w:val="clear"/>
        </w:rPr>
        <w:t>shares of Common Stock outstanding as of July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783"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457" w:type="dxa"/>
        <w:jc w:val="left"/>
        <w:tblInd w:w="0" w:type="dxa"/>
        <w:tblLayout w:type="fixed"/>
        <w:tblCellMar>
          <w:top w:w="28" w:type="dxa"/>
          <w:left w:w="28" w:type="dxa"/>
          <w:bottom w:w="28" w:type="dxa"/>
          <w:right w:w="28" w:type="dxa"/>
        </w:tblCellMar>
      </w:tblPr>
      <w:tblGrid>
        <w:gridCol w:w="2926"/>
        <w:gridCol w:w="2576"/>
        <w:gridCol w:w="2583"/>
        <w:gridCol w:w="109"/>
        <w:gridCol w:w="109"/>
        <w:gridCol w:w="154"/>
      </w:tblGrid>
      <w:tr>
        <w:trPr/>
        <w:tc>
          <w:tcPr>
            <w:tcW w:w="292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73b16074b01436fb5168e5c58069b7e">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3b16074b01436fb5168e5c58069b7e">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288212c970423aa0fbd8c2246064fa">
              <w:r>
                <w:rPr>
                  <w:rStyle w:val="InternetLink"/>
                  <w:rFonts w:ascii="Times New Roman;serif" w:hAnsi="Times New Roman;serif"/>
                  <w:b w:val="false"/>
                  <w:strike w:val="false"/>
                  <w:dstrike w:val="false"/>
                  <w:color w:val="000000"/>
                  <w:sz w:val="20"/>
                  <w:u w:val="none"/>
                  <w:effect w:val="non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288212c970423aa0fbd8c2246064fa">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5dae1f798f334c63ba74756d6fd89a89">
              <w:r>
                <w:rPr>
                  <w:rStyle w:val="InternetLink"/>
                  <w:rFonts w:ascii="Times New Roman;serif" w:hAnsi="Times New Roman;serif"/>
                  <w:b w:val="false"/>
                  <w:strike w:val="false"/>
                  <w:dstrike w:val="false"/>
                  <w:color w:val="000000"/>
                  <w:sz w:val="20"/>
                  <w:u w:val="none"/>
                  <w:effect w:val="non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ae1f798f334c63ba74756d6fd89a89">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629acae1c174460581ce5b350376ea96">
              <w:r>
                <w:rPr>
                  <w:rStyle w:val="InternetLink"/>
                  <w:rFonts w:ascii="Times New Roman;serif" w:hAnsi="Times New Roman;serif"/>
                  <w:b w:val="false"/>
                  <w:strike w:val="false"/>
                  <w:dstrike w:val="false"/>
                  <w:color w:val="000000"/>
                  <w:sz w:val="20"/>
                  <w:u w:val="none"/>
                  <w:effect w:val="non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29acae1c174460581ce5b350376ea96">
              <w:r>
                <w:rPr>
                  <w:rStyle w:val="InternetLink"/>
                  <w:rFonts w:ascii="Times New Roman;serif" w:hAnsi="Times New Roman;serif"/>
                  <w:b w:val="false"/>
                  <w:strike w:val="false"/>
                  <w:dstrike w:val="false"/>
                  <w:color w:val="000000"/>
                  <w:sz w:val="20"/>
                  <w:u w:val="none"/>
                  <w:effect w:val="none"/>
                </w:rPr>
                <w:t>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ca3c442d5ec041478aa286620c18195c">
              <w:r>
                <w:rPr>
                  <w:rStyle w:val="InternetLink"/>
                  <w:rFonts w:ascii="Times New Roman;serif" w:hAnsi="Times New Roman;serif"/>
                  <w:b w:val="false"/>
                  <w:strike w:val="false"/>
                  <w:dstrike w:val="false"/>
                  <w:color w:val="000000"/>
                  <w:sz w:val="20"/>
                  <w:u w:val="none"/>
                  <w:effect w:val="none"/>
                </w:rPr>
                <w:t>CONSOLIDATED BALANCE SHEETS (Condensed)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3c442d5ec041478aa286620c18195c">
              <w:r>
                <w:rPr>
                  <w:rStyle w:val="InternetLink"/>
                  <w:rFonts w:ascii="Times New Roman;serif" w:hAnsi="Times New Roman;serif"/>
                  <w:b w:val="false"/>
                  <w:strike w:val="false"/>
                  <w:dstrike w:val="false"/>
                  <w:color w:val="000000"/>
                  <w:sz w:val="20"/>
                  <w:u w:val="none"/>
                  <w:effect w:val="non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390c493de4d54c2cb93887110049cbca">
              <w:r>
                <w:rPr>
                  <w:rStyle w:val="InternetLink"/>
                  <w:rFonts w:ascii="Times New Roman;serif" w:hAnsi="Times New Roman;serif"/>
                  <w:b w:val="false"/>
                  <w:strike w:val="false"/>
                  <w:dstrike w:val="false"/>
                  <w:color w:val="000000"/>
                  <w:sz w:val="20"/>
                  <w:u w:val="none"/>
                  <w:effect w:val="none"/>
                </w:rPr>
                <w:t>CONSOLIDATED STATEMENTS OF CASH FLOWS (Condensed)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0c493de4d54c2cb93887110049cbca">
              <w:r>
                <w:rPr>
                  <w:rStyle w:val="InternetLink"/>
                  <w:rFonts w:ascii="Times New Roman;serif" w:hAnsi="Times New Roman;serif"/>
                  <w:b w:val="false"/>
                  <w:strike w:val="false"/>
                  <w:dstrike w:val="false"/>
                  <w:color w:val="000000"/>
                  <w:sz w:val="20"/>
                  <w:u w:val="none"/>
                  <w:effect w:val="non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fc1f6a0e04794997a6aa117c86dfbaff">
              <w:r>
                <w:rPr>
                  <w:rStyle w:val="InternetLink"/>
                  <w:rFonts w:ascii="Times New Roman;serif" w:hAnsi="Times New Roman;serif"/>
                  <w:b w:val="false"/>
                  <w:strike w:val="false"/>
                  <w:dstrike w:val="false"/>
                  <w:color w:val="000000"/>
                  <w:sz w:val="20"/>
                  <w:u w:val="none"/>
                  <w:effect w:val="none"/>
                </w:rPr>
                <w:t>CONSOLIDATED STATEMENTS OF CHANGES IN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1f6a0e04794997a6aa117c86dfbaff">
              <w:r>
                <w:rPr>
                  <w:rStyle w:val="InternetLink"/>
                  <w:rFonts w:ascii="Times New Roman;serif" w:hAnsi="Times New Roman;serif"/>
                  <w:b w:val="false"/>
                  <w:strike w:val="false"/>
                  <w:dstrike w:val="false"/>
                  <w:color w:val="000000"/>
                  <w:sz w:val="20"/>
                  <w:u w:val="none"/>
                  <w:effect w:val="non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365805f39d9e4570bdfc69895f098f2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805f39d9e4570bdfc69895f098f24">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53667b91b62f477d9a2b50e02580cc8c">
              <w:r>
                <w:rPr>
                  <w:rStyle w:val="InternetLink"/>
                  <w:rFonts w:ascii="Times New Roman;serif" w:hAnsi="Times New Roman;serif"/>
                  <w:b w:val="false"/>
                  <w:strike w:val="false"/>
                  <w:dstrike w:val="false"/>
                  <w:color w:val="000000"/>
                  <w:sz w:val="20"/>
                  <w:u w:val="none"/>
                  <w:effect w:val="none"/>
                </w:rPr>
                <w:t>A.    Basis of Presentation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667b91b62f477d9a2b50e02580cc8c">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37265d635f414a3b9fe27d71f06efcd8">
              <w:r>
                <w:rPr>
                  <w:rStyle w:val="InternetLink"/>
                  <w:rFonts w:ascii="Times New Roman;serif" w:hAnsi="Times New Roman;serif"/>
                  <w:b w:val="false"/>
                  <w:strike w:val="false"/>
                  <w:dstrike w:val="false"/>
                  <w:color w:val="000000"/>
                  <w:sz w:val="20"/>
                  <w:u w:val="none"/>
                  <w:effect w:val="none"/>
                </w:rPr>
                <w:t>B.    Recent Accounting and Reporting Pronouncements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7265d635f414a3b9fe27d71f06efcd8">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0f75253533949339b5d75d46b9ab81f">
              <w:r>
                <w:rPr>
                  <w:rStyle w:val="InternetLink"/>
                  <w:rFonts w:ascii="Times New Roman;serif" w:hAnsi="Times New Roman;serif"/>
                  <w:b w:val="false"/>
                  <w:strike w:val="false"/>
                  <w:dstrike w:val="false"/>
                  <w:color w:val="000000"/>
                  <w:sz w:val="20"/>
                  <w:u w:val="none"/>
                  <w:effect w:val="none"/>
                </w:rPr>
                <w:t>C.    Cash, Cash Equivalents, and Restricted Cash</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f75253533949339b5d75d46b9ab81f">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006cb4f356b4418991a31f4104cacba7">
              <w:r>
                <w:rPr>
                  <w:rStyle w:val="InternetLink"/>
                  <w:rFonts w:ascii="Times New Roman;serif" w:hAnsi="Times New Roman;serif"/>
                  <w:b w:val="false"/>
                  <w:strike w:val="false"/>
                  <w:dstrike w:val="false"/>
                  <w:color w:val="000000"/>
                  <w:sz w:val="20"/>
                  <w:u w:val="none"/>
                  <w:effect w:val="none"/>
                </w:rPr>
                <w:t>D.    Receivables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06cb4f356b4418991a31f4104cacba7">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148487fc79484c8687d396798ab16a78">
              <w:r>
                <w:rPr>
                  <w:rStyle w:val="InternetLink"/>
                  <w:rFonts w:ascii="Times New Roman;serif" w:hAnsi="Times New Roman;serif"/>
                  <w:b w:val="false"/>
                  <w:strike w:val="false"/>
                  <w:dstrike w:val="false"/>
                  <w:color w:val="000000"/>
                  <w:sz w:val="20"/>
                  <w:u w:val="none"/>
                  <w:effect w:val="none"/>
                </w:rPr>
                <w:t>E.    Inventories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8487fc79484c8687d396798ab16a78">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8df87ef849d64d5787f5c7f940de324d">
              <w:r>
                <w:rPr>
                  <w:rStyle w:val="InternetLink"/>
                  <w:rFonts w:ascii="Times New Roman;serif" w:hAnsi="Times New Roman;serif"/>
                  <w:b w:val="false"/>
                  <w:strike w:val="false"/>
                  <w:dstrike w:val="false"/>
                  <w:color w:val="000000"/>
                  <w:sz w:val="20"/>
                  <w:u w:val="none"/>
                  <w:effect w:val="none"/>
                </w:rPr>
                <w:t>F.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f87ef849d64d5787f5c7f940de324d">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d315580c2eda421fa1b0e734bfb2da29">
              <w:r>
                <w:rPr>
                  <w:rStyle w:val="InternetLink"/>
                  <w:rFonts w:ascii="Times New Roman;serif" w:hAnsi="Times New Roman;serif"/>
                  <w:b w:val="false"/>
                  <w:strike w:val="false"/>
                  <w:dstrike w:val="false"/>
                  <w:color w:val="000000"/>
                  <w:sz w:val="20"/>
                  <w:u w:val="none"/>
                  <w:effect w:val="none"/>
                </w:rPr>
                <w:t>G.    Supplier Finance Program Obligations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15580c2eda421fa1b0e734bfb2da29">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63498fc9e1964143b0df8ebfbe9ca73b">
              <w:r>
                <w:rPr>
                  <w:rStyle w:val="InternetLink"/>
                  <w:rFonts w:ascii="Times New Roman;serif" w:hAnsi="Times New Roman;serif"/>
                  <w:b w:val="false"/>
                  <w:strike w:val="false"/>
                  <w:dstrike w:val="false"/>
                  <w:color w:val="000000"/>
                  <w:sz w:val="20"/>
                  <w:u w:val="none"/>
                  <w:effect w:val="none"/>
                </w:rPr>
                <w:t>H.    Restructuring and Other</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3498fc9e1964143b0df8ebfbe9ca73b">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ad6f3649c37d4b43aab017b9abb5d92c">
              <w:r>
                <w:rPr>
                  <w:rStyle w:val="InternetLink"/>
                  <w:rFonts w:ascii="Times New Roman;serif" w:hAnsi="Times New Roman;serif"/>
                  <w:b w:val="false"/>
                  <w:strike w:val="false"/>
                  <w:dstrike w:val="false"/>
                  <w:color w:val="000000"/>
                  <w:sz w:val="20"/>
                  <w:u w:val="none"/>
                  <w:effect w:val="none"/>
                </w:rPr>
                <w:t>I.    Asbestos-Related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6f3649c37d4b43aab017b9abb5d92c">
              <w:r>
                <w:rPr>
                  <w:rStyle w:val="InternetLink"/>
                  <w:rFonts w:ascii="Times New Roman;serif" w:hAnsi="Times New Roman;serif"/>
                  <w:b w:val="false"/>
                  <w:strike w:val="false"/>
                  <w:dstrike w:val="false"/>
                  <w:color w:val="000000"/>
                  <w:sz w:val="20"/>
                  <w:u w:val="none"/>
                  <w:effect w:val="none"/>
                </w:rPr>
                <w:t>10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fcd50ae05ca148f79144036d88e9d30a">
              <w:r>
                <w:rPr>
                  <w:rStyle w:val="InternetLink"/>
                  <w:rFonts w:ascii="Times New Roman;serif" w:hAnsi="Times New Roman;serif"/>
                  <w:b w:val="false"/>
                  <w:strike w:val="false"/>
                  <w:dstrike w:val="false"/>
                  <w:color w:val="000000"/>
                  <w:sz w:val="20"/>
                  <w:u w:val="none"/>
                  <w:effect w:val="none"/>
                </w:rPr>
                <w:t>J.    Commitments and Contingent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d50ae05ca148f79144036d88e9d30a">
              <w:r>
                <w:rPr>
                  <w:rStyle w:val="InternetLink"/>
                  <w:rFonts w:ascii="Times New Roman;serif" w:hAnsi="Times New Roman;serif"/>
                  <w:b w:val="false"/>
                  <w:strike w:val="false"/>
                  <w:dstrike w:val="false"/>
                  <w:color w:val="000000"/>
                  <w:sz w:val="20"/>
                  <w:u w:val="none"/>
                  <w:effect w:val="none"/>
                </w:rPr>
                <w:t>12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209ca3e8e3c24196aa9e54ab1e203190">
              <w:r>
                <w:rPr>
                  <w:rStyle w:val="InternetLink"/>
                  <w:rFonts w:ascii="Times New Roman;serif" w:hAnsi="Times New Roman;serif"/>
                  <w:b w:val="false"/>
                  <w:strike w:val="false"/>
                  <w:dstrike w:val="false"/>
                  <w:color w:val="000000"/>
                  <w:sz w:val="20"/>
                  <w:u w:val="none"/>
                  <w:effect w:val="none"/>
                </w:rPr>
                <w:t>K.    Derivative and Other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9ca3e8e3c24196aa9e54ab1e203190">
              <w:r>
                <w:rPr>
                  <w:rStyle w:val="InternetLink"/>
                  <w:rFonts w:ascii="Times New Roman;serif" w:hAnsi="Times New Roman;serif"/>
                  <w:b w:val="false"/>
                  <w:strike w:val="false"/>
                  <w:dstrike w:val="false"/>
                  <w:color w:val="000000"/>
                  <w:sz w:val="20"/>
                  <w:u w:val="none"/>
                  <w:effect w:val="none"/>
                </w:rPr>
                <w:t>14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557df76e32624be1b9be76c34b7f8c47">
              <w:r>
                <w:rPr>
                  <w:rStyle w:val="InternetLink"/>
                  <w:rFonts w:ascii="Times New Roman;serif" w:hAnsi="Times New Roman;serif"/>
                  <w:b w:val="false"/>
                  <w:strike w:val="false"/>
                  <w:dstrike w:val="false"/>
                  <w:color w:val="000000"/>
                  <w:sz w:val="20"/>
                  <w:u w:val="none"/>
                  <w:effect w:val="none"/>
                </w:rPr>
                <w:t>L.    Debt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7df76e32624be1b9be76c34b7f8c47">
              <w:r>
                <w:rPr>
                  <w:rStyle w:val="InternetLink"/>
                  <w:rFonts w:ascii="Times New Roman;serif" w:hAnsi="Times New Roman;serif"/>
                  <w:b w:val="false"/>
                  <w:strike w:val="false"/>
                  <w:dstrike w:val="false"/>
                  <w:color w:val="000000"/>
                  <w:sz w:val="20"/>
                  <w:u w:val="none"/>
                  <w:effect w:val="none"/>
                </w:rPr>
                <w:t>18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97954c3b5e664180ab1076fb1ff19139">
              <w:r>
                <w:rPr>
                  <w:rStyle w:val="InternetLink"/>
                  <w:rFonts w:ascii="Times New Roman;serif" w:hAnsi="Times New Roman;serif"/>
                  <w:b w:val="false"/>
                  <w:strike w:val="false"/>
                  <w:dstrike w:val="false"/>
                  <w:color w:val="000000"/>
                  <w:sz w:val="20"/>
                  <w:u w:val="none"/>
                  <w:effect w:val="none"/>
                </w:rPr>
                <w:t>M.    Pension and Other Postretirement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954c3b5e664180ab1076fb1ff19139">
              <w:r>
                <w:rPr>
                  <w:rStyle w:val="InternetLink"/>
                  <w:rFonts w:ascii="Times New Roman;serif" w:hAnsi="Times New Roman;serif"/>
                  <w:b w:val="false"/>
                  <w:strike w:val="false"/>
                  <w:dstrike w:val="false"/>
                  <w:color w:val="000000"/>
                  <w:sz w:val="20"/>
                  <w:u w:val="none"/>
                  <w:effect w:val="none"/>
                </w:rPr>
                <w:t>19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0ca9fb087463495f8a54cb703679304f">
              <w:r>
                <w:rPr>
                  <w:rStyle w:val="InternetLink"/>
                  <w:rFonts w:ascii="Times New Roman;serif" w:hAnsi="Times New Roman;serif"/>
                  <w:b w:val="false"/>
                  <w:strike w:val="false"/>
                  <w:dstrike w:val="false"/>
                  <w:color w:val="000000"/>
                  <w:sz w:val="20"/>
                  <w:u w:val="none"/>
                  <w:effect w:val="none"/>
                </w:rPr>
                <w:t>N.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ca9fb087463495f8a54cb703679304f">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e9bb58836ee446dba326d7735184e2c8">
              <w:r>
                <w:rPr>
                  <w:rStyle w:val="InternetLink"/>
                  <w:rFonts w:ascii="Times New Roman;serif" w:hAnsi="Times New Roman;serif"/>
                  <w:b w:val="false"/>
                  <w:strike w:val="false"/>
                  <w:dstrike w:val="false"/>
                  <w:color w:val="000000"/>
                  <w:sz w:val="20"/>
                  <w:u w:val="none"/>
                  <w:effect w:val="none"/>
                </w:rPr>
                <w:t>O.    Accumulated Other Comprehensive Loss Attributable to Crown Holdings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bb58836ee446dba326d7735184e2c8">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55cf1e2b8cc45c3b3a1a8fd05ca9090">
              <w:r>
                <w:rPr>
                  <w:rStyle w:val="InternetLink"/>
                  <w:rFonts w:ascii="Times New Roman;serif" w:hAnsi="Times New Roman;serif"/>
                  <w:b w:val="false"/>
                  <w:strike w:val="false"/>
                  <w:dstrike w:val="false"/>
                  <w:color w:val="000000"/>
                  <w:sz w:val="20"/>
                  <w:u w:val="none"/>
                  <w:effect w:val="none"/>
                </w:rPr>
                <w:t>P.     Revenue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55cf1e2b8cc45c3b3a1a8fd05ca9090">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7b624a8193eb4474a76265f71a358c1a">
              <w:r>
                <w:rPr>
                  <w:rStyle w:val="InternetLink"/>
                  <w:rFonts w:ascii="Times New Roman;serif" w:hAnsi="Times New Roman;serif"/>
                  <w:b w:val="false"/>
                  <w:strike w:val="false"/>
                  <w:dstrike w:val="false"/>
                  <w:color w:val="000000"/>
                  <w:sz w:val="20"/>
                  <w:u w:val="none"/>
                  <w:effect w:val="none"/>
                </w:rPr>
                <w:t>Q.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b624a8193eb4474a76265f71a358c1a">
              <w:r>
                <w:rPr>
                  <w:rStyle w:val="InternetLink"/>
                  <w:rFonts w:ascii="Times New Roman;serif" w:hAnsi="Times New Roman;serif"/>
                  <w:b w:val="false"/>
                  <w:strike w:val="false"/>
                  <w:dstrike w:val="false"/>
                  <w:color w:val="000000"/>
                  <w:sz w:val="20"/>
                  <w:u w:val="none"/>
                  <w:effect w:val="none"/>
                </w:rPr>
                <w:t>21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4be6f1831a8143f4a2073c972f917be8">
              <w:r>
                <w:rPr>
                  <w:rStyle w:val="InternetLink"/>
                  <w:rFonts w:ascii="Times New Roman;serif" w:hAnsi="Times New Roman;serif"/>
                  <w:b w:val="false"/>
                  <w:strike w:val="false"/>
                  <w:dstrike w:val="false"/>
                  <w:color w:val="000000"/>
                  <w:sz w:val="20"/>
                  <w:u w:val="none"/>
                  <w:effect w:val="none"/>
                </w:rPr>
                <w:t>R.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e6f1831a8143f4a2073c972f917be8">
              <w:r>
                <w:rPr>
                  <w:rStyle w:val="InternetLink"/>
                  <w:rFonts w:ascii="Times New Roman;serif" w:hAnsi="Times New Roman;serif"/>
                  <w:b w:val="false"/>
                  <w:strike w:val="false"/>
                  <w:dstrike w:val="false"/>
                  <w:color w:val="000000"/>
                  <w:sz w:val="20"/>
                  <w:u w:val="none"/>
                  <w:effect w:val="none"/>
                </w:rPr>
                <w:t>21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eefd1a40e4046c58ebdf6d7d68b13f2">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eefd1a40e4046c58ebdf6d7d68b13f2">
              <w:r>
                <w:rPr>
                  <w:rStyle w:val="InternetLink"/>
                  <w:rFonts w:ascii="Times New Roman;serif" w:hAnsi="Times New Roman;serif"/>
                  <w:b w:val="false"/>
                  <w:strike w:val="false"/>
                  <w:dstrike w:val="false"/>
                  <w:color w:val="000000"/>
                  <w:sz w:val="20"/>
                  <w:u w:val="none"/>
                  <w:effect w:val="none"/>
                </w:rPr>
                <w:t>24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7703d9797c42a2bcabcc69221ea4b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7703d9797c42a2bcabcc69221ea4b3">
              <w:r>
                <w:rPr>
                  <w:rStyle w:val="InternetLink"/>
                  <w:rFonts w:ascii="Times New Roman;serif" w:hAnsi="Times New Roman;serif"/>
                  <w:b w:val="false"/>
                  <w:strike w:val="false"/>
                  <w:dstrike w:val="false"/>
                  <w:color w:val="000000"/>
                  <w:sz w:val="20"/>
                  <w:u w:val="none"/>
                  <w:effect w:val="none"/>
                </w:rPr>
                <w:t>32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5e93af46e454782aa1145bf75fc663b">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5e93af46e454782aa1145bf75fc663b">
              <w:r>
                <w:rPr>
                  <w:rStyle w:val="InternetLink"/>
                  <w:rFonts w:ascii="Times New Roman;serif" w:hAnsi="Times New Roman;serif"/>
                  <w:b w:val="false"/>
                  <w:strike w:val="false"/>
                  <w:dstrike w:val="false"/>
                  <w:color w:val="000000"/>
                  <w:sz w:val="20"/>
                  <w:u w:val="none"/>
                  <w:effect w:val="none"/>
                </w:rPr>
                <w:t>33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1c32d4dd647d7af18dffc7084c662">
              <w:r>
                <w:rPr>
                  <w:rStyle w:val="InternetLink"/>
                  <w:rFonts w:ascii="Times New Roman;serif" w:hAnsi="Times New Roman;serif"/>
                  <w:b w:val="false"/>
                  <w:strike w:val="false"/>
                  <w:dstrike w:val="false"/>
                  <w:color w:val="000000"/>
                  <w:sz w:val="20"/>
                  <w:u w:val="none"/>
                  <w:effect w:val="non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1c32d4dd647d7af18dffc7084c662">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center"/>
        <w:rPr>
          <w:rFonts w:ascii="Times New Roman;serif" w:hAnsi="Times New Roman;serif"/>
          <w:b/>
          <w:color w:val="000000"/>
          <w:sz w:val="20"/>
        </w:rPr>
      </w:pPr>
      <w:bookmarkStart w:id="0" w:name="i473b16074b01436fb5168e5c58069b7e"/>
      <w:bookmarkEnd w:id="0"/>
      <w:r>
        <w:rPr>
          <w:rFonts w:ascii="Times New Roman;serif" w:hAnsi="Times New Roman;serif"/>
          <w:b/>
          <w:color w:val="000000"/>
          <w:sz w:val="20"/>
        </w:rPr>
        <w:t>PART I – FINANCIAL INFORMATION</w:t>
      </w:r>
    </w:p>
    <w:p>
      <w:pPr>
        <w:pStyle w:val="TextBody"/>
        <w:bidi w:val="0"/>
        <w:spacing w:lineRule="auto" w:line="288" w:before="0" w:after="0"/>
        <w:ind w:left="0" w:right="0" w:hanging="180"/>
        <w:jc w:val="center"/>
        <w:rPr>
          <w:rFonts w:ascii="Times New Roman;serif" w:hAnsi="Times New Roman;serif"/>
          <w:b/>
          <w:color w:val="000000"/>
          <w:sz w:val="20"/>
        </w:rPr>
      </w:pPr>
      <w:bookmarkStart w:id="1" w:name="i6f288212c970423aa0fbd8c2246064fa"/>
      <w:bookmarkEnd w:id="1"/>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center"/>
        <w:rPr>
          <w:rFonts w:ascii="Times New Roman;serif" w:hAnsi="Times New Roman;serif"/>
          <w:b/>
          <w:color w:val="000000"/>
          <w:sz w:val="20"/>
        </w:rPr>
      </w:pPr>
      <w:bookmarkStart w:id="2" w:name="i5dae1f798f334c63ba74756d6fd89a89"/>
      <w:bookmarkEnd w:id="2"/>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35" w:type="dxa"/>
        <w:jc w:val="center"/>
        <w:tblInd w:w="0" w:type="dxa"/>
        <w:tblLayout w:type="fixed"/>
        <w:tblCellMar>
          <w:top w:w="28" w:type="dxa"/>
          <w:left w:w="28" w:type="dxa"/>
          <w:bottom w:w="28" w:type="dxa"/>
          <w:right w:w="28" w:type="dxa"/>
        </w:tblCellMar>
      </w:tblPr>
      <w:tblGrid>
        <w:gridCol w:w="1899"/>
        <w:gridCol w:w="1672"/>
        <w:gridCol w:w="16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 and equity in net earnings of affiliates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attributable to Crown Holdings: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3" w:name="i629acae1c174460581ce5b350376ea96"/>
      <w:bookmarkEnd w:id="3"/>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35" w:type="dxa"/>
        <w:jc w:val="center"/>
        <w:tblInd w:w="0" w:type="dxa"/>
        <w:tblLayout w:type="fixed"/>
        <w:tblCellMar>
          <w:top w:w="28" w:type="dxa"/>
          <w:left w:w="28" w:type="dxa"/>
          <w:bottom w:w="28" w:type="dxa"/>
          <w:right w:w="28" w:type="dxa"/>
        </w:tblCellMar>
      </w:tblPr>
      <w:tblGrid>
        <w:gridCol w:w="1901"/>
        <w:gridCol w:w="1672"/>
        <w:gridCol w:w="1692"/>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net of tax:</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qualifying as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 (loss)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comprehensive income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Crown Holdings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4" w:name="ica3c442d5ec041478aa286620c18195c"/>
      <w:bookmarkEnd w:id="4"/>
      <w:r>
        <w:rPr>
          <w:rFonts w:ascii="Times New Roman;serif" w:hAnsi="Times New Roman;serif"/>
          <w:b/>
          <w:color w:val="000000"/>
          <w:sz w:val="20"/>
        </w:rPr>
        <w:t>CONSOLIDATED BALANCE SHEETS (Condensed)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23" w:type="dxa"/>
        <w:jc w:val="left"/>
        <w:tblInd w:w="0" w:type="dxa"/>
        <w:tblLayout w:type="fixed"/>
        <w:tblCellMar>
          <w:top w:w="28" w:type="dxa"/>
          <w:left w:w="28" w:type="dxa"/>
          <w:bottom w:w="28" w:type="dxa"/>
          <w:right w:w="28" w:type="dxa"/>
        </w:tblCellMar>
      </w:tblPr>
      <w:tblGrid>
        <w:gridCol w:w="1462"/>
        <w:gridCol w:w="1286"/>
        <w:gridCol w:w="1302"/>
        <w:gridCol w:w="211"/>
        <w:gridCol w:w="721"/>
        <w:gridCol w:w="109"/>
        <w:gridCol w:w="109"/>
        <w:gridCol w:w="109"/>
        <w:gridCol w:w="109"/>
        <w:gridCol w:w="253"/>
        <w:gridCol w:w="867"/>
        <w:gridCol w:w="185"/>
      </w:tblGrid>
      <w:tr>
        <w:trPr/>
        <w:tc>
          <w:tcPr>
            <w:tcW w:w="146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r>
              <w:rPr>
                <w:rFonts w:ascii="Times New Roman;serif" w:hAnsi="Times New Roman;serif"/>
                <w:b w:val="false"/>
                <w:i/>
                <w:color w:val="000000"/>
                <w:sz w:val="20"/>
              </w:rPr>
              <w:t>(</w:t>
            </w:r>
            <w:hyperlink w:anchor="i8ad251c1894b4b6cad883ce2e269c301_70">
              <w:r>
                <w:rPr>
                  <w:rStyle w:val="InternetLink"/>
                  <w:rFonts w:ascii="Times New Roman;serif" w:hAnsi="Times New Roman;serif"/>
                  <w:b w:val="false"/>
                  <w:i/>
                  <w:color w:val="0000FF"/>
                  <w:sz w:val="20"/>
                  <w:u w:val="single"/>
                </w:rPr>
                <w:t>Note J</w:t>
              </w:r>
            </w:hyperlink>
            <w:r>
              <w:rPr>
                <w:rFonts w:ascii="Times New Roman;serif" w:hAnsi="Times New Roman;serif"/>
                <w:b w:val="false"/>
                <w:i/>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Crown Holdings shareholders’ equity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5" w:name="i390c493de4d54c2cb93887110049cbca"/>
      <w:bookmarkEnd w:id="5"/>
      <w:r>
        <w:rPr>
          <w:rFonts w:ascii="Times New Roman;serif" w:hAnsi="Times New Roman;serif"/>
          <w:b/>
          <w:color w:val="000000"/>
          <w:sz w:val="20"/>
        </w:rPr>
        <w:t>CONSOLIDATED STATEMENTS OF CASH FLOWS (Condensed)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73" w:type="dxa"/>
        <w:jc w:val="center"/>
        <w:tblInd w:w="0" w:type="dxa"/>
        <w:tblLayout w:type="fixed"/>
        <w:tblCellMar>
          <w:top w:w="28" w:type="dxa"/>
          <w:left w:w="28" w:type="dxa"/>
          <w:bottom w:w="28" w:type="dxa"/>
          <w:right w:w="28" w:type="dxa"/>
        </w:tblCellMar>
      </w:tblPr>
      <w:tblGrid>
        <w:gridCol w:w="2288"/>
        <w:gridCol w:w="2013"/>
        <w:gridCol w:w="2028"/>
        <w:gridCol w:w="211"/>
        <w:gridCol w:w="616"/>
        <w:gridCol w:w="109"/>
        <w:gridCol w:w="109"/>
        <w:gridCol w:w="109"/>
        <w:gridCol w:w="109"/>
        <w:gridCol w:w="211"/>
        <w:gridCol w:w="61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net of 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changes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for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revolving credit facility and short-term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short-term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for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January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6" w:name="ifc1f6a0e04794997a6aa117c86dfbaff"/>
      <w:bookmarkEnd w:id="6"/>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55" w:type="dxa"/>
        <w:jc w:val="left"/>
        <w:tblInd w:w="0" w:type="dxa"/>
        <w:tblLayout w:type="fixed"/>
        <w:tblCellMar>
          <w:top w:w="28" w:type="dxa"/>
          <w:left w:w="28" w:type="dxa"/>
          <w:bottom w:w="28" w:type="dxa"/>
          <w:right w:w="28" w:type="dxa"/>
        </w:tblCellMar>
      </w:tblPr>
      <w:tblGrid>
        <w:gridCol w:w="814"/>
        <w:gridCol w:w="268"/>
        <w:gridCol w:w="26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269"/>
        <w:gridCol w:w="806"/>
        <w:gridCol w:w="141"/>
        <w:gridCol w:w="109"/>
        <w:gridCol w:w="109"/>
        <w:gridCol w:w="109"/>
        <w:gridCol w:w="211"/>
        <w:gridCol w:w="616"/>
        <w:gridCol w:w="109"/>
        <w:gridCol w:w="109"/>
        <w:gridCol w:w="109"/>
        <w:gridCol w:w="109"/>
        <w:gridCol w:w="322"/>
        <w:gridCol w:w="712"/>
        <w:gridCol w:w="167"/>
        <w:gridCol w:w="109"/>
        <w:gridCol w:w="109"/>
        <w:gridCol w:w="109"/>
        <w:gridCol w:w="245"/>
        <w:gridCol w:w="716"/>
        <w:gridCol w:w="180"/>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Crown Holdings,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Crown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10" w:type="dxa"/>
        <w:jc w:val="left"/>
        <w:tblInd w:w="0" w:type="dxa"/>
        <w:tblLayout w:type="fixed"/>
        <w:tblCellMar>
          <w:top w:w="28" w:type="dxa"/>
          <w:left w:w="28" w:type="dxa"/>
          <w:bottom w:w="28" w:type="dxa"/>
          <w:right w:w="28" w:type="dxa"/>
        </w:tblCellMar>
      </w:tblPr>
      <w:tblGrid>
        <w:gridCol w:w="814"/>
        <w:gridCol w:w="268"/>
        <w:gridCol w:w="269"/>
        <w:gridCol w:w="211"/>
        <w:gridCol w:w="466"/>
        <w:gridCol w:w="109"/>
        <w:gridCol w:w="109"/>
        <w:gridCol w:w="109"/>
        <w:gridCol w:w="109"/>
        <w:gridCol w:w="211"/>
        <w:gridCol w:w="361"/>
        <w:gridCol w:w="109"/>
        <w:gridCol w:w="109"/>
        <w:gridCol w:w="109"/>
        <w:gridCol w:w="109"/>
        <w:gridCol w:w="211"/>
        <w:gridCol w:w="616"/>
        <w:gridCol w:w="109"/>
        <w:gridCol w:w="109"/>
        <w:gridCol w:w="109"/>
        <w:gridCol w:w="109"/>
        <w:gridCol w:w="269"/>
        <w:gridCol w:w="806"/>
        <w:gridCol w:w="141"/>
        <w:gridCol w:w="109"/>
        <w:gridCol w:w="109"/>
        <w:gridCol w:w="109"/>
        <w:gridCol w:w="211"/>
        <w:gridCol w:w="616"/>
        <w:gridCol w:w="109"/>
        <w:gridCol w:w="109"/>
        <w:gridCol w:w="109"/>
        <w:gridCol w:w="109"/>
        <w:gridCol w:w="322"/>
        <w:gridCol w:w="712"/>
        <w:gridCol w:w="167"/>
        <w:gridCol w:w="109"/>
        <w:gridCol w:w="109"/>
        <w:gridCol w:w="109"/>
        <w:gridCol w:w="245"/>
        <w:gridCol w:w="716"/>
        <w:gridCol w:w="180"/>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Crown Holdings,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Crown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7" w:name="i365805f39d9e4570bdfc69895f098f24"/>
      <w:bookmarkEnd w:id="7"/>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and statistical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720"/>
        <w:jc w:val="left"/>
        <w:rPr/>
      </w:pPr>
      <w:bookmarkStart w:id="8" w:name="i53667b91b62f477d9a2b50e02580cc8c"/>
      <w:bookmarkEnd w:id="8"/>
      <w:r>
        <w:rPr>
          <w:rFonts w:ascii="Times New Roman;serif" w:hAnsi="Times New Roman;serif"/>
          <w:b/>
          <w:color w:val="000000"/>
          <w:sz w:val="20"/>
          <w:shd w:fill="FFFFFF" w:val="clear"/>
        </w:rPr>
        <w:t>A.</w:t>
      </w:r>
      <w:r>
        <w:rPr>
          <w:rFonts w:ascii="Times New Roman;serif" w:hAnsi="Times New Roman;serif"/>
          <w:b/>
          <w:color w:val="000000"/>
          <w:sz w:val="20"/>
          <w:u w:val="single"/>
          <w:shd w:fill="FFFFFF" w:val="clear"/>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2025 and the results of its operations for the three and six months ended June 30, 2025 and 2024 and of its cash flows for the six months ended June 30, 2025 and 2024.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pPr>
      <w:bookmarkStart w:id="9" w:name="i37265d635f414a3b9fe27d71f06efcd8"/>
      <w:bookmarkEnd w:id="9"/>
      <w:r>
        <w:rPr>
          <w:rFonts w:ascii="Times New Roman;serif" w:hAnsi="Times New Roman;serif"/>
          <w:b/>
          <w:color w:val="000000"/>
          <w:sz w:val="20"/>
          <w:shd w:fill="FFFFFF" w:val="clear"/>
        </w:rPr>
        <w:t>B.</w:t>
      </w:r>
      <w:r>
        <w:rPr>
          <w:rFonts w:ascii="Times New Roman;serif" w:hAnsi="Times New Roman;serif"/>
          <w:b/>
          <w:color w:val="000000"/>
          <w:sz w:val="20"/>
          <w:u w:val="single"/>
          <w:shd w:fill="FFFFFF" w:val="clear"/>
        </w:rPr>
        <w:t>Recent Accounting and Reporting Pronouncements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The standard is applied prospectively with an option for retrospective adoption.</w:t>
      </w:r>
      <w:r>
        <w:rPr>
          <w:color w:val="000000"/>
          <w:shd w:fill="FFFFFF" w:val="clear"/>
        </w:rPr>
        <w:t xml:space="preserve"> </w:t>
      </w:r>
      <w:r>
        <w:rPr>
          <w:rFonts w:ascii="Times New Roman;serif" w:hAnsi="Times New Roman;serif"/>
          <w:b w:val="false"/>
          <w:color w:val="000000"/>
          <w:sz w:val="20"/>
          <w:shd w:fill="FFFFFF" w:val="clear"/>
        </w:rPr>
        <w:t>As the guidance impacts disclosure only, it will not have an impact on the Company's financial results. These changes in disclosure will initially be reflected in the annual financial statement footnotes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of adopting this standard on its disclosures.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0" w:name="ib0f75253533949339b5d75d46b9ab81f"/>
      <w:bookmarkEnd w:id="10"/>
      <w:r>
        <w:rPr>
          <w:rFonts w:ascii="Times New Roman;serif" w:hAnsi="Times New Roman;serif"/>
          <w:b/>
          <w:color w:val="000000"/>
          <w:sz w:val="20"/>
        </w:rPr>
        <w:t>C.    </w:t>
      </w:r>
      <w:r>
        <w:rPr>
          <w:rFonts w:ascii="Times New Roman;serif" w:hAnsi="Times New Roman;serif"/>
          <w:b/>
          <w:color w:val="000000"/>
          <w:sz w:val="20"/>
          <w:u w:val="single"/>
        </w:rPr>
        <w:t>Cash, Cash Equivalents, and Restricted Cash</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the Company's Consolidated Balance Sheets and Statement of Cash Flows were as follows:</w:t>
      </w:r>
    </w:p>
    <w:p>
      <w:pPr>
        <w:pStyle w:val="TextBody"/>
        <w:bidi w:val="0"/>
        <w:spacing w:before="0" w:after="0"/>
        <w:jc w:val="both"/>
        <w:rPr/>
      </w:pPr>
      <w:r>
        <w:rPr/>
      </w:r>
    </w:p>
    <w:tbl>
      <w:tblPr>
        <w:tblW w:w="8996" w:type="dxa"/>
        <w:jc w:val="left"/>
        <w:tblInd w:w="0" w:type="dxa"/>
        <w:tblLayout w:type="fixed"/>
        <w:tblCellMar>
          <w:top w:w="28" w:type="dxa"/>
          <w:left w:w="28" w:type="dxa"/>
          <w:bottom w:w="28" w:type="dxa"/>
          <w:right w:w="28" w:type="dxa"/>
        </w:tblCellMar>
      </w:tblPr>
      <w:tblGrid>
        <w:gridCol w:w="2064"/>
        <w:gridCol w:w="1813"/>
        <w:gridCol w:w="1823"/>
        <w:gridCol w:w="280"/>
        <w:gridCol w:w="820"/>
        <w:gridCol w:w="145"/>
        <w:gridCol w:w="109"/>
        <w:gridCol w:w="109"/>
        <w:gridCol w:w="109"/>
        <w:gridCol w:w="371"/>
        <w:gridCol w:w="1083"/>
        <w:gridCol w:w="270"/>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included in restricted cash primarily represent amounts required to be segregated by certain of the Company's receivables securitization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bookmarkStart w:id="11" w:name="i006cb4f356b4418991a31f4104cacba7"/>
      <w:bookmarkEnd w:id="11"/>
      <w:r>
        <w:rPr>
          <w:rFonts w:ascii="Times New Roman;serif" w:hAnsi="Times New Roman;serif"/>
          <w:b/>
          <w:color w:val="000000"/>
          <w:sz w:val="20"/>
        </w:rPr>
        <w:t>D.    </w:t>
      </w:r>
      <w:r>
        <w:rPr>
          <w:rFonts w:ascii="Times New Roman;serif" w:hAnsi="Times New Roman;serif"/>
          <w:b/>
          <w:color w:val="000000"/>
          <w:sz w:val="20"/>
          <w:u w:val="single"/>
        </w:rPr>
        <w:t>Receivables</w:t>
      </w:r>
    </w:p>
    <w:tbl>
      <w:tblPr>
        <w:tblW w:w="6011" w:type="dxa"/>
        <w:jc w:val="left"/>
        <w:tblInd w:w="0" w:type="dxa"/>
        <w:tblLayout w:type="fixed"/>
        <w:tblCellMar>
          <w:top w:w="28" w:type="dxa"/>
          <w:left w:w="28" w:type="dxa"/>
          <w:bottom w:w="28" w:type="dxa"/>
          <w:right w:w="28" w:type="dxa"/>
        </w:tblCellMar>
      </w:tblPr>
      <w:tblGrid>
        <w:gridCol w:w="984"/>
        <w:gridCol w:w="864"/>
        <w:gridCol w:w="867"/>
        <w:gridCol w:w="280"/>
        <w:gridCol w:w="820"/>
        <w:gridCol w:w="145"/>
        <w:gridCol w:w="109"/>
        <w:gridCol w:w="109"/>
        <w:gridCol w:w="109"/>
        <w:gridCol w:w="371"/>
        <w:gridCol w:w="1083"/>
        <w:gridCol w:w="270"/>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trade receivables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receivables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2" w:name="i148487fc79484c8687d396798ab16a78"/>
      <w:bookmarkEnd w:id="12"/>
      <w:r>
        <w:rPr>
          <w:rFonts w:ascii="Times New Roman;serif" w:hAnsi="Times New Roman;serif"/>
          <w:b/>
          <w:color w:val="000000"/>
          <w:sz w:val="20"/>
        </w:rPr>
        <w:t>E.    </w:t>
      </w:r>
      <w:r>
        <w:rPr>
          <w:rFonts w:ascii="Times New Roman;serif" w:hAnsi="Times New Roman;serif"/>
          <w:b/>
          <w:color w:val="000000"/>
          <w:sz w:val="20"/>
          <w:u w:val="single"/>
        </w:rPr>
        <w:t>Inventories</w:t>
      </w:r>
    </w:p>
    <w:tbl>
      <w:tblPr>
        <w:tblW w:w="5621" w:type="dxa"/>
        <w:jc w:val="left"/>
        <w:tblInd w:w="0" w:type="dxa"/>
        <w:tblLayout w:type="fixed"/>
        <w:tblCellMar>
          <w:top w:w="28" w:type="dxa"/>
          <w:left w:w="28" w:type="dxa"/>
          <w:bottom w:w="28" w:type="dxa"/>
          <w:right w:w="28" w:type="dxa"/>
        </w:tblCellMar>
      </w:tblPr>
      <w:tblGrid>
        <w:gridCol w:w="842"/>
        <w:gridCol w:w="739"/>
        <w:gridCol w:w="744"/>
        <w:gridCol w:w="280"/>
        <w:gridCol w:w="820"/>
        <w:gridCol w:w="145"/>
        <w:gridCol w:w="109"/>
        <w:gridCol w:w="109"/>
        <w:gridCol w:w="109"/>
        <w:gridCol w:w="371"/>
        <w:gridCol w:w="1083"/>
        <w:gridCol w:w="270"/>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3" w:name="i8df87ef849d64d5787f5c7f940de324d"/>
      <w:bookmarkEnd w:id="13"/>
      <w:r>
        <w:rPr>
          <w:rFonts w:ascii="Times New Roman;serif" w:hAnsi="Times New Roman;serif"/>
          <w:b/>
          <w:color w:val="000000"/>
          <w:sz w:val="20"/>
        </w:rPr>
        <w:t>F.    </w:t>
      </w:r>
      <w:r>
        <w:rPr>
          <w:rFonts w:ascii="Times New Roman;serif" w:hAnsi="Times New Roman;serif"/>
          <w:b/>
          <w:color w:val="000000"/>
          <w:sz w:val="20"/>
          <w:u w:val="single"/>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of finite-lived intangible assets by major class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1"/>
        <w:gridCol w:w="511"/>
        <w:gridCol w:w="512"/>
        <w:gridCol w:w="211"/>
        <w:gridCol w:w="616"/>
        <w:gridCol w:w="109"/>
        <w:gridCol w:w="109"/>
        <w:gridCol w:w="109"/>
        <w:gridCol w:w="109"/>
        <w:gridCol w:w="352"/>
        <w:gridCol w:w="1052"/>
        <w:gridCol w:w="183"/>
        <w:gridCol w:w="109"/>
        <w:gridCol w:w="109"/>
        <w:gridCol w:w="109"/>
        <w:gridCol w:w="211"/>
        <w:gridCol w:w="616"/>
        <w:gridCol w:w="109"/>
        <w:gridCol w:w="109"/>
        <w:gridCol w:w="109"/>
        <w:gridCol w:w="109"/>
        <w:gridCol w:w="211"/>
        <w:gridCol w:w="616"/>
        <w:gridCol w:w="109"/>
        <w:gridCol w:w="109"/>
        <w:gridCol w:w="109"/>
        <w:gridCol w:w="109"/>
        <w:gridCol w:w="352"/>
        <w:gridCol w:w="1052"/>
        <w:gridCol w:w="183"/>
        <w:gridCol w:w="109"/>
        <w:gridCol w:w="109"/>
        <w:gridCol w:w="109"/>
        <w:gridCol w:w="211"/>
        <w:gridCol w:w="616"/>
        <w:gridCol w:w="157"/>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supply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and six months ended June 30, 2025 and 2024 included amortization expense of $38 and $73 and $41 and $81.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4" w:name="id315580c2eda421fa1b0e734bfb2da29"/>
      <w:bookmarkEnd w:id="14"/>
      <w:r>
        <w:rPr>
          <w:rFonts w:ascii="Times New Roman;serif" w:hAnsi="Times New Roman;serif"/>
          <w:b/>
          <w:color w:val="000000"/>
          <w:sz w:val="20"/>
        </w:rPr>
        <w:t>G.    </w:t>
      </w:r>
      <w:r>
        <w:rPr>
          <w:rFonts w:ascii="Times New Roman;serif" w:hAnsi="Times New Roman;serif"/>
          <w:b/>
          <w:color w:val="000000"/>
          <w:sz w:val="20"/>
          <w:u w:val="single"/>
        </w:rPr>
        <w:t>Supplier Finance Program Obligations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$883 and $927 confirmed obligations outstanding under these supplier finance programs as of June 30, 2025 and December 31, 2024 included in Accounts Payable.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5" w:name="i63498fc9e1964143b0df8ebfbe9ca73b"/>
      <w:bookmarkEnd w:id="15"/>
      <w:r>
        <w:rPr>
          <w:rFonts w:ascii="Times New Roman;serif" w:hAnsi="Times New Roman;serif"/>
          <w:b/>
          <w:color w:val="000000"/>
          <w:sz w:val="20"/>
          <w:shd w:fill="FFFFFF" w:val="clear"/>
        </w:rPr>
        <w:t>H.    </w:t>
      </w:r>
      <w:r>
        <w:rPr>
          <w:rFonts w:ascii="Times New Roman;serif" w:hAnsi="Times New Roman;serif"/>
          <w:b/>
          <w:color w:val="000000"/>
          <w:sz w:val="20"/>
          <w:u w:val="single"/>
          <w:shd w:fill="FFFFFF" w:val="clear"/>
        </w:rPr>
        <w:t>Restructuring and Other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and other items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03" w:type="dxa"/>
        <w:jc w:val="left"/>
        <w:tblInd w:w="0" w:type="dxa"/>
        <w:tblLayout w:type="fixed"/>
        <w:tblCellMar>
          <w:top w:w="28" w:type="dxa"/>
          <w:left w:w="28" w:type="dxa"/>
          <w:bottom w:w="28" w:type="dxa"/>
          <w:right w:w="28" w:type="dxa"/>
        </w:tblCellMar>
      </w:tblPr>
      <w:tblGrid>
        <w:gridCol w:w="988"/>
        <w:gridCol w:w="869"/>
        <w:gridCol w:w="872"/>
        <w:gridCol w:w="226"/>
        <w:gridCol w:w="388"/>
        <w:gridCol w:w="117"/>
        <w:gridCol w:w="117"/>
        <w:gridCol w:w="117"/>
        <w:gridCol w:w="117"/>
        <w:gridCol w:w="226"/>
        <w:gridCol w:w="388"/>
        <w:gridCol w:w="117"/>
        <w:gridCol w:w="109"/>
        <w:gridCol w:w="109"/>
        <w:gridCol w:w="109"/>
        <w:gridCol w:w="211"/>
        <w:gridCol w:w="361"/>
        <w:gridCol w:w="109"/>
        <w:gridCol w:w="109"/>
        <w:gridCol w:w="109"/>
        <w:gridCol w:w="109"/>
        <w:gridCol w:w="211"/>
        <w:gridCol w:w="36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sales and impairments,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and six months ended June 30, 2025, asset sales and impairments primarily included asset impairment charges related to a plant in China and end line rationalization in the Asia Pacific segment. In addition, in the first quarter of 2025 the Company recognized a gain for a sale of a building in the Transit Packaging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and six months ended June 30, 2025 restructuring primarily included headcount reductions and other exit costs in the Transit Packaging segment. For the three and six months ended June 30, 2024, restructuring primarily included headcount reductions and other exit costs in the Company's European Beverage and Other segments.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second quarter of 2025, the Company recorded an $11 asbestos reserve related to an unfavorable jury verdict in the state of California. See </w:t>
      </w:r>
      <w:hyperlink w:anchor="i8ad251c1894b4b6cad883ce2e269c301_67">
        <w:r>
          <w:rPr>
            <w:rStyle w:val="InternetLink"/>
            <w:rFonts w:ascii="Times New Roman;serif" w:hAnsi="Times New Roman;serif"/>
            <w:b w:val="false"/>
            <w:color w:val="0000FF"/>
            <w:sz w:val="20"/>
            <w:u w:val="single"/>
            <w:shd w:fill="FFFFFF" w:val="clear"/>
          </w:rPr>
          <w:t>Note I</w:t>
        </w:r>
      </w:hyperlink>
      <w:r>
        <w:rPr>
          <w:color w:val="000000"/>
          <w:shd w:fill="FFFFFF" w:val="clear"/>
        </w:rPr>
        <w:t xml:space="preserve"> </w:t>
      </w:r>
      <w:r>
        <w:rPr>
          <w:rFonts w:ascii="Times New Roman;serif" w:hAnsi="Times New Roman;serif"/>
          <w:b w:val="false"/>
          <w:color w:val="000000"/>
          <w:sz w:val="20"/>
          <w:shd w:fill="FFFFFF" w:val="clear"/>
        </w:rPr>
        <w:t xml:space="preserve">for details.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2025, the Company made payments of $14 and had a restructuring accrual of $22, primarily related to previously announced restructuring actions. The Company expects to pay these amounts over the next twelve months. The Company continues to review its costs structure and may record additional restructuring charges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6" w:name="iad6f3649c37d4b43aab017b9abb5d92c"/>
      <w:bookmarkEnd w:id="16"/>
      <w:r>
        <w:rPr>
          <w:rFonts w:ascii="Times New Roman;serif" w:hAnsi="Times New Roman;serif"/>
          <w:b/>
          <w:color w:val="000000"/>
          <w:sz w:val="20"/>
        </w:rPr>
        <w:t>I.    </w:t>
      </w:r>
      <w:r>
        <w:rPr>
          <w:rFonts w:ascii="Times New Roman;serif" w:hAnsi="Times New Roman;serif"/>
          <w:b/>
          <w:color w:val="000000"/>
          <w:sz w:val="20"/>
          <w:u w:val="single"/>
        </w:rPr>
        <w:t>Asbestos-Related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Texas legislation to asbestos-related cases that were pending against Crown Cork in Texas on June 11, 2003 and therefore, in its accrual, continues to assign no value to claims filed after June 11, 2003.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w:t>
      </w:r>
      <w:r>
        <w:rPr>
          <w:rFonts w:ascii="Times New Roman;serif" w:hAnsi="Times New Roman;serif"/>
          <w:b w:val="false"/>
          <w:color w:val="000000"/>
          <w:sz w:val="20"/>
          <w:shd w:fill="FFFFFF" w:val="clear"/>
        </w:rPr>
        <w:t xml:space="preserve">ultimate effect of the legislation on Crown Cork.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June 2025, Crown Cork was party to a verdict in a mesothelioma wrongful death case tried in the Superior Court of the State of California in Los Angeles. A jury found that the conduct of the United States Navy and a predecessor of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Crown Cork was a substantial factor in causing the plaintiff’s exposure. Crown Cork’s share of the compensatory damages was $4. The jury also awarded punitive damages against Crown of $7. These amounts have been fully accrued as of June 30, 2025. The Company intends to file post-trial motions on various grounds and intends to appeal the judgment. There can be no assurances regarding the outcome of such motions and appeal.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paid $7 to settle asbestos claims and pay related legal and defense costs and had approximate claims activity as follows:</w:t>
      </w:r>
    </w:p>
    <w:p>
      <w:pPr>
        <w:pStyle w:val="TextBody"/>
        <w:bidi w:val="0"/>
        <w:spacing w:before="0" w:after="0"/>
        <w:jc w:val="both"/>
        <w:rPr/>
      </w:pPr>
      <w:r>
        <w:rPr/>
      </w:r>
    </w:p>
    <w:tbl>
      <w:tblPr>
        <w:tblW w:w="3020" w:type="dxa"/>
        <w:jc w:val="left"/>
        <w:tblInd w:w="0" w:type="dxa"/>
        <w:tblLayout w:type="fixed"/>
        <w:tblCellMar>
          <w:top w:w="28" w:type="dxa"/>
          <w:left w:w="28" w:type="dxa"/>
          <w:bottom w:w="28" w:type="dxa"/>
          <w:right w:w="28" w:type="dxa"/>
        </w:tblCellMar>
      </w:tblPr>
      <w:tblGrid>
        <w:gridCol w:w="777"/>
        <w:gridCol w:w="682"/>
        <w:gridCol w:w="686"/>
        <w:gridCol w:w="360"/>
        <w:gridCol w:w="36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claims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claims</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or dismissals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claims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fourth quarter of each year, the Company performs an analysis of outstanding claims and categorizes these claims by year of exposure and state filed. As of December 31, 2024, the Company's outstanding claims were:</w:t>
      </w:r>
    </w:p>
    <w:p>
      <w:pPr>
        <w:pStyle w:val="TextBody"/>
        <w:bidi w:val="0"/>
        <w:spacing w:before="0" w:after="0"/>
        <w:jc w:val="both"/>
        <w:rPr/>
      </w:pPr>
      <w:r>
        <w:rPr/>
      </w:r>
    </w:p>
    <w:tbl>
      <w:tblPr>
        <w:tblW w:w="6184" w:type="dxa"/>
        <w:jc w:val="left"/>
        <w:tblInd w:w="0" w:type="dxa"/>
        <w:tblLayout w:type="fixed"/>
        <w:tblCellMar>
          <w:top w:w="28" w:type="dxa"/>
          <w:left w:w="28" w:type="dxa"/>
          <w:bottom w:w="28" w:type="dxa"/>
          <w:right w:w="28" w:type="dxa"/>
        </w:tblCellMar>
      </w:tblPr>
      <w:tblGrid>
        <w:gridCol w:w="1919"/>
        <w:gridCol w:w="1689"/>
        <w:gridCol w:w="1701"/>
        <w:gridCol w:w="360"/>
        <w:gridCol w:w="36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after 1964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before or during 1964 filed in:</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 that have enacted asbestos legislation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outstanding</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does not believe that an adverse ruling in the Texas or Pennsylvania asbestos litigation cases, or in any other state that has enacted asbestos legislation, would have a material impact on the Company with respect to such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2023, the percentage of outstanding claims related to claimants alleging serious diseases (primarily mesothelioma and other malignancies) were as follows:</w:t>
      </w:r>
    </w:p>
    <w:p>
      <w:pPr>
        <w:pStyle w:val="TextBody"/>
        <w:bidi w:val="0"/>
        <w:spacing w:before="0" w:after="0"/>
        <w:jc w:val="both"/>
        <w:rPr/>
      </w:pPr>
      <w:r>
        <w:rPr/>
      </w:r>
    </w:p>
    <w:tbl>
      <w:tblPr>
        <w:tblW w:w="6336" w:type="dxa"/>
        <w:jc w:val="left"/>
        <w:tblInd w:w="0" w:type="dxa"/>
        <w:tblLayout w:type="fixed"/>
        <w:tblCellMar>
          <w:top w:w="28" w:type="dxa"/>
          <w:left w:w="28" w:type="dxa"/>
          <w:bottom w:w="28" w:type="dxa"/>
          <w:right w:w="28" w:type="dxa"/>
        </w:tblCellMar>
      </w:tblPr>
      <w:tblGrid>
        <w:gridCol w:w="1608"/>
        <w:gridCol w:w="1410"/>
        <w:gridCol w:w="1422"/>
        <w:gridCol w:w="180"/>
        <w:gridCol w:w="181"/>
        <w:gridCol w:w="292"/>
        <w:gridCol w:w="109"/>
        <w:gridCol w:w="109"/>
        <w:gridCol w:w="109"/>
        <w:gridCol w:w="180"/>
        <w:gridCol w:w="181"/>
        <w:gridCol w:w="292"/>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Pre-1965 claims in states without asbestos legislation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Company’s accrual for pending and future asbestos-related claims and related legal costs was $189, including $117 for unasserted claims. The Company determines its accrual without limitation to a specific time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2024),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7" w:name="ifcd50ae05ca148f79144036d88e9d30a"/>
      <w:bookmarkEnd w:id="17"/>
      <w:r>
        <w:rPr>
          <w:rFonts w:ascii="Times New Roman;serif" w:hAnsi="Times New Roman;serif"/>
          <w:b/>
          <w:color w:val="000000"/>
          <w:sz w:val="20"/>
        </w:rPr>
        <w:t>J.    </w:t>
      </w:r>
      <w:r>
        <w:rPr>
          <w:rFonts w:ascii="Times New Roman;serif" w:hAnsi="Times New Roman;serif"/>
          <w:b/>
          <w:color w:val="000000"/>
          <w:sz w:val="20"/>
          <w:u w:val="single"/>
          <w:shd w:fill="FFFFFF" w:val="clear"/>
        </w:rPr>
        <w:t>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has also recorded aggregate accruals </w:t>
      </w:r>
      <w:r>
        <w:rPr>
          <w:rFonts w:ascii="Times New Roman;serif" w:hAnsi="Times New Roman;serif"/>
          <w:b w:val="false"/>
          <w:color w:val="000000"/>
          <w:sz w:val="20"/>
          <w:shd w:fill="FFFFFF" w:val="clear"/>
        </w:rPr>
        <w:t xml:space="preserve">of $9 for remediation activities at various worldwide locations that are owned by the Company and for which the Company is not a member of a PRP group. Although the Company believes its accruals are adequate to cover its portion of </w:t>
      </w:r>
      <w:r>
        <w:rPr>
          <w:rFonts w:ascii="Times New Roman;serif" w:hAnsi="Times New Roman;serif"/>
          <w:b w:val="false"/>
          <w:color w:val="000000"/>
          <w:sz w:val="20"/>
        </w:rPr>
        <w:t>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w:t>
      </w:r>
      <w:r>
        <w:rPr>
          <w:rFonts w:ascii="Times New Roman;serif" w:hAnsi="Times New Roman;serif"/>
          <w:b w:val="false"/>
          <w:color w:val="000000"/>
          <w:sz w:val="20"/>
          <w:shd w:fill="FFFFFF" w:val="clear"/>
        </w:rPr>
        <w:t>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w:t>
      </w:r>
      <w:r>
        <w:rPr>
          <w:rFonts w:ascii="Times New Roman;serif" w:hAnsi="Times New Roman;serif"/>
          <w:b w:val="false"/>
          <w:color w:val="000000"/>
          <w:sz w:val="20"/>
        </w:rPr>
        <w:t>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w:t>
      </w:r>
      <w:r>
        <w:rPr>
          <w:rFonts w:ascii="Times New Roman;serif" w:hAnsi="Times New Roman;serif"/>
          <w:b w:val="false"/>
          <w:color w:val="000000"/>
          <w:sz w:val="20"/>
          <w:shd w:fill="FFFFFF" w:val="clear"/>
        </w:rPr>
        <w:t xml:space="preserve">mpany for the years 2004 through 2015 </w:t>
      </w:r>
      <w:r>
        <w:rPr>
          <w:rFonts w:ascii="Times New Roman;serif" w:hAnsi="Times New Roman;serif"/>
          <w:b w:val="false"/>
          <w:color w:val="000000"/>
          <w:sz w:val="20"/>
        </w:rPr>
        <w:t>when the PIS and COFINS indirect taxes were calculated by fixed rates and assessed interest and penalties. During the fourth quarter of 2024, the Company received an unfavorable ruling to a challenge at the administrative level. The Company does not believe that a loss for this assessment is probable and plans to challenge the assessment at the judicial level. There can be no assurances that the Company will be successful in contesting the assessment.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2025,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bookmarkStart w:id="18" w:name="i209ca3e8e3c24196aa9e54ab1e203190"/>
      <w:bookmarkEnd w:id="18"/>
      <w:r>
        <w:rPr>
          <w:rFonts w:ascii="Times New Roman;serif" w:hAnsi="Times New Roman;serif"/>
          <w:b/>
          <w:color w:val="000000"/>
          <w:sz w:val="20"/>
        </w:rPr>
        <w:t>K.    </w:t>
      </w:r>
      <w:r>
        <w:rPr>
          <w:rFonts w:ascii="Times New Roman;serif" w:hAnsi="Times New Roman;serif"/>
          <w:b/>
          <w:color w:val="000000"/>
          <w:sz w:val="20"/>
          <w:u w:val="single"/>
        </w:rPr>
        <w:t>Derivative and Other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Fair value disclosures for financial assets and liabilities that were accounted for at fair value on a recurring basis are provided later in this note. In addition, see </w:t>
      </w:r>
      <w:hyperlink w:anchor="i8ad251c1894b4b6cad883ce2e269c301_76">
        <w:r>
          <w:rPr>
            <w:rStyle w:val="InternetLink"/>
            <w:rFonts w:ascii="Times New Roman;serif" w:hAnsi="Times New Roman;serif"/>
            <w:b w:val="false"/>
            <w:color w:val="0000FF"/>
            <w:sz w:val="20"/>
            <w:u w:val="single"/>
          </w:rPr>
          <w:t>Note L</w:t>
        </w:r>
      </w:hyperlink>
      <w:r>
        <w:rPr>
          <w:color w:val="000000"/>
        </w:rPr>
        <w:t xml:space="preserve"> </w:t>
      </w:r>
      <w:r>
        <w:rPr>
          <w:rFonts w:ascii="Times New Roman;serif" w:hAnsi="Times New Roman;serif"/>
          <w:b w:val="false"/>
          <w:color w:val="000000"/>
          <w:sz w:val="20"/>
        </w:rPr>
        <w:t>for fair value disclosures related to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2025 mature between one and thirty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commodity forward contracts to hedge anticipated purchases of various commodities, primarily aluminum as well as natural gas and electricity, and these exposures are hedged by a central treasury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use interest rate swaps to convert interest on floating rate debt to a fixed-rate.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financial information about the impact on other comprehensive income ("OCI"), accumulated other comprehensive income ("AOCI") and earnings from changes in the fair value of derivative instruments.</w:t>
      </w:r>
    </w:p>
    <w:tbl>
      <w:tblPr>
        <w:tblW w:w="10205" w:type="dxa"/>
        <w:jc w:val="left"/>
        <w:tblInd w:w="0" w:type="dxa"/>
        <w:tblLayout w:type="fixed"/>
        <w:tblCellMar>
          <w:top w:w="28" w:type="dxa"/>
          <w:left w:w="28" w:type="dxa"/>
          <w:bottom w:w="28" w:type="dxa"/>
          <w:right w:w="28" w:type="dxa"/>
        </w:tblCellMar>
      </w:tblPr>
      <w:tblGrid>
        <w:gridCol w:w="667"/>
        <w:gridCol w:w="481"/>
        <w:gridCol w:w="484"/>
        <w:gridCol w:w="109"/>
        <w:gridCol w:w="109"/>
        <w:gridCol w:w="109"/>
        <w:gridCol w:w="309"/>
        <w:gridCol w:w="595"/>
        <w:gridCol w:w="159"/>
        <w:gridCol w:w="159"/>
        <w:gridCol w:w="159"/>
        <w:gridCol w:w="159"/>
        <w:gridCol w:w="309"/>
        <w:gridCol w:w="618"/>
        <w:gridCol w:w="159"/>
        <w:gridCol w:w="109"/>
        <w:gridCol w:w="109"/>
        <w:gridCol w:w="109"/>
        <w:gridCol w:w="309"/>
        <w:gridCol w:w="595"/>
        <w:gridCol w:w="159"/>
        <w:gridCol w:w="159"/>
        <w:gridCol w:w="159"/>
        <w:gridCol w:w="159"/>
        <w:gridCol w:w="309"/>
        <w:gridCol w:w="596"/>
        <w:gridCol w:w="159"/>
        <w:gridCol w:w="109"/>
        <w:gridCol w:w="109"/>
        <w:gridCol w:w="109"/>
        <w:gridCol w:w="762"/>
        <w:gridCol w:w="655"/>
        <w:gridCol w:w="945"/>
      </w:tblGrid>
      <w:tr>
        <w:trPr/>
        <w:tc>
          <w:tcPr>
            <w:tcW w:w="66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items in the Statement of Operations</w:t>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230" w:type="dxa"/>
            <w:gridSpan w:val="12"/>
            <w:tcBorders/>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twelve-month period ending June 30, 2026, a net gain of $4 ($3, net of tax) is expected to be reclassified to earnings for commodity and foreign exchange contracts. No material amounts were reclassified during the six months ended June 30, 2025 and 2024 in connection with anticipated transactions that were considered probable of not occurring.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 and Contracts Not Designated as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certain derivative financial instruments as fair value hedges of recognized foreign-denominated assets and liabilities. The notional values and maturity dates of the derivative instruments coincide with those of the hedged items. Changes in fair value of the derivative financial instruments, excluding time value, are offset by changes in fair value of the related hedged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2024, the Company recorded a gain of $11 and $15 from foreign exchange contracts designated as fair value hedges. These adjustments were reported within foreign exchange in the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derivative financial instruments, including foreign exchange contracts related to intercompany debt, trade accounts receivable and payable and unrecognized firm commitments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impact on earnings from derivatives not designated as hedges.</w:t>
      </w:r>
    </w:p>
    <w:tbl>
      <w:tblPr>
        <w:tblW w:w="10205" w:type="dxa"/>
        <w:jc w:val="left"/>
        <w:tblInd w:w="0" w:type="dxa"/>
        <w:tblLayout w:type="fixed"/>
        <w:tblCellMar>
          <w:top w:w="28" w:type="dxa"/>
          <w:left w:w="28" w:type="dxa"/>
          <w:bottom w:w="28" w:type="dxa"/>
          <w:right w:w="28" w:type="dxa"/>
        </w:tblCellMar>
      </w:tblPr>
      <w:tblGrid>
        <w:gridCol w:w="612"/>
        <w:gridCol w:w="536"/>
        <w:gridCol w:w="540"/>
        <w:gridCol w:w="109"/>
        <w:gridCol w:w="109"/>
        <w:gridCol w:w="109"/>
        <w:gridCol w:w="301"/>
        <w:gridCol w:w="581"/>
        <w:gridCol w:w="155"/>
        <w:gridCol w:w="155"/>
        <w:gridCol w:w="155"/>
        <w:gridCol w:w="155"/>
        <w:gridCol w:w="301"/>
        <w:gridCol w:w="579"/>
        <w:gridCol w:w="155"/>
        <w:gridCol w:w="109"/>
        <w:gridCol w:w="109"/>
        <w:gridCol w:w="109"/>
        <w:gridCol w:w="301"/>
        <w:gridCol w:w="581"/>
        <w:gridCol w:w="155"/>
        <w:gridCol w:w="155"/>
        <w:gridCol w:w="155"/>
        <w:gridCol w:w="155"/>
        <w:gridCol w:w="301"/>
        <w:gridCol w:w="579"/>
        <w:gridCol w:w="155"/>
        <w:gridCol w:w="109"/>
        <w:gridCol w:w="109"/>
        <w:gridCol w:w="109"/>
        <w:gridCol w:w="789"/>
        <w:gridCol w:w="686"/>
        <w:gridCol w:w="987"/>
      </w:tblGrid>
      <w:tr>
        <w:trPr/>
        <w:tc>
          <w:tcPr>
            <w:tcW w:w="6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 amounts of gain/(loss) recognized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 amounts of gain/(loss) recognized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 in the Statement of Operations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Hedges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certain debt and derivative instruments as net investment hedges to manage foreign currency risk relating to net investments in subsidiaries denominated in foreign currencies and reduce the variability in the functional currency equivalent cash flows.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recorded losses of $98 ($74, net of tax) and $141 ($107, net of tax) in other comprehensive income for certain debt instruments that are designated as hedges of its net investment in a euro-based subsidiary. During the three and six months ended June 30, 2024, the Company recorded gains of $12 ($10, net of tax) and $53 ($44, net of tax). As of June 30, 2025 and December 31, 2024, cumulative losses of $8 ($24, net of tax) and gains of $133 ($131, net of tax) were recognized in accumulated other comprehensive income related to these net investment hedges. The carrying amount of the hedging instrument was approximately €1,011 ($1,190)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cross-currency swaps with an aggregate notional value of $1,475 designated as hedges of the Company's net investment in a euro-based subsidiary, including a new series of cross-currency swaps with a notional value of $600 entered into in May 2025. These swaps mature in 2026 and 2030 and reduced interest expense by $7 and $14 for the three and six months ended June 30, 2025 and $6 and $12 for the three and six months ended June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financial information about the impact on accumulated other comprehensive income from changes in the fair value of derivative instruments designated as net investment hedges.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1"/>
        <w:gridCol w:w="1000"/>
        <w:gridCol w:w="1006"/>
        <w:gridCol w:w="109"/>
        <w:gridCol w:w="109"/>
        <w:gridCol w:w="109"/>
        <w:gridCol w:w="359"/>
        <w:gridCol w:w="724"/>
        <w:gridCol w:w="185"/>
        <w:gridCol w:w="185"/>
        <w:gridCol w:w="185"/>
        <w:gridCol w:w="185"/>
        <w:gridCol w:w="359"/>
        <w:gridCol w:w="691"/>
        <w:gridCol w:w="185"/>
        <w:gridCol w:w="109"/>
        <w:gridCol w:w="109"/>
        <w:gridCol w:w="109"/>
        <w:gridCol w:w="349"/>
        <w:gridCol w:w="879"/>
        <w:gridCol w:w="180"/>
        <w:gridCol w:w="180"/>
        <w:gridCol w:w="180"/>
        <w:gridCol w:w="180"/>
        <w:gridCol w:w="349"/>
        <w:gridCol w:w="598"/>
        <w:gridCol w:w="180"/>
        <w:gridCol w:w="109"/>
        <w:gridCol w:w="162"/>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recognized in AOCI</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938" w:type="dxa"/>
            <w:gridSpan w:val="8"/>
            <w:tcBorders/>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and losses representing components excluded from the assessment of effectiveness on derivatives designated as net investment hedges are recognized in accumulated other comprehensive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or losses on net investment hedges remain in accumulated other comprehensive income until disposal of the underlying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Values of Derivative Financial Instruments and Valuation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that were accounted for at fair value on a recurring basis as of June 30, 2025 and December 31, 2024, respectively. The fair values of these financial instruments were reported under Level 2 of the fair value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3"/>
        <w:gridCol w:w="419"/>
        <w:gridCol w:w="421"/>
        <w:gridCol w:w="114"/>
        <w:gridCol w:w="114"/>
        <w:gridCol w:w="114"/>
        <w:gridCol w:w="533"/>
        <w:gridCol w:w="533"/>
        <w:gridCol w:w="534"/>
        <w:gridCol w:w="109"/>
        <w:gridCol w:w="109"/>
        <w:gridCol w:w="109"/>
        <w:gridCol w:w="216"/>
        <w:gridCol w:w="370"/>
        <w:gridCol w:w="111"/>
        <w:gridCol w:w="109"/>
        <w:gridCol w:w="109"/>
        <w:gridCol w:w="109"/>
        <w:gridCol w:w="282"/>
        <w:gridCol w:w="626"/>
        <w:gridCol w:w="147"/>
        <w:gridCol w:w="109"/>
        <w:gridCol w:w="109"/>
        <w:gridCol w:w="109"/>
        <w:gridCol w:w="468"/>
        <w:gridCol w:w="468"/>
        <w:gridCol w:w="469"/>
        <w:gridCol w:w="109"/>
        <w:gridCol w:w="109"/>
        <w:gridCol w:w="109"/>
        <w:gridCol w:w="211"/>
        <w:gridCol w:w="466"/>
        <w:gridCol w:w="109"/>
        <w:gridCol w:w="109"/>
        <w:gridCol w:w="109"/>
        <w:gridCol w:w="109"/>
        <w:gridCol w:w="319"/>
        <w:gridCol w:w="546"/>
        <w:gridCol w:w="247"/>
      </w:tblGrid>
      <w:tr>
        <w:trPr/>
        <w:tc>
          <w:tcPr>
            <w:tcW w:w="7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5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cash flow</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contracts cash flow</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51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Offsetting of 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8"/>
        <w:gridCol w:w="733"/>
        <w:gridCol w:w="739"/>
        <w:gridCol w:w="1160"/>
        <w:gridCol w:w="1160"/>
        <w:gridCol w:w="1163"/>
        <w:gridCol w:w="1110"/>
        <w:gridCol w:w="1110"/>
        <w:gridCol w:w="1115"/>
        <w:gridCol w:w="304"/>
        <w:gridCol w:w="304"/>
        <w:gridCol w:w="439"/>
      </w:tblGrid>
      <w:tr>
        <w:trPr/>
        <w:tc>
          <w:tcPr>
            <w:tcW w:w="86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recognized in the Balance Sheet</w:t>
            </w:r>
          </w:p>
        </w:tc>
        <w:tc>
          <w:tcPr>
            <w:tcW w:w="3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not offset in the Balance Sheet</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June 30, 2025</w:t>
            </w:r>
          </w:p>
        </w:tc>
        <w:tc>
          <w:tcPr>
            <w:tcW w:w="3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December 31, 2024</w:t>
            </w:r>
          </w:p>
        </w:tc>
        <w:tc>
          <w:tcPr>
            <w:tcW w:w="3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Notional Values of Outstanding Derivative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U.S. dollar-equivalent notional values of outstanding derivative instruments in the Consolidated Balance Sheets at June 30, 2025 and December 31, 2024 were: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406" w:type="dxa"/>
        <w:jc w:val="left"/>
        <w:tblInd w:w="0" w:type="dxa"/>
        <w:tblLayout w:type="fixed"/>
        <w:tblCellMar>
          <w:top w:w="28" w:type="dxa"/>
          <w:left w:w="28" w:type="dxa"/>
          <w:bottom w:w="28" w:type="dxa"/>
          <w:right w:w="28" w:type="dxa"/>
        </w:tblCellMar>
      </w:tblPr>
      <w:tblGrid>
        <w:gridCol w:w="1490"/>
        <w:gridCol w:w="1306"/>
        <w:gridCol w:w="1314"/>
        <w:gridCol w:w="334"/>
        <w:gridCol w:w="738"/>
        <w:gridCol w:w="172"/>
        <w:gridCol w:w="109"/>
        <w:gridCol w:w="109"/>
        <w:gridCol w:w="109"/>
        <w:gridCol w:w="438"/>
        <w:gridCol w:w="966"/>
        <w:gridCol w:w="321"/>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9" w:name="i557df76e32624be1b9be76c34b7f8c47"/>
      <w:bookmarkEnd w:id="19"/>
      <w:r>
        <w:rPr>
          <w:rFonts w:ascii="Times New Roman;serif" w:hAnsi="Times New Roman;serif"/>
          <w:b/>
          <w:color w:val="000000"/>
          <w:sz w:val="20"/>
        </w:rPr>
        <w:t>L.    </w:t>
      </w:r>
      <w:r>
        <w:rPr>
          <w:rFonts w:ascii="Times New Roman;serif" w:hAnsi="Times New Roman;serif"/>
          <w:b/>
          <w:color w:val="000000"/>
          <w:sz w:val="20"/>
          <w:u w:val="single"/>
        </w:rPr>
        <w:t>Debt</w:t>
      </w:r>
    </w:p>
    <w:p>
      <w:pPr>
        <w:pStyle w:val="TextBody"/>
        <w:bidi w:val="0"/>
        <w:spacing w:before="0" w:after="0"/>
        <w:jc w:val="left"/>
        <w:rPr/>
      </w:pPr>
      <w:r>
        <w:rPr/>
      </w:r>
    </w:p>
    <w:tbl>
      <w:tblPr>
        <w:tblW w:w="8719" w:type="dxa"/>
        <w:jc w:val="left"/>
        <w:tblInd w:w="0" w:type="dxa"/>
        <w:tblLayout w:type="fixed"/>
        <w:tblCellMar>
          <w:top w:w="28" w:type="dxa"/>
          <w:left w:w="28" w:type="dxa"/>
          <w:bottom w:w="28" w:type="dxa"/>
          <w:right w:w="28" w:type="dxa"/>
        </w:tblCellMar>
      </w:tblPr>
      <w:tblGrid>
        <w:gridCol w:w="1324"/>
        <w:gridCol w:w="1166"/>
        <w:gridCol w:w="1169"/>
        <w:gridCol w:w="243"/>
        <w:gridCol w:w="711"/>
        <w:gridCol w:w="127"/>
        <w:gridCol w:w="109"/>
        <w:gridCol w:w="109"/>
        <w:gridCol w:w="109"/>
        <w:gridCol w:w="211"/>
        <w:gridCol w:w="616"/>
        <w:gridCol w:w="109"/>
        <w:gridCol w:w="109"/>
        <w:gridCol w:w="109"/>
        <w:gridCol w:w="109"/>
        <w:gridCol w:w="243"/>
        <w:gridCol w:w="711"/>
        <w:gridCol w:w="127"/>
        <w:gridCol w:w="109"/>
        <w:gridCol w:w="109"/>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debt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Long-term debt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due 2027</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 due 2027</w:t>
            </w:r>
            <w:r>
              <w:rPr>
                <w:rFonts w:ascii="Times New Roman;serif" w:hAnsi="Times New Roman;serif"/>
                <w:b w:val="false"/>
                <w:color w:val="000000"/>
                <w:sz w:val="13"/>
              </w:rPr>
              <w:t>1</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4.25% due 2026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4.75% due 2026</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7.375% due 2026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2.875% due 2026</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5.00% due 2028</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4.75% due 2029</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600 at 4.50% due 2030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5.25% due 2030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5.875% due 2033</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7.50% due 2096</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indebtedness in various currencies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maturities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€513 and €520 at June 30, 2025 and December 31, 2024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$700 principal amount of 5.875% senior unsecured notes due 2033 issued at par by its subsidiary Crown Americas LLC and used the proceeds, together with cash on hand, to redeem the $875 principal amount of 4.75% senior unsecured notes due February 2026. The Company paid $10 in issuance costs that will be amortized over the term of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debt, using a market approach incorporating Level 2 inputs such as quoted market prices for the same or similar issues, was $6,610 at June 30, 2025 and $6,255 at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dollar term loan interest rate was SOFR plus 1.10% and the Euro term loan interest rate was EURIBOR plus 1.00% at June 30, 2025 and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0" w:name="i97954c3b5e664180ab1076fb1ff19139"/>
      <w:bookmarkEnd w:id="20"/>
      <w:r>
        <w:rPr>
          <w:rFonts w:ascii="Times New Roman;serif" w:hAnsi="Times New Roman;serif"/>
          <w:b/>
          <w:color w:val="000000"/>
          <w:sz w:val="20"/>
        </w:rPr>
        <w:t>M.    </w:t>
      </w:r>
      <w:r>
        <w:rPr>
          <w:rFonts w:ascii="Times New Roman;serif" w:hAnsi="Times New Roman;serif"/>
          <w:b/>
          <w:color w:val="000000"/>
          <w:sz w:val="20"/>
          <w:u w:val="single"/>
        </w:rPr>
        <w:t>Pension and Other Postretirement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pension and other postretirement benefits costs for the three and six months ended June 30, 2025 and 2024 were as follows:</w:t>
      </w:r>
    </w:p>
    <w:tbl>
      <w:tblPr>
        <w:tblW w:w="6449" w:type="dxa"/>
        <w:jc w:val="left"/>
        <w:tblInd w:w="0" w:type="dxa"/>
        <w:tblLayout w:type="fixed"/>
        <w:tblCellMar>
          <w:top w:w="28" w:type="dxa"/>
          <w:left w:w="28" w:type="dxa"/>
          <w:bottom w:w="28" w:type="dxa"/>
          <w:right w:w="28" w:type="dxa"/>
        </w:tblCellMar>
      </w:tblPr>
      <w:tblGrid>
        <w:gridCol w:w="933"/>
        <w:gridCol w:w="821"/>
        <w:gridCol w:w="826"/>
        <w:gridCol w:w="241"/>
        <w:gridCol w:w="293"/>
        <w:gridCol w:w="124"/>
        <w:gridCol w:w="124"/>
        <w:gridCol w:w="124"/>
        <w:gridCol w:w="124"/>
        <w:gridCol w:w="241"/>
        <w:gridCol w:w="413"/>
        <w:gridCol w:w="124"/>
        <w:gridCol w:w="109"/>
        <w:gridCol w:w="109"/>
        <w:gridCol w:w="109"/>
        <w:gridCol w:w="211"/>
        <w:gridCol w:w="361"/>
        <w:gridCol w:w="109"/>
        <w:gridCol w:w="109"/>
        <w:gridCol w:w="109"/>
        <w:gridCol w:w="109"/>
        <w:gridCol w:w="211"/>
        <w:gridCol w:w="36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benefits – U.S. plans</w:t>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loss</w:t>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1037"/>
        <w:gridCol w:w="911"/>
        <w:gridCol w:w="917"/>
        <w:gridCol w:w="246"/>
        <w:gridCol w:w="386"/>
        <w:gridCol w:w="127"/>
        <w:gridCol w:w="127"/>
        <w:gridCol w:w="127"/>
        <w:gridCol w:w="127"/>
        <w:gridCol w:w="246"/>
        <w:gridCol w:w="299"/>
        <w:gridCol w:w="127"/>
        <w:gridCol w:w="109"/>
        <w:gridCol w:w="109"/>
        <w:gridCol w:w="109"/>
        <w:gridCol w:w="219"/>
        <w:gridCol w:w="344"/>
        <w:gridCol w:w="113"/>
        <w:gridCol w:w="113"/>
        <w:gridCol w:w="113"/>
        <w:gridCol w:w="113"/>
        <w:gridCol w:w="219"/>
        <w:gridCol w:w="266"/>
        <w:gridCol w:w="160"/>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benefits – Non-U.S. plans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loss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termination benefits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curtailments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75" w:type="dxa"/>
        <w:jc w:val="left"/>
        <w:tblInd w:w="0" w:type="dxa"/>
        <w:tblLayout w:type="fixed"/>
        <w:tblCellMar>
          <w:top w:w="28" w:type="dxa"/>
          <w:left w:w="28" w:type="dxa"/>
          <w:bottom w:w="28" w:type="dxa"/>
          <w:right w:w="28" w:type="dxa"/>
        </w:tblCellMar>
      </w:tblPr>
      <w:tblGrid>
        <w:gridCol w:w="897"/>
        <w:gridCol w:w="788"/>
        <w:gridCol w:w="790"/>
        <w:gridCol w:w="259"/>
        <w:gridCol w:w="314"/>
        <w:gridCol w:w="133"/>
        <w:gridCol w:w="133"/>
        <w:gridCol w:w="133"/>
        <w:gridCol w:w="133"/>
        <w:gridCol w:w="259"/>
        <w:gridCol w:w="314"/>
        <w:gridCol w:w="133"/>
        <w:gridCol w:w="109"/>
        <w:gridCol w:w="109"/>
        <w:gridCol w:w="109"/>
        <w:gridCol w:w="230"/>
        <w:gridCol w:w="279"/>
        <w:gridCol w:w="119"/>
        <w:gridCol w:w="119"/>
        <w:gridCol w:w="119"/>
        <w:gridCol w:w="119"/>
        <w:gridCol w:w="230"/>
        <w:gridCol w:w="279"/>
        <w:gridCol w:w="168"/>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postretirement benefits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cost other than the service cost component are included in Other pension and postretirement in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amounts reclassified from accumulated other comprehensive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0"/>
        <w:gridCol w:w="1003"/>
        <w:gridCol w:w="1007"/>
        <w:gridCol w:w="109"/>
        <w:gridCol w:w="109"/>
        <w:gridCol w:w="109"/>
        <w:gridCol w:w="223"/>
        <w:gridCol w:w="271"/>
        <w:gridCol w:w="115"/>
        <w:gridCol w:w="115"/>
        <w:gridCol w:w="115"/>
        <w:gridCol w:w="115"/>
        <w:gridCol w:w="223"/>
        <w:gridCol w:w="382"/>
        <w:gridCol w:w="115"/>
        <w:gridCol w:w="109"/>
        <w:gridCol w:w="109"/>
        <w:gridCol w:w="109"/>
        <w:gridCol w:w="212"/>
        <w:gridCol w:w="258"/>
        <w:gridCol w:w="109"/>
        <w:gridCol w:w="109"/>
        <w:gridCol w:w="109"/>
        <w:gridCol w:w="109"/>
        <w:gridCol w:w="212"/>
        <w:gridCol w:w="364"/>
        <w:gridCol w:w="109"/>
        <w:gridCol w:w="109"/>
        <w:gridCol w:w="109"/>
        <w:gridCol w:w="109"/>
        <w:gridCol w:w="948"/>
        <w:gridCol w:w="764"/>
        <w:gridCol w:w="1097"/>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Details about accumulated other comprehensive income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items in the statement of operations</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received a $21 repayment, included within Pension contributions in the Consolidated Statements of Cash Flows, of the contribution the Company made in 2021 to settle the U.K. defined pension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bookmarkStart w:id="21" w:name="i0ca9fb087463495f8a54cb703679304f"/>
      <w:bookmarkEnd w:id="21"/>
      <w:r>
        <w:rPr>
          <w:rFonts w:ascii="Times New Roman;serif" w:hAnsi="Times New Roman;serif"/>
          <w:b/>
          <w:color w:val="000000"/>
          <w:sz w:val="20"/>
        </w:rPr>
        <w:t>N.    </w:t>
      </w:r>
      <w:r>
        <w:rPr>
          <w:rFonts w:ascii="Times New Roman;serif" w:hAnsi="Times New Roman;serif"/>
          <w:b/>
          <w:color w:val="000000"/>
          <w:sz w:val="20"/>
          <w:u w:val="single"/>
        </w:rPr>
        <w:t>Capital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25,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$209 of its shares during the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and six months ended June 30, 2025 and 2024, the Company declared and paid cash dividends of $0.26 per share and $0.52 per share and $0.25 and $0.50 per share , respectively. Additionally, on July 24, 2025, the Company's Board of Directors declared a dividend of $0.26 per share payable on August 21, 2025 to shareholders of record as of August 7,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2" w:name="ie9bb58836ee446dba326d7735184e2c8"/>
      <w:bookmarkEnd w:id="22"/>
      <w:r>
        <w:rPr>
          <w:rFonts w:ascii="Times New Roman;serif" w:hAnsi="Times New Roman;serif"/>
          <w:b/>
          <w:color w:val="000000"/>
          <w:sz w:val="20"/>
        </w:rPr>
        <w:t>O.    </w:t>
      </w:r>
      <w:r>
        <w:rPr>
          <w:rFonts w:ascii="Times New Roman;serif" w:hAnsi="Times New Roman;serif"/>
          <w:b/>
          <w:color w:val="000000"/>
          <w:sz w:val="20"/>
          <w:u w:val="single"/>
        </w:rPr>
        <w:t>Accumulated Other Comprehensive Loss Attributable to Crown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changes in each component of accumulated other comprehensive income/(loss).</w:t>
      </w:r>
    </w:p>
    <w:tbl>
      <w:tblPr>
        <w:tblW w:w="10205" w:type="dxa"/>
        <w:jc w:val="left"/>
        <w:tblInd w:w="0" w:type="dxa"/>
        <w:tblLayout w:type="fixed"/>
        <w:tblCellMar>
          <w:top w:w="28" w:type="dxa"/>
          <w:left w:w="28" w:type="dxa"/>
          <w:bottom w:w="28" w:type="dxa"/>
          <w:right w:w="28" w:type="dxa"/>
        </w:tblCellMar>
      </w:tblPr>
      <w:tblGrid>
        <w:gridCol w:w="1289"/>
        <w:gridCol w:w="858"/>
        <w:gridCol w:w="865"/>
        <w:gridCol w:w="165"/>
        <w:gridCol w:w="165"/>
        <w:gridCol w:w="165"/>
        <w:gridCol w:w="320"/>
        <w:gridCol w:w="789"/>
        <w:gridCol w:w="165"/>
        <w:gridCol w:w="109"/>
        <w:gridCol w:w="109"/>
        <w:gridCol w:w="109"/>
        <w:gridCol w:w="343"/>
        <w:gridCol w:w="1104"/>
        <w:gridCol w:w="176"/>
        <w:gridCol w:w="109"/>
        <w:gridCol w:w="109"/>
        <w:gridCol w:w="109"/>
        <w:gridCol w:w="621"/>
        <w:gridCol w:w="842"/>
        <w:gridCol w:w="325"/>
        <w:gridCol w:w="109"/>
        <w:gridCol w:w="109"/>
        <w:gridCol w:w="109"/>
        <w:gridCol w:w="211"/>
        <w:gridCol w:w="658"/>
        <w:gridCol w:w="163"/>
      </w:tblGrid>
      <w:tr>
        <w:trPr/>
        <w:tc>
          <w:tcPr>
            <w:tcW w:w="128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 and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 (loss) </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See </w:t>
      </w:r>
      <w:hyperlink w:anchor="i8ad251c1894b4b6cad883ce2e269c301_73">
        <w:r>
          <w:rPr>
            <w:rStyle w:val="InternetLink"/>
            <w:rFonts w:ascii="Times New Roman;serif" w:hAnsi="Times New Roman;serif"/>
            <w:b w:val="false"/>
            <w:color w:val="0000FF"/>
            <w:sz w:val="20"/>
            <w:u w:val="single"/>
          </w:rPr>
          <w:t>Note K</w:t>
        </w:r>
      </w:hyperlink>
      <w:r>
        <w:rPr>
          <w:color w:val="000000"/>
        </w:rPr>
        <w:t xml:space="preserve"> </w:t>
      </w:r>
      <w:r>
        <w:rPr>
          <w:rFonts w:ascii="Times New Roman;serif" w:hAnsi="Times New Roman;serif"/>
          <w:b w:val="false"/>
          <w:color w:val="000000"/>
          <w:sz w:val="20"/>
        </w:rPr>
        <w:t xml:space="preserve">and </w:t>
      </w:r>
      <w:hyperlink w:anchor="i8ad251c1894b4b6cad883ce2e269c301_82">
        <w:r>
          <w:rPr>
            <w:rStyle w:val="InternetLink"/>
            <w:rFonts w:ascii="Times New Roman;serif" w:hAnsi="Times New Roman;serif"/>
            <w:b w:val="false"/>
            <w:color w:val="0000FF"/>
            <w:sz w:val="20"/>
            <w:u w:val="single"/>
          </w:rPr>
          <w:t>Note M</w:t>
        </w:r>
      </w:hyperlink>
      <w:r>
        <w:rPr>
          <w:color w:val="000000"/>
        </w:rPr>
        <w:t xml:space="preserve"> </w:t>
      </w:r>
      <w:r>
        <w:rPr>
          <w:rFonts w:ascii="Times New Roman;serif" w:hAnsi="Times New Roman;serif"/>
          <w:b w:val="false"/>
          <w:color w:val="000000"/>
          <w:sz w:val="20"/>
        </w:rPr>
        <w:t xml:space="preserve">for further details of amounts related to cash flow hedges and defined benefit plans.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3" w:name="ib55cf1e2b8cc45c3b3a1a8fd05ca9090"/>
      <w:bookmarkEnd w:id="23"/>
      <w:r>
        <w:rPr>
          <w:rFonts w:ascii="Times New Roman;serif" w:hAnsi="Times New Roman;serif"/>
          <w:b/>
          <w:color w:val="000000"/>
          <w:sz w:val="20"/>
        </w:rPr>
        <w:t>P.     </w:t>
      </w:r>
      <w:r>
        <w:rPr>
          <w:rFonts w:ascii="Times New Roman;serif" w:hAnsi="Times New Roman;serif"/>
          <w:b/>
          <w:color w:val="000000"/>
          <w:sz w:val="20"/>
          <w:u w:val="single"/>
        </w:rPr>
        <w:t>Revenue</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recognized revenue as follows:</w:t>
      </w:r>
    </w:p>
    <w:tbl>
      <w:tblPr>
        <w:tblW w:w="7979" w:type="dxa"/>
        <w:jc w:val="left"/>
        <w:tblInd w:w="0" w:type="dxa"/>
        <w:tblLayout w:type="fixed"/>
        <w:tblCellMar>
          <w:top w:w="28" w:type="dxa"/>
          <w:left w:w="28" w:type="dxa"/>
          <w:bottom w:w="28" w:type="dxa"/>
          <w:right w:w="28" w:type="dxa"/>
        </w:tblCellMar>
      </w:tblPr>
      <w:tblGrid>
        <w:gridCol w:w="1163"/>
        <w:gridCol w:w="1022"/>
        <w:gridCol w:w="102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00"/>
        <w:jc w:val="both"/>
        <w:rPr/>
      </w:pPr>
      <w:r>
        <w:rPr>
          <w:rFonts w:ascii="Times New Roman;serif" w:hAnsi="Times New Roman;serif"/>
          <w:b w:val="false"/>
          <w:color w:val="000000"/>
          <w:sz w:val="20"/>
        </w:rPr>
        <w:t xml:space="preserve">See </w:t>
      </w:r>
      <w:hyperlink w:anchor="i8ad251c1894b4b6cad883ce2e269c301_106">
        <w:r>
          <w:rPr>
            <w:rStyle w:val="InternetLink"/>
            <w:rFonts w:ascii="Times New Roman;serif" w:hAnsi="Times New Roman;serif"/>
            <w:b w:val="false"/>
            <w:color w:val="0000FF"/>
            <w:sz w:val="20"/>
            <w:u w:val="single"/>
          </w:rPr>
          <w:t>Note R</w:t>
        </w:r>
      </w:hyperlink>
      <w:r>
        <w:rPr>
          <w:color w:val="000000"/>
        </w:rPr>
        <w:t xml:space="preserve"> </w:t>
      </w:r>
      <w:r>
        <w:rPr>
          <w:rFonts w:ascii="Times New Roman;serif" w:hAnsi="Times New Roman;serif"/>
          <w:b w:val="false"/>
          <w:color w:val="000000"/>
          <w:sz w:val="20"/>
        </w:rPr>
        <w:t xml:space="preserve">for further disaggregation of the Company's revenue.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applied the practical expedient to exclude disclosure of remaining performance obligations as its binding orders typically have a term of one year or less.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are typically recognized for work in process related to the Company's three-piece printed products and equipment business. Contract assets and liabilities are reported in a net position on a contract-by-contract basis.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Company had net contract assets of $13 and $9 as of June 30, 2025 and December 31, 2024, respectively, included in prepaid and other current assets. During the six months ended June 30, 2025, the Company satisfied performance obligations related to contract assets at December 31, 2024 and also recorded new contract assets primarily related to work in process for the equipment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4" w:name="i7b624a8193eb4474a76265f71a358c1a"/>
      <w:bookmarkEnd w:id="24"/>
      <w:r>
        <w:rPr>
          <w:rFonts w:ascii="Times New Roman;serif" w:hAnsi="Times New Roman;serif"/>
          <w:b/>
          <w:color w:val="000000"/>
          <w:sz w:val="20"/>
        </w:rPr>
        <w:t>Q.    </w:t>
      </w:r>
      <w:r>
        <w:rPr>
          <w:rFonts w:ascii="Times New Roman;serif" w:hAnsi="Times New Roman;serif"/>
          <w:b/>
          <w:color w:val="000000"/>
          <w:sz w:val="20"/>
          <w:u w:val="single"/>
        </w:rPr>
        <w:t>Earnings Per Share</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computations of basic and diluted earnings per share attributable to the Company. </w:t>
      </w:r>
    </w:p>
    <w:p>
      <w:pPr>
        <w:pStyle w:val="TextBody"/>
        <w:bidi w:val="0"/>
        <w:spacing w:before="0" w:after="0"/>
        <w:jc w:val="both"/>
        <w:rPr/>
      </w:pPr>
      <w:r>
        <w:rPr/>
      </w:r>
    </w:p>
    <w:tbl>
      <w:tblPr>
        <w:tblW w:w="7979" w:type="dxa"/>
        <w:jc w:val="left"/>
        <w:tblInd w:w="0" w:type="dxa"/>
        <w:tblLayout w:type="fixed"/>
        <w:tblCellMar>
          <w:top w:w="28" w:type="dxa"/>
          <w:left w:w="28" w:type="dxa"/>
          <w:bottom w:w="28" w:type="dxa"/>
          <w:right w:w="28" w:type="dxa"/>
        </w:tblCellMar>
      </w:tblPr>
      <w:tblGrid>
        <w:gridCol w:w="1314"/>
        <w:gridCol w:w="1154"/>
        <w:gridCol w:w="116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Crown Holdings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restricted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0.12 million and 0.24 million and 0.18 million and 0.38 million contingently issuable common shares were excluded from the computation of diluted earnings per share because the effect would be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5" w:name="i4be6f1831a8143f4a2073c972f917be8"/>
      <w:bookmarkEnd w:id="25"/>
      <w:r>
        <w:rPr>
          <w:rFonts w:ascii="Times New Roman;serif" w:hAnsi="Times New Roman;serif"/>
          <w:b/>
          <w:color w:val="000000"/>
          <w:sz w:val="20"/>
        </w:rPr>
        <w:t>R.    </w:t>
      </w:r>
      <w:r>
        <w:rPr>
          <w:rFonts w:ascii="Times New Roman;serif" w:hAnsi="Times New Roman;serif"/>
          <w:b/>
          <w:color w:val="000000"/>
          <w:sz w:val="20"/>
          <w:u w:val="single"/>
        </w:rPr>
        <w:t>Segment Information</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prepared in accordance with GAAP and may not be comparable to calculations of similarly titled measures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operating segments.</w:t>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58"/>
        <w:gridCol w:w="612"/>
        <w:gridCol w:w="186"/>
        <w:gridCol w:w="109"/>
        <w:gridCol w:w="109"/>
        <w:gridCol w:w="109"/>
        <w:gridCol w:w="356"/>
        <w:gridCol w:w="612"/>
        <w:gridCol w:w="188"/>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58"/>
        <w:gridCol w:w="612"/>
        <w:gridCol w:w="186"/>
        <w:gridCol w:w="109"/>
        <w:gridCol w:w="109"/>
        <w:gridCol w:w="109"/>
        <w:gridCol w:w="356"/>
        <w:gridCol w:w="612"/>
        <w:gridCol w:w="188"/>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10"/>
        <w:gridCol w:w="685"/>
        <w:gridCol w:w="161"/>
        <w:gridCol w:w="109"/>
        <w:gridCol w:w="109"/>
        <w:gridCol w:w="109"/>
        <w:gridCol w:w="356"/>
        <w:gridCol w:w="612"/>
        <w:gridCol w:w="188"/>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10"/>
        <w:gridCol w:w="685"/>
        <w:gridCol w:w="161"/>
        <w:gridCol w:w="109"/>
        <w:gridCol w:w="109"/>
        <w:gridCol w:w="109"/>
        <w:gridCol w:w="310"/>
        <w:gridCol w:w="685"/>
        <w:gridCol w:w="161"/>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disclose total assets by segment as it is not provided to the chief operating decision maker.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sources of revenue included in Other are the Company's food can, aerosol can, and closures businesses in North America, and beverage tooling and equipment operations in the U.S. and U.K.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items include corporate and administrative costs, research and development, and unallocated items such as stock-based compensation and insurance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sales primarily include equipment and parts used in the manufacturing process.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income of reportable segments to income before income taxes is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92"/>
        <w:gridCol w:w="1915"/>
        <w:gridCol w:w="192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9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of reportable segments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of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taxes and equity in net earnings of affiliates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color w:val="000000"/>
          <w:sz w:val="20"/>
          <w:shd w:fill="FFFFFF" w:val="clear"/>
        </w:rPr>
      </w:pPr>
      <w:bookmarkStart w:id="26" w:name="i7eefd1a40e4046c58ebdf6d7d68b13f2"/>
      <w:bookmarkEnd w:id="26"/>
      <w:r>
        <w:rPr>
          <w:rFonts w:ascii="Times New Roman;serif" w:hAnsi="Times New Roman;serif"/>
          <w:b/>
          <w:color w:val="000000"/>
          <w:sz w:val="20"/>
          <w:shd w:fill="FFFFFF" w:val="clear"/>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(dollars in millions)</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u w:val="single"/>
        </w:rPr>
        <w:t>Introduction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presents management's analysis of the results of operations for the three and six months ended June 30, 2025 compared to 2024 and changes in financial condition and liquidity from December 31, 2024. This discussion should be read in conjunction with the consolidated financial statements and notes thereto included in the Company's Annual Report on Form 10-K for the year ended December 31, 2024, along with the consolidated financial statements and related notes included in and referred to within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Strategy and Trends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strategy is to maximize long-term shareholder value by pursuing profitable growth opportunities while returning cash to shareholders through dividends and share repurchases.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Global industry demand for beverage cans has been growing in recent years in North America, Brazil and Europe. Growth has been driven by new product introductions,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w:t>
      </w:r>
      <w:r>
        <w:rPr>
          <w:rFonts w:ascii="Times New Roman;serif" w:hAnsi="Times New Roman;serif"/>
          <w:b w:val="false"/>
          <w:color w:val="000000"/>
          <w:sz w:val="20"/>
          <w:shd w:fill="FFFFFF" w:val="clear"/>
        </w:rPr>
        <w:t>since 2019. Based o</w:t>
      </w:r>
      <w:r>
        <w:rPr>
          <w:rFonts w:ascii="Times New Roman;serif" w:hAnsi="Times New Roman;serif"/>
          <w:b w:val="false"/>
          <w:color w:val="000000"/>
          <w:sz w:val="20"/>
        </w:rPr>
        <w:t xml:space="preserve">n current market conditions, the Company expects to have the ability to meet expected demand growth with its current installed capital base and expects capital spending to be approximately $450 in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strategy is anchored by strong cash flow generation and a healthy balance sheet with a long-term net leverage ratio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continues to actively elevate its commitment to sustainability. In 2020, the Company introduced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rFonts w:ascii="Times New Roman;serif" w:hAnsi="Times New Roman;serif"/>
          <w:b w:val="false"/>
          <w:color w:val="000000"/>
          <w:sz w:val="20"/>
        </w:rPr>
        <w:t xml:space="preserve">, a robust program that outlines twenty measurable, science based, environmental, social and governance goals to be completed by 2030. In 2024, the Company garnered recognition for its commitment to integrate sustainability into all aspects of the organization, including the top spot within the Sustainalytics "Container and Packaging" industry category.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tariffs, retaliatory trade measures and further trade restrictions could result in higher raw material costs and a wide range of possible outcomes including impacts on consumers and industrial activity.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war between Russia and Ukraine and the conflicts in the Middle East have not had a direct material impact on the Company's business, financial condition, or results of operations.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currency translation impacts referred to in the discussion below were primarily due to changes in the Mexican peso in the Company's Americas Beverage segment, the euro and the British pound in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European Beverage segment, and the Thai baht in the Company's Asia Pacific segment. The Company's Transit Packaging segment is a global business and the foreign currency translation impacts referred to in the discussion below are primarily related to the euro, the Indian rupee, the Mexican peso and the Brazilian real.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impact of foreign currency translation by dividing current year U.S. dollar results by the current year average foreign exchange rates and then multiplying those amounts by the applicable prior year average exchange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Net Sales and Segment Income</w:t>
      </w:r>
      <w:r>
        <w:rPr>
          <w:color w:val="000000"/>
        </w:rPr>
        <w:t>    </w:t>
      </w:r>
    </w:p>
    <w:tbl>
      <w:tblPr>
        <w:tblW w:w="5609" w:type="dxa"/>
        <w:jc w:val="left"/>
        <w:tblInd w:w="0" w:type="dxa"/>
        <w:tblLayout w:type="fixed"/>
        <w:tblCellMar>
          <w:top w:w="28" w:type="dxa"/>
          <w:left w:w="28" w:type="dxa"/>
          <w:bottom w:w="28" w:type="dxa"/>
          <w:right w:w="28" w:type="dxa"/>
        </w:tblCellMar>
      </w:tblPr>
      <w:tblGrid>
        <w:gridCol w:w="304"/>
        <w:gridCol w:w="266"/>
        <w:gridCol w:w="2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months ended June 30, 2025 compared to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primarily due to $120 from the pass-through of higher material costs, higher beverage and food can volumes in North America, as well as across the European Beverage segment and favorable foreign currency translation of $23, partially offset by lower volumes in Asia Pacific and the Transit Packaging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Net sales increased primarily due to $214 from the pass-through of higher material costs, higher beverage can volumes in the Americas and European Beverage segments and higher North American food can volumes, partially offset by lower volumes in Asia Pacific and the Transit Packaging segment.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Americas Beverage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Americas Beverage segment manufactures aluminum beverage cans and ends, steel crowns, glass bottles and aluminum closures and supplies a variety of customers from its operations in the U.S., Brazil, Canada, Colombia and Mexico.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announced it will add a new high-speed production line to its beverage can plant in Ponta Grossa, Brazil. The line is expected to commence commercial production in the third quarter of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Americas Beverage segment were as follows: </w:t>
      </w:r>
    </w:p>
    <w:p>
      <w:pPr>
        <w:pStyle w:val="TextBody"/>
        <w:bidi w:val="0"/>
        <w:spacing w:before="0" w:after="0"/>
        <w:jc w:val="both"/>
        <w:rPr/>
      </w:pPr>
      <w:r>
        <w:rPr/>
      </w:r>
    </w:p>
    <w:tbl>
      <w:tblPr>
        <w:tblW w:w="6239"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2025 compared to 2024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For the three and six months ended June 30, 2025 compared to 2024, Net sales increased primarily due to $83 and $154 from the pass-through of higher aluminum costs</w:t>
      </w:r>
      <w:r>
        <w:rPr>
          <w:color w:val="000000"/>
          <w:shd w:fill="FFFFFF" w:val="clear"/>
        </w:rPr>
        <w:t xml:space="preserve"> </w:t>
      </w:r>
      <w:r>
        <w:rPr>
          <w:rFonts w:ascii="Times New Roman;serif" w:hAnsi="Times New Roman;serif"/>
          <w:b w:val="false"/>
          <w:color w:val="000000"/>
          <w:sz w:val="20"/>
          <w:shd w:fill="FFFFFF" w:val="clear"/>
        </w:rPr>
        <w:t>and higher volumes in both periods, part</w:t>
      </w:r>
      <w:r>
        <w:rPr>
          <w:rFonts w:ascii="Times New Roman;serif" w:hAnsi="Times New Roman;serif"/>
          <w:b w:val="false"/>
          <w:color w:val="000000"/>
          <w:sz w:val="20"/>
        </w:rPr>
        <w:t xml:space="preserve">ially offset by unfavorable foreign currency translation of $10 and $23.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income increased primarily due to improved manufacturing performance and higher volumes.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European Beverage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European Beverage segment were as follows: </w:t>
      </w:r>
    </w:p>
    <w:p>
      <w:pPr>
        <w:pStyle w:val="TextBody"/>
        <w:bidi w:val="0"/>
        <w:spacing w:before="0" w:after="0"/>
        <w:jc w:val="both"/>
        <w:rPr/>
      </w:pPr>
      <w:r>
        <w:rPr/>
      </w:r>
    </w:p>
    <w:tbl>
      <w:tblPr>
        <w:tblW w:w="5939"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2025 compared to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compared to 2024, Net sales increased primarily due to $28 and $50 from the pass-through of higher aluminum costs, higher volumes of 6% and 8% and favorable foreign currency translation of $19 and $11.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income improved primarily due to higher volumes.</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Asia Pacific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volume softness continued across each country in the Asia Pacific segment as the region continues to struggle with the effects of higher inflation and interest rates and in the fourth quarter the Company announced the closure of its beverage can facility in Sihanoukville, Cambodia.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$2 for the six months ended June 30, 2025. Property, plant and equipment in Myanmar as of June 30, 2025 was $48, including $23 of land and buildings and $25 of machinery and equipment. The Company will continue to monitor the economic conditions and the impact to its business in Myanmar, including any alternative uses for its machinery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Asia Pacific segment were as follows: </w:t>
      </w:r>
    </w:p>
    <w:p>
      <w:pPr>
        <w:pStyle w:val="TextBody"/>
        <w:bidi w:val="0"/>
        <w:spacing w:before="0" w:after="0"/>
        <w:jc w:val="both"/>
        <w:rPr/>
      </w:pPr>
      <w:r>
        <w:rPr/>
      </w:r>
    </w:p>
    <w:tbl>
      <w:tblPr>
        <w:tblW w:w="60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2025 compared to 2024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three and six months ended June 30, 2025 compared to 2024, Net sales decreased primarily due to lower volumes, partially </w:t>
      </w:r>
      <w:r>
        <w:rPr>
          <w:rFonts w:ascii="Times New Roman;serif" w:hAnsi="Times New Roman;serif"/>
          <w:b w:val="false"/>
          <w:color w:val="000000"/>
          <w:sz w:val="20"/>
        </w:rPr>
        <w:t xml:space="preserve">offset by the pass-through of higher aluminum costs of $14 and $25 and favorable foreign currency translation of $7 and $11.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Segment income was comparable to 2024 with lower volumes partially offset by $6 and $8 improved manufacturing performance, including savings realized as part of prior year restructuring actions, for the three and six months ended June 30,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Transit Packaging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segment may be subject to direct and indirect effects from tariffs which may slow consumer and industrial activity, the impact of which cannot be reasonably predicted. The Company will continue to monitor these conditions, including potential actions to mitigate their impact. This economic uncertainty could affect projected future financial performance and may require a quantitative goodwill impairment test in the future to determine if an impairment charge is necessary.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Transit Packaging segment were as follows: </w:t>
      </w:r>
    </w:p>
    <w:p>
      <w:pPr>
        <w:pStyle w:val="TextBody"/>
        <w:bidi w:val="0"/>
        <w:spacing w:before="0" w:after="0"/>
        <w:jc w:val="both"/>
        <w:rPr/>
      </w:pPr>
      <w:r>
        <w:rPr/>
      </w:r>
    </w:p>
    <w:tbl>
      <w:tblPr>
        <w:tblW w:w="63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2025 compared to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the three and six months ended June 30, 2025 compared to 2</w:t>
      </w:r>
      <w:r>
        <w:rPr>
          <w:rFonts w:ascii="Times New Roman;serif" w:hAnsi="Times New Roman;serif"/>
          <w:b w:val="false"/>
          <w:color w:val="000000"/>
          <w:sz w:val="20"/>
          <w:shd w:fill="FFFFFF" w:val="clear"/>
        </w:rPr>
        <w:t>024, Net sales decreased primarily due to $22 and</w:t>
      </w:r>
      <w:r>
        <w:rPr>
          <w:color w:val="000000"/>
        </w:rPr>
        <w:t xml:space="preserve"> </w:t>
      </w:r>
      <w:r>
        <w:rPr>
          <w:rFonts w:ascii="Times New Roman;serif" w:hAnsi="Times New Roman;serif"/>
          <w:b w:val="false"/>
          <w:color w:val="000000"/>
          <w:sz w:val="20"/>
        </w:rPr>
        <w:t xml:space="preserve">$38 of lower equipment volumes and the pass-through of lower material costs of $10 and $22, partially offset by higher steel and plastic strap volumes.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income decreased primarily due to unfavorable product mix, driven by lower equipment volumes which have higher margins, partially offset by improved cost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Other includes the Company's food can, aerosol can and closures businesses in North America, and beverage tooling and equipment operations in the U.S. and U.K. The Company</w:t>
      </w:r>
      <w:r>
        <w:rPr>
          <w:color w:val="000000"/>
          <w:shd w:fill="FFFFFF" w:val="clear"/>
        </w:rPr>
        <w:t xml:space="preserve"> </w:t>
      </w:r>
      <w:r>
        <w:rPr>
          <w:rFonts w:ascii="Times New Roman;serif" w:hAnsi="Times New Roman;serif"/>
          <w:b w:val="false"/>
          <w:color w:val="000000"/>
          <w:sz w:val="20"/>
          <w:shd w:fill="FFFFFF" w:val="clear"/>
        </w:rPr>
        <w:t>added a pet food can line to its Dubuque, Iowa plant in 2024. During the second quarter of 2024, the Company closed its food can plant in La Villa, Mexico.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Other were as follows: </w:t>
      </w:r>
    </w:p>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2025 compared to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compared to 2024, Net sales increased primarily due to higher food can volumes of 7% and 11% partially offset by $13 and $26 related to the closure of the food can plant in La Villa, Mexico.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Segm</w:t>
      </w:r>
      <w:r>
        <w:rPr>
          <w:rFonts w:ascii="Times New Roman;serif" w:hAnsi="Times New Roman;serif"/>
          <w:b w:val="false"/>
          <w:color w:val="000000"/>
          <w:sz w:val="20"/>
        </w:rPr>
        <w:t xml:space="preserve">ent income increased primarily due to higher food can volumes and improved manufacturing performance, including lower start-up costs. Additionally, the six months ended June 30, 2024, included a steel repricing loss of $8.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unallocated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items include corporate and administrative costs, research and development, and unallocated items such as stock-based compensation and insurance costs.</w:t>
      </w:r>
    </w:p>
    <w:p>
      <w:pPr>
        <w:pStyle w:val="TextBody"/>
        <w:bidi w:val="0"/>
        <w:spacing w:before="0" w:after="0"/>
        <w:jc w:val="both"/>
        <w:rPr/>
      </w:pPr>
      <w:r>
        <w:rPr/>
      </w:r>
    </w:p>
    <w:p>
      <w:pPr>
        <w:pStyle w:val="TextBody"/>
        <w:bidi w:val="0"/>
        <w:spacing w:before="0" w:after="0"/>
        <w:jc w:val="both"/>
        <w:rPr/>
      </w:pPr>
      <w:r>
        <w:rPr/>
      </w:r>
    </w:p>
    <w:tbl>
      <w:tblPr>
        <w:tblW w:w="7471" w:type="dxa"/>
        <w:jc w:val="left"/>
        <w:tblInd w:w="0" w:type="dxa"/>
        <w:tblLayout w:type="fixed"/>
        <w:tblCellMar>
          <w:top w:w="28" w:type="dxa"/>
          <w:left w:w="28" w:type="dxa"/>
          <w:bottom w:w="28" w:type="dxa"/>
          <w:right w:w="28" w:type="dxa"/>
        </w:tblCellMar>
      </w:tblPr>
      <w:tblGrid>
        <w:gridCol w:w="1080"/>
        <w:gridCol w:w="950"/>
        <w:gridCol w:w="955"/>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Corporate and unallocated expenses increased for the three and six months ended June 30, 2025 compared to 2024, primarily due to higher employee compensation, including stock compensation. </w:t>
      </w:r>
      <w:r>
        <w:rPr>
          <w:rFonts w:ascii="Times New Roman;serif" w:hAnsi="Times New Roman;serif"/>
          <w:b w:val="false"/>
          <w:color w:val="000000"/>
          <w:sz w:val="20"/>
        </w:rPr>
        <w:t>Additionally, the six months ended June 30, 2024, included a charge of $8 for property insurance deductible related to a facility fire.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Restructuring and other,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and six months ended June 30, 2025, restructuring and other net charges of $47 and $45, primarily related to an asset impairment charge in China and end line rationalization in the Asia Pacific segment. The Company also recorded severance and other exit costs in the Transit Packaging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three and six months ended June 30, 2024, restructuring and other net charges of $17 and $40 primarily included business reorganization activities in the Company's European Beverage and Other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review its costs structure and may record additional restructuring charges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Other pension and postretirement</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and six months ended June 30, 2025 compared to 2024, other pension and postretirement decreased from a charge of $13 to a benefit of $1 and a charge of $24 to a charge of $4, primarily due to the transfer of portions of the Company's U.S. and Canadian defined benefit pension liabilities through the purchase of group annuity insurance contracts using pension plan assets in the third quarter of 2024. </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Interest expense and interest income</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and six months ended June 30, 2025 compared to 2024, interest expense decreased from $112 to $103 and $225 to $202. During the same periods interest income decreased from $16 to $14 and $36 to $27. The decrease in both interest expense and interest income was due to lower borrowings, cash balances and interest rates.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Taxes on income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were as follows: </w:t>
      </w:r>
    </w:p>
    <w:p>
      <w:pPr>
        <w:pStyle w:val="TextBody"/>
        <w:bidi w:val="0"/>
        <w:spacing w:before="0" w:after="0"/>
        <w:jc w:val="both"/>
        <w:rPr/>
      </w:pPr>
      <w:r>
        <w:rPr/>
      </w:r>
    </w:p>
    <w:tbl>
      <w:tblPr>
        <w:tblW w:w="9271" w:type="dxa"/>
        <w:jc w:val="left"/>
        <w:tblInd w:w="0" w:type="dxa"/>
        <w:tblLayout w:type="fixed"/>
        <w:tblCellMar>
          <w:top w:w="28" w:type="dxa"/>
          <w:left w:w="28" w:type="dxa"/>
          <w:bottom w:w="28" w:type="dxa"/>
          <w:right w:w="28" w:type="dxa"/>
        </w:tblCellMar>
      </w:tblPr>
      <w:tblGrid>
        <w:gridCol w:w="1759"/>
        <w:gridCol w:w="1547"/>
        <w:gridCol w:w="1553"/>
        <w:gridCol w:w="315"/>
        <w:gridCol w:w="196"/>
        <w:gridCol w:w="326"/>
        <w:gridCol w:w="131"/>
        <w:gridCol w:w="131"/>
        <w:gridCol w:w="131"/>
        <w:gridCol w:w="315"/>
        <w:gridCol w:w="196"/>
        <w:gridCol w:w="326"/>
        <w:gridCol w:w="109"/>
        <w:gridCol w:w="109"/>
        <w:gridCol w:w="109"/>
        <w:gridCol w:w="325"/>
        <w:gridCol w:w="186"/>
        <w:gridCol w:w="301"/>
        <w:gridCol w:w="116"/>
        <w:gridCol w:w="116"/>
        <w:gridCol w:w="116"/>
        <w:gridCol w:w="326"/>
        <w:gridCol w:w="185"/>
        <w:gridCol w:w="347"/>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increase in the effective tax rate for the three months ended June 30, 2025 compared to 2024, was primarily due to a benefit of $16 taken in 2024 related to the release of a valuation allowance resulting from improved profitability in a European subsidiary. In addition, the Company recorded an income tax benefit of $22 in the first quarter of 2025 after an internal reorganization which resulted in the release of deferred tax liabilities related to the foreign currency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of certain intercompany debt instruments that were designated as hedges of the Company's net investment in a euro-based subsidiary.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is still evaluating the impact of the OBBB, however, does not currently believe it will have a material impact on its effective tax rate in the current year.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Effective January 1, 2024, various jurisdictions in which the Company operates have enacted the Pillar II directive which establishes a global minimum corporate tax rate of 15% initiated by the Organisation for Economic Co-operation and Development ("OECD").</w:t>
      </w:r>
      <w:r>
        <w:rPr>
          <w:color w:val="000000"/>
        </w:rPr>
        <w:t xml:space="preserve"> </w:t>
      </w:r>
      <w:r>
        <w:rPr>
          <w:rFonts w:ascii="Times New Roman;serif" w:hAnsi="Times New Roman;serif"/>
          <w:b w:val="false"/>
          <w:color w:val="000000"/>
          <w:sz w:val="20"/>
        </w:rPr>
        <w:t>The Company does not currently expect Pillar II to have a material impact on its financial results, including its annual estimated effective tax rate or liquidity for 2025 based on currently enacted tax laws, however the Company continues to monitor its jurisdictions for any changes, including additional guidance from the OECD.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Net income attributable to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compared to 2024, net income attributable to noncontrolling interests increased from $33 to $35 and $59 and $69 primarily due to higher earnings in the Company's beverage can operations in Brazil.</w:t>
      </w:r>
    </w:p>
    <w:p>
      <w:pPr>
        <w:pStyle w:val="TextBody"/>
        <w:bidi w:val="0"/>
        <w:spacing w:before="0" w:after="0"/>
        <w:jc w:val="both"/>
        <w:rPr/>
      </w:pPr>
      <w:r>
        <w:rPr/>
      </w:r>
    </w:p>
    <w:p>
      <w:pPr>
        <w:pStyle w:val="TextBody"/>
        <w:bidi w:val="0"/>
        <w:spacing w:lineRule="auto" w:line="288" w:before="0" w:after="0"/>
        <w:ind w:left="0" w:right="0" w:hanging="720"/>
        <w:jc w:val="center"/>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ind w:left="0" w:right="0" w:hanging="72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from operating activities increased from $343 for the six months ended June 30, 2024 to $463 for the six months ended June 30, 2025, primarily due to higher income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Days sales outstanding for trade receivables, excluding the impact of unbilled receivables, decreased from 34 days as of June 30, 2024 to 33 as of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Inventory turnover decreased from 60 days at June 30, 2024 to 57 days at June 30, 2025</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rPr>
        <w:t xml:space="preserve">Days outstanding for trade payables increased from 87 days at June 30, 2024 to 92 days at June 30, 2025 primarily due </w:t>
      </w:r>
      <w:r>
        <w:rPr>
          <w:rFonts w:ascii="Times New Roman;serif" w:hAnsi="Times New Roman;serif"/>
          <w:b w:val="false"/>
          <w:color w:val="000000"/>
          <w:sz w:val="20"/>
          <w:shd w:fill="FFFFFF" w:val="clear"/>
        </w:rPr>
        <w:t>to higher raw material costs and efforts to rebuild inventory in certain businesses.</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Investing Activities</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for investing activities decreased from $143 for the six months ended June 30, 2024 to $44 for the six months ended June 30, 2025, primarily due to lower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currently expects capital expenditures in 2025 to be approximately $450.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Cash used for financing activities increased from $70 for the six months ended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 xml:space="preserve">, 2024 to $427 for the six months ended </w:t>
      </w:r>
      <w:r>
        <w:rPr>
          <w:rFonts w:ascii="Times New Roman;serif" w:hAnsi="Times New Roman;serif"/>
          <w:b w:val="false"/>
          <w:color w:val="000000"/>
          <w:sz w:val="20"/>
        </w:rPr>
        <w:t>June 30</w:t>
      </w:r>
      <w:r>
        <w:rPr>
          <w:rFonts w:ascii="Times New Roman;serif" w:hAnsi="Times New Roman;serif"/>
          <w:b w:val="false"/>
          <w:color w:val="000000"/>
          <w:sz w:val="20"/>
          <w:shd w:fill="FFFFFF" w:val="clear"/>
        </w:rPr>
        <w:t>, 2025 primarily due to the repayment of $875 4.75% senior notes in 2025, partially offset by the issuance of $700 5.875% senior notes in the second quarter of 2025 and $209 of common stock repurchases.</w:t>
      </w:r>
    </w:p>
    <w:p>
      <w:pPr>
        <w:pStyle w:val="TextBody"/>
        <w:bidi w:val="0"/>
        <w:spacing w:lineRule="auto" w:line="268" w:before="0" w:after="0"/>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$798 of the Company's $936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$266 was held by subsidiaries for which earnings are considered indefinitely reinvested.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Company's revolving credit agreements provide capacit</w:t>
      </w:r>
      <w:r>
        <w:rPr>
          <w:rFonts w:ascii="Times New Roman;serif" w:hAnsi="Times New Roman;serif"/>
          <w:b w:val="false"/>
          <w:color w:val="000000"/>
          <w:sz w:val="20"/>
          <w:shd w:fill="FFFFFF" w:val="clear"/>
        </w:rPr>
        <w:t>y of $1,650 and as of June 30, 2025, the Company had available capacity of $1,619. The Company could have borrowed this amount a</w:t>
      </w:r>
      <w:r>
        <w:rPr>
          <w:rFonts w:ascii="Times New Roman;serif" w:hAnsi="Times New Roman;serif"/>
          <w:b w:val="false"/>
          <w:color w:val="000000"/>
          <w:sz w:val="20"/>
        </w:rPr>
        <w:t>t June 30, 2025 and still have been in compliance with its leverage ratio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w:t>
      </w:r>
      <w:r>
        <w:rPr>
          <w:rFonts w:ascii="Times New Roman;serif" w:hAnsi="Times New Roman;serif"/>
          <w:b w:val="false"/>
          <w:color w:val="000000"/>
          <w:sz w:val="20"/>
          <w:shd w:fill="FFFFFF" w:val="clear"/>
        </w:rPr>
        <w:t>atio of 2.5 to 1.0 at June 30, 2025 was in compl</w:t>
      </w:r>
      <w:r>
        <w:rPr>
          <w:rFonts w:ascii="Times New Roman;serif" w:hAnsi="Times New Roman;serif"/>
          <w:b w:val="false"/>
          <w:color w:val="000000"/>
          <w:sz w:val="20"/>
        </w:rPr>
        <w:t xml:space="preserve">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sources of liquidity also include a securitization facility with a program limit up to a maximum of $800 that expires in July 2027 and securitization facilities with program limits of $230 and $160 that expire in November 2025.</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its cash flows from operations, borrowings under its revolving credit facilities and the acceleration of cash receipts under its receivables securitization and factoring programs to primarily fund its operations, capital expenditures and financing obligations.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payments due in the next twelve months include the Company's €500 million ($589 million at June 30, 2025) 2.875% senior notes due in February 2026. The Company expects to have sufficient liquidity to refinance the senior notes or repay them at maturity.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approximately $127 of capital commitments primarily related to Americas Beverage and European Beverage. The Company expects to fund these commitments primarily through cash flows from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Company's contractual obligations provided within Part II, Item 7, “Management's Discussion and Analysis of Financial Condition and Results of Operations” of the Company's Annual Report on Form 10-K for the year ended December 31, 2024, which information is incorporated herein by reference.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Supplemental Guarantor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Crown Cork Obligor Group</w:t>
      </w:r>
    </w:p>
    <w:tbl>
      <w:tblPr>
        <w:tblW w:w="5953" w:type="dxa"/>
        <w:jc w:val="left"/>
        <w:tblInd w:w="0" w:type="dxa"/>
        <w:tblLayout w:type="fixed"/>
        <w:tblCellMar>
          <w:top w:w="28" w:type="dxa"/>
          <w:left w:w="28" w:type="dxa"/>
          <w:bottom w:w="28" w:type="dxa"/>
          <w:right w:w="28" w:type="dxa"/>
        </w:tblCellMar>
      </w:tblPr>
      <w:tblGrid>
        <w:gridCol w:w="1240"/>
        <w:gridCol w:w="1083"/>
        <w:gridCol w:w="1096"/>
        <w:gridCol w:w="109"/>
        <w:gridCol w:w="109"/>
        <w:gridCol w:w="270"/>
        <w:gridCol w:w="270"/>
        <w:gridCol w:w="528"/>
        <w:gridCol w:w="270"/>
        <w:gridCol w:w="279"/>
        <w:gridCol w:w="109"/>
        <w:gridCol w:w="109"/>
        <w:gridCol w:w="109"/>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699"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699"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Crown Holdings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$31 of expense related to intercompany interest with non-guarantor subsidiaries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5282" w:type="dxa"/>
        <w:jc w:val="left"/>
        <w:tblInd w:w="0" w:type="dxa"/>
        <w:tblLayout w:type="fixed"/>
        <w:tblCellMar>
          <w:top w:w="28" w:type="dxa"/>
          <w:left w:w="28" w:type="dxa"/>
          <w:bottom w:w="28" w:type="dxa"/>
          <w:right w:w="28" w:type="dxa"/>
        </w:tblCellMar>
      </w:tblPr>
      <w:tblGrid>
        <w:gridCol w:w="721"/>
        <w:gridCol w:w="634"/>
        <w:gridCol w:w="639"/>
        <w:gridCol w:w="242"/>
        <w:gridCol w:w="125"/>
        <w:gridCol w:w="125"/>
        <w:gridCol w:w="125"/>
        <w:gridCol w:w="125"/>
        <w:gridCol w:w="125"/>
        <w:gridCol w:w="125"/>
        <w:gridCol w:w="125"/>
        <w:gridCol w:w="125"/>
        <w:gridCol w:w="109"/>
        <w:gridCol w:w="109"/>
        <w:gridCol w:w="109"/>
        <w:gridCol w:w="322"/>
        <w:gridCol w:w="166"/>
        <w:gridCol w:w="166"/>
        <w:gridCol w:w="166"/>
        <w:gridCol w:w="166"/>
        <w:gridCol w:w="166"/>
        <w:gridCol w:w="166"/>
        <w:gridCol w:w="166"/>
        <w:gridCol w:w="23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1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1</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Includes payables of $6,232 and $5,905 due to non-guarantor subsidiaries as of June 30, 2025 and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Crown Americas Obligor Group</w:t>
      </w:r>
    </w:p>
    <w:p>
      <w:pPr>
        <w:pStyle w:val="TextBody"/>
        <w:bidi w:val="0"/>
        <w:spacing w:before="0" w:after="0"/>
        <w:jc w:val="both"/>
        <w:rPr/>
      </w:pPr>
      <w:r>
        <w:rPr/>
      </w:r>
    </w:p>
    <w:tbl>
      <w:tblPr>
        <w:tblW w:w="6171" w:type="dxa"/>
        <w:jc w:val="left"/>
        <w:tblInd w:w="0" w:type="dxa"/>
        <w:tblLayout w:type="fixed"/>
        <w:tblCellMar>
          <w:top w:w="28" w:type="dxa"/>
          <w:left w:w="28" w:type="dxa"/>
          <w:bottom w:w="28" w:type="dxa"/>
          <w:right w:w="28" w:type="dxa"/>
        </w:tblCellMar>
      </w:tblPr>
      <w:tblGrid>
        <w:gridCol w:w="1239"/>
        <w:gridCol w:w="1085"/>
        <w:gridCol w:w="1095"/>
        <w:gridCol w:w="109"/>
        <w:gridCol w:w="109"/>
        <w:gridCol w:w="270"/>
        <w:gridCol w:w="270"/>
        <w:gridCol w:w="528"/>
        <w:gridCol w:w="270"/>
        <w:gridCol w:w="279"/>
        <w:gridCol w:w="109"/>
        <w:gridCol w:w="109"/>
        <w:gridCol w:w="109"/>
        <w:gridCol w:w="109"/>
        <w:gridCol w:w="109"/>
        <w:gridCol w:w="109"/>
        <w:gridCol w:w="109"/>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operations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Crown Holdings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$222 of sales to non-guarantor subsidiaries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Includes $22 of gross profit related to sales to non-guarantor subsidiaries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Includes $4 of expense related to intercompany interest and technology royalties with non-guarantor subsidiaries</w:t>
      </w:r>
    </w:p>
    <w:p>
      <w:pPr>
        <w:pStyle w:val="TextBody"/>
        <w:bidi w:val="0"/>
        <w:spacing w:before="0" w:after="0"/>
        <w:jc w:val="left"/>
        <w:rPr/>
      </w:pPr>
      <w:r>
        <w:rPr/>
      </w:r>
    </w:p>
    <w:p>
      <w:pPr>
        <w:pStyle w:val="TextBody"/>
        <w:bidi w:val="0"/>
        <w:spacing w:before="0" w:after="0"/>
        <w:jc w:val="both"/>
        <w:rPr/>
      </w:pPr>
      <w:r>
        <w:rPr/>
      </w:r>
    </w:p>
    <w:tbl>
      <w:tblPr>
        <w:tblW w:w="5282" w:type="dxa"/>
        <w:jc w:val="left"/>
        <w:tblInd w:w="0" w:type="dxa"/>
        <w:tblLayout w:type="fixed"/>
        <w:tblCellMar>
          <w:top w:w="28" w:type="dxa"/>
          <w:left w:w="28" w:type="dxa"/>
          <w:bottom w:w="28" w:type="dxa"/>
          <w:right w:w="28" w:type="dxa"/>
        </w:tblCellMar>
      </w:tblPr>
      <w:tblGrid>
        <w:gridCol w:w="721"/>
        <w:gridCol w:w="633"/>
        <w:gridCol w:w="640"/>
        <w:gridCol w:w="242"/>
        <w:gridCol w:w="125"/>
        <w:gridCol w:w="125"/>
        <w:gridCol w:w="125"/>
        <w:gridCol w:w="125"/>
        <w:gridCol w:w="125"/>
        <w:gridCol w:w="125"/>
        <w:gridCol w:w="125"/>
        <w:gridCol w:w="125"/>
        <w:gridCol w:w="109"/>
        <w:gridCol w:w="109"/>
        <w:gridCol w:w="109"/>
        <w:gridCol w:w="322"/>
        <w:gridCol w:w="166"/>
        <w:gridCol w:w="166"/>
        <w:gridCol w:w="166"/>
        <w:gridCol w:w="166"/>
        <w:gridCol w:w="166"/>
        <w:gridCol w:w="166"/>
        <w:gridCol w:w="166"/>
        <w:gridCol w:w="235"/>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rFonts w:ascii="Times New Roman;serif" w:hAnsi="Times New Roman;serif"/>
                <w:b w:val="false"/>
                <w:color w:val="000000"/>
                <w:sz w:val="13"/>
              </w:rPr>
              <w:t>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assets</w:t>
            </w:r>
            <w:r>
              <w:rPr>
                <w:rFonts w:ascii="Times New Roman;serif" w:hAnsi="Times New Roman;serif"/>
                <w:b w:val="false"/>
                <w:color w:val="000000"/>
                <w:sz w:val="13"/>
              </w:rPr>
              <w:t>2</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3</w:t>
            </w:r>
          </w:p>
        </w:tc>
        <w:tc>
          <w:tcPr>
            <w:tcW w:w="111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4</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Includes receivables of $36 and $32 due from non-guarantor subsidiaries as of June 30, 2025 and December 31, 2024</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Includes receivables of $248 and $167 due from non-guarantor subsidiaries as of June 30, 2025 and December 31, 2024</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Includes payables of $16 and $20 due to non-guarantor subsidiaries as of June 30, 2025 and December 31, 2024</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Includes payables of $943 and $2,242 due to non-guarantor subsidiaries as of June 30, 2025 and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Commitments and Contingent Liabilities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Information regarding the Company's commitments and contingent liabilities appears in Part I within Item 1 of this report under </w:t>
      </w:r>
      <w:hyperlink w:anchor="i8ad251c1894b4b6cad883ce2e269c301_70">
        <w:r>
          <w:rPr>
            <w:rStyle w:val="InternetLink"/>
            <w:rFonts w:ascii="Times New Roman;serif" w:hAnsi="Times New Roman;serif"/>
            <w:b w:val="false"/>
            <w:color w:val="0000FF"/>
            <w:sz w:val="20"/>
            <w:u w:val="single"/>
          </w:rPr>
          <w:t>Note J</w:t>
        </w:r>
      </w:hyperlink>
      <w:r>
        <w:rPr>
          <w:rFonts w:ascii="Times New Roman;serif" w:hAnsi="Times New Roman;serif"/>
          <w:b w:val="false"/>
          <w:color w:val="000000"/>
          <w:sz w:val="20"/>
        </w:rPr>
        <w:t>, entitled “Commitments and Contingent Liabilities,” to the consolidated financial statements, and in Part II within Item 1A of this report which information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accounting principles generally accepted in the U.S. which require that management make numerous estimates and assumptions.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2024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Forward 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Statements included herein, including, but not limited to, those in “Management's Discussion and Analysis of Financial Condition and Results of Operations” and in the discussions of asbestos in </w:t>
      </w:r>
      <w:hyperlink w:anchor="i8ad251c1894b4b6cad883ce2e269c301_67">
        <w:r>
          <w:rPr>
            <w:rStyle w:val="InternetLink"/>
            <w:rFonts w:ascii="Times New Roman;serif" w:hAnsi="Times New Roman;serif"/>
            <w:b w:val="false"/>
            <w:color w:val="0000FF"/>
            <w:sz w:val="20"/>
            <w:u w:val="single"/>
            <w:shd w:fill="FFFFFF" w:val="clear"/>
          </w:rPr>
          <w:t>Note I</w:t>
        </w:r>
      </w:hyperlink>
      <w:r>
        <w:rPr>
          <w:color w:val="000000"/>
          <w:shd w:fill="FFFFFF" w:val="clear"/>
        </w:rPr>
        <w:t xml:space="preserve"> </w:t>
      </w:r>
      <w:r>
        <w:rPr>
          <w:rFonts w:ascii="Times New Roman;serif" w:hAnsi="Times New Roman;serif"/>
          <w:b w:val="false"/>
          <w:color w:val="000000"/>
          <w:sz w:val="20"/>
          <w:shd w:fill="FFFFFF" w:val="clear"/>
        </w:rPr>
        <w:t xml:space="preserve">and commitments and contingencies in </w:t>
      </w:r>
      <w:hyperlink w:anchor="i8ad251c1894b4b6cad883ce2e269c301_70">
        <w:r>
          <w:rPr>
            <w:rStyle w:val="InternetLink"/>
            <w:rFonts w:ascii="Times New Roman;serif" w:hAnsi="Times New Roman;serif"/>
            <w:b w:val="false"/>
            <w:color w:val="0000FF"/>
            <w:sz w:val="20"/>
            <w:u w:val="single"/>
            <w:shd w:fill="FFFFFF" w:val="clear"/>
          </w:rPr>
          <w:t>Note J</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2024, which are not historical facts (including any statements concerning the conflicts in the Middle East and the Russia-Ukraine war, objectives of management for share repurchases, dividends, future operations or economic performance, or assumptions related thereto, including the potential for higher interest rates, energy and raw material prices, including tariffs, retaliatory trade measures and further trade restrictions), are “forward-looking statements” within the meaning of the federal securities laws. In addition, the Company and its representatives may, from time to time, make oral or written statements which are also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discussion of important factors that could cause the actual results of operations or financial condition of the Company to differ from expectations has been set forth in the Company's Annual Report on Form 10-K for the year ended December 31, 2024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left"/>
        <w:rPr>
          <w:rFonts w:ascii="Times New Roman;serif" w:hAnsi="Times New Roman;serif"/>
          <w:b/>
          <w:color w:val="000000"/>
          <w:sz w:val="20"/>
        </w:rPr>
      </w:pPr>
      <w:bookmarkStart w:id="27" w:name="ib37703d9797c42a2bcabcc69221ea4b3"/>
      <w:bookmarkEnd w:id="27"/>
      <w:r>
        <w:rPr>
          <w:rFonts w:ascii="Times New Roman;serif" w:hAnsi="Times New Roman;serif"/>
          <w:b/>
          <w:color w:val="000000"/>
          <w:sz w:val="20"/>
        </w:rPr>
        <w:t>Item 3.    Quantitative and Qualitative Disclosures About Market Risk</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2025, see </w:t>
      </w:r>
      <w:hyperlink w:anchor="i8ad251c1894b4b6cad883ce2e269c301_73">
        <w:r>
          <w:rPr>
            <w:rStyle w:val="InternetLink"/>
            <w:rFonts w:ascii="Times New Roman;serif" w:hAnsi="Times New Roman;serif"/>
            <w:b w:val="false"/>
            <w:color w:val="0000FF"/>
            <w:sz w:val="20"/>
            <w:u w:val="single"/>
          </w:rPr>
          <w:t>Note K</w:t>
        </w:r>
      </w:hyperlink>
      <w:r>
        <w:rPr>
          <w:color w:val="000000"/>
        </w:rPr>
        <w:t xml:space="preserve"> </w:t>
      </w:r>
      <w:r>
        <w:rPr>
          <w:rFonts w:ascii="Times New Roman;serif" w:hAnsi="Times New Roman;serif"/>
          <w:b w:val="false"/>
          <w:color w:val="000000"/>
          <w:sz w:val="20"/>
        </w:rPr>
        <w:t>to the consolidated financial statements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$1.8 billion principal floating interest rate debt and $1.4 billion of securitization and factoring. A change of 0.25% in these floating interest rates would change annual interest expense by approximately $8 million before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both"/>
        <w:rPr>
          <w:rFonts w:ascii="Times New Roman;serif" w:hAnsi="Times New Roman;serif"/>
          <w:b/>
          <w:color w:val="000000"/>
          <w:sz w:val="20"/>
        </w:rPr>
      </w:pPr>
      <w:bookmarkStart w:id="28" w:name="i75e93af46e454782aa1145bf75fc663b"/>
      <w:bookmarkEnd w:id="28"/>
      <w:r>
        <w:rPr>
          <w:rFonts w:ascii="Times New Roman;serif" w:hAnsi="Times New Roman;serif"/>
          <w:b/>
          <w:color w:val="000000"/>
          <w:sz w:val="20"/>
        </w:rPr>
        <w:t>Item 4.    Controls and Procedures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bookmarkStart w:id="29" w:name="if3c1c32d4dd647d7af18dffc7084c662"/>
      <w:bookmarkEnd w:id="29"/>
      <w:r>
        <w:rPr>
          <w:rFonts w:ascii="Times New Roman;serif" w:hAnsi="Times New Roman;serif"/>
          <w:b/>
          <w:color w:val="000000"/>
          <w:sz w:val="20"/>
        </w:rPr>
        <w:t>PART II – OTHER INFORMATION</w:t>
      </w:r>
    </w:p>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For information regarding the Company's potential asbestos-related liabilities and other litigation, see </w:t>
      </w:r>
      <w:hyperlink w:anchor="i8ad251c1894b4b6cad883ce2e269c301_67">
        <w:r>
          <w:rPr>
            <w:rStyle w:val="InternetLink"/>
            <w:rFonts w:ascii="Times New Roman;serif" w:hAnsi="Times New Roman;serif"/>
            <w:b w:val="false"/>
            <w:color w:val="0000FF"/>
            <w:sz w:val="20"/>
            <w:u w:val="single"/>
          </w:rPr>
          <w:t>Note I</w:t>
        </w:r>
      </w:hyperlink>
      <w:r>
        <w:rPr>
          <w:color w:val="000000"/>
        </w:rPr>
        <w:t xml:space="preserve"> </w:t>
      </w:r>
      <w:r>
        <w:rPr>
          <w:rFonts w:ascii="Times New Roman;serif" w:hAnsi="Times New Roman;serif"/>
          <w:b w:val="false"/>
          <w:color w:val="000000"/>
          <w:sz w:val="20"/>
        </w:rPr>
        <w:t xml:space="preserve">entitled “Asbestos-Related Liabilities” and </w:t>
      </w:r>
      <w:hyperlink w:anchor="i8ad251c1894b4b6cad883ce2e269c301_70">
        <w:r>
          <w:rPr>
            <w:rStyle w:val="InternetLink"/>
            <w:rFonts w:ascii="Times New Roman;serif" w:hAnsi="Times New Roman;serif"/>
            <w:b w:val="false"/>
            <w:color w:val="0000FF"/>
            <w:sz w:val="20"/>
            <w:u w:val="single"/>
          </w:rPr>
          <w:t>Note J</w:t>
        </w:r>
      </w:hyperlink>
      <w:r>
        <w:rPr>
          <w:color w:val="000000"/>
        </w:rPr>
        <w:t xml:space="preserve"> </w:t>
      </w:r>
      <w:r>
        <w:rPr>
          <w:rFonts w:ascii="Times New Roman;serif" w:hAnsi="Times New Roman;serif"/>
          <w:b w:val="false"/>
          <w:color w:val="000000"/>
          <w:sz w:val="20"/>
        </w:rPr>
        <w:t>entitled “Commitments and Contingent Liabilities” to the consolidated financial statements within Part I, Item 1 of this Quarterly Report on Form 10-Q, which information is incorporated herein by reference.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this report should be read in conjunction with the risk factors discussed in Item 1A of the Company's Annual Report on Form 10-K for the year ended December 31, 2024. Such risks are not the only risks facing the Company. Additional risks and uncertainties not currently known to the Company or that the Company currently deems to be immaterial may also materially adversely affect the Company's business, financial condition and/or operating results. </w:t>
      </w:r>
    </w:p>
    <w:p>
      <w:pPr>
        <w:pStyle w:val="TextBody"/>
        <w:bidi w:val="0"/>
        <w:spacing w:before="0" w:after="0"/>
        <w:ind w:left="0" w:right="0" w:hanging="2250"/>
        <w:jc w:val="both"/>
        <w:rPr/>
      </w:pPr>
      <w:r>
        <w:rPr/>
      </w:r>
    </w:p>
    <w:p>
      <w:pPr>
        <w:pStyle w:val="TextBody"/>
        <w:bidi w:val="0"/>
        <w:spacing w:lineRule="auto" w:line="288" w:before="0" w:after="0"/>
        <w:ind w:left="0" w:right="0" w:hanging="2250"/>
        <w:jc w:val="both"/>
        <w:rPr>
          <w:rFonts w:ascii="Times New Roman;serif" w:hAnsi="Times New Roman;serif"/>
          <w:b/>
          <w:color w:val="000000"/>
          <w:sz w:val="20"/>
        </w:rPr>
      </w:pPr>
      <w:r>
        <w:rPr>
          <w:rFonts w:ascii="Times New Roman;serif" w:hAnsi="Times New Roman;serif"/>
          <w:b/>
          <w:color w:val="000000"/>
          <w:sz w:val="20"/>
        </w:rPr>
        <w:t>Item 2. Unregistered Sale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61,713 shares were surrendered to cover taxes on the vesting of restricted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The Company has remaining Board authorization to repurchase $1,593 of the Company's common stock under the program as of June 30, 2025. </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There were no events required to be reported under Item 3 for the six months ended June 30, 2025.</w:t>
      </w:r>
    </w:p>
    <w:p>
      <w:pPr>
        <w:pStyle w:val="TextBody"/>
        <w:bidi w:val="0"/>
        <w:spacing w:before="0" w:after="0"/>
        <w:ind w:left="0" w:right="0" w:hanging="1530"/>
        <w:jc w:val="left"/>
        <w:rPr/>
      </w:pPr>
      <w:r>
        <w:rPr/>
      </w:r>
    </w:p>
    <w:p>
      <w:pPr>
        <w:pStyle w:val="TextBody"/>
        <w:bidi w:val="0"/>
        <w:spacing w:lineRule="auto" w:line="288" w:before="0" w:after="0"/>
        <w:ind w:left="0" w:right="0" w:hanging="153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720"/>
        <w:jc w:val="both"/>
        <w:rPr/>
      </w:pPr>
      <w:r>
        <w:rPr/>
      </w:r>
    </w:p>
    <w:p>
      <w:pPr>
        <w:pStyle w:val="TextBody"/>
        <w:bidi w:val="0"/>
        <w:spacing w:lineRule="auto" w:line="268" w:before="0" w:after="0"/>
        <w:ind w:left="0" w:right="0" w:hanging="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Departure of Directors or Certain Officers; Election of Directors; Appointment of Certain Officers;</w:t>
      </w:r>
    </w:p>
    <w:p>
      <w:pPr>
        <w:pStyle w:val="TextBody"/>
        <w:bidi w:val="0"/>
        <w:spacing w:lineRule="auto" w:line="268" w:before="0" w:after="0"/>
        <w:ind w:left="0" w:right="0" w:hanging="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Compensatory Arrangements of Certain Officers.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24, 2025, Christy Kalaus, Vice President and Corporate Controller, informed the Company that she is resigning to pursue another opportunity. Her decision to resign was due to personal reasons and was not a result of any disagreement with the Company on any matter relating to the Company’s financial statements, internal control over financial reporting, operations, policies or practices. Ms. Kalaus’s last day of employment with the Company is expected to be on or about August 25,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Kevin C. Clothier, Senior Vice President and Chief Financial Officer of the Company, will become interim principal accounting officer, effective August 25, 2025. Mr. Clothier will continue to serve as the Company’s Senior Vice President and Chief Financial Officer, which position he has held since January 2022. </w:t>
      </w:r>
    </w:p>
    <w:p>
      <w:pPr>
        <w:pStyle w:val="TextBody"/>
        <w:bidi w:val="0"/>
        <w:spacing w:before="0" w:after="0"/>
        <w:ind w:left="0" w:right="0" w:hanging="720"/>
        <w:jc w:val="both"/>
        <w:rPr/>
      </w:pPr>
      <w:r>
        <w:rPr/>
      </w:r>
    </w:p>
    <w:p>
      <w:pPr>
        <w:pStyle w:val="TextBody"/>
        <w:bidi w:val="0"/>
        <w:spacing w:lineRule="auto" w:line="268" w:before="0" w:after="0"/>
        <w:ind w:left="0" w:right="0" w:hanging="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Rule 10b5-1 Trading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20, 2025, Timothy J. Donahue, President and Chief Executive Officer of the Company, entered into a new 10b5-1 plan intended to satisfy the affirmative defense conditions of Rule 10b5-1 under the Securities and Exchange Act of 1934, as amended. The plan provides for the sale of up to 90,000 shares of the Company's common stock and expires on August 18, 2026 or upon the earlier completion of all authorized transactions under the plan. No other director or executive officer of the Company adopted or terminated any "Rule 10b5-1 trading arrangement" or "non-Rule 10b5-1 trading arrangement," as each term is defined in Item 408 of Regulation S-K, during the quarter ended June 30, 2025.</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6.    Exhibits    </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207"/>
        <w:gridCol w:w="160"/>
        <w:gridCol w:w="162"/>
        <w:gridCol w:w="3047"/>
        <w:gridCol w:w="2960"/>
        <w:gridCol w:w="2967"/>
        <w:gridCol w:w="109"/>
        <w:gridCol w:w="109"/>
        <w:gridCol w:w="109"/>
        <w:gridCol w:w="109"/>
        <w:gridCol w:w="109"/>
        <w:gridCol w:w="157"/>
      </w:tblGrid>
      <w:tr>
        <w:trPr/>
        <w:tc>
          <w:tcPr>
            <w:tcW w:w="2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Articles of Incorporation of Crown Holdings, Inc., as amended (incorporated by reference to Exhibit 3.a of the Registrant’s Annual Report on Form 10-K for the year ended December 31, 2004 (File No. 000-50189))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101.htm">
              <w:r>
                <w:rPr>
                  <w:rStyle w:val="InternetLink"/>
                  <w:rFonts w:ascii="Times New Roman;serif" w:hAnsi="Times New Roman;serif"/>
                  <w:b w:val="false"/>
                  <w:color w:val="0000FF"/>
                  <w:sz w:val="20"/>
                  <w:u w:val="single"/>
                </w:rPr>
                <w:t>Separation and General Release Agreement, dated June 4, 2025, by and between Carlos Baila and Crown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102.htm">
              <w:r>
                <w:rPr>
                  <w:rStyle w:val="InternetLink"/>
                  <w:rFonts w:ascii="Times New Roman;serif" w:hAnsi="Times New Roman;serif"/>
                  <w:b w:val="false"/>
                  <w:color w:val="0000FF"/>
                  <w:sz w:val="20"/>
                  <w:u w:val="single"/>
                </w:rPr>
                <w:t>Executive Employment Agreement, effective July 1, 2025, by and between Crown Holdings, Inc. and John Rost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103.htm">
              <w:r>
                <w:rPr>
                  <w:rStyle w:val="InternetLink"/>
                  <w:rFonts w:ascii="Times New Roman;serif" w:hAnsi="Times New Roman;serif"/>
                  <w:b w:val="false"/>
                  <w:color w:val="0000FF"/>
                  <w:sz w:val="20"/>
                  <w:u w:val="single"/>
                </w:rPr>
                <w:t>First Amendment to Executive Employment Agreement, effective as of July 1, 2025, by and between Crown Holdings, Inc. and Djalma Novaes,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104.htm">
              <w:r>
                <w:rPr>
                  <w:rStyle w:val="InternetLink"/>
                  <w:rFonts w:ascii="Times New Roman;serif" w:hAnsi="Times New Roman;serif"/>
                  <w:b w:val="false"/>
                  <w:color w:val="0000FF"/>
                  <w:sz w:val="20"/>
                  <w:u w:val="single"/>
                </w:rPr>
                <w:t>Amendment No 1. to Senior Executive Retirement Agreement, effective as of July 1, 2025, by and between Crown Holdings, Inc. and Djalma Novaes,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105.htm">
              <w:r>
                <w:rPr>
                  <w:rStyle w:val="InternetLink"/>
                  <w:rFonts w:ascii="Times New Roman;serif" w:hAnsi="Times New Roman;serif"/>
                  <w:b w:val="false"/>
                  <w:color w:val="0000FF"/>
                  <w:sz w:val="20"/>
                  <w:u w:val="single"/>
                </w:rPr>
                <w:t>Executive Employment Agreement, effective as of July 1, 2025, by and between Crown Holdings, Inc. and Gary Gavin.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22.htm">
              <w:r>
                <w:rPr>
                  <w:rStyle w:val="InternetLink"/>
                  <w:rFonts w:ascii="Times New Roman;serif" w:hAnsi="Times New Roman;serif"/>
                  <w:b w:val="false"/>
                  <w:color w:val="0000FF"/>
                  <w:sz w:val="20"/>
                  <w:u w:val="single"/>
                </w:rPr>
                <w:t>List of 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311.htm">
              <w:r>
                <w:rPr>
                  <w:rStyle w:val="InternetLink"/>
                  <w:rFonts w:ascii="Times New Roman;serif" w:hAnsi="Times New Roman;serif"/>
                  <w:b w:val="false"/>
                  <w:color w:val="0000FF"/>
                  <w:sz w:val="20"/>
                  <w:u w:val="single"/>
                </w:rPr>
                <w:t>Certification of Chief Executive Officer pursuant to Rule 13a-14(a) or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89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312.htm">
              <w:r>
                <w:rPr>
                  <w:rStyle w:val="InternetLink"/>
                  <w:rFonts w:ascii="Times New Roman;serif" w:hAnsi="Times New Roman;serif"/>
                  <w:b w:val="false"/>
                  <w:color w:val="0000FF"/>
                  <w:sz w:val="20"/>
                  <w:u w:val="single"/>
                </w:rPr>
                <w:t>Certification of Chief Financial Officer pursuant to Rule 13a-14(a) or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3021"/>
        <w:gridCol w:w="3021"/>
        <w:gridCol w:w="3027"/>
        <w:gridCol w:w="109"/>
        <w:gridCol w:w="109"/>
        <w:gridCol w:w="109"/>
        <w:gridCol w:w="109"/>
        <w:gridCol w:w="109"/>
        <w:gridCol w:w="15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6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5xq2ex32.htm">
              <w:r>
                <w:rPr>
                  <w:rStyle w:val="InternetLink"/>
                  <w:rFonts w:ascii="Times New Roman;serif" w:hAnsi="Times New Roman;serif"/>
                  <w:b w:val="false"/>
                  <w:color w:val="0000FF"/>
                  <w:sz w:val="20"/>
                  <w:u w:val="single"/>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Quarterly Report on Form 10-Q for the quarter ended June 30, 2025 formatted in inline XBRL (eXtensible Business Reporting Language): (i) Consolidated Statements of Operations for the three and six months ended June 30, 2025 and 2024, (ii) Consolidated Statements of Comprehensive Income for the three and six months ended June 30, 2025 and 2024, (iii) Consolidated Balance Sheets as of June 30, 2025 and December 31, 2024, (iv) Consolidated Statements of Cash Flows for the six months ended June 30, 2025 and 2024, (v) Consolidated Statements of Changes in Equity for the three and six months ended June 30, 2025 and 2024 and (vi)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0" w:after="283"/>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15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995"/>
        <w:gridCol w:w="995"/>
        <w:gridCol w:w="141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Crown Holdings,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Christy L. Kalaus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Christy L. Kalaus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9"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SEPARATION AND GENERAL RELEASE AGREEMENT</w:t>
      </w:r>
    </w:p>
    <w:p>
      <w:pPr>
        <w:pStyle w:val="TextBody"/>
        <w:bidi w:val="0"/>
        <w:spacing w:before="0" w:after="0"/>
        <w:jc w:val="left"/>
        <w:rPr/>
      </w:pPr>
      <w:r>
        <w:rPr/>
      </w:r>
    </w:p>
    <w:p>
      <w:pPr>
        <w:pStyle w:val="TextBody"/>
        <w:bidi w:val="0"/>
        <w:spacing w:before="34" w:after="283"/>
        <w:jc w:val="left"/>
        <w:rPr/>
      </w:pPr>
      <w:r>
        <w:rPr/>
      </w:r>
    </w:p>
    <w:p>
      <w:pPr>
        <w:pStyle w:val="TextBody"/>
        <w:bidi w:val="0"/>
        <w:spacing w:lineRule="auto" w:line="295" w:before="1" w:after="283"/>
        <w:ind w:left="0" w:right="0" w:firstLine="4"/>
        <w:jc w:val="left"/>
        <w:rPr>
          <w:rFonts w:ascii="Times New Roman;serif" w:hAnsi="Times New Roman;serif"/>
          <w:b w:val="false"/>
          <w:color w:val="000000"/>
          <w:sz w:val="22"/>
        </w:rPr>
      </w:pPr>
      <w:r>
        <w:rPr>
          <w:rFonts w:ascii="Times New Roman;serif" w:hAnsi="Times New Roman;serif"/>
          <w:b w:val="false"/>
          <w:color w:val="000000"/>
          <w:sz w:val="22"/>
        </w:rPr>
        <w:t>This Separation and General Release Agreement (this "General Release") is made and entered into as of this 04 day of June, 2025 by and between Carlos Baila (the "Executive") and Crown Holdings, Inc. ("Crown").</w:t>
      </w:r>
    </w:p>
    <w:p>
      <w:pPr>
        <w:pStyle w:val="TextBody"/>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WITNESSETH</w:t>
      </w:r>
    </w:p>
    <w:p>
      <w:pPr>
        <w:pStyle w:val="TextBody"/>
        <w:bidi w:val="0"/>
        <w:spacing w:before="20" w:after="283"/>
        <w:jc w:val="left"/>
        <w:rPr/>
      </w:pPr>
      <w:r>
        <w:rPr/>
      </w:r>
    </w:p>
    <w:p>
      <w:pPr>
        <w:pStyle w:val="TextBody"/>
        <w:bidi w:val="0"/>
        <w:spacing w:lineRule="auto" w:line="295" w:before="0" w:after="0"/>
        <w:ind w:left="0" w:right="0" w:firstLine="8"/>
        <w:jc w:val="left"/>
        <w:rPr>
          <w:rFonts w:ascii="Times New Roman;serif" w:hAnsi="Times New Roman;serif"/>
          <w:b w:val="false"/>
          <w:color w:val="000000"/>
          <w:sz w:val="22"/>
        </w:rPr>
      </w:pPr>
      <w:r>
        <w:rPr>
          <w:rFonts w:ascii="Times New Roman;serif" w:hAnsi="Times New Roman;serif"/>
          <w:b w:val="false"/>
          <w:color w:val="000000"/>
          <w:sz w:val="22"/>
        </w:rPr>
        <w:t>WHEREAS, the Executive has been employed by Crown pursuant to the terms of an Executive Employment Agreement with Crown dated January 1, 2023 (the "Employment Agreement");</w:t>
      </w:r>
    </w:p>
    <w:p>
      <w:pPr>
        <w:pStyle w:val="TextBody"/>
        <w:bidi w:val="0"/>
        <w:spacing w:lineRule="auto" w:line="295" w:before="0" w:after="0"/>
        <w:ind w:left="0" w:right="0" w:firstLine="11"/>
        <w:jc w:val="left"/>
        <w:rPr>
          <w:rFonts w:ascii="Times New Roman;serif" w:hAnsi="Times New Roman;serif"/>
          <w:b w:val="false"/>
          <w:color w:val="000000"/>
          <w:sz w:val="22"/>
        </w:rPr>
      </w:pPr>
      <w:r>
        <w:rPr>
          <w:rFonts w:ascii="Times New Roman;serif" w:hAnsi="Times New Roman;serif"/>
          <w:b w:val="false"/>
          <w:color w:val="000000"/>
          <w:sz w:val="22"/>
        </w:rPr>
        <w:t>WHEREAS, the Executive has voluntarily elected to resign his employment with Crown and all of its subsidiaries and Crown has agreed to accept such resignation;</w:t>
      </w:r>
    </w:p>
    <w:p>
      <w:pPr>
        <w:pStyle w:val="TextBody"/>
        <w:bidi w:val="0"/>
        <w:spacing w:before="12" w:after="283"/>
        <w:jc w:val="left"/>
        <w:rPr/>
      </w:pPr>
      <w:r>
        <w:rPr/>
      </w:r>
    </w:p>
    <w:p>
      <w:pPr>
        <w:pStyle w:val="TextBody"/>
        <w:bidi w:val="0"/>
        <w:spacing w:lineRule="auto" w:line="295" w:before="0" w:after="0"/>
        <w:ind w:left="0" w:right="0" w:firstLine="6"/>
        <w:jc w:val="both"/>
        <w:rPr>
          <w:rFonts w:ascii="Times New Roman;serif" w:hAnsi="Times New Roman;serif"/>
          <w:b w:val="false"/>
          <w:color w:val="000000"/>
          <w:sz w:val="22"/>
        </w:rPr>
      </w:pPr>
      <w:r>
        <w:rPr>
          <w:rFonts w:ascii="Times New Roman;serif" w:hAnsi="Times New Roman;serif"/>
          <w:b w:val="false"/>
          <w:color w:val="000000"/>
          <w:sz w:val="22"/>
        </w:rPr>
        <w:t>WHEREAS, the Executive and Crown desire to settle fully and finally all matters between them, including but not limited to, any issues that relate to the Executive's employment with Crown or the termination of such employment; and</w:t>
      </w:r>
    </w:p>
    <w:p>
      <w:pPr>
        <w:pStyle w:val="TextBody"/>
        <w:bidi w:val="0"/>
        <w:spacing w:before="10" w:after="283"/>
        <w:jc w:val="left"/>
        <w:rPr/>
      </w:pPr>
      <w:r>
        <w:rPr/>
      </w:r>
    </w:p>
    <w:p>
      <w:pPr>
        <w:pStyle w:val="TextBody"/>
        <w:bidi w:val="0"/>
        <w:spacing w:lineRule="auto" w:line="295" w:before="1" w:after="283"/>
        <w:ind w:left="0" w:right="0" w:hanging="3"/>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and promises contained herein, the parties hereto, intending to be legally bound hereby, agree as follows:</w:t>
      </w:r>
    </w:p>
    <w:p>
      <w:pPr>
        <w:pStyle w:val="TextBody"/>
        <w:bidi w:val="0"/>
        <w:spacing w:before="11" w:after="283"/>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RESIGNATION</w:t>
      </w:r>
    </w:p>
    <w:p>
      <w:pPr>
        <w:pStyle w:val="TextBody"/>
        <w:bidi w:val="0"/>
        <w:spacing w:before="28" w:after="283"/>
        <w:jc w:val="left"/>
        <w:rPr/>
      </w:pPr>
      <w:r>
        <w:rPr/>
      </w:r>
    </w:p>
    <w:p>
      <w:pPr>
        <w:pStyle w:val="TextBody"/>
        <w:bidi w:val="0"/>
        <w:spacing w:lineRule="auto" w:line="295" w:before="1" w:after="283"/>
        <w:ind w:left="0" w:right="0" w:firstLine="2"/>
        <w:jc w:val="left"/>
        <w:rPr>
          <w:rFonts w:ascii="Times New Roman;serif" w:hAnsi="Times New Roman;serif"/>
          <w:b w:val="false"/>
          <w:color w:val="000000"/>
          <w:sz w:val="22"/>
        </w:rPr>
      </w:pPr>
      <w:r>
        <w:rPr>
          <w:rFonts w:ascii="Times New Roman;serif" w:hAnsi="Times New Roman;serif"/>
          <w:b w:val="false"/>
          <w:color w:val="000000"/>
          <w:sz w:val="22"/>
        </w:rPr>
        <w:t>The Executive hereby voluntarily resigns, effective June 30, 2025 (the "Separation Date") from his position as an employee of Crown and all of its subsidiaries.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PAYMENTS and BENEFITS</w:t>
      </w:r>
    </w:p>
    <w:p>
      <w:pPr>
        <w:pStyle w:val="TextBody"/>
        <w:bidi w:val="0"/>
        <w:spacing w:before="28" w:after="283"/>
        <w:jc w:val="left"/>
        <w:rPr/>
      </w:pPr>
      <w:r>
        <w:rPr/>
      </w:r>
    </w:p>
    <w:p>
      <w:pPr>
        <w:pStyle w:val="TextBody"/>
        <w:bidi w:val="0"/>
        <w:spacing w:lineRule="auto" w:line="295" w:before="0" w:after="0"/>
        <w:ind w:left="0" w:right="0" w:firstLine="2"/>
        <w:jc w:val="left"/>
        <w:rPr>
          <w:rFonts w:ascii="Times New Roman;serif" w:hAnsi="Times New Roman;serif"/>
          <w:b w:val="false"/>
          <w:color w:val="000000"/>
          <w:sz w:val="22"/>
        </w:rPr>
      </w:pPr>
      <w:r>
        <w:rPr>
          <w:rFonts w:ascii="Times New Roman;serif" w:hAnsi="Times New Roman;serif"/>
          <w:b w:val="false"/>
          <w:color w:val="000000"/>
          <w:sz w:val="22"/>
        </w:rPr>
        <w:t>All payments due to the Executive from Crown and its subsidiaries on or after the Separation Date shall be determined under the applicable provisions of this General Release.</w:t>
      </w:r>
    </w:p>
    <w:p>
      <w:pPr>
        <w:pStyle w:val="TextBody"/>
        <w:bidi w:val="0"/>
        <w:spacing w:before="5" w:after="283"/>
        <w:jc w:val="left"/>
        <w:rPr/>
      </w:pPr>
      <w:r>
        <w:rPr/>
      </w:r>
    </w:p>
    <w:p>
      <w:pPr>
        <w:pStyle w:val="TextBody"/>
        <w:bidi w:val="0"/>
        <w:spacing w:lineRule="auto" w:line="295" w:before="0" w:after="0"/>
        <w:ind w:left="0" w:right="0" w:hanging="914"/>
        <w:jc w:val="left"/>
        <w:rPr>
          <w:rFonts w:ascii="Times New Roman;serif" w:hAnsi="Times New Roman;serif"/>
          <w:b w:val="false"/>
          <w:color w:val="000000"/>
          <w:sz w:val="22"/>
        </w:rPr>
      </w:pPr>
      <w:r>
        <w:rPr>
          <w:rFonts w:ascii="Times New Roman;serif" w:hAnsi="Times New Roman;serif"/>
          <w:b w:val="false"/>
          <w:color w:val="000000"/>
          <w:sz w:val="22"/>
        </w:rPr>
        <w:t>I.        To the extent unpaid as of the Separation Date, the Executive is entitled to receive (i) any earned but unpaid base salary as of the Separation Date, (ii) reimbursement for any business expenses incurred prior to, but not reimbursed as of, the Separation Date, but only to the extent reimbursable in accordance with Crown's expense reimbursement policies, (iii) any vested benefits under Crown's employee benefit plans in which the Executive was participating immediately prior to the Separation Date, to be provided in accordance with the terms of such plans and (iv) payment for any earned but unused vacation as of the Separation Date, in accordance with Crown's vacation policy and applicable law.</w:t>
      </w:r>
    </w:p>
    <w:p>
      <w:pPr>
        <w:pStyle w:val="TextBody"/>
        <w:bidi w:val="0"/>
        <w:spacing w:lineRule="auto" w:line="295" w:before="221" w:after="283"/>
        <w:ind w:left="0" w:right="0" w:hanging="950"/>
        <w:jc w:val="left"/>
        <w:rPr>
          <w:rFonts w:ascii="Times New Roman;serif" w:hAnsi="Times New Roman;serif"/>
          <w:b w:val="false"/>
          <w:color w:val="000000"/>
          <w:sz w:val="22"/>
        </w:rPr>
      </w:pPr>
      <w:r>
        <w:rPr>
          <w:rFonts w:ascii="Times New Roman;serif" w:hAnsi="Times New Roman;serif"/>
          <w:b w:val="false"/>
          <w:color w:val="000000"/>
          <w:sz w:val="22"/>
        </w:rPr>
        <w:t>2.Provided that the Executive executes this General Release within the time frame described below and continues to comply with his obligations under the Employment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p>
                  </w:txbxContent>
                </v:textbox>
                <w10:wrap type="none"/>
              </v:rect>
            </w:pict>
          </mc:Fallback>
        </mc:AlternateContent>
      </w:r>
    </w:p>
    <w:p>
      <w:pPr>
        <w:pStyle w:val="TextBody"/>
        <w:bidi w:val="0"/>
        <w:spacing w:before="0" w:after="0"/>
        <w:jc w:val="left"/>
        <w:rPr/>
      </w:pPr>
      <w:r>
        <w:rPr/>
      </w:r>
    </w:p>
    <w:p>
      <w:pPr>
        <w:pStyle w:val="TextBody"/>
        <w:bidi w:val="0"/>
        <w:spacing w:lineRule="auto" w:line="295" w:before="138" w:after="283"/>
        <w:ind w:left="0" w:right="0" w:firstLine="12"/>
        <w:jc w:val="left"/>
        <w:rPr>
          <w:rFonts w:ascii="Times New Roman;serif" w:hAnsi="Times New Roman;serif"/>
          <w:b w:val="false"/>
          <w:color w:val="000000"/>
          <w:sz w:val="22"/>
        </w:rPr>
      </w:pPr>
      <w:r>
        <w:rPr>
          <w:rFonts w:ascii="Times New Roman;serif" w:hAnsi="Times New Roman;serif"/>
          <w:b w:val="false"/>
          <w:color w:val="000000"/>
          <w:sz w:val="22"/>
        </w:rPr>
        <w:t>Agreement and his Crown Holdings, Inc. Bonus Plan Business Protection Agreement dated September 10, 2018, Crown shall provide the Executive with:</w:t>
      </w:r>
    </w:p>
    <w:p>
      <w:pPr>
        <w:pStyle w:val="TextBody"/>
        <w:bidi w:val="0"/>
        <w:spacing w:lineRule="auto" w:line="295" w:before="229" w:after="283"/>
        <w:ind w:left="0" w:right="0" w:hanging="694"/>
        <w:jc w:val="left"/>
        <w:rPr>
          <w:rFonts w:ascii="Times New Roman;serif" w:hAnsi="Times New Roman;serif"/>
          <w:b w:val="false"/>
          <w:color w:val="000000"/>
          <w:sz w:val="22"/>
        </w:rPr>
      </w:pPr>
      <w:r>
        <w:rPr>
          <w:rFonts w:ascii="Times New Roman;serif" w:hAnsi="Times New Roman;serif"/>
          <w:b w:val="false"/>
          <w:color w:val="000000"/>
          <w:sz w:val="22"/>
        </w:rPr>
        <w:t>(i)continuation of his regular base salary until December 31, 2025 payable in accordance with Crown's normal payroll practices;</w:t>
      </w:r>
    </w:p>
    <w:p>
      <w:pPr>
        <w:pStyle w:val="TextBody"/>
        <w:bidi w:val="0"/>
        <w:spacing w:lineRule="auto" w:line="285" w:before="236" w:after="283"/>
        <w:ind w:left="0" w:right="0" w:hanging="701"/>
        <w:jc w:val="left"/>
        <w:rPr>
          <w:rFonts w:ascii="Times New Roman;serif" w:hAnsi="Times New Roman;serif"/>
          <w:b w:val="false"/>
          <w:color w:val="000000"/>
          <w:sz w:val="22"/>
        </w:rPr>
      </w:pPr>
      <w:r>
        <w:rPr>
          <w:rFonts w:ascii="Times New Roman;serif" w:hAnsi="Times New Roman;serif"/>
          <w:b w:val="false"/>
          <w:color w:val="000000"/>
          <w:sz w:val="22"/>
        </w:rPr>
        <w:t>(ii)a full-year incentive bonus for 2025 based upon actual results and payable in the normal course at the same time as bonuses, if any, are payable to other executives;</w:t>
      </w:r>
    </w:p>
    <w:p>
      <w:pPr>
        <w:pStyle w:val="TextBody"/>
        <w:bidi w:val="0"/>
        <w:spacing w:lineRule="auto" w:line="295" w:before="244" w:after="283"/>
        <w:ind w:left="0" w:right="0" w:hanging="694"/>
        <w:jc w:val="left"/>
        <w:rPr>
          <w:rFonts w:ascii="Times New Roman;serif" w:hAnsi="Times New Roman;serif"/>
          <w:b w:val="false"/>
          <w:color w:val="000000"/>
          <w:sz w:val="22"/>
        </w:rPr>
      </w:pPr>
      <w:r>
        <w:rPr>
          <w:rFonts w:ascii="Times New Roman;serif" w:hAnsi="Times New Roman;serif"/>
          <w:b w:val="false"/>
          <w:color w:val="000000"/>
          <w:sz w:val="22"/>
        </w:rPr>
        <w:t>(iii)subject to Executive's election of health care continuation coverage under COBRA, Crown shall continue to subsidize Executive's (and if applicable, his dependents') coverage premiums as if he was an active employee until December 31, 2025;</w:t>
      </w:r>
    </w:p>
    <w:p>
      <w:pPr>
        <w:pStyle w:val="TextBody"/>
        <w:bidi w:val="0"/>
        <w:spacing w:lineRule="auto" w:line="295" w:before="227" w:after="283"/>
        <w:ind w:left="0" w:right="0" w:hanging="687"/>
        <w:jc w:val="left"/>
        <w:rPr>
          <w:rFonts w:ascii="Times New Roman;serif" w:hAnsi="Times New Roman;serif"/>
          <w:b w:val="false"/>
          <w:color w:val="000000"/>
          <w:sz w:val="22"/>
        </w:rPr>
      </w:pPr>
      <w:r>
        <w:rPr>
          <w:rFonts w:ascii="Times New Roman;serif" w:hAnsi="Times New Roman;serif"/>
          <w:b w:val="false"/>
          <w:color w:val="000000"/>
          <w:sz w:val="22"/>
        </w:rPr>
        <w:t>(iv)continued vesting in his outstanding time-based restricted stock awards and his 2023 performance-based restricted stock award that in each case becomes vested (in the case of performance-based restricted stock subject to actual performance) prior to January 31, 2026; and</w:t>
      </w:r>
    </w:p>
    <w:p>
      <w:pPr>
        <w:pStyle w:val="TextBody"/>
        <w:bidi w:val="0"/>
        <w:spacing w:lineRule="auto" w:line="297" w:before="227" w:after="283"/>
        <w:ind w:left="0" w:right="0" w:hanging="694"/>
        <w:jc w:val="left"/>
        <w:rPr>
          <w:rFonts w:ascii="Times New Roman;serif" w:hAnsi="Times New Roman;serif"/>
          <w:b w:val="false"/>
          <w:color w:val="000000"/>
          <w:sz w:val="22"/>
        </w:rPr>
      </w:pPr>
      <w:r>
        <w:rPr>
          <w:rFonts w:ascii="Times New Roman;serif" w:hAnsi="Times New Roman;serif"/>
          <w:b w:val="false"/>
          <w:color w:val="000000"/>
          <w:sz w:val="22"/>
        </w:rPr>
        <w:t>(v)payment of the costs relating to preparation of your taxes for 2024 and 2025 and its applicable portion of your global tax burden in accordance with Crown's Tax Equalization program; and</w:t>
      </w:r>
    </w:p>
    <w:p>
      <w:pPr>
        <w:pStyle w:val="TextBody"/>
        <w:bidi w:val="0"/>
        <w:spacing w:lineRule="auto" w:line="295" w:before="220" w:after="283"/>
        <w:ind w:left="0" w:right="0" w:hanging="697"/>
        <w:jc w:val="left"/>
        <w:rPr>
          <w:rFonts w:ascii="Times New Roman;serif" w:hAnsi="Times New Roman;serif"/>
          <w:b w:val="false"/>
          <w:color w:val="000000"/>
          <w:sz w:val="22"/>
        </w:rPr>
      </w:pPr>
      <w:r>
        <w:rPr>
          <w:rFonts w:ascii="Times New Roman;serif" w:hAnsi="Times New Roman;serif"/>
          <w:b w:val="false"/>
          <w:color w:val="000000"/>
          <w:sz w:val="22"/>
        </w:rPr>
        <w:t>(vi)reimbursement for his actual moving and transportation expenses to relocate back to the United States and two months of temporary housing expenses incurred during 2025, in an aggregate amount not to exceed $50,000.</w:t>
      </w:r>
    </w:p>
    <w:p>
      <w:pPr>
        <w:pStyle w:val="TextBody"/>
        <w:bidi w:val="0"/>
        <w:spacing w:lineRule="auto" w:line="297" w:before="227" w:after="283"/>
        <w:ind w:left="0" w:right="0" w:hanging="6"/>
        <w:jc w:val="left"/>
        <w:rPr>
          <w:rFonts w:ascii="Times New Roman;serif" w:hAnsi="Times New Roman;serif"/>
          <w:b w:val="false"/>
          <w:color w:val="000000"/>
          <w:sz w:val="22"/>
        </w:rPr>
      </w:pPr>
      <w:r>
        <w:rPr>
          <w:rFonts w:ascii="Times New Roman;serif" w:hAnsi="Times New Roman;serif"/>
          <w:b w:val="false"/>
          <w:color w:val="000000"/>
          <w:sz w:val="22"/>
        </w:rPr>
        <w:t>To the extent applicable, all payments made by Crown or its subsidiaries to the Executive pursuant to this General Release will be reduced by any tax or other amounts required to be withheld under applicable federal, state and local law.</w:t>
      </w:r>
    </w:p>
    <w:p>
      <w:pPr>
        <w:pStyle w:val="TextBody"/>
        <w:bidi w:val="0"/>
        <w:spacing w:lineRule="auto" w:line="288" w:before="227"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NOTICE</w:t>
      </w:r>
    </w:p>
    <w:p>
      <w:pPr>
        <w:pStyle w:val="TextBody"/>
        <w:bidi w:val="0"/>
        <w:spacing w:before="28" w:after="283"/>
        <w:jc w:val="left"/>
        <w:rPr/>
      </w:pPr>
      <w:r>
        <w:rPr/>
      </w:r>
    </w:p>
    <w:p>
      <w:pPr>
        <w:pStyle w:val="TextBody"/>
        <w:bidi w:val="0"/>
        <w:spacing w:lineRule="auto" w:line="292" w:before="0" w:after="0"/>
        <w:ind w:left="0" w:right="0" w:firstLine="1"/>
        <w:jc w:val="left"/>
        <w:rPr>
          <w:rFonts w:ascii="Times New Roman;serif" w:hAnsi="Times New Roman;serif"/>
          <w:b w:val="false"/>
          <w:color w:val="000000"/>
          <w:sz w:val="22"/>
        </w:rPr>
      </w:pPr>
      <w:r>
        <w:rPr>
          <w:rFonts w:ascii="Times New Roman;serif" w:hAnsi="Times New Roman;serif"/>
          <w:b w:val="false"/>
          <w:color w:val="000000"/>
          <w:sz w:val="22"/>
        </w:rPr>
        <w:t>This General Release is an important legal document and the Executive is hereby advised to consult with an attorney prior to signing it. By signing this General Release the Executive will be releasing Crown from all liability to the Executive. The Executive has 21 days to consider this document. If the Executive has not returned a signed copy of this General Release by that time, Crown will assume that the Executive has elected not to sign this General Release. If the Executive chooses to sign this General Release, the Executive will have an additional 7 days following the date of his signature to revoke this General Release by providing written notice to Crown to be received during such 7-day revocation period and this General Release shall not become effective or enforceable until the revocation period has expired without revocation.</w:t>
      </w:r>
    </w:p>
    <w:p>
      <w:pPr>
        <w:pStyle w:val="TextBody"/>
        <w:bidi w:val="0"/>
        <w:spacing w:before="20" w:after="283"/>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RELEASE</w:t>
      </w:r>
    </w:p>
    <w:p>
      <w:pPr>
        <w:pStyle w:val="TextBody"/>
        <w:bidi w:val="0"/>
        <w:spacing w:before="28" w:after="283"/>
        <w:jc w:val="left"/>
        <w:rPr/>
      </w:pPr>
      <w:r>
        <w:rPr/>
      </w:r>
    </w:p>
    <w:p>
      <w:pPr>
        <w:pStyle w:val="TextBody"/>
        <w:bidi w:val="0"/>
        <w:spacing w:lineRule="auto" w:line="288" w:before="0" w:after="0"/>
        <w:ind w:left="0" w:right="0" w:firstLine="6"/>
        <w:jc w:val="left"/>
        <w:rPr/>
      </w:pPr>
      <w:r>
        <w:rPr>
          <w:rFonts w:ascii="Times New Roman;serif" w:hAnsi="Times New Roman;serif"/>
          <w:b w:val="false"/>
          <w:color w:val="000000"/>
          <w:sz w:val="22"/>
        </w:rPr>
        <w:t>In consideration of pay and benefits provided to the Executive by Crown as set forth in the Executive's Employment Agreement, and other good and valuable consideration as set forth in the preceding "</w:t>
      </w:r>
      <w:r>
        <w:rPr>
          <w:rFonts w:ascii="Times New Roman;serif" w:hAnsi="Times New Roman;serif"/>
          <w:b w:val="false"/>
          <w:color w:val="000000"/>
          <w:sz w:val="22"/>
          <w:u w:val="single"/>
        </w:rPr>
        <w:t>PAYMENTS and BENEFITS</w:t>
      </w:r>
      <w:r>
        <w:rPr>
          <w:rFonts w:ascii="Times New Roman;serif" w:hAnsi="Times New Roman;serif"/>
          <w:b w:val="false"/>
          <w:color w:val="000000"/>
          <w:sz w:val="22"/>
        </w:rPr>
        <w:t>" section above to which the Executive would not    </w: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p>
                  </w:txbxContent>
                </v:textbox>
                <w10:wrap type="none"/>
              </v:rect>
            </w:pict>
          </mc:Fallback>
        </mc:AlternateContent>
      </w:r>
    </w:p>
    <w:p>
      <w:pPr>
        <w:pStyle w:val="TextBody"/>
        <w:bidi w:val="0"/>
        <w:spacing w:lineRule="auto" w:line="295" w:before="124" w:after="283"/>
        <w:ind w:left="0" w:right="0" w:firstLine="14"/>
        <w:jc w:val="left"/>
        <w:rPr>
          <w:rFonts w:ascii="Times New Roman;serif" w:hAnsi="Times New Roman;serif"/>
          <w:b w:val="false"/>
          <w:color w:val="000000"/>
          <w:sz w:val="22"/>
        </w:rPr>
      </w:pPr>
      <w:r>
        <w:rPr>
          <w:rFonts w:ascii="Times New Roman;serif" w:hAnsi="Times New Roman;serif"/>
          <w:b w:val="false"/>
          <w:color w:val="000000"/>
          <w:sz w:val="22"/>
        </w:rPr>
        <w:t>otherwise be entitled, the Executive, on behalf of himself, his heirs, assigns, executors, agents and representatives, hereby releases and discharges Crown and its affiliates, parents, subsidiaries, successors, and predecessors, and all of their respective shareholders, employees, agents, officers and directors (hereinafter collectively referred to as the "Company") from any and all claims, demands, charges, complaints and/or causes of action, known or unknown, which the Executive may have or could claim to have against the Company arising at any time up to and including the date of the Executive's signing of this General Release. This General Release includes, but is not limited to, all claims where the Executive has worked or otherwise performed his duties for the Company, whether permanently, temporarily or during business trips, against the Company, and all claims arising from or during the Executive's employment or as a result of the termination of the Executive's employment and all claims arising under federal, state, local or foreign laws prohibiting employment discrimination based upon age, race, sex, religion, disability, handicap, national origin or any other protected characteristic, including, but not limited to any and all claims arising under the Age Discrimination in Employment Act, as amended, Title VII of the Civil Rights Act, as amended, the Americans with Disabilities Act, and all similar state, local or foreign laws, and/or any claims arising out of any legal restrictions, expressed or implied, on the Company's right to control or terminate the employment of its employees.</w:t>
      </w:r>
    </w:p>
    <w:p>
      <w:pPr>
        <w:pStyle w:val="TextBody"/>
        <w:bidi w:val="0"/>
        <w:spacing w:lineRule="auto" w:line="295" w:before="246" w:after="283"/>
        <w:ind w:left="0" w:right="0" w:firstLine="5"/>
        <w:jc w:val="left"/>
        <w:rPr>
          <w:rFonts w:ascii="Times New Roman;serif" w:hAnsi="Times New Roman;serif"/>
          <w:b w:val="false"/>
          <w:color w:val="000000"/>
          <w:sz w:val="22"/>
        </w:rPr>
      </w:pPr>
      <w:r>
        <w:rPr>
          <w:rFonts w:ascii="Times New Roman;serif" w:hAnsi="Times New Roman;serif"/>
          <w:b w:val="false"/>
          <w:color w:val="000000"/>
          <w:sz w:val="22"/>
        </w:rPr>
        <w:t>The Executive further agrees that the Executive will not file (or join, or accept any relief in) a lawsuit against the Company pleading or asserting any claims released in this General Release. If the Executive breaches this promise, and the action is found to be barred in whole or in part by this General Release, the Executive agrees to pay the attorneys' fees and costs, or the proportions thereof, incurred by the Company in defending against those claims that are found to be barred by this General Release. Nothing in this paragraph precludes the Executive from challenging the validity of this General Release under the requirements of the Age Discrimination in Employment Act, and the Executive shall not be responsible for reimbursing the attorneys' fees and costs of the Company in connection with such a challenge to the validity of the release. However, the Executive acknowledges that this General Release applies to all claims the Executive has under the Age Discrimination in Employment Act, and that, unless this General Release is held to be invalid, all of the Executive's claims under that Act shall be extinguished. The Executive further acknowledges and agrees that nothing in this General Release precludes or prevents the Executive from filing a charge with the U.S. Equal Employment Opportunity Commission or other government agency. The Executive agrees that the Executive will not seek or accept any relief obtained on the Executive's behalf by any government agency, private party, class, or otherwise with respect to any claims released in this General Release, provided that this General Release does not limit the Executive's right to receive an award for information provided to any government agency.</w:t>
      </w:r>
    </w:p>
    <w:p>
      <w:pPr>
        <w:pStyle w:val="TextBody"/>
        <w:bidi w:val="0"/>
        <w:spacing w:before="20" w:after="283"/>
        <w:jc w:val="left"/>
        <w:rPr/>
      </w:pPr>
      <w:r>
        <w:rPr/>
      </w:r>
    </w:p>
    <w:p>
      <w:pPr>
        <w:pStyle w:val="TextBody"/>
        <w:bidi w:val="0"/>
        <w:spacing w:lineRule="auto" w:line="295" w:before="0" w:after="0"/>
        <w:ind w:left="0" w:right="0" w:firstLine="15"/>
        <w:jc w:val="left"/>
        <w:rPr>
          <w:rFonts w:ascii="Times New Roman;serif" w:hAnsi="Times New Roman;serif"/>
          <w:b w:val="false"/>
          <w:color w:val="000000"/>
          <w:sz w:val="22"/>
        </w:rPr>
      </w:pPr>
      <w:r>
        <w:rPr>
          <w:rFonts w:ascii="Times New Roman;serif" w:hAnsi="Times New Roman;serif"/>
          <w:b w:val="false"/>
          <w:color w:val="000000"/>
          <w:sz w:val="22"/>
        </w:rPr>
        <w:t>The Executive further acknowledges and agrees that nothing in this General Release, or the confidentiality and non-disparagement provisions of his Employment Agreement prohibit the Executive or the Company or any person or entity from (i) reporting possible violations of federal law or regulation to any governmental agency or entity or self-regulatory organization or making disclosures that are protected under the whistleblower provisions of federal law or regulation, or (ii) supplying truthful information to any governmental authority or in response to any lawful subpoena or other legal process.</w:t>
      </w:r>
    </w:p>
    <w:p>
      <w:pPr>
        <w:pStyle w:val="TextBody"/>
        <w:bidi w:val="0"/>
        <w:spacing w:before="138" w:after="283"/>
        <w:jc w:val="left"/>
        <w:rPr/>
      </w:pPr>
      <w:r>
        <w:rPr/>
      </w:r>
    </w:p>
    <w:p>
      <w:pPr>
        <w:pStyle w:val="TextBody"/>
        <w:bidi w:val="0"/>
        <w:spacing w:before="13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p>
                  </w:txbxContent>
                </v:textbox>
                <w10:wrap type="none"/>
              </v:rect>
            </w:pict>
          </mc:Fallback>
        </mc:AlternateContent>
      </w:r>
    </w:p>
    <w:p>
      <w:pPr>
        <w:pStyle w:val="TextBody"/>
        <w:bidi w:val="0"/>
        <w:spacing w:lineRule="auto" w:line="295" w:before="0" w:after="0"/>
        <w:ind w:left="0" w:right="0" w:firstLine="18"/>
        <w:jc w:val="left"/>
        <w:rPr/>
      </w:pPr>
      <w:r>
        <w:rPr>
          <w:rFonts w:ascii="Times New Roman;serif" w:hAnsi="Times New Roman;serif"/>
          <w:b w:val="false"/>
          <w:color w:val="000000"/>
          <w:sz w:val="22"/>
        </w:rPr>
        <w:t xml:space="preserve">By signing below, the Executive acknowledges that the Executive has carefully read and fully understands the provisions of this General Release. The Executive further acknowledges that the Executive is signing this General Release knowingly and voluntarily and without duress, coercion or undue influence. This General Release constitutes the total and complete understanding between the Executive and the Company relating to the subject matter covered by this General Release, and all other prior or contemporaneous written or oral agreements or representations, if any, relating to the subject matter covered by this General Release are null and void,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for the avoidance of doubt, nothing in this General Release shall modify, limit or affect the Executive's obligations pursuant to Section 6-11 of the Employment Agreement and/or the provisions of any other agreement between the Executive and the Company concerning nondisclosure, non-disparagement, non-competition, non-solicitation and ownership of intellectual property, which shall remain in effect in accordance with their terms. Neither the Company nor its agents, representatives or attorneys have made any representations to the Executive concerning the terms or effects of this General Release other than those contained herein. It is also expressly understood and agreed that the terms of this General Release may not be altered except in a writing signed by both the Executive and the Company.</w:t>
      </w:r>
    </w:p>
    <w:p>
      <w:pPr>
        <w:pStyle w:val="TextBody"/>
        <w:bidi w:val="0"/>
        <w:spacing w:lineRule="auto" w:line="295" w:before="249" w:after="283"/>
        <w:ind w:left="0" w:right="0" w:firstLine="19"/>
        <w:jc w:val="left"/>
        <w:rPr>
          <w:rFonts w:ascii="Times New Roman;serif" w:hAnsi="Times New Roman;serif"/>
          <w:b w:val="false"/>
          <w:color w:val="000000"/>
          <w:sz w:val="22"/>
        </w:rPr>
      </w:pPr>
      <w:r>
        <w:rPr>
          <w:rFonts w:ascii="Times New Roman;serif" w:hAnsi="Times New Roman;serif"/>
          <w:b w:val="false"/>
          <w:color w:val="000000"/>
          <w:sz w:val="22"/>
        </w:rPr>
        <w:t>If any provision of this General Release or the application thereof shall be invalid or unenforceable to any extent, the remainder of this General Release shall not be affected thereby and shall be enforceable to the fullest extent of the law. If any clause or provision hereof is determined by any court of competent jurisdiction to be unenforceable because of its scope or duration, the parties agree that such court shall have the power to reduce the duration and/or restrict the scope of such clause or provision to the extent necessary to permit enforcement of such clause or provision in reduced or restricted form.</w:t>
      </w:r>
    </w:p>
    <w:p>
      <w:pPr>
        <w:pStyle w:val="TextBody"/>
        <w:bidi w:val="0"/>
        <w:spacing w:before="6" w:after="283"/>
        <w:jc w:val="left"/>
        <w:rPr/>
      </w:pPr>
      <w:r>
        <w:rPr/>
      </w:r>
    </w:p>
    <w:p>
      <w:pPr>
        <w:pStyle w:val="TextBody"/>
        <w:bidi w:val="0"/>
        <w:spacing w:lineRule="auto" w:line="292" w:before="0" w:after="0"/>
        <w:ind w:left="0" w:right="0" w:firstLine="11"/>
        <w:jc w:val="left"/>
        <w:rPr/>
      </w:pPr>
      <w:r>
        <w:rPr>
          <w:rFonts w:ascii="Times New Roman;serif" w:hAnsi="Times New Roman;serif"/>
          <w:b w:val="false"/>
          <w:i/>
          <w:color w:val="000000"/>
          <w:sz w:val="22"/>
        </w:rPr>
        <w:t xml:space="preserve">The Executive agrees and acknowledges that the Executive has carefully read and understands this General Release, including the Section labeled "NOTICE;" that the Executive understands, in particular that the Executive is agreeing to release all legal claims against the Company; that the Executive signs this General Release knowingly and voluntarily; that the Executive has been advised to consult with an attorney before signing </w:t>
      </w:r>
      <w:r>
        <w:rPr>
          <w:rFonts w:ascii="Times New Roman;serif" w:hAnsi="Times New Roman;serif"/>
          <w:b w:val="false"/>
          <w:i/>
          <w:color w:val="000000"/>
          <w:sz w:val="20"/>
        </w:rPr>
        <w:t xml:space="preserve">it; </w:t>
      </w:r>
      <w:r>
        <w:rPr>
          <w:rFonts w:ascii="Times New Roman;serif" w:hAnsi="Times New Roman;serif"/>
          <w:b w:val="false"/>
          <w:i/>
          <w:color w:val="000000"/>
          <w:sz w:val="22"/>
        </w:rPr>
        <w:t>and that this General Release shall not be subject to claims of fraud, duress and/or mistake.</w:t>
      </w:r>
    </w:p>
    <w:p>
      <w:pPr>
        <w:pStyle w:val="TextBody"/>
        <w:bidi w:val="0"/>
        <w:spacing w:before="22" w:after="283"/>
        <w:jc w:val="left"/>
        <w:rPr/>
      </w:pPr>
      <w:r>
        <w:rPr/>
      </w:r>
    </w:p>
    <w:p>
      <w:pPr>
        <w:pStyle w:val="TextBody"/>
        <w:bidi w:val="0"/>
        <w:spacing w:lineRule="auto" w:line="295" w:before="0" w:after="0"/>
        <w:jc w:val="left"/>
        <w:rPr>
          <w:rFonts w:ascii="Times New Roman;serif" w:hAnsi="Times New Roman;serif"/>
          <w:b w:val="false"/>
          <w:color w:val="000000"/>
          <w:sz w:val="22"/>
        </w:rPr>
      </w:pPr>
      <w:r>
        <w:rPr>
          <w:rFonts w:ascii="Times New Roman;serif" w:hAnsi="Times New Roman;serif"/>
          <w:b w:val="false"/>
          <w:color w:val="000000"/>
          <w:sz w:val="22"/>
        </w:rPr>
        <w:t>THE UNDERSIGNED, INTENDING TO BE LEGALLY BOUND, BY THE FOREGOING TERMS, HEREBY APPLY THEIR SIGNATURES VOLUNTARILY AND WITH FULL UNDERSTANDING OF THE TERMS OF THIS GENERAL RELEASE AS OF THE DATE FIRST SET FORTH ABOVE.</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Carlos Baila</w:t>
      </w:r>
    </w:p>
    <w:p>
      <w:pPr>
        <w:pStyle w:val="TextBody"/>
        <w:bidi w:val="0"/>
        <w:spacing w:lineRule="auto" w:line="288" w:before="0" w:after="0"/>
        <w:jc w:val="left"/>
        <w:rPr/>
      </w:pPr>
      <w:r>
        <w:rPr>
          <w:rFonts w:ascii="Times New Roman;serif" w:hAnsi="Times New Roman;serif"/>
          <w:b w:val="false"/>
          <w:color w:val="000000"/>
          <w:sz w:val="22"/>
          <w:u w:val="single"/>
        </w:rPr>
        <w:t>/s/Carlos Baila    </w:t>
      </w:r>
      <w:r>
        <w:rPr>
          <w:color w:val="000000"/>
          <w:u w:val="single"/>
        </w:rPr>
        <w:t>    </w:t>
      </w:r>
    </w:p>
    <w:p>
      <w:pPr>
        <w:pStyle w:val="TextBody"/>
        <w:bidi w:val="0"/>
        <w:spacing w:before="211" w:after="283"/>
        <w:jc w:val="left"/>
        <w:rPr/>
      </w:pPr>
      <w:r>
        <w:rPr/>
      </w:r>
    </w:p>
    <w:p>
      <w:pPr>
        <w:pStyle w:val="TextBody"/>
        <w:bidi w:val="0"/>
        <w:spacing w:before="36" w:after="283"/>
        <w:jc w:val="left"/>
        <w:rPr/>
      </w:pPr>
      <w:r>
        <w:rPr/>
      </w:r>
    </w:p>
    <w:p>
      <w:pPr>
        <w:pStyle w:val="TextBody"/>
        <w:bidi w:val="0"/>
        <w:spacing w:lineRule="auto" w:line="295" w:before="0" w:after="0"/>
        <w:ind w:left="0" w:right="0" w:firstLine="3"/>
        <w:jc w:val="left"/>
        <w:rPr>
          <w:rFonts w:ascii="Times New Roman;serif" w:hAnsi="Times New Roman;serif"/>
          <w:b w:val="false"/>
          <w:color w:val="000000"/>
          <w:sz w:val="22"/>
        </w:rPr>
      </w:pPr>
      <w:r>
        <w:rPr>
          <w:rFonts w:ascii="Times New Roman;serif" w:hAnsi="Times New Roman;serif"/>
          <w:b w:val="false"/>
          <w:color w:val="000000"/>
          <w:sz w:val="22"/>
        </w:rPr>
        <w:t xml:space="preserve">Crown Holdings, Inc. </w:t>
        <w:br/>
        <w:t>Name: Timothy J. Donahue</w:t>
      </w:r>
    </w:p>
    <w:p>
      <w:pPr>
        <w:pStyle w:val="TextBody"/>
        <w:bidi w:val="0"/>
        <w:spacing w:lineRule="auto" w:line="295" w:before="0" w:after="0"/>
        <w:ind w:left="0" w:right="0" w:firstLine="1"/>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spacing w:lineRule="auto" w:line="295"/>
        <w:ind w:left="0" w:right="0" w:firstLine="1"/>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/s/Timothy J. Donahue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BUSINESS.32981891.6</w:t>
                      </w:r>
                    </w:p>
                  </w:txbxContent>
                </v:textbox>
                <w10:wrap type="none"/>
              </v:rect>
            </w:pict>
          </mc:Fallback>
        </mc:AlternateContent>
      </w:r>
    </w:p>
    <w:p>
      <w:pPr>
        <w:pStyle w:val="TextBody"/>
        <w:bidi w:val="0"/>
        <w:spacing w:lineRule="auto" w:line="288" w:before="78"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EXECUTIVE EMPLOYMENT AGREEMENT</w:t>
      </w:r>
    </w:p>
    <w:p>
      <w:pPr>
        <w:pStyle w:val="TextBody"/>
        <w:bidi w:val="0"/>
        <w:spacing w:lineRule="auto" w:line="280" w:before="243" w:after="283"/>
        <w:ind w:left="0" w:right="0" w:firstLine="1479"/>
        <w:jc w:val="left"/>
        <w:rPr/>
      </w:pPr>
      <w:r>
        <w:rPr>
          <w:rFonts w:ascii="Times New Roman;serif" w:hAnsi="Times New Roman;serif"/>
          <w:b w:val="false"/>
          <w:color w:val="000000"/>
          <w:sz w:val="23"/>
        </w:rPr>
        <w:t>THIS IS AN EMPLOYMENT AGREEMENT ("</w:t>
      </w:r>
      <w:r>
        <w:rPr>
          <w:rFonts w:ascii="Times New Roman;serif" w:hAnsi="Times New Roman;serif"/>
          <w:b w:val="false"/>
          <w:color w:val="000000"/>
          <w:sz w:val="23"/>
          <w:u w:val="single"/>
        </w:rPr>
        <w:t>Agreement</w:t>
      </w:r>
      <w:r>
        <w:rPr>
          <w:rFonts w:ascii="Times New Roman;serif" w:hAnsi="Times New Roman;serif"/>
          <w:b w:val="false"/>
          <w:color w:val="000000"/>
          <w:sz w:val="23"/>
        </w:rPr>
        <w:t>"), effective July 1, 2025, ("</w:t>
      </w:r>
      <w:r>
        <w:rPr>
          <w:rFonts w:ascii="Times New Roman;serif" w:hAnsi="Times New Roman;serif"/>
          <w:b w:val="false"/>
          <w:color w:val="000000"/>
          <w:sz w:val="23"/>
          <w:u w:val="single"/>
        </w:rPr>
        <w:t>Effective Date</w:t>
      </w:r>
      <w:r>
        <w:rPr>
          <w:rFonts w:ascii="Times New Roman;serif" w:hAnsi="Times New Roman;serif"/>
          <w:b w:val="false"/>
          <w:color w:val="000000"/>
          <w:sz w:val="23"/>
        </w:rPr>
        <w:t>") between Crown Holdings, Inc. ("</w:t>
      </w:r>
      <w:r>
        <w:rPr>
          <w:rFonts w:ascii="Times New Roman;serif" w:hAnsi="Times New Roman;serif"/>
          <w:b w:val="false"/>
          <w:color w:val="000000"/>
          <w:sz w:val="23"/>
          <w:u w:val="single"/>
        </w:rPr>
        <w:t>Crown</w:t>
      </w:r>
      <w:r>
        <w:rPr>
          <w:rFonts w:ascii="Times New Roman;serif" w:hAnsi="Times New Roman;serif"/>
          <w:b w:val="false"/>
          <w:color w:val="000000"/>
          <w:sz w:val="23"/>
        </w:rPr>
        <w:t>" and, with its subsidiaries, the "</w:t>
      </w:r>
      <w:r>
        <w:rPr>
          <w:rFonts w:ascii="Times New Roman;serif" w:hAnsi="Times New Roman;serif"/>
          <w:b w:val="false"/>
          <w:color w:val="000000"/>
          <w:sz w:val="23"/>
          <w:u w:val="single"/>
        </w:rPr>
        <w:t>Company</w:t>
      </w:r>
      <w:r>
        <w:rPr>
          <w:rFonts w:ascii="Times New Roman;serif" w:hAnsi="Times New Roman;serif"/>
          <w:b w:val="false"/>
          <w:color w:val="000000"/>
          <w:sz w:val="23"/>
        </w:rPr>
        <w:t>") and John Rost (the "</w:t>
      </w:r>
      <w:r>
        <w:rPr>
          <w:rFonts w:ascii="Times New Roman;serif" w:hAnsi="Times New Roman;serif"/>
          <w:b w:val="false"/>
          <w:color w:val="000000"/>
          <w:sz w:val="23"/>
          <w:u w:val="single"/>
        </w:rPr>
        <w:t>Executive</w:t>
      </w:r>
      <w:r>
        <w:rPr>
          <w:rFonts w:ascii="Times New Roman;serif" w:hAnsi="Times New Roman;serif"/>
          <w:b w:val="false"/>
          <w:color w:val="000000"/>
          <w:sz w:val="23"/>
        </w:rPr>
        <w:t>").</w:t>
      </w:r>
    </w:p>
    <w:p>
      <w:pPr>
        <w:pStyle w:val="TextBody"/>
        <w:bidi w:val="0"/>
        <w:spacing w:lineRule="auto" w:line="288" w:before="247"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Background</w:t>
      </w:r>
    </w:p>
    <w:p>
      <w:pPr>
        <w:pStyle w:val="TextBody"/>
        <w:bidi w:val="0"/>
        <w:spacing w:lineRule="auto" w:line="288" w:before="243" w:after="283"/>
        <w:jc w:val="center"/>
        <w:rPr>
          <w:rFonts w:ascii="Times New Roman;serif" w:hAnsi="Times New Roman;serif"/>
          <w:b w:val="false"/>
          <w:color w:val="000000"/>
          <w:sz w:val="23"/>
        </w:rPr>
      </w:pPr>
      <w:r>
        <w:rPr>
          <w:rFonts w:ascii="Times New Roman;serif" w:hAnsi="Times New Roman;serif"/>
          <w:b w:val="false"/>
          <w:color w:val="000000"/>
          <w:sz w:val="23"/>
        </w:rPr>
        <w:t>WHEREAS, the Executive is currently employed by the Company.</w:t>
      </w:r>
    </w:p>
    <w:p>
      <w:pPr>
        <w:pStyle w:val="TextBody"/>
        <w:bidi w:val="0"/>
        <w:spacing w:lineRule="auto" w:line="288" w:before="244" w:after="283"/>
        <w:ind w:left="0" w:right="0" w:firstLine="1477"/>
        <w:jc w:val="left"/>
        <w:rPr>
          <w:rFonts w:ascii="Times New Roman;serif" w:hAnsi="Times New Roman;serif"/>
          <w:b w:val="false"/>
          <w:color w:val="000000"/>
          <w:sz w:val="23"/>
        </w:rPr>
      </w:pPr>
      <w:r>
        <w:rPr>
          <w:rFonts w:ascii="Times New Roman;serif" w:hAnsi="Times New Roman;serif"/>
          <w:b w:val="false"/>
          <w:color w:val="000000"/>
          <w:sz w:val="23"/>
        </w:rPr>
        <w:t>WHEREAS, the Company desires to assure itself of the continued employment of the Executive with the Company and to encourage his continued attention and dedication to the best interests of the Company, including but not limited to Crown Asia Pacific Holdings Limited ("Crown Singapore").</w:t>
      </w:r>
    </w:p>
    <w:p>
      <w:pPr>
        <w:pStyle w:val="TextBody"/>
        <w:bidi w:val="0"/>
        <w:spacing w:lineRule="auto" w:line="288" w:before="260" w:after="283"/>
        <w:ind w:left="0" w:right="0" w:firstLine="1477"/>
        <w:jc w:val="left"/>
        <w:rPr>
          <w:rFonts w:ascii="Times New Roman;serif" w:hAnsi="Times New Roman;serif"/>
          <w:b w:val="false"/>
          <w:color w:val="000000"/>
          <w:sz w:val="23"/>
        </w:rPr>
      </w:pPr>
      <w:r>
        <w:rPr>
          <w:rFonts w:ascii="Times New Roman;serif" w:hAnsi="Times New Roman;serif"/>
          <w:b w:val="false"/>
          <w:color w:val="000000"/>
          <w:sz w:val="23"/>
        </w:rPr>
        <w:t>WHEREAS, the Executive desires to remain and continue in the employment of the Company in accordance with the terms of this Agreement.</w:t>
      </w:r>
    </w:p>
    <w:p>
      <w:pPr>
        <w:pStyle w:val="TextBody"/>
        <w:bidi w:val="0"/>
        <w:spacing w:lineRule="auto" w:line="283" w:before="242" w:after="283"/>
        <w:ind w:left="0" w:right="0" w:firstLine="1475"/>
        <w:jc w:val="left"/>
        <w:rPr>
          <w:rFonts w:ascii="Times New Roman;serif" w:hAnsi="Times New Roman;serif"/>
          <w:b w:val="false"/>
          <w:color w:val="000000"/>
          <w:sz w:val="23"/>
        </w:rPr>
      </w:pPr>
      <w:r>
        <w:rPr>
          <w:rFonts w:ascii="Times New Roman;serif" w:hAnsi="Times New Roman;serif"/>
          <w:b w:val="false"/>
          <w:color w:val="000000"/>
          <w:sz w:val="23"/>
        </w:rPr>
        <w:t>NOW, THEREFORE, in consideration of the promises and mutual covenants contained herein and intending to be legally bound hereby, the parties agree as follows:</w:t>
      </w:r>
    </w:p>
    <w:p>
      <w:pPr>
        <w:pStyle w:val="TextBody"/>
        <w:bidi w:val="0"/>
        <w:spacing w:lineRule="auto" w:line="288" w:before="245"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Terms</w:t>
      </w:r>
    </w:p>
    <w:p>
      <w:pPr>
        <w:pStyle w:val="TextBody"/>
        <w:bidi w:val="0"/>
        <w:spacing w:lineRule="auto" w:line="283" w:before="237" w:after="283"/>
        <w:ind w:left="0" w:right="0" w:firstLine="2"/>
        <w:jc w:val="left"/>
        <w:rPr/>
      </w:pPr>
      <w:r>
        <w:rPr>
          <w:rFonts w:ascii="Times New Roman;serif" w:hAnsi="Times New Roman;serif"/>
          <w:b w:val="false"/>
          <w:color w:val="000000"/>
          <w:sz w:val="23"/>
        </w:rPr>
        <w:t>1.</w:t>
      </w:r>
      <w:r>
        <w:rPr>
          <w:rFonts w:ascii="Times New Roman;serif" w:hAnsi="Times New Roman;serif"/>
          <w:b w:val="false"/>
          <w:color w:val="000000"/>
          <w:sz w:val="23"/>
          <w:u w:val="single"/>
        </w:rPr>
        <w:t>Definitions.</w:t>
      </w:r>
      <w:r>
        <w:rPr>
          <w:color w:val="000000"/>
        </w:rPr>
        <w:t xml:space="preserve"> </w:t>
      </w:r>
      <w:r>
        <w:rPr>
          <w:rFonts w:ascii="Times New Roman;serif" w:hAnsi="Times New Roman;serif"/>
          <w:b w:val="false"/>
          <w:color w:val="000000"/>
          <w:sz w:val="23"/>
        </w:rPr>
        <w:t>As used in this Agreement, the following terms shall have the meanings set forth below:</w:t>
      </w:r>
    </w:p>
    <w:p>
      <w:pPr>
        <w:pStyle w:val="TextBody"/>
        <w:bidi w:val="0"/>
        <w:spacing w:lineRule="auto" w:line="288" w:before="238" w:after="283"/>
        <w:ind w:left="0" w:right="0" w:hanging="726"/>
        <w:jc w:val="left"/>
        <w:rPr/>
      </w:pPr>
      <w:r>
        <w:rPr>
          <w:rFonts w:ascii="Times New Roman;serif" w:hAnsi="Times New Roman;serif"/>
          <w:b w:val="false"/>
          <w:color w:val="000000"/>
          <w:sz w:val="23"/>
        </w:rPr>
        <w:t>1.1."</w:t>
      </w:r>
      <w:r>
        <w:rPr>
          <w:rFonts w:ascii="Times New Roman;serif" w:hAnsi="Times New Roman;serif"/>
          <w:b w:val="false"/>
          <w:color w:val="000000"/>
          <w:sz w:val="23"/>
          <w:u w:val="single"/>
        </w:rPr>
        <w:t>Board</w:t>
      </w:r>
      <w:r>
        <w:rPr>
          <w:rFonts w:ascii="Times New Roman;serif" w:hAnsi="Times New Roman;serif"/>
          <w:b w:val="false"/>
          <w:color w:val="000000"/>
          <w:sz w:val="23"/>
        </w:rPr>
        <w:t>" shall mean the Board of Directors of Crown.</w:t>
      </w:r>
    </w:p>
    <w:p>
      <w:pPr>
        <w:pStyle w:val="TextBody"/>
        <w:bidi w:val="0"/>
        <w:spacing w:lineRule="auto" w:line="283" w:before="243" w:after="283"/>
        <w:ind w:left="0" w:right="0" w:firstLine="731"/>
        <w:jc w:val="left"/>
        <w:rPr/>
      </w:pPr>
      <w:r>
        <w:rPr>
          <w:rFonts w:ascii="Times New Roman;serif" w:hAnsi="Times New Roman;serif"/>
          <w:b w:val="false"/>
          <w:color w:val="000000"/>
          <w:sz w:val="23"/>
        </w:rPr>
        <w:t>1.2."</w:t>
      </w:r>
      <w:r>
        <w:rPr>
          <w:rFonts w:ascii="Times New Roman;serif" w:hAnsi="Times New Roman;serif"/>
          <w:b w:val="false"/>
          <w:color w:val="000000"/>
          <w:sz w:val="23"/>
          <w:u w:val="single"/>
        </w:rPr>
        <w:t>Cause</w:t>
      </w:r>
      <w:r>
        <w:rPr>
          <w:rFonts w:ascii="Times New Roman;serif" w:hAnsi="Times New Roman;serif"/>
          <w:b w:val="false"/>
          <w:color w:val="000000"/>
          <w:sz w:val="23"/>
        </w:rPr>
        <w:t>" shall mean the termination of the Executive's employment with the Company as a result of:</w:t>
      </w:r>
    </w:p>
    <w:p>
      <w:pPr>
        <w:pStyle w:val="TextBody"/>
        <w:bidi w:val="0"/>
        <w:spacing w:lineRule="auto" w:line="283" w:before="238" w:after="283"/>
        <w:ind w:left="0" w:right="0" w:firstLine="1470"/>
        <w:jc w:val="left"/>
        <w:rPr>
          <w:rFonts w:ascii="Times New Roman;serif" w:hAnsi="Times New Roman;serif"/>
          <w:b w:val="false"/>
          <w:color w:val="000000"/>
          <w:sz w:val="23"/>
        </w:rPr>
      </w:pPr>
      <w:r>
        <w:rPr>
          <w:rFonts w:ascii="Times New Roman;serif" w:hAnsi="Times New Roman;serif"/>
          <w:b w:val="false"/>
          <w:color w:val="000000"/>
          <w:sz w:val="23"/>
        </w:rPr>
        <w:t>(a)the Executive's willful failure to perform such services as may be reasonably delegated or assigned to the Executive by the Board, Crown's Chief Executive Officer or any other executive to whom the Executive reports;</w:t>
      </w:r>
    </w:p>
    <w:p>
      <w:pPr>
        <w:pStyle w:val="TextBody"/>
        <w:bidi w:val="0"/>
        <w:spacing w:lineRule="auto" w:line="280" w:before="239" w:after="283"/>
        <w:ind w:left="0" w:right="0" w:firstLine="1467"/>
        <w:jc w:val="left"/>
        <w:rPr>
          <w:rFonts w:ascii="Times New Roman;serif" w:hAnsi="Times New Roman;serif"/>
          <w:b w:val="false"/>
          <w:color w:val="000000"/>
          <w:sz w:val="23"/>
        </w:rPr>
      </w:pPr>
      <w:r>
        <w:rPr>
          <w:rFonts w:ascii="Times New Roman;serif" w:hAnsi="Times New Roman;serif"/>
          <w:b w:val="false"/>
          <w:color w:val="000000"/>
          <w:sz w:val="23"/>
        </w:rPr>
        <w:t>(b)the failure by the Executive to devote his full-time best effort to the performance of his duties under the Agreement (other than any such failure resulting from the Executive's incapacity due to physical or mental illness);</w:t>
      </w:r>
    </w:p>
    <w:p>
      <w:pPr>
        <w:pStyle w:val="TextBody"/>
        <w:bidi w:val="0"/>
        <w:spacing w:lineRule="auto" w:line="288" w:before="239" w:after="283"/>
        <w:ind w:left="0" w:right="0" w:hanging="715"/>
        <w:jc w:val="left"/>
        <w:rPr>
          <w:rFonts w:ascii="Times New Roman;serif" w:hAnsi="Times New Roman;serif"/>
          <w:b w:val="false"/>
          <w:color w:val="000000"/>
          <w:sz w:val="23"/>
        </w:rPr>
      </w:pPr>
      <w:r>
        <w:rPr>
          <w:rFonts w:ascii="Times New Roman;serif" w:hAnsi="Times New Roman;serif"/>
          <w:b w:val="false"/>
          <w:color w:val="000000"/>
          <w:sz w:val="23"/>
        </w:rPr>
        <w:t>(c)the breach by the Executive of any provision of Sections 6, 7, 8 or 9</w:t>
      </w:r>
    </w:p>
    <w:p>
      <w:pPr>
        <w:pStyle w:val="TextBody"/>
        <w:bidi w:val="0"/>
        <w:spacing w:lineRule="atLeast" w:line="274" w:before="0" w:after="0"/>
        <w:jc w:val="left"/>
        <w:rPr>
          <w:rFonts w:ascii="Times New Roman;serif" w:hAnsi="Times New Roman;serif"/>
          <w:b w:val="false"/>
          <w:color w:val="000000"/>
          <w:sz w:val="23"/>
        </w:rPr>
      </w:pPr>
      <w:r>
        <w:rPr>
          <w:rFonts w:ascii="Times New Roman;serif" w:hAnsi="Times New Roman;serif"/>
          <w:b w:val="false"/>
          <w:color w:val="000000"/>
          <w:sz w:val="23"/>
        </w:rPr>
        <w:t>hereof;</w:t>
      </w:r>
    </w:p>
    <w:p>
      <w:pPr>
        <w:pStyle w:val="TextBody"/>
        <w:bidi w:val="0"/>
        <w:spacing w:lineRule="auto" w:line="288" w:before="243" w:after="283"/>
        <w:ind w:left="0" w:right="0" w:hanging="714"/>
        <w:jc w:val="left"/>
        <w:rPr>
          <w:rFonts w:ascii="Times New Roman;serif" w:hAnsi="Times New Roman;serif"/>
          <w:b w:val="false"/>
          <w:color w:val="000000"/>
          <w:sz w:val="23"/>
        </w:rPr>
      </w:pPr>
      <w:r>
        <w:rPr>
          <w:rFonts w:ascii="Times New Roman;serif" w:hAnsi="Times New Roman;serif"/>
          <w:b w:val="false"/>
          <w:color w:val="000000"/>
          <w:sz w:val="23"/>
        </w:rPr>
        <w:t>(d)the willful engaging by the Executive in misconduct which is materially</w:t>
      </w:r>
    </w:p>
    <w:p>
      <w:pPr>
        <w:pStyle w:val="TextBody"/>
        <w:bidi w:val="0"/>
        <w:spacing w:lineRule="auto" w:line="288" w:before="6" w:after="283"/>
        <w:jc w:val="left"/>
        <w:rPr>
          <w:rFonts w:ascii="Times New Roman;serif" w:hAnsi="Times New Roman;serif"/>
          <w:b w:val="false"/>
          <w:color w:val="000000"/>
          <w:sz w:val="23"/>
        </w:rPr>
      </w:pPr>
      <w:r>
        <w:rPr>
          <w:rFonts w:ascii="Times New Roman;serif" w:hAnsi="Times New Roman;serif"/>
          <w:b w:val="false"/>
          <w:color w:val="000000"/>
          <w:sz w:val="23"/>
        </w:rPr>
        <w:t>injurious to the Company, monetarily or otherwise; or</w:t>
      </w:r>
    </w:p>
    <w:p>
      <w:pPr>
        <w:pStyle w:val="TextBody"/>
        <w:bidi w:val="0"/>
        <w:spacing w:lineRule="auto" w:line="288" w:before="243" w:after="283"/>
        <w:ind w:left="0" w:right="0" w:firstLine="1462"/>
        <w:jc w:val="left"/>
        <w:rPr/>
      </w:pPr>
      <w:r>
        <w:rPr>
          <w:rFonts w:ascii="Times New Roman;serif" w:hAnsi="Times New Roman;serif"/>
          <w:b w:val="false"/>
          <w:color w:val="000000"/>
          <w:sz w:val="23"/>
        </w:rPr>
        <w:t xml:space="preserve">(e)the Executive's conviction of, or a plea of </w:t>
      </w:r>
      <w:r>
        <w:rPr>
          <w:rFonts w:ascii="Times New Roman;serif" w:hAnsi="Times New Roman;serif"/>
          <w:b w:val="false"/>
          <w:color w:val="000000"/>
          <w:sz w:val="23"/>
          <w:u w:val="single"/>
        </w:rPr>
        <w:t>nolo contendere</w:t>
      </w:r>
      <w:r>
        <w:rPr>
          <w:color w:val="000000"/>
        </w:rPr>
        <w:t xml:space="preserve"> </w:t>
      </w:r>
      <w:r>
        <w:rPr>
          <w:rFonts w:ascii="Times New Roman;serif" w:hAnsi="Times New Roman;serif"/>
          <w:b w:val="false"/>
          <w:color w:val="000000"/>
          <w:sz w:val="23"/>
        </w:rPr>
        <w:t>to, a felony or a crime involving moral turpitude.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9220"/>
                <wp:effectExtent l="0" t="0" r="0" b="0"/>
                <wp:wrapNone/>
                <wp:docPr id="41" name="Frame41"/>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88" w:before="76" w:after="283"/>
        <w:ind w:left="0" w:right="0" w:hanging="727"/>
        <w:jc w:val="left"/>
        <w:rPr/>
      </w:pPr>
      <w:r>
        <w:rPr>
          <w:rFonts w:ascii="Times New Roman;serif" w:hAnsi="Times New Roman;serif"/>
          <w:b w:val="false"/>
          <w:color w:val="000000"/>
          <w:sz w:val="23"/>
        </w:rPr>
        <w:t>1.3."</w:t>
      </w:r>
      <w:r>
        <w:rPr>
          <w:rFonts w:ascii="Times New Roman;serif" w:hAnsi="Times New Roman;serif"/>
          <w:b w:val="false"/>
          <w:color w:val="000000"/>
          <w:sz w:val="23"/>
          <w:u w:val="single"/>
        </w:rPr>
        <w:t>Change in Control</w:t>
      </w:r>
      <w:r>
        <w:rPr>
          <w:rFonts w:ascii="Times New Roman;serif" w:hAnsi="Times New Roman;serif"/>
          <w:b w:val="false"/>
          <w:color w:val="000000"/>
          <w:sz w:val="23"/>
        </w:rPr>
        <w:t>" shall mean any of the following events:</w:t>
      </w:r>
    </w:p>
    <w:p>
      <w:pPr>
        <w:pStyle w:val="TextBody"/>
        <w:bidi w:val="0"/>
        <w:spacing w:lineRule="auto" w:line="280" w:before="244" w:after="283"/>
        <w:ind w:left="0" w:right="0" w:firstLine="1462"/>
        <w:jc w:val="left"/>
        <w:rPr/>
      </w:pPr>
      <w:r>
        <w:rPr>
          <w:rFonts w:ascii="Times New Roman;serif" w:hAnsi="Times New Roman;serif"/>
          <w:b w:val="false"/>
          <w:color w:val="000000"/>
          <w:sz w:val="23"/>
        </w:rPr>
        <w:t>(a)a "person" (as such term is used in Sections 13(d) and 14(d) of the Securities Exchange Act of 1934, as amended (the "</w:t>
      </w:r>
      <w:r>
        <w:rPr>
          <w:rFonts w:ascii="Times New Roman;serif" w:hAnsi="Times New Roman;serif"/>
          <w:b w:val="false"/>
          <w:color w:val="000000"/>
          <w:sz w:val="23"/>
          <w:u w:val="single"/>
        </w:rPr>
        <w:t>Exchange Act</w:t>
      </w:r>
      <w:r>
        <w:rPr>
          <w:rFonts w:ascii="Times New Roman;serif" w:hAnsi="Times New Roman;serif"/>
          <w:b w:val="false"/>
          <w:color w:val="000000"/>
          <w:sz w:val="23"/>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w:t>
      </w:r>
    </w:p>
    <w:p>
      <w:pPr>
        <w:pStyle w:val="TextBody"/>
        <w:bidi w:val="0"/>
        <w:spacing w:lineRule="auto" w:line="288" w:before="6" w:after="283"/>
        <w:ind w:left="0" w:right="0" w:firstLine="22"/>
        <w:jc w:val="left"/>
        <w:rPr>
          <w:rFonts w:ascii="Times New Roman;serif" w:hAnsi="Times New Roman;serif"/>
          <w:b w:val="false"/>
          <w:color w:val="000000"/>
          <w:sz w:val="23"/>
        </w:rPr>
      </w:pPr>
      <w:r>
        <w:rPr>
          <w:rFonts w:ascii="Times New Roman;serif" w:hAnsi="Times New Roman;serif"/>
          <w:b w:val="false"/>
          <w:color w:val="000000"/>
          <w:sz w:val="23"/>
        </w:rPr>
        <w:t>l 3d-3 under the Exchange Act), directly or indirectly, of securities of Crown representing 50% or more of the combined voting power of Crown's then outstanding securities; or</w:t>
      </w:r>
    </w:p>
    <w:p>
      <w:pPr>
        <w:pStyle w:val="TextBody"/>
        <w:bidi w:val="0"/>
        <w:spacing w:lineRule="auto" w:line="280" w:before="249" w:after="283"/>
        <w:ind w:left="0" w:right="0" w:firstLine="1470"/>
        <w:jc w:val="left"/>
        <w:rPr>
          <w:rFonts w:ascii="Times New Roman;serif" w:hAnsi="Times New Roman;serif"/>
          <w:b w:val="false"/>
          <w:color w:val="000000"/>
          <w:sz w:val="23"/>
        </w:rPr>
      </w:pPr>
      <w:r>
        <w:rPr>
          <w:rFonts w:ascii="Times New Roman;serif" w:hAnsi="Times New Roman;serif"/>
          <w:b w:val="false"/>
          <w:color w:val="000000"/>
          <w:sz w:val="23"/>
        </w:rPr>
        <w:t>(b)during any period of two consecutive years, individuals who at the beginning of such period constitute the Board and any new director (other than a director designated by a person who has entered into an agreement with Crown to effect a transaction described in Section l.3(a), Section l.3(c) or Section l.3(d)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pStyle w:val="TextBody"/>
        <w:bidi w:val="0"/>
        <w:spacing w:lineRule="auto" w:line="288" w:before="246" w:after="283"/>
        <w:ind w:left="0" w:right="0" w:firstLine="1473"/>
        <w:jc w:val="left"/>
        <w:rPr>
          <w:rFonts w:ascii="Times New Roman;serif" w:hAnsi="Times New Roman;serif"/>
          <w:b w:val="false"/>
          <w:color w:val="000000"/>
          <w:sz w:val="23"/>
        </w:rPr>
      </w:pPr>
      <w:r>
        <w:rPr>
          <w:rFonts w:ascii="Times New Roman;serif" w:hAnsi="Times New Roman;serif"/>
          <w:b w:val="false"/>
          <w:color w:val="000000"/>
          <w:sz w:val="23"/>
        </w:rPr>
        <w:t>(c)Crown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pStyle w:val="TextBody"/>
        <w:bidi w:val="0"/>
        <w:spacing w:lineRule="auto" w:line="283" w:before="256" w:after="283"/>
        <w:ind w:left="0" w:right="0" w:firstLine="1455"/>
        <w:jc w:val="left"/>
        <w:rPr>
          <w:rFonts w:ascii="Times New Roman;serif" w:hAnsi="Times New Roman;serif"/>
          <w:b w:val="false"/>
          <w:color w:val="000000"/>
          <w:sz w:val="23"/>
        </w:rPr>
      </w:pPr>
      <w:r>
        <w:rPr>
          <w:rFonts w:ascii="Times New Roman;serif" w:hAnsi="Times New Roman;serif"/>
          <w:b w:val="false"/>
          <w:color w:val="000000"/>
          <w:sz w:val="23"/>
        </w:rPr>
        <w:t>(d)the complete liquidation of Crown or Crown sells or otherwise disposes of all or substantially all of Crown's assets.</w:t>
      </w:r>
    </w:p>
    <w:p>
      <w:pPr>
        <w:pStyle w:val="TextBody"/>
        <w:bidi w:val="0"/>
        <w:spacing w:lineRule="auto" w:line="288" w:before="238" w:after="283"/>
        <w:ind w:left="0" w:right="0" w:hanging="727"/>
        <w:jc w:val="left"/>
        <w:rPr/>
      </w:pPr>
      <w:r>
        <w:rPr>
          <w:rFonts w:ascii="Times New Roman;serif" w:hAnsi="Times New Roman;serif"/>
          <w:b w:val="false"/>
          <w:color w:val="000000"/>
          <w:sz w:val="23"/>
        </w:rPr>
        <w:t>1.4."</w:t>
      </w:r>
      <w:r>
        <w:rPr>
          <w:rFonts w:ascii="Times New Roman;serif" w:hAnsi="Times New Roman;serif"/>
          <w:b w:val="false"/>
          <w:color w:val="000000"/>
          <w:sz w:val="23"/>
          <w:u w:val="single"/>
        </w:rPr>
        <w:t>Code</w:t>
      </w:r>
      <w:r>
        <w:rPr>
          <w:rFonts w:ascii="Times New Roman;serif" w:hAnsi="Times New Roman;serif"/>
          <w:b w:val="false"/>
          <w:color w:val="000000"/>
          <w:sz w:val="23"/>
        </w:rPr>
        <w:t>" means the Internal Revenue Code of 1986, as amended from time to time.</w:t>
      </w:r>
    </w:p>
    <w:p>
      <w:pPr>
        <w:pStyle w:val="TextBody"/>
        <w:bidi w:val="0"/>
        <w:spacing w:lineRule="auto" w:line="288" w:before="244" w:after="283"/>
        <w:ind w:left="0" w:right="0" w:hanging="726"/>
        <w:jc w:val="left"/>
        <w:rPr/>
      </w:pPr>
      <w:r>
        <w:rPr>
          <w:rFonts w:ascii="Times New Roman;serif" w:hAnsi="Times New Roman;serif"/>
          <w:b w:val="false"/>
          <w:color w:val="000000"/>
          <w:sz w:val="23"/>
        </w:rPr>
        <w:t>1.5."</w:t>
      </w:r>
      <w:r>
        <w:rPr>
          <w:rFonts w:ascii="Times New Roman;serif" w:hAnsi="Times New Roman;serif"/>
          <w:b w:val="false"/>
          <w:color w:val="000000"/>
          <w:sz w:val="23"/>
          <w:u w:val="single"/>
        </w:rPr>
        <w:t>Good Reason</w:t>
      </w:r>
      <w:r>
        <w:rPr>
          <w:rFonts w:ascii="Times New Roman;serif" w:hAnsi="Times New Roman;serif"/>
          <w:b w:val="false"/>
          <w:color w:val="000000"/>
          <w:sz w:val="23"/>
        </w:rPr>
        <w:t>" shall mean:</w:t>
      </w:r>
    </w:p>
    <w:p>
      <w:pPr>
        <w:pStyle w:val="TextBody"/>
        <w:bidi w:val="0"/>
        <w:spacing w:lineRule="auto" w:line="288" w:before="251" w:after="283"/>
        <w:ind w:left="0" w:right="0" w:firstLine="1462"/>
        <w:jc w:val="left"/>
        <w:rPr>
          <w:rFonts w:ascii="Times New Roman;serif" w:hAnsi="Times New Roman;serif"/>
          <w:b w:val="false"/>
          <w:color w:val="000000"/>
          <w:sz w:val="23"/>
        </w:rPr>
      </w:pPr>
      <w:r>
        <w:rPr>
          <w:rFonts w:ascii="Times New Roman;serif" w:hAnsi="Times New Roman;serif"/>
          <w:b w:val="false"/>
          <w:color w:val="000000"/>
          <w:sz w:val="23"/>
        </w:rPr>
        <w:t>(a)the assignment to the Executive, without the Executive's express written approval, of duties or responsibilities, inconsistent, in a material respect, with the Executive's title and position on the date of a Change in Control or a material reduction in the Executive's duties, responsibilities or authority from those in effect on the date of a Change in Control;</w:t>
      </w:r>
    </w:p>
    <w:p>
      <w:pPr>
        <w:pStyle w:val="TextBody"/>
        <w:bidi w:val="0"/>
        <w:spacing w:lineRule="auto" w:line="280" w:before="246" w:after="283"/>
        <w:ind w:left="0" w:right="0" w:firstLine="1464"/>
        <w:jc w:val="left"/>
        <w:rPr>
          <w:rFonts w:ascii="Times New Roman;serif" w:hAnsi="Times New Roman;serif"/>
          <w:b w:val="false"/>
          <w:color w:val="000000"/>
          <w:sz w:val="23"/>
        </w:rPr>
      </w:pPr>
      <w:r>
        <w:rPr>
          <w:rFonts w:ascii="Times New Roman;serif" w:hAnsi="Times New Roman;serif"/>
          <w:b w:val="false"/>
          <w:color w:val="000000"/>
          <w:sz w:val="23"/>
        </w:rPr>
        <w:t>(b)following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pStyle w:val="TextBody"/>
        <w:bidi w:val="0"/>
        <w:spacing w:lineRule="auto" w:line="280" w:before="241" w:after="283"/>
        <w:ind w:left="0" w:right="0" w:firstLine="1455"/>
        <w:jc w:val="left"/>
        <w:rPr>
          <w:rFonts w:ascii="Times New Roman;serif" w:hAnsi="Times New Roman;serif"/>
          <w:b w:val="false"/>
          <w:color w:val="000000"/>
          <w:sz w:val="23"/>
        </w:rPr>
      </w:pPr>
      <w:r>
        <w:rPr>
          <w:rFonts w:ascii="Times New Roman;serif" w:hAnsi="Times New Roman;serif"/>
          <w:b w:val="false"/>
          <w:color w:val="000000"/>
          <w:sz w:val="23"/>
        </w:rPr>
        <w:t>(c)following a Change in Control, the Company's failure, without the express consent of the Executive, to pay the Executive any amounts otherwise vested and due hereunder or under any plan or policy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1625"/>
                <wp:effectExtent l="0" t="0" r="0" b="0"/>
                <wp:wrapNone/>
                <wp:docPr id="42" name="Frame4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83" w:before="78" w:after="283"/>
        <w:ind w:left="0" w:right="0" w:firstLine="1458"/>
        <w:jc w:val="left"/>
        <w:rPr>
          <w:rFonts w:ascii="Times New Roman;serif" w:hAnsi="Times New Roman;serif"/>
          <w:b w:val="false"/>
          <w:color w:val="000000"/>
          <w:sz w:val="23"/>
        </w:rPr>
      </w:pPr>
      <w:r>
        <w:rPr>
          <w:rFonts w:ascii="Times New Roman;serif" w:hAnsi="Times New Roman;serif"/>
          <w:b w:val="false"/>
          <w:color w:val="000000"/>
          <w:sz w:val="23"/>
        </w:rPr>
        <w:t>(d)following a Change in Control, a relocation of the Executive's primary place of employment, without the Executive's express written approval, to a location more than 50 miles from the location at which the Executive performed his duties on the date of such Change in Control; or</w:t>
      </w:r>
    </w:p>
    <w:p>
      <w:pPr>
        <w:pStyle w:val="TextBody"/>
        <w:bidi w:val="0"/>
        <w:spacing w:lineRule="auto" w:line="283" w:before="238" w:after="283"/>
        <w:ind w:left="0" w:right="0" w:firstLine="1463"/>
        <w:jc w:val="left"/>
        <w:rPr>
          <w:rFonts w:ascii="Times New Roman;serif" w:hAnsi="Times New Roman;serif"/>
          <w:b w:val="false"/>
          <w:color w:val="000000"/>
          <w:sz w:val="23"/>
        </w:rPr>
      </w:pPr>
      <w:r>
        <w:rPr>
          <w:rFonts w:ascii="Times New Roman;serif" w:hAnsi="Times New Roman;serif"/>
          <w:b w:val="false"/>
          <w:color w:val="000000"/>
          <w:sz w:val="23"/>
        </w:rPr>
        <w:t>(e)the failure or refusal of Crown's Successor (as defined in Section 14 below) to expressly assume this Agreement in writing, and all of the duties and obligations of the Company hereunder in accordance with Section 14.</w:t>
      </w:r>
    </w:p>
    <w:p>
      <w:pPr>
        <w:pStyle w:val="TextBody"/>
        <w:bidi w:val="0"/>
        <w:spacing w:lineRule="auto" w:line="280" w:before="238" w:after="283"/>
        <w:ind w:left="0" w:right="0" w:firstLine="729"/>
        <w:jc w:val="left"/>
        <w:rPr/>
      </w:pPr>
      <w:r>
        <w:rPr>
          <w:rFonts w:ascii="Times New Roman;serif" w:hAnsi="Times New Roman;serif"/>
          <w:b w:val="false"/>
          <w:color w:val="000000"/>
          <w:sz w:val="23"/>
        </w:rPr>
        <w:t>1.6."</w:t>
      </w:r>
      <w:r>
        <w:rPr>
          <w:rFonts w:ascii="Times New Roman;serif" w:hAnsi="Times New Roman;serif"/>
          <w:b w:val="false"/>
          <w:color w:val="000000"/>
          <w:sz w:val="23"/>
          <w:u w:val="single"/>
        </w:rPr>
        <w:t>Short-Term Disability</w:t>
      </w:r>
      <w:r>
        <w:rPr>
          <w:rFonts w:ascii="Times New Roman;serif" w:hAnsi="Times New Roman;serif"/>
          <w:b w:val="false"/>
          <w:color w:val="000000"/>
          <w:sz w:val="23"/>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pStyle w:val="TextBody"/>
        <w:bidi w:val="0"/>
        <w:spacing w:lineRule="auto" w:line="283" w:before="242" w:after="283"/>
        <w:ind w:left="0" w:right="0" w:firstLine="731"/>
        <w:jc w:val="left"/>
        <w:rPr/>
      </w:pPr>
      <w:r>
        <w:rPr>
          <w:rFonts w:ascii="Times New Roman;serif" w:hAnsi="Times New Roman;serif"/>
          <w:b w:val="false"/>
          <w:color w:val="000000"/>
          <w:sz w:val="23"/>
        </w:rPr>
        <w:t>1.7."</w:t>
      </w:r>
      <w:r>
        <w:rPr>
          <w:rFonts w:ascii="Times New Roman;serif" w:hAnsi="Times New Roman;serif"/>
          <w:b w:val="false"/>
          <w:color w:val="000000"/>
          <w:sz w:val="23"/>
          <w:u w:val="single"/>
        </w:rPr>
        <w:t>Total Disability</w:t>
      </w:r>
      <w:r>
        <w:rPr>
          <w:rFonts w:ascii="Times New Roman;serif" w:hAnsi="Times New Roman;serif"/>
          <w:b w:val="false"/>
          <w:color w:val="000000"/>
          <w:sz w:val="23"/>
        </w:rPr>
        <w:t>" shall mean that a qualified physician designated by the Company has determined that the Executive:</w:t>
      </w:r>
    </w:p>
    <w:p>
      <w:pPr>
        <w:pStyle w:val="TextBody"/>
        <w:bidi w:val="0"/>
        <w:spacing w:lineRule="auto" w:line="280" w:before="238" w:after="283"/>
        <w:ind w:left="0" w:right="0" w:firstLine="1462"/>
        <w:jc w:val="left"/>
        <w:rPr>
          <w:rFonts w:ascii="Times New Roman;serif" w:hAnsi="Times New Roman;serif"/>
          <w:b w:val="false"/>
          <w:color w:val="000000"/>
          <w:sz w:val="23"/>
        </w:rPr>
      </w:pPr>
      <w:r>
        <w:rPr>
          <w:rFonts w:ascii="Times New Roman;serif" w:hAnsi="Times New Roman;serif"/>
          <w:b w:val="false"/>
          <w:color w:val="000000"/>
          <w:sz w:val="23"/>
        </w:rPr>
        <w:t>(a)is unable to engage in any substantial gainful activity by reason of any medically determinable physical or mental impairment which can be expected to result in death or can be expected to last for a continuous period of not less than 12 months, or</w:t>
      </w:r>
    </w:p>
    <w:p>
      <w:pPr>
        <w:pStyle w:val="TextBody"/>
        <w:bidi w:val="0"/>
        <w:spacing w:lineRule="auto" w:line="283" w:before="239" w:after="283"/>
        <w:ind w:left="0" w:right="0" w:firstLine="1463"/>
        <w:jc w:val="left"/>
        <w:rPr>
          <w:rFonts w:ascii="Times New Roman;serif" w:hAnsi="Times New Roman;serif"/>
          <w:b w:val="false"/>
          <w:color w:val="000000"/>
          <w:sz w:val="23"/>
        </w:rPr>
      </w:pPr>
      <w:r>
        <w:rPr>
          <w:rFonts w:ascii="Times New Roman;serif" w:hAnsi="Times New Roman;serif"/>
          <w:b w:val="false"/>
          <w:color w:val="000000"/>
          <w:sz w:val="23"/>
        </w:rPr>
        <w:t>(b)is,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coveting employees of the Company.</w:t>
      </w:r>
    </w:p>
    <w:p>
      <w:pPr>
        <w:pStyle w:val="TextBody"/>
        <w:bidi w:val="0"/>
        <w:spacing w:lineRule="auto" w:line="280" w:before="231" w:after="283"/>
        <w:ind w:left="0" w:right="0" w:firstLine="33"/>
        <w:jc w:val="left"/>
        <w:rPr/>
      </w:pPr>
      <w:r>
        <w:rPr>
          <w:rFonts w:ascii="Times New Roman;serif" w:hAnsi="Times New Roman;serif"/>
          <w:b w:val="false"/>
          <w:color w:val="000000"/>
          <w:sz w:val="23"/>
        </w:rPr>
        <w:t>2.</w:t>
      </w:r>
      <w:r>
        <w:rPr>
          <w:rFonts w:ascii="Times New Roman;serif" w:hAnsi="Times New Roman;serif"/>
          <w:b w:val="false"/>
          <w:color w:val="000000"/>
          <w:sz w:val="23"/>
          <w:u w:val="single"/>
        </w:rPr>
        <w:t>Position and Duties.</w:t>
      </w:r>
      <w:r>
        <w:rPr>
          <w:color w:val="000000"/>
        </w:rPr>
        <w:t xml:space="preserve"> </w:t>
      </w:r>
      <w:r>
        <w:rPr>
          <w:rFonts w:ascii="Times New Roman;serif" w:hAnsi="Times New Roman;serif"/>
          <w:b w:val="false"/>
          <w:color w:val="000000"/>
          <w:sz w:val="23"/>
        </w:rPr>
        <w:t>The Company agrees to continue to employ the Executive and the Executive hereby agrees to continue to be employed by the Company, upon the terms, conditions and limitations set forth in this Agreement. The Executive shall serve as President of the Company's Asia Pacific Division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as an executive director of Crown Singapore and in such other positions as reasonably requested by the Board, Crown's Chief Executive Officer or any other executive to whom the Executive reports.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pStyle w:val="TextBody"/>
        <w:bidi w:val="0"/>
        <w:spacing w:lineRule="auto" w:line="280" w:before="238" w:after="283"/>
        <w:ind w:left="0" w:right="0" w:firstLine="13"/>
        <w:jc w:val="left"/>
        <w:rPr/>
      </w:pPr>
      <w:r>
        <w:rPr>
          <w:rFonts w:ascii="Times New Roman;serif" w:hAnsi="Times New Roman;serif"/>
          <w:b w:val="false"/>
          <w:color w:val="000000"/>
          <w:sz w:val="23"/>
        </w:rPr>
        <w:t>3.</w:t>
      </w:r>
      <w:r>
        <w:rPr>
          <w:rFonts w:ascii="Times New Roman;serif" w:hAnsi="Times New Roman;serif"/>
          <w:b w:val="false"/>
          <w:color w:val="000000"/>
          <w:sz w:val="23"/>
          <w:u w:val="single"/>
        </w:rPr>
        <w:t>Term.</w:t>
      </w:r>
      <w:r>
        <w:rPr>
          <w:color w:val="000000"/>
        </w:rPr>
        <w:t xml:space="preserve"> </w:t>
      </w:r>
      <w:r>
        <w:rPr>
          <w:rFonts w:ascii="Times New Roman;serif" w:hAnsi="Times New Roman;serif"/>
          <w:b w:val="false"/>
          <w:color w:val="000000"/>
          <w:sz w:val="23"/>
        </w:rPr>
        <w:t>The Executive's employment under this Agreement shall commence on the Effective Date and unless sooner terminated as provided in Article 5 shall continue for a period of one year (the "</w:t>
      </w:r>
      <w:r>
        <w:rPr>
          <w:rFonts w:ascii="Times New Roman;serif" w:hAnsi="Times New Roman;serif"/>
          <w:b w:val="false"/>
          <w:color w:val="000000"/>
          <w:sz w:val="23"/>
          <w:u w:val="single"/>
        </w:rPr>
        <w:t>Initial Term</w:t>
      </w:r>
      <w:r>
        <w:rPr>
          <w:rFonts w:ascii="Times New Roman;serif" w:hAnsi="Times New Roman;serif"/>
          <w:b w:val="false"/>
          <w:color w:val="000000"/>
          <w:sz w:val="23"/>
        </w:rPr>
        <w:t>"). Except as otherwise provided herein, unless either party gives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1625"/>
                <wp:effectExtent l="0" t="0" r="0" b="0"/>
                <wp:wrapNone/>
                <wp:docPr id="43" name="Frame4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69" w:after="283"/>
        <w:ind w:left="0" w:right="0" w:firstLine="20"/>
        <w:jc w:val="left"/>
        <w:rPr/>
      </w:pPr>
      <w:r>
        <w:rPr>
          <w:rFonts w:ascii="Times New Roman;serif" w:hAnsi="Times New Roman;serif"/>
          <w:b w:val="false"/>
          <w:color w:val="000000"/>
          <w:sz w:val="23"/>
        </w:rPr>
        <w:t>written notice to the other party at least 30 days before any anniversary of the Effective Date that the term hereunder shall not be extended beyond its then term (a "</w:t>
      </w:r>
      <w:r>
        <w:rPr>
          <w:rFonts w:ascii="Times New Roman;serif" w:hAnsi="Times New Roman;serif"/>
          <w:b w:val="false"/>
          <w:color w:val="000000"/>
          <w:sz w:val="23"/>
          <w:u w:val="single"/>
        </w:rPr>
        <w:t>Nonrenewal Notice</w:t>
      </w:r>
      <w:r>
        <w:rPr>
          <w:rFonts w:ascii="Times New Roman;serif" w:hAnsi="Times New Roman;serif"/>
          <w:b w:val="false"/>
          <w:color w:val="000000"/>
          <w:sz w:val="23"/>
        </w:rPr>
        <w:t>"), the term of the Agreement shall automatically be extended for an additional one year period from each anniversary, subject to the same terms, conditions and limitations as applicable to the Initial Term unless amended or terminated as provided herein (each such additional one year period a "</w:t>
      </w:r>
      <w:r>
        <w:rPr>
          <w:rFonts w:ascii="Times New Roman;serif" w:hAnsi="Times New Roman;serif"/>
          <w:b w:val="false"/>
          <w:color w:val="000000"/>
          <w:sz w:val="23"/>
          <w:u w:val="single"/>
        </w:rPr>
        <w:t>Renewal Term</w:t>
      </w:r>
      <w:r>
        <w:rPr>
          <w:rFonts w:ascii="Times New Roman;serif" w:hAnsi="Times New Roman;serif"/>
          <w:b w:val="false"/>
          <w:color w:val="000000"/>
          <w:sz w:val="23"/>
        </w:rPr>
        <w:t>"). For purposes of this Agreement, the Initial Term and all subsequent Renewal Terms shall be collectively referred to as the "</w:t>
      </w:r>
      <w:r>
        <w:rPr>
          <w:rFonts w:ascii="Times New Roman;serif" w:hAnsi="Times New Roman;serif"/>
          <w:b w:val="false"/>
          <w:color w:val="000000"/>
          <w:sz w:val="23"/>
          <w:u w:val="single"/>
        </w:rPr>
        <w:t>Term</w:t>
      </w:r>
      <w:r>
        <w:rPr>
          <w:rFonts w:ascii="Times New Roman;serif" w:hAnsi="Times New Roman;serif"/>
          <w:b w:val="false"/>
          <w:color w:val="000000"/>
          <w:sz w:val="23"/>
        </w:rPr>
        <w:t>" of the Agreement.</w:t>
      </w:r>
    </w:p>
    <w:p>
      <w:pPr>
        <w:pStyle w:val="TextBody"/>
        <w:bidi w:val="0"/>
        <w:spacing w:lineRule="auto" w:line="288" w:before="222" w:after="283"/>
        <w:ind w:left="0" w:right="0" w:hanging="731"/>
        <w:jc w:val="left"/>
        <w:rPr/>
      </w:pPr>
      <w:r>
        <w:rPr>
          <w:rFonts w:ascii="Times New Roman;serif" w:hAnsi="Times New Roman;serif"/>
          <w:b w:val="false"/>
          <w:color w:val="000000"/>
          <w:sz w:val="23"/>
        </w:rPr>
        <w:t>4.</w:t>
      </w:r>
      <w:r>
        <w:rPr>
          <w:rFonts w:ascii="Times New Roman;serif" w:hAnsi="Times New Roman;serif"/>
          <w:b w:val="false"/>
          <w:color w:val="000000"/>
          <w:sz w:val="23"/>
          <w:u w:val="single"/>
        </w:rPr>
        <w:t>Compensation and Benefits.</w:t>
      </w:r>
    </w:p>
    <w:p>
      <w:pPr>
        <w:pStyle w:val="TextBody"/>
        <w:bidi w:val="0"/>
        <w:spacing w:lineRule="auto" w:line="292" w:before="260" w:after="283"/>
        <w:ind w:left="0" w:right="0" w:firstLine="748"/>
        <w:jc w:val="left"/>
        <w:rPr/>
      </w:pPr>
      <w:r>
        <w:rPr>
          <w:rFonts w:ascii="Times New Roman;serif" w:hAnsi="Times New Roman;serif"/>
          <w:b w:val="false"/>
          <w:color w:val="000000"/>
          <w:sz w:val="23"/>
        </w:rPr>
        <w:t>4.1.</w:t>
      </w:r>
      <w:r>
        <w:rPr>
          <w:rFonts w:ascii="Times New Roman;serif" w:hAnsi="Times New Roman;serif"/>
          <w:b w:val="false"/>
          <w:color w:val="000000"/>
          <w:sz w:val="23"/>
          <w:u w:val="single"/>
        </w:rPr>
        <w:t>Base Salary.</w:t>
      </w:r>
      <w:r>
        <w:rPr>
          <w:color w:val="000000"/>
        </w:rPr>
        <w:t xml:space="preserve"> </w:t>
      </w:r>
      <w:r>
        <w:rPr>
          <w:rFonts w:ascii="Times New Roman;serif" w:hAnsi="Times New Roman;serif"/>
          <w:b w:val="false"/>
          <w:color w:val="000000"/>
          <w:sz w:val="23"/>
        </w:rPr>
        <w:t>The Company shall pay to the Executive for the performance of his duties under this Agreement an initial base salary of $550,000 per year (the "</w:t>
      </w:r>
      <w:r>
        <w:rPr>
          <w:rFonts w:ascii="Times New Roman;serif" w:hAnsi="Times New Roman;serif"/>
          <w:b w:val="false"/>
          <w:color w:val="000000"/>
          <w:sz w:val="23"/>
          <w:u w:val="single"/>
        </w:rPr>
        <w:t>Base Salary</w:t>
      </w:r>
      <w:r>
        <w:rPr>
          <w:rFonts w:ascii="Times New Roman;serif" w:hAnsi="Times New Roman;serif"/>
          <w:b w:val="false"/>
          <w:color w:val="000000"/>
          <w:sz w:val="23"/>
        </w:rPr>
        <w:t>"), payable in accordance with the Company's normal payroll practices. Thereafter, the rate of the Executive's Base Salary will be reviewed and adjusted as appropriate in accordance with the Company's regular compensation review practices. Effective as of the date of any such increase, the Base Salary so increased shall be considered the new Base Salary for all purposes of this Agreement.</w:t>
      </w:r>
    </w:p>
    <w:p>
      <w:pPr>
        <w:pStyle w:val="TextBody"/>
        <w:bidi w:val="0"/>
        <w:spacing w:lineRule="auto" w:line="295" w:before="250" w:after="283"/>
        <w:ind w:left="0" w:right="0" w:firstLine="740"/>
        <w:jc w:val="left"/>
        <w:rPr/>
      </w:pPr>
      <w:r>
        <w:rPr>
          <w:rFonts w:ascii="Times New Roman;serif" w:hAnsi="Times New Roman;serif"/>
          <w:b w:val="false"/>
          <w:color w:val="000000"/>
          <w:sz w:val="23"/>
        </w:rPr>
        <w:t>4.2.</w:t>
      </w:r>
      <w:r>
        <w:rPr>
          <w:rFonts w:ascii="Times New Roman;serif" w:hAnsi="Times New Roman;serif"/>
          <w:b w:val="false"/>
          <w:color w:val="000000"/>
          <w:sz w:val="23"/>
          <w:u w:val="single"/>
        </w:rPr>
        <w:t>Incentive Bonus.</w:t>
      </w:r>
      <w:r>
        <w:rPr>
          <w:color w:val="000000"/>
        </w:rPr>
        <w:t xml:space="preserve"> </w:t>
      </w:r>
      <w:r>
        <w:rPr>
          <w:rFonts w:ascii="Times New Roman;serif" w:hAnsi="Times New Roman;serif"/>
          <w:b w:val="false"/>
          <w:color w:val="000000"/>
          <w:sz w:val="23"/>
        </w:rPr>
        <w:t>During the Term, in addition to Base Salary, for each calendar year ending during the Tenn,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Times New Roman;serif" w:hAnsi="Times New Roman;serif"/>
          <w:b w:val="false"/>
          <w:color w:val="000000"/>
          <w:sz w:val="23"/>
          <w:u w:val="single"/>
        </w:rPr>
        <w:t>Incentive Bonus Payment</w:t>
      </w:r>
      <w:r>
        <w:rPr>
          <w:rFonts w:ascii="Times New Roman;serif" w:hAnsi="Times New Roman;serif"/>
          <w:b w:val="false"/>
          <w:color w:val="000000"/>
          <w:sz w:val="23"/>
        </w:rPr>
        <w:t>").</w:t>
      </w:r>
    </w:p>
    <w:p>
      <w:pPr>
        <w:pStyle w:val="TextBody"/>
        <w:bidi w:val="0"/>
        <w:spacing w:lineRule="auto" w:line="295" w:before="237" w:after="283"/>
        <w:ind w:left="0" w:right="0" w:firstLine="756"/>
        <w:jc w:val="left"/>
        <w:rPr/>
      </w:pPr>
      <w:r>
        <w:rPr>
          <w:rFonts w:ascii="Times New Roman;serif" w:hAnsi="Times New Roman;serif"/>
          <w:b w:val="false"/>
          <w:color w:val="000000"/>
          <w:sz w:val="23"/>
        </w:rPr>
        <w:t>4.3.</w:t>
      </w:r>
      <w:r>
        <w:rPr>
          <w:rFonts w:ascii="Times New Roman;serif" w:hAnsi="Times New Roman;serif"/>
          <w:b w:val="false"/>
          <w:color w:val="000000"/>
          <w:sz w:val="23"/>
          <w:u w:val="single"/>
        </w:rPr>
        <w:t>Employee Benefits.</w:t>
      </w:r>
      <w:r>
        <w:rPr>
          <w:color w:val="000000"/>
        </w:rPr>
        <w:t xml:space="preserve"> </w:t>
      </w:r>
      <w:r>
        <w:rPr>
          <w:rFonts w:ascii="Times New Roman;serif" w:hAnsi="Times New Roman;serif"/>
          <w:b w:val="false"/>
          <w:color w:val="000000"/>
          <w:sz w:val="23"/>
        </w:rPr>
        <w:t>During the Term, the Executive shall be eligible to participate in the applicable employee benefit plans, programs and policies of the Company (or other applicable affiliate as agreed to by the parties) that are now or hereafter made available to its salaried personnel generally, as such plans, programs and policies may be in effect from time to time, in each case to the extent that the Executive is eligible under the terms of such plans, programs and policies and the Executive's participation therein is not duplicative of other benefits provided by the Company. Without limiting the generality of the foregoing, the Executive shall also be eligible to participate in Crown's Restoration Plan (the "Restoration Plan") and Crown's equity-based incentive plans as maintained by Crown from time to time for the benefit of senior executives.</w:t>
      </w:r>
    </w:p>
    <w:p>
      <w:pPr>
        <w:pStyle w:val="TextBody"/>
        <w:bidi w:val="0"/>
        <w:spacing w:lineRule="auto" w:line="288" w:before="227" w:after="283"/>
        <w:ind w:left="0" w:right="0" w:firstLine="733"/>
        <w:jc w:val="left"/>
        <w:rPr/>
      </w:pPr>
      <w:r>
        <w:rPr>
          <w:rFonts w:ascii="Times New Roman;serif" w:hAnsi="Times New Roman;serif"/>
          <w:b w:val="false"/>
          <w:color w:val="000000"/>
          <w:sz w:val="23"/>
        </w:rPr>
        <w:t>4.4.</w:t>
      </w:r>
      <w:r>
        <w:rPr>
          <w:rFonts w:ascii="Times New Roman;serif" w:hAnsi="Times New Roman;serif"/>
          <w:b w:val="false"/>
          <w:color w:val="000000"/>
          <w:sz w:val="23"/>
          <w:u w:val="single"/>
        </w:rPr>
        <w:t>Vacation.</w:t>
      </w:r>
      <w:r>
        <w:rPr>
          <w:color w:val="000000"/>
        </w:rPr>
        <w:t xml:space="preserve"> </w:t>
      </w:r>
      <w:r>
        <w:rPr>
          <w:rFonts w:ascii="Times New Roman;serif" w:hAnsi="Times New Roman;serif"/>
          <w:b w:val="false"/>
          <w:color w:val="000000"/>
          <w:sz w:val="23"/>
        </w:rPr>
        <w:t>The Executive shall be entitled to vacation in accordance with the Company's vacation policy.</w:t>
      </w:r>
    </w:p>
    <w:p>
      <w:pPr>
        <w:pStyle w:val="TextBody"/>
        <w:bidi w:val="0"/>
        <w:spacing w:lineRule="auto" w:line="288" w:before="251" w:after="283"/>
        <w:ind w:left="0" w:right="0" w:firstLine="731"/>
        <w:jc w:val="left"/>
        <w:rPr/>
      </w:pPr>
      <w:r>
        <w:rPr>
          <w:rFonts w:ascii="Times New Roman;serif" w:hAnsi="Times New Roman;serif"/>
          <w:b w:val="false"/>
          <w:color w:val="000000"/>
          <w:sz w:val="23"/>
        </w:rPr>
        <w:t>4.5.</w:t>
      </w:r>
      <w:r>
        <w:rPr>
          <w:rFonts w:ascii="Times New Roman;serif" w:hAnsi="Times New Roman;serif"/>
          <w:b w:val="false"/>
          <w:color w:val="000000"/>
          <w:sz w:val="23"/>
          <w:u w:val="single"/>
        </w:rPr>
        <w:t>Automobile.</w:t>
      </w:r>
      <w:r>
        <w:rPr>
          <w:color w:val="000000"/>
        </w:rPr>
        <w:t xml:space="preserve"> </w:t>
      </w:r>
      <w:r>
        <w:rPr>
          <w:rFonts w:ascii="Times New Roman;serif" w:hAnsi="Times New Roman;serif"/>
          <w:b w:val="false"/>
          <w:color w:val="000000"/>
          <w:sz w:val="23"/>
        </w:rPr>
        <w:t>During the Term, the Company shall make an automobile available to the Executive in accordance with and subject to the conditions of its applicable automobile policy or practices as in effect from time to time.</w:t>
      </w:r>
    </w:p>
    <w:p>
      <w:pPr>
        <w:pStyle w:val="TextBody"/>
        <w:bidi w:val="0"/>
        <w:spacing w:lineRule="auto" w:line="292" w:before="250" w:after="283"/>
        <w:ind w:left="0" w:right="0" w:firstLine="734"/>
        <w:jc w:val="left"/>
        <w:rPr/>
      </w:pPr>
      <w:r>
        <w:rPr>
          <w:rFonts w:ascii="Times New Roman;serif" w:hAnsi="Times New Roman;serif"/>
          <w:b w:val="false"/>
          <w:color w:val="000000"/>
          <w:sz w:val="23"/>
        </w:rPr>
        <w:t>4.6.</w:t>
      </w:r>
      <w:r>
        <w:rPr>
          <w:rFonts w:ascii="Times New Roman;serif" w:hAnsi="Times New Roman;serif"/>
          <w:b w:val="false"/>
          <w:color w:val="000000"/>
          <w:sz w:val="23"/>
          <w:u w:val="single"/>
        </w:rPr>
        <w:t>Reimbursement of Expenses.</w:t>
      </w:r>
      <w:r>
        <w:rPr>
          <w:color w:val="000000"/>
        </w:rPr>
        <w:t xml:space="preserve"> </w:t>
      </w:r>
      <w:r>
        <w:rPr>
          <w:rFonts w:ascii="Times New Roman;serif" w:hAnsi="Times New Roman;serif"/>
          <w:b w:val="false"/>
          <w:color w:val="000000"/>
          <w:sz w:val="23"/>
        </w:rPr>
        <w:t>During the Term, the Company will reimburse the Executive in accordance with the Company's expense reimbursement policy as in effect from time to time for expenses reasonably and properly incurred by him in performing his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1625"/>
                <wp:effectExtent l="0" t="0" r="0" b="0"/>
                <wp:wrapNone/>
                <wp:docPr id="44" name="Frame44"/>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76" w:after="283"/>
        <w:jc w:val="left"/>
        <w:rPr>
          <w:rFonts w:ascii="Times New Roman;serif" w:hAnsi="Times New Roman;serif"/>
          <w:b w:val="false"/>
          <w:color w:val="000000"/>
          <w:sz w:val="23"/>
        </w:rPr>
      </w:pPr>
      <w:r>
        <w:rPr>
          <w:rFonts w:ascii="Times New Roman;serif" w:hAnsi="Times New Roman;serif"/>
          <w:b w:val="false"/>
          <w:color w:val="000000"/>
          <w:sz w:val="23"/>
        </w:rPr>
        <w:t>provided that such expenses are incurred and accounted for in accordance with the policies and procedures presently or hereinafter established by the Company.</w:t>
      </w:r>
    </w:p>
    <w:p>
      <w:pPr>
        <w:pStyle w:val="TextBody"/>
        <w:bidi w:val="0"/>
        <w:spacing w:lineRule="auto" w:line="295" w:before="240" w:after="283"/>
        <w:ind w:left="0" w:right="0" w:firstLine="735"/>
        <w:jc w:val="left"/>
        <w:rPr/>
      </w:pPr>
      <w:r>
        <w:rPr>
          <w:rFonts w:ascii="Times New Roman;serif" w:hAnsi="Times New Roman;serif"/>
          <w:b w:val="false"/>
          <w:color w:val="000000"/>
          <w:sz w:val="23"/>
        </w:rPr>
        <w:t>4.7.    </w:t>
      </w:r>
      <w:r>
        <w:rPr>
          <w:rFonts w:ascii="Times New Roman;serif" w:hAnsi="Times New Roman;serif"/>
          <w:b w:val="false"/>
          <w:color w:val="000000"/>
          <w:sz w:val="23"/>
          <w:u w:val="single"/>
        </w:rPr>
        <w:t>Short-Term Disability.</w:t>
      </w:r>
      <w:r>
        <w:rPr>
          <w:color w:val="000000"/>
        </w:rPr>
        <w:t xml:space="preserve"> </w:t>
      </w:r>
      <w:r>
        <w:rPr>
          <w:rFonts w:ascii="Times New Roman;serif" w:hAnsi="Times New Roman;serif"/>
          <w:b w:val="false"/>
          <w:color w:val="000000"/>
          <w:sz w:val="23"/>
        </w:rPr>
        <w:t>In the event that the Executive incurs a Short-Term Disability, the Executive shall be entitled to six months of Base Salary and incentive payments, payable in accordance with the Company's normal payroll practices, provided that all payments under this provision shall be reduced dollar-for-dollar by any other short-term disability benefits the Executive is entitled to under any other Company-sponsored short-term disability plan or arrangement and shall cease as of the earliest of the Executive's cessation of Short-Term Disability, the occurrence of Total Disability, death or the first day of the month following the month in which the Executive attains age 65 (the "</w:t>
      </w:r>
      <w:r>
        <w:rPr>
          <w:rFonts w:ascii="Times New Roman;serif" w:hAnsi="Times New Roman;serif"/>
          <w:b w:val="false"/>
          <w:color w:val="000000"/>
          <w:sz w:val="23"/>
          <w:u w:val="single"/>
        </w:rPr>
        <w:t>Normal Retirement Date</w:t>
      </w:r>
      <w:r>
        <w:rPr>
          <w:rFonts w:ascii="Times New Roman;serif" w:hAnsi="Times New Roman;serif"/>
          <w:b w:val="false"/>
          <w:color w:val="000000"/>
          <w:sz w:val="23"/>
        </w:rPr>
        <w:t>").</w:t>
      </w:r>
    </w:p>
    <w:p>
      <w:pPr>
        <w:pStyle w:val="TextBody"/>
        <w:bidi w:val="0"/>
        <w:spacing w:lineRule="auto" w:line="300" w:before="233" w:after="283"/>
        <w:ind w:left="0" w:right="0" w:firstLine="732"/>
        <w:jc w:val="left"/>
        <w:rPr/>
      </w:pPr>
      <w:r>
        <w:rPr>
          <w:rFonts w:ascii="Times New Roman;serif" w:hAnsi="Times New Roman;serif"/>
          <w:b w:val="false"/>
          <w:color w:val="000000"/>
          <w:sz w:val="23"/>
        </w:rPr>
        <w:t>1.8.</w:t>
      </w:r>
      <w:r>
        <w:rPr>
          <w:rFonts w:ascii="Times New Roman;serif" w:hAnsi="Times New Roman;serif"/>
          <w:b w:val="false"/>
          <w:color w:val="000000"/>
          <w:sz w:val="23"/>
          <w:u w:val="single"/>
        </w:rPr>
        <w:t>Medical Examination Benefit.</w:t>
      </w:r>
      <w:r>
        <w:rPr>
          <w:color w:val="000000"/>
        </w:rPr>
        <w:t xml:space="preserve"> </w:t>
      </w:r>
      <w:r>
        <w:rPr>
          <w:rFonts w:ascii="Times New Roman;serif" w:hAnsi="Times New Roman;serif"/>
          <w:b w:val="false"/>
          <w:color w:val="000000"/>
          <w:sz w:val="23"/>
        </w:rPr>
        <w:t>During the Term, the Executive shall be entitled to reimbursement for actual costs incurred, up to $2,500 per calendar year, for an annual physical and related medical examinations.</w:t>
      </w:r>
    </w:p>
    <w:p>
      <w:pPr>
        <w:pStyle w:val="TextBody"/>
        <w:bidi w:val="0"/>
        <w:spacing w:lineRule="auto" w:line="295" w:before="226" w:after="283"/>
        <w:ind w:left="0" w:right="0" w:firstLine="732"/>
        <w:jc w:val="left"/>
        <w:rPr/>
      </w:pPr>
      <w:r>
        <w:rPr>
          <w:rFonts w:ascii="Times New Roman;serif" w:hAnsi="Times New Roman;serif"/>
          <w:b w:val="false"/>
          <w:color w:val="000000"/>
          <w:sz w:val="23"/>
        </w:rPr>
        <w:t>1.9.</w:t>
      </w:r>
      <w:r>
        <w:rPr>
          <w:rFonts w:ascii="Times New Roman;serif" w:hAnsi="Times New Roman;serif"/>
          <w:b w:val="false"/>
          <w:color w:val="000000"/>
          <w:sz w:val="23"/>
          <w:u w:val="single"/>
        </w:rPr>
        <w:t>Housing Allowance.</w:t>
      </w:r>
      <w:r>
        <w:rPr>
          <w:color w:val="000000"/>
        </w:rPr>
        <w:t xml:space="preserve"> </w:t>
      </w:r>
      <w:r>
        <w:rPr>
          <w:rFonts w:ascii="Times New Roman;serif" w:hAnsi="Times New Roman;serif"/>
          <w:b w:val="false"/>
          <w:color w:val="000000"/>
          <w:sz w:val="23"/>
        </w:rPr>
        <w:t>During the Term, the Executive shall be entitled to an annual housing allowance, determined in accordance with and subject to the Company's housing allowance policy as in effect from time to time.</w:t>
      </w:r>
    </w:p>
    <w:p>
      <w:pPr>
        <w:pStyle w:val="TextBody"/>
        <w:bidi w:val="0"/>
        <w:spacing w:lineRule="auto" w:line="288" w:before="248" w:after="283"/>
        <w:ind w:left="0" w:right="0" w:hanging="718"/>
        <w:jc w:val="left"/>
        <w:rPr/>
      </w:pPr>
      <w:r>
        <w:rPr>
          <w:rFonts w:ascii="Times New Roman;serif" w:hAnsi="Times New Roman;serif"/>
          <w:b w:val="false"/>
          <w:color w:val="000000"/>
          <w:sz w:val="23"/>
        </w:rPr>
        <w:t>5.</w:t>
      </w:r>
      <w:r>
        <w:rPr>
          <w:rFonts w:ascii="Times New Roman;serif" w:hAnsi="Times New Roman;serif"/>
          <w:b w:val="false"/>
          <w:color w:val="000000"/>
          <w:sz w:val="23"/>
          <w:u w:val="single"/>
        </w:rPr>
        <w:t>Termination.</w:t>
      </w:r>
    </w:p>
    <w:p>
      <w:pPr>
        <w:pStyle w:val="TextBody"/>
        <w:bidi w:val="0"/>
        <w:spacing w:lineRule="auto" w:line="292" w:before="248" w:after="283"/>
        <w:ind w:left="0" w:right="0" w:firstLine="755"/>
        <w:jc w:val="left"/>
        <w:rPr/>
      </w:pPr>
      <w:r>
        <w:rPr>
          <w:rFonts w:ascii="Times New Roman;serif" w:hAnsi="Times New Roman;serif"/>
          <w:b w:val="false"/>
          <w:color w:val="000000"/>
          <w:sz w:val="23"/>
        </w:rPr>
        <w:t>5.1.</w:t>
      </w:r>
      <w:r>
        <w:rPr>
          <w:rFonts w:ascii="Times New Roman;serif" w:hAnsi="Times New Roman;serif"/>
          <w:b w:val="false"/>
          <w:color w:val="000000"/>
          <w:sz w:val="23"/>
          <w:u w:val="single"/>
        </w:rPr>
        <w:t>Death.</w:t>
      </w:r>
      <w:r>
        <w:rPr>
          <w:color w:val="000000"/>
        </w:rPr>
        <w:t xml:space="preserve"> </w:t>
      </w:r>
      <w:r>
        <w:rPr>
          <w:rFonts w:ascii="Times New Roman;serif" w:hAnsi="Times New Roman;serif"/>
          <w:b w:val="false"/>
          <w:color w:val="000000"/>
          <w:sz w:val="23"/>
        </w:rPr>
        <w:t>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and other benefits earned and vested (if applicable) by the Executive as of the date of his death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pStyle w:val="TextBody"/>
        <w:bidi w:val="0"/>
        <w:spacing w:lineRule="auto" w:line="292" w:before="251" w:after="283"/>
        <w:ind w:left="0" w:right="0" w:firstLine="743"/>
        <w:jc w:val="left"/>
        <w:rPr/>
      </w:pPr>
      <w:r>
        <w:rPr>
          <w:rFonts w:ascii="Times New Roman;serif" w:hAnsi="Times New Roman;serif"/>
          <w:b w:val="false"/>
          <w:color w:val="000000"/>
          <w:sz w:val="23"/>
        </w:rPr>
        <w:t>5.2.</w:t>
      </w:r>
      <w:r>
        <w:rPr>
          <w:rFonts w:ascii="Times New Roman;serif" w:hAnsi="Times New Roman;serif"/>
          <w:b w:val="false"/>
          <w:color w:val="000000"/>
          <w:sz w:val="23"/>
          <w:u w:val="single"/>
        </w:rPr>
        <w:t>Disability.</w:t>
      </w:r>
      <w:r>
        <w:rPr>
          <w:color w:val="000000"/>
        </w:rPr>
        <w:t xml:space="preserve"> </w:t>
      </w:r>
      <w:r>
        <w:rPr>
          <w:rFonts w:ascii="Times New Roman;serif" w:hAnsi="Times New Roman;serif"/>
          <w:b w:val="false"/>
          <w:color w:val="000000"/>
          <w:sz w:val="23"/>
        </w:rPr>
        <w:t>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1625"/>
                <wp:effectExtent l="0" t="0" r="0" b="0"/>
                <wp:wrapNone/>
                <wp:docPr id="45" name="Frame4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61" w:after="283"/>
        <w:ind w:left="0" w:right="0" w:firstLine="14"/>
        <w:jc w:val="left"/>
        <w:rPr>
          <w:rFonts w:ascii="Times New Roman;serif" w:hAnsi="Times New Roman;serif"/>
          <w:b w:val="false"/>
          <w:color w:val="000000"/>
          <w:sz w:val="23"/>
        </w:rPr>
      </w:pPr>
      <w:r>
        <w:rPr>
          <w:rFonts w:ascii="Times New Roman;serif" w:hAnsi="Times New Roman;serif"/>
          <w:b w:val="false"/>
          <w:color w:val="000000"/>
          <w:sz w:val="23"/>
        </w:rPr>
        <w:t>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(d) such retirement and other benefits earned and vested (if applicable) by the Executive as of the date of his termination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 with the Company's normal payroll practices, provided that all payments under this provision shall be reduced dollar-for-dollar by Social Security disability benefits and any other long-term disability benefits the Executive is entitled to under any other Company-sponsored or Company funded long-term disability plan or arrangements and shall cease as of the earliest of the Executive's cessation of Total Disability, death or attainment of his Normal Retirement Date.</w:t>
      </w:r>
    </w:p>
    <w:p>
      <w:pPr>
        <w:pStyle w:val="TextBody"/>
        <w:bidi w:val="0"/>
        <w:spacing w:lineRule="auto" w:line="295" w:before="226" w:after="283"/>
        <w:ind w:left="0" w:right="0" w:firstLine="761"/>
        <w:jc w:val="left"/>
        <w:rPr/>
      </w:pPr>
      <w:r>
        <w:rPr>
          <w:rFonts w:ascii="Times New Roman;serif" w:hAnsi="Times New Roman;serif"/>
          <w:b w:val="false"/>
          <w:color w:val="000000"/>
          <w:sz w:val="23"/>
        </w:rPr>
        <w:t>5.3.</w:t>
      </w:r>
      <w:r>
        <w:rPr>
          <w:rFonts w:ascii="Times New Roman;serif" w:hAnsi="Times New Roman;serif"/>
          <w:b w:val="false"/>
          <w:color w:val="000000"/>
          <w:sz w:val="23"/>
          <w:u w:val="single"/>
        </w:rPr>
        <w:t>Retirement.</w:t>
      </w:r>
      <w:r>
        <w:rPr>
          <w:color w:val="000000"/>
        </w:rPr>
        <w:t xml:space="preserve"> </w:t>
      </w:r>
      <w:r>
        <w:rPr>
          <w:rFonts w:ascii="Times New Roman;serif" w:hAnsi="Times New Roman;serif"/>
          <w:b w:val="false"/>
          <w:color w:val="000000"/>
          <w:sz w:val="23"/>
        </w:rPr>
        <w:t>The Executive's voluntary termination of employment at a time when he is eligible to begin receiving retirement benefits under the Crown Cork &amp; Seal Company, Inc. Pension Plan (the "Pension Plan")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incentive and other benefits earned and vested (if applicable) by the Executive as of the date of his retirement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pStyle w:val="TextBody"/>
        <w:bidi w:val="0"/>
        <w:spacing w:lineRule="auto" w:line="292" w:before="214" w:after="283"/>
        <w:ind w:left="0" w:right="0" w:firstLine="763"/>
        <w:jc w:val="left"/>
        <w:rPr/>
      </w:pPr>
      <w:r>
        <w:rPr>
          <w:rFonts w:ascii="Times New Roman;serif" w:hAnsi="Times New Roman;serif"/>
          <w:b w:val="false"/>
          <w:color w:val="000000"/>
          <w:sz w:val="23"/>
        </w:rPr>
        <w:t>5.4.</w:t>
      </w:r>
      <w:r>
        <w:rPr>
          <w:rFonts w:ascii="Times New Roman;serif" w:hAnsi="Times New Roman;serif"/>
          <w:b w:val="false"/>
          <w:color w:val="000000"/>
          <w:sz w:val="23"/>
          <w:u w:val="single"/>
        </w:rPr>
        <w:t>Voluntary Termination.</w:t>
      </w:r>
      <w:r>
        <w:rPr>
          <w:color w:val="000000"/>
        </w:rPr>
        <w:t xml:space="preserve"> </w:t>
      </w:r>
      <w:r>
        <w:rPr>
          <w:rFonts w:ascii="Times New Roman;serif" w:hAnsi="Times New Roman;serif"/>
          <w:b w:val="false"/>
          <w:color w:val="000000"/>
          <w:sz w:val="23"/>
        </w:rPr>
        <w:t>At any time during the Term, upon 30 days' written notice to the Company, the Executive may voluntarily terminate his employment with the Company. Unless Section 5.7 is applicable, upon such termination the Company shall have no further obligations under this Agreement except to pay to the Executive (a) any Base Salary earned to the date of the Executive's termination of employment, to the extent theretofore unpaid, and (b)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addition, at the discretion of the Board, the Company may pay to the Executive a pro-rated Incentive Bonus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1625"/>
                <wp:effectExtent l="0" t="0" r="0" b="0"/>
                <wp:wrapNone/>
                <wp:docPr id="46" name="Frame46"/>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2" w:before="76" w:after="283"/>
        <w:ind w:left="0" w:right="0" w:firstLine="18"/>
        <w:jc w:val="left"/>
        <w:rPr>
          <w:rFonts w:ascii="Times New Roman;serif" w:hAnsi="Times New Roman;serif"/>
          <w:b w:val="false"/>
          <w:color w:val="000000"/>
          <w:sz w:val="23"/>
        </w:rPr>
      </w:pPr>
      <w:r>
        <w:rPr>
          <w:rFonts w:ascii="Times New Roman;serif" w:hAnsi="Times New Roman;serif"/>
          <w:b w:val="false"/>
          <w:color w:val="000000"/>
          <w:sz w:val="23"/>
        </w:rPr>
        <w:t>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provided that Executive's receipt of such pro-rated Incentive Bonus Payment shall be contingent on the Executive's prior execution and non-revocation of a release of claims in favor of the Company and its affiliates in the form attached as Exhibit A (the "Release").</w:t>
      </w:r>
    </w:p>
    <w:p>
      <w:pPr>
        <w:pStyle w:val="TextBody"/>
        <w:bidi w:val="0"/>
        <w:spacing w:lineRule="auto" w:line="292" w:before="257" w:after="283"/>
        <w:ind w:left="0" w:right="0" w:firstLine="735"/>
        <w:jc w:val="left"/>
        <w:rPr/>
      </w:pPr>
      <w:r>
        <w:rPr>
          <w:rFonts w:ascii="Times New Roman;serif" w:hAnsi="Times New Roman;serif"/>
          <w:b w:val="false"/>
          <w:color w:val="000000"/>
          <w:sz w:val="23"/>
        </w:rPr>
        <w:t>5.5.</w:t>
      </w:r>
      <w:r>
        <w:rPr>
          <w:rFonts w:ascii="Times New Roman;serif" w:hAnsi="Times New Roman;serif"/>
          <w:b w:val="false"/>
          <w:color w:val="000000"/>
          <w:sz w:val="23"/>
          <w:u w:val="single"/>
        </w:rPr>
        <w:t>Termination For Cause.</w:t>
      </w:r>
      <w:r>
        <w:rPr>
          <w:color w:val="000000"/>
        </w:rPr>
        <w:t xml:space="preserve"> </w:t>
      </w:r>
      <w:r>
        <w:rPr>
          <w:rFonts w:ascii="Times New Roman;serif" w:hAnsi="Times New Roman;serif"/>
          <w:b w:val="false"/>
          <w:color w:val="000000"/>
          <w:sz w:val="23"/>
        </w:rPr>
        <w:t>The Board may terminate the Executive's employment and the Company's obligations under this Agreement at any time for Cause by giving written notice to the Executive. The Company's required notice of 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w:t>
      </w:r>
    </w:p>
    <w:p>
      <w:pPr>
        <w:pStyle w:val="TextBody"/>
        <w:bidi w:val="0"/>
        <w:spacing w:lineRule="auto" w:line="295" w:before="9" w:after="283"/>
        <w:ind w:left="0" w:right="0" w:firstLine="5"/>
        <w:jc w:val="left"/>
        <w:rPr>
          <w:rFonts w:ascii="Times New Roman;serif" w:hAnsi="Times New Roman;serif"/>
          <w:b w:val="false"/>
          <w:color w:val="000000"/>
          <w:sz w:val="23"/>
        </w:rPr>
      </w:pPr>
      <w:r>
        <w:rPr>
          <w:rFonts w:ascii="Times New Roman;serif" w:hAnsi="Times New Roman;serif"/>
          <w:b w:val="false"/>
          <w:color w:val="000000"/>
          <w:sz w:val="23"/>
        </w:rPr>
        <w:t>(a) any Base Salary earned through the date of such termination, to the extent theretofore unpaid, and (b) such retirement and other benefits earned and vested (if applicable) by the Executive as of such termination under any employee benefit plan of the Company in which the Executive participates, all of the foregoing to be paid in the normal course for such payments and in accordance with the terms of such plans.</w:t>
      </w:r>
    </w:p>
    <w:p>
      <w:pPr>
        <w:pStyle w:val="TextBody"/>
        <w:bidi w:val="0"/>
        <w:spacing w:lineRule="auto" w:line="292" w:before="229" w:after="283"/>
        <w:ind w:left="0" w:right="0" w:firstLine="768"/>
        <w:jc w:val="left"/>
        <w:rPr/>
      </w:pPr>
      <w:r>
        <w:rPr>
          <w:rFonts w:ascii="Times New Roman;serif" w:hAnsi="Times New Roman;serif"/>
          <w:b w:val="false"/>
          <w:color w:val="000000"/>
          <w:sz w:val="23"/>
        </w:rPr>
        <w:t>5.6.</w:t>
      </w:r>
      <w:r>
        <w:rPr>
          <w:rFonts w:ascii="Times New Roman;serif" w:hAnsi="Times New Roman;serif"/>
          <w:b w:val="false"/>
          <w:color w:val="000000"/>
          <w:sz w:val="23"/>
          <w:u w:val="single"/>
        </w:rPr>
        <w:t>Involuntary Termination by the Company without Cause Prior to a Change in Control.</w:t>
      </w:r>
      <w:r>
        <w:rPr>
          <w:color w:val="000000"/>
        </w:rPr>
        <w:t xml:space="preserve"> </w:t>
      </w:r>
      <w:r>
        <w:rPr>
          <w:rFonts w:ascii="Times New Roman;serif" w:hAnsi="Times New Roman;serif"/>
          <w:b w:val="false"/>
          <w:color w:val="000000"/>
          <w:sz w:val="23"/>
        </w:rPr>
        <w:t xml:space="preserve">The Company may terminate the Executive's employment without Cause at any time during the Term, upon thirty (30) days' written notice; </w:t>
      </w:r>
      <w:r>
        <w:rPr>
          <w:rFonts w:ascii="Times New Roman;serif" w:hAnsi="Times New Roman;serif"/>
          <w:b w:val="false"/>
          <w:color w:val="000000"/>
          <w:sz w:val="23"/>
          <w:u w:val="single"/>
        </w:rPr>
        <w:t>provided that</w:t>
      </w:r>
      <w:r>
        <w:rPr>
          <w:color w:val="000000"/>
        </w:rPr>
        <w:t xml:space="preserve"> </w:t>
      </w:r>
      <w:r>
        <w:rPr>
          <w:rFonts w:ascii="Times New Roman;serif" w:hAnsi="Times New Roman;serif"/>
          <w:b w:val="false"/>
          <w:color w:val="000000"/>
          <w:sz w:val="23"/>
        </w:rPr>
        <w:t xml:space="preserve">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Times New Roman;serif" w:hAnsi="Times New Roman;serif"/>
          <w:b w:val="false"/>
          <w:color w:val="000000"/>
          <w:sz w:val="23"/>
          <w:u w:val="single"/>
        </w:rPr>
        <w:t>provided, however</w:t>
      </w:r>
      <w:r>
        <w:rPr>
          <w:color w:val="000000"/>
        </w:rPr>
        <w:t xml:space="preserve"> </w:t>
      </w:r>
      <w:r>
        <w:rPr>
          <w:rFonts w:ascii="Times New Roman;serif" w:hAnsi="Times New Roman;serif"/>
          <w:b w:val="false"/>
          <w:color w:val="000000"/>
          <w:sz w:val="23"/>
        </w:rPr>
        <w:t>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1625"/>
                <wp:effectExtent l="0" t="0" r="0" b="0"/>
                <wp:wrapNone/>
                <wp:docPr id="47" name="Frame47"/>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61" w:after="283"/>
        <w:ind w:left="0" w:right="0" w:firstLine="7"/>
        <w:jc w:val="left"/>
        <w:rPr>
          <w:rFonts w:ascii="Times New Roman;serif" w:hAnsi="Times New Roman;serif"/>
          <w:b w:val="false"/>
          <w:color w:val="000000"/>
          <w:sz w:val="23"/>
        </w:rPr>
      </w:pPr>
      <w:r>
        <w:rPr>
          <w:rFonts w:ascii="Times New Roman;serif" w:hAnsi="Times New Roman;serif"/>
          <w:b w:val="false"/>
          <w:color w:val="000000"/>
          <w:sz w:val="23"/>
        </w:rPr>
        <w:t>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no event shall the payment in clause (c) be included for purposes of the Restoration Plan or the Pension Plan. Notwithstanding anything herein to the contrary, the payments described in clauses (b) and (c) shall be contingent on the Executive's prior execution and non-revocation of the Release within 60 days following his termination date and shall be paid as specified above or such later date as may be required to comply with Section 409A of the Code.</w:t>
      </w:r>
    </w:p>
    <w:p>
      <w:pPr>
        <w:pStyle w:val="TextBody"/>
        <w:bidi w:val="0"/>
        <w:spacing w:lineRule="auto" w:line="292" w:before="234" w:after="283"/>
        <w:ind w:left="0" w:right="0" w:firstLine="769"/>
        <w:jc w:val="left"/>
        <w:rPr/>
      </w:pPr>
      <w:r>
        <w:rPr>
          <w:rFonts w:ascii="Times New Roman;serif" w:hAnsi="Times New Roman;serif"/>
          <w:b w:val="false"/>
          <w:color w:val="000000"/>
          <w:sz w:val="23"/>
        </w:rPr>
        <w:t>5.7.</w:t>
      </w:r>
      <w:r>
        <w:rPr>
          <w:rFonts w:ascii="Times New Roman;serif" w:hAnsi="Times New Roman;serif"/>
          <w:b w:val="false"/>
          <w:color w:val="000000"/>
          <w:sz w:val="23"/>
          <w:u w:val="single"/>
        </w:rPr>
        <w:t>Involuntary Termination by the Company or by the Executive for Good Reason</w:t>
      </w:r>
      <w:r>
        <w:rPr>
          <w:color w:val="000000"/>
        </w:rPr>
        <w:t xml:space="preserve"> </w:t>
      </w:r>
      <w:r>
        <w:rPr>
          <w:rFonts w:ascii="Times New Roman;serif" w:hAnsi="Times New Roman;serif"/>
          <w:b w:val="false"/>
          <w:color w:val="000000"/>
          <w:sz w:val="23"/>
          <w:u w:val="single"/>
        </w:rPr>
        <w:t>Following a Change in Control.</w:t>
      </w:r>
      <w:r>
        <w:rPr>
          <w:color w:val="000000"/>
        </w:rPr>
        <w:t xml:space="preserve"> </w:t>
      </w:r>
      <w:r>
        <w:rPr>
          <w:rFonts w:ascii="Times New Roman;serif" w:hAnsi="Times New Roman;serif"/>
          <w:b w:val="false"/>
          <w:color w:val="000000"/>
          <w:sz w:val="23"/>
        </w:rPr>
        <w:t>If the Company terminates the Executive's employment without Cause during the I2-month period following a Change in Control, or the Executive voluntarily terminates his employment for Good Reason during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2.99 times the sum of the Executive's Base Salary and target Incentive Bonus Payment for the year of such termination, payable within 60 days following the Executive's termination of employment, provided, however, 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or such longer period as provided under the terms of such option. In no event shall the payment in clause (b) be included for purposes of the Restoration Plan or the Pension Plan. Notwithstanding anything herein to the contrary, the payment described in clause (b) and vesting described in clause (d) shall be contingent on the Executive's prior execution and non-revocation of the Release within 60 days</w:t>
      </w:r>
    </w:p>
    <w:p>
      <w:pPr>
        <w:pStyle w:val="TextBody"/>
        <w:bidi w:val="0"/>
        <w:spacing w:lineRule="auto" w:line="302" w:before="29" w:after="283"/>
        <w:jc w:val="left"/>
        <w:rPr>
          <w:rFonts w:ascii="Times New Roman;serif" w:hAnsi="Times New Roman;serif"/>
          <w:b w:val="false"/>
          <w:color w:val="000000"/>
          <w:sz w:val="23"/>
        </w:rPr>
      </w:pPr>
      <w:r>
        <w:rPr>
          <w:rFonts w:ascii="Times New Roman;serif" w:hAnsi="Times New Roman;serif"/>
          <w:b w:val="false"/>
          <w:color w:val="000000"/>
          <w:sz w:val="23"/>
        </w:rPr>
        <w:t>following his termination date and shall be paid as specified above or such later date as may be required to comply with Section 409A of the Code.</w:t>
      </w:r>
    </w:p>
    <w:p>
      <w:pPr>
        <w:pStyle w:val="TextBody"/>
        <w:bidi w:val="0"/>
        <w:spacing w:lineRule="auto" w:line="295" w:before="217" w:after="283"/>
        <w:ind w:left="0" w:right="0" w:firstLine="741"/>
        <w:jc w:val="left"/>
        <w:rPr/>
      </w:pPr>
      <w:r>
        <w:rPr>
          <w:rFonts w:ascii="Times New Roman;serif" w:hAnsi="Times New Roman;serif"/>
          <w:b w:val="false"/>
          <w:color w:val="000000"/>
          <w:sz w:val="23"/>
        </w:rPr>
        <w:t>5.8.</w:t>
      </w:r>
      <w:r>
        <w:rPr>
          <w:rFonts w:ascii="Times New Roman;serif" w:hAnsi="Times New Roman;serif"/>
          <w:b w:val="false"/>
          <w:color w:val="000000"/>
          <w:sz w:val="23"/>
          <w:u w:val="single"/>
        </w:rPr>
        <w:t>Mitigation.</w:t>
      </w:r>
      <w:r>
        <w:rPr>
          <w:color w:val="000000"/>
        </w:rPr>
        <w:t xml:space="preserve"> </w:t>
      </w:r>
      <w:r>
        <w:rPr>
          <w:rFonts w:ascii="Times New Roman;serif" w:hAnsi="Times New Roman;serif"/>
          <w:b w:val="false"/>
          <w:color w:val="000000"/>
          <w:sz w:val="23"/>
        </w:rPr>
        <w:t>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pStyle w:val="TextBody"/>
        <w:bidi w:val="0"/>
        <w:spacing w:lineRule="auto" w:line="295" w:before="236" w:after="283"/>
        <w:ind w:left="0" w:right="0" w:firstLine="747"/>
        <w:jc w:val="left"/>
        <w:rPr/>
      </w:pPr>
      <w:r>
        <w:rPr>
          <w:rFonts w:ascii="Times New Roman;serif" w:hAnsi="Times New Roman;serif"/>
          <w:b w:val="false"/>
          <w:color w:val="000000"/>
          <w:sz w:val="23"/>
        </w:rPr>
        <w:t>5.9.</w:t>
      </w:r>
      <w:r>
        <w:rPr>
          <w:rFonts w:ascii="Times New Roman;serif" w:hAnsi="Times New Roman;serif"/>
          <w:b w:val="false"/>
          <w:color w:val="000000"/>
          <w:sz w:val="23"/>
          <w:u w:val="single"/>
        </w:rPr>
        <w:t>Excise Taxes.</w:t>
      </w:r>
      <w:r>
        <w:rPr>
          <w:color w:val="000000"/>
        </w:rPr>
        <w:t xml:space="preserve"> </w:t>
      </w:r>
      <w:r>
        <w:rPr>
          <w:rFonts w:ascii="Times New Roman;serif" w:hAnsi="Times New Roman;serif"/>
          <w:b w:val="false"/>
          <w:color w:val="000000"/>
          <w:sz w:val="23"/>
        </w:rPr>
        <w:t>If any payment or benefit, or the acceleration of any payment or benefit, the Executive would receive from the Company under this Agreement or otherwise in connection with a Change in Control (collectively, the "</w:t>
      </w:r>
      <w:r>
        <w:rPr>
          <w:rFonts w:ascii="Times New Roman;serif" w:hAnsi="Times New Roman;serif"/>
          <w:b w:val="false"/>
          <w:color w:val="000000"/>
          <w:sz w:val="23"/>
          <w:u w:val="single"/>
        </w:rPr>
        <w:t>Payments</w:t>
      </w:r>
      <w:r>
        <w:rPr>
          <w:rFonts w:ascii="Times New Roman;serif" w:hAnsi="Times New Roman;serif"/>
          <w:b w:val="false"/>
          <w:color w:val="000000"/>
          <w:sz w:val="23"/>
        </w:rPr>
        <w:t>") would be subject to the excise tax imposed by Section 4999 of the Code (the "</w:t>
      </w:r>
      <w:r>
        <w:rPr>
          <w:rFonts w:ascii="Times New Roman;serif" w:hAnsi="Times New Roman;serif"/>
          <w:b w:val="false"/>
          <w:color w:val="000000"/>
          <w:sz w:val="23"/>
          <w:u w:val="single"/>
        </w:rPr>
        <w:t>Excise Tax</w:t>
      </w:r>
      <w:r>
        <w:rPr>
          <w:rFonts w:ascii="Times New Roman;serif" w:hAnsi="Times New Roman;serif"/>
          <w:b w:val="false"/>
          <w:color w:val="000000"/>
          <w:sz w:val="23"/>
        </w:rPr>
        <w:t>"), then either (a)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1625"/>
                <wp:effectExtent l="0" t="0" r="0" b="0"/>
                <wp:wrapNone/>
                <wp:docPr id="48" name="Frame4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before="0" w:after="0"/>
        <w:jc w:val="left"/>
        <w:rPr/>
      </w:pPr>
      <w:r>
        <w:rPr/>
      </w:r>
    </w:p>
    <w:p>
      <w:pPr>
        <w:pStyle w:val="TextBody"/>
        <w:bidi w:val="0"/>
        <w:spacing w:lineRule="auto" w:line="295" w:before="71" w:after="283"/>
        <w:jc w:val="left"/>
        <w:rPr>
          <w:rFonts w:ascii="Times New Roman;serif" w:hAnsi="Times New Roman;serif"/>
          <w:b w:val="false"/>
          <w:color w:val="000000"/>
          <w:sz w:val="23"/>
        </w:rPr>
      </w:pPr>
      <w:r>
        <w:rPr>
          <w:rFonts w:ascii="Times New Roman;serif" w:hAnsi="Times New Roman;serif"/>
          <w:b w:val="false"/>
          <w:color w:val="000000"/>
          <w:sz w:val="23"/>
        </w:rPr>
        <w:t>Payments will be reduced or delayed by the minimum amount necessary such that no portion of the Payments is subject to the Excise Tax, or (b) the full amount of the Payments shall be made, whichever, after taking into account all applicable taxes, including the Excise Tax, results in the Executive's receipt, on an after-tax basis, of the greater amount. If a reduction or delay in the Payments is necessary, such reduction or delay will occur in the following order: (1) cancellation of accelerated vesting of stock and option awards (reduced from the highest value to the lowest value under Section 280G of the Code) with the understanding that such awards may be replaced with the right to an equivalent cash payment at such future time because of the delisting of the underlying stock; (2) reduction or delay of cash payments (reduced from the latest payment to the earliest payment); and (3) reduction of other benefits payable to the Executive (reduced from the highest value to the lowest value under Section 280G of the Code). The Company will select a reputable third party professional firm to make all determinations required to be made under this provision. The Company will bear all reasonable expenses with respect to the determinations by such firm required to be made hereunder. For the avoidance of doubt, neither the Company nor any of its affiliates shall have any obligation to indemnify, gross-up or otherwise pay or reimburse the Executive for any Excise Tax assessed on any payment or benefit made or provided, or required to be made or provided, to the Executive by the Company under this Agreement or otherwise.</w:t>
      </w:r>
    </w:p>
    <w:p>
      <w:pPr>
        <w:pStyle w:val="TextBody"/>
        <w:bidi w:val="0"/>
        <w:spacing w:lineRule="auto" w:line="297" w:before="222" w:after="283"/>
        <w:ind w:left="0" w:right="0" w:firstLine="726"/>
        <w:jc w:val="left"/>
        <w:rPr/>
      </w:pPr>
      <w:r>
        <w:rPr>
          <w:rFonts w:ascii="Times New Roman;serif" w:hAnsi="Times New Roman;serif"/>
          <w:b w:val="false"/>
          <w:color w:val="000000"/>
          <w:sz w:val="23"/>
        </w:rPr>
        <w:t>5.10.</w:t>
      </w:r>
      <w:r>
        <w:rPr>
          <w:color w:val="000000"/>
        </w:rPr>
        <w:t xml:space="preserve"> </w:t>
      </w:r>
      <w:r>
        <w:rPr>
          <w:rFonts w:ascii="Times New Roman;serif" w:hAnsi="Times New Roman;serif"/>
          <w:b w:val="false"/>
          <w:color w:val="000000"/>
          <w:sz w:val="23"/>
          <w:u w:val="single"/>
        </w:rPr>
        <w:t>Resignation.</w:t>
      </w:r>
      <w:r>
        <w:rPr>
          <w:color w:val="000000"/>
        </w:rPr>
        <w:t xml:space="preserve"> </w:t>
      </w:r>
      <w:r>
        <w:rPr>
          <w:rFonts w:ascii="Times New Roman;serif" w:hAnsi="Times New Roman;serif"/>
          <w:b w:val="false"/>
          <w:color w:val="000000"/>
          <w:sz w:val="23"/>
        </w:rPr>
        <w:t>Upon the termination of the Executive's employment for whatever reason, the Executive shall be deemed to have automatically resigned without claims for compensation as a director of Crown Singapore and from any position he holds with the Company.</w:t>
      </w:r>
    </w:p>
    <w:p>
      <w:pPr>
        <w:pStyle w:val="TextBody"/>
        <w:bidi w:val="0"/>
        <w:spacing w:lineRule="auto" w:line="292" w:before="225" w:after="283"/>
        <w:ind w:left="0" w:right="0" w:firstLine="34"/>
        <w:jc w:val="left"/>
        <w:rPr/>
      </w:pPr>
      <w:r>
        <w:rPr>
          <w:rFonts w:ascii="Times New Roman;serif" w:hAnsi="Times New Roman;serif"/>
          <w:b w:val="false"/>
          <w:color w:val="000000"/>
          <w:sz w:val="23"/>
        </w:rPr>
        <w:t>6.</w:t>
      </w:r>
      <w:r>
        <w:rPr>
          <w:rFonts w:ascii="Times New Roman;serif" w:hAnsi="Times New Roman;serif"/>
          <w:b w:val="false"/>
          <w:color w:val="000000"/>
          <w:sz w:val="23"/>
          <w:u w:val="single"/>
        </w:rPr>
        <w:t>Confidential Information.</w:t>
      </w:r>
      <w:r>
        <w:rPr>
          <w:color w:val="000000"/>
        </w:rPr>
        <w:t xml:space="preserve"> </w:t>
      </w:r>
      <w:r>
        <w:rPr>
          <w:rFonts w:ascii="Times New Roman;serif" w:hAnsi="Times New Roman;serif"/>
          <w:b w:val="false"/>
          <w:color w:val="000000"/>
          <w:sz w:val="23"/>
        </w:rPr>
        <w:t>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 Notwithstanding the foregoing, (i) nothing in this</w:t>
      </w:r>
    </w:p>
    <w:p>
      <w:pPr>
        <w:pStyle w:val="TextBody"/>
        <w:bidi w:val="0"/>
        <w:spacing w:lineRule="auto" w:line="295" w:before="13" w:after="283"/>
        <w:ind w:left="0" w:right="0" w:firstLine="9"/>
        <w:jc w:val="left"/>
        <w:rPr>
          <w:rFonts w:ascii="Times New Roman;serif" w:hAnsi="Times New Roman;serif"/>
          <w:b w:val="false"/>
          <w:color w:val="000000"/>
          <w:sz w:val="23"/>
        </w:rPr>
      </w:pPr>
      <w:r>
        <w:rPr>
          <w:rFonts w:ascii="Times New Roman;serif" w:hAnsi="Times New Roman;serif"/>
          <w:b w:val="false"/>
          <w:color w:val="000000"/>
          <w:sz w:val="23"/>
        </w:rPr>
        <w:t>Section or Agreement shall prohibit the Executive from reporting possible violations of federal law or regulation to any governmental agency or entity or self-regulatory organization or making disclosures that are protected under the whistleblower provisions of applicable law or regulation (and the Executive shall not be required to obtain the written consent of the Company prior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1625"/>
                <wp:effectExtent l="0" t="0" r="0" b="0"/>
                <wp:wrapNone/>
                <wp:docPr id="49" name="Frame49"/>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74" w:after="283"/>
        <w:ind w:left="0" w:right="0" w:firstLine="9"/>
        <w:jc w:val="left"/>
        <w:rPr>
          <w:rFonts w:ascii="Times New Roman;serif" w:hAnsi="Times New Roman;serif"/>
          <w:b w:val="false"/>
          <w:color w:val="000000"/>
          <w:sz w:val="23"/>
        </w:rPr>
      </w:pPr>
      <w:r>
        <w:rPr>
          <w:rFonts w:ascii="Times New Roman;serif" w:hAnsi="Times New Roman;serif"/>
          <w:b w:val="false"/>
          <w:color w:val="000000"/>
          <w:sz w:val="23"/>
        </w:rPr>
        <w:t>making any such reports or disclosures); and (ii) in accordance with the Defend Trade Secrets Act of 2016, (A)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(B)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w:t>
      </w:r>
    </w:p>
    <w:p>
      <w:pPr>
        <w:pStyle w:val="TextBody"/>
        <w:bidi w:val="0"/>
        <w:spacing w:lineRule="auto" w:line="295" w:before="228" w:after="283"/>
        <w:ind w:left="0" w:right="0" w:firstLine="3"/>
        <w:jc w:val="left"/>
        <w:rPr/>
      </w:pPr>
      <w:r>
        <w:rPr>
          <w:rFonts w:ascii="Times New Roman;serif" w:hAnsi="Times New Roman;serif"/>
          <w:b w:val="false"/>
          <w:color w:val="000000"/>
          <w:sz w:val="23"/>
        </w:rPr>
        <w:t>7.</w:t>
      </w:r>
      <w:r>
        <w:rPr>
          <w:rFonts w:ascii="Times New Roman;serif" w:hAnsi="Times New Roman;serif"/>
          <w:b w:val="false"/>
          <w:color w:val="000000"/>
          <w:sz w:val="23"/>
          <w:u w:val="single"/>
        </w:rPr>
        <w:t>Return of Documents and Property.</w:t>
      </w:r>
      <w:r>
        <w:rPr>
          <w:color w:val="000000"/>
        </w:rPr>
        <w:t xml:space="preserve"> </w:t>
      </w:r>
      <w:r>
        <w:rPr>
          <w:rFonts w:ascii="Times New Roman;serif" w:hAnsi="Times New Roman;serif"/>
          <w:b w:val="false"/>
          <w:color w:val="000000"/>
          <w:sz w:val="23"/>
        </w:rPr>
        <w:t>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pStyle w:val="TextBody"/>
        <w:bidi w:val="0"/>
        <w:spacing w:lineRule="auto" w:line="295" w:before="231" w:after="283"/>
        <w:ind w:left="0" w:right="0" w:firstLine="30"/>
        <w:jc w:val="left"/>
        <w:rPr/>
      </w:pPr>
      <w:r>
        <w:rPr>
          <w:rFonts w:ascii="Times New Roman;serif" w:hAnsi="Times New Roman;serif"/>
          <w:b w:val="false"/>
          <w:color w:val="000000"/>
          <w:sz w:val="23"/>
        </w:rPr>
        <w:t>8.</w:t>
      </w:r>
      <w:r>
        <w:rPr>
          <w:rFonts w:ascii="Times New Roman;serif" w:hAnsi="Times New Roman;serif"/>
          <w:b w:val="false"/>
          <w:color w:val="000000"/>
          <w:sz w:val="23"/>
          <w:u w:val="single"/>
        </w:rPr>
        <w:t>Noncompetition.</w:t>
      </w:r>
      <w:r>
        <w:rPr>
          <w:color w:val="000000"/>
        </w:rPr>
        <w:t xml:space="preserve"> </w:t>
      </w:r>
      <w:r>
        <w:rPr>
          <w:rFonts w:ascii="Times New Roman;serif" w:hAnsi="Times New Roman;serif"/>
          <w:b w:val="false"/>
          <w:color w:val="000000"/>
          <w:sz w:val="23"/>
        </w:rPr>
        <w:t>By and in consideration of the salary and benefits to be provided by the Company hereunder, including the severance arrangements set forth herein, and further in consideration of the Executive's exposure to the proprietary information of the Company, the 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 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pStyle w:val="TextBody"/>
        <w:bidi w:val="0"/>
        <w:spacing w:lineRule="auto" w:line="292" w:before="215" w:after="283"/>
        <w:ind w:left="0" w:right="0" w:firstLine="16"/>
        <w:jc w:val="left"/>
        <w:rPr/>
      </w:pPr>
      <w:r>
        <w:rPr>
          <w:rFonts w:ascii="Times New Roman;serif" w:hAnsi="Times New Roman;serif"/>
          <w:b w:val="false"/>
          <w:color w:val="000000"/>
          <w:sz w:val="23"/>
        </w:rPr>
        <w:t>9.</w:t>
      </w:r>
      <w:r>
        <w:rPr>
          <w:rFonts w:ascii="Times New Roman;serif" w:hAnsi="Times New Roman;serif"/>
          <w:b w:val="false"/>
          <w:color w:val="000000"/>
          <w:sz w:val="23"/>
          <w:u w:val="single"/>
        </w:rPr>
        <w:t>Nondisparagement.</w:t>
      </w:r>
      <w:r>
        <w:rPr>
          <w:color w:val="000000"/>
        </w:rPr>
        <w:t xml:space="preserve"> </w:t>
      </w:r>
      <w:r>
        <w:rPr>
          <w:rFonts w:ascii="Times New Roman;serif" w:hAnsi="Times New Roman;serif"/>
          <w:b w:val="false"/>
          <w:color w:val="000000"/>
          <w:sz w:val="23"/>
        </w:rPr>
        <w:t>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1625"/>
                <wp:effectExtent l="0" t="0" r="0" b="0"/>
                <wp:wrapNone/>
                <wp:docPr id="50" name="Frame50"/>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76" w:after="283"/>
        <w:ind w:left="0" w:right="0" w:firstLine="8"/>
        <w:jc w:val="left"/>
        <w:rPr>
          <w:rFonts w:ascii="Times New Roman;serif" w:hAnsi="Times New Roman;serif"/>
          <w:b w:val="false"/>
          <w:color w:val="000000"/>
          <w:sz w:val="23"/>
        </w:rPr>
      </w:pPr>
      <w:r>
        <w:rPr>
          <w:rFonts w:ascii="Times New Roman;serif" w:hAnsi="Times New Roman;serif"/>
          <w:b w:val="false"/>
          <w:color w:val="000000"/>
          <w:sz w:val="23"/>
        </w:rPr>
        <w:t>law, court order, subpoena, compulsory process of law or governmental decree shall not constitute a violation or breach of this Section; provided that the Executive delivers written notice of such required disclosure to the Company or its designee promptly before making such disclosure if such notice is not prohibited by applicable law, court order, subpoena, compulsory process of law or governmental decree.</w:t>
      </w:r>
    </w:p>
    <w:p>
      <w:pPr>
        <w:pStyle w:val="TextBody"/>
        <w:bidi w:val="0"/>
        <w:spacing w:lineRule="auto" w:line="295" w:before="244" w:after="283"/>
        <w:ind w:left="0" w:right="0" w:hanging="0"/>
        <w:jc w:val="left"/>
        <w:rPr/>
      </w:pPr>
      <w:r>
        <w:rPr>
          <w:rFonts w:ascii="Times New Roman;serif" w:hAnsi="Times New Roman;serif"/>
          <w:b w:val="false"/>
          <w:color w:val="000000"/>
          <w:sz w:val="23"/>
        </w:rPr>
        <w:t>10.    </w:t>
      </w:r>
      <w:r>
        <w:rPr>
          <w:rFonts w:ascii="Times New Roman;serif" w:hAnsi="Times New Roman;serif"/>
          <w:b w:val="false"/>
          <w:color w:val="000000"/>
          <w:sz w:val="23"/>
          <w:u w:val="single"/>
        </w:rPr>
        <w:t>Enforcement.</w:t>
      </w:r>
      <w:r>
        <w:rPr>
          <w:color w:val="000000"/>
        </w:rPr>
        <w:t xml:space="preserve"> </w:t>
      </w:r>
      <w:r>
        <w:rPr>
          <w:rFonts w:ascii="Times New Roman;serif" w:hAnsi="Times New Roman;serif"/>
          <w:b w:val="false"/>
          <w:color w:val="000000"/>
          <w:sz w:val="23"/>
        </w:rPr>
        <w:t>The Executive acknowledges that (i) the Executive's work for the Company has given and will continue to give him access to the confidential affairs and proprietary information of the Company; (ii) the covenants and agreements of the Executive contained in Sections 6, 7, 8 and 9 are essential to the business and goodwill of the Company; and (iii) Crown would not have entered into this Agreement but for the covenants and agreements set forth in Sections 6, 7, 8 and 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pStyle w:val="TextBody"/>
        <w:bidi w:val="0"/>
        <w:spacing w:lineRule="auto" w:line="295" w:before="222" w:after="283"/>
        <w:ind w:left="0" w:right="0" w:firstLine="6"/>
        <w:jc w:val="left"/>
        <w:rPr/>
      </w:pPr>
      <w:r>
        <w:rPr>
          <w:rFonts w:ascii="Times New Roman;serif" w:hAnsi="Times New Roman;serif"/>
          <w:b w:val="false"/>
          <w:color w:val="000000"/>
          <w:sz w:val="23"/>
        </w:rPr>
        <w:t>11.</w:t>
      </w:r>
      <w:r>
        <w:rPr>
          <w:rFonts w:ascii="Times New Roman;serif" w:hAnsi="Times New Roman;serif"/>
          <w:b w:val="false"/>
          <w:color w:val="000000"/>
          <w:sz w:val="23"/>
          <w:u w:val="single"/>
        </w:rPr>
        <w:t>Notices.</w:t>
      </w:r>
      <w:r>
        <w:rPr>
          <w:color w:val="000000"/>
        </w:rPr>
        <w:t xml:space="preserve"> </w:t>
      </w:r>
      <w:r>
        <w:rPr>
          <w:rFonts w:ascii="Times New Roman;serif" w:hAnsi="Times New Roman;serif"/>
          <w:b w:val="false"/>
          <w:color w:val="000000"/>
          <w:sz w:val="23"/>
        </w:rPr>
        <w:t>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pStyle w:val="TextBody"/>
        <w:bidi w:val="0"/>
        <w:spacing w:lineRule="auto" w:line="288" w:before="243" w:after="283"/>
        <w:jc w:val="left"/>
        <w:rPr>
          <w:rFonts w:ascii="Times New Roman;serif" w:hAnsi="Times New Roman;serif"/>
          <w:b w:val="false"/>
          <w:color w:val="000000"/>
          <w:sz w:val="23"/>
        </w:rPr>
      </w:pPr>
      <w:r>
        <w:rPr>
          <w:rFonts w:ascii="Times New Roman;serif" w:hAnsi="Times New Roman;serif"/>
          <w:b w:val="false"/>
          <w:color w:val="000000"/>
          <w:sz w:val="23"/>
        </w:rPr>
        <w:t>If to the Company:</w:t>
      </w:r>
    </w:p>
    <w:p>
      <w:pPr>
        <w:pStyle w:val="TextBody"/>
        <w:bidi w:val="0"/>
        <w:spacing w:lineRule="auto" w:line="288" w:before="132" w:after="283"/>
        <w:jc w:val="left"/>
        <w:rPr>
          <w:rFonts w:ascii="Times New Roman;serif" w:hAnsi="Times New Roman;serif"/>
          <w:b w:val="false"/>
          <w:color w:val="000000"/>
          <w:sz w:val="23"/>
        </w:rPr>
      </w:pPr>
      <w:r>
        <w:rPr>
          <w:rFonts w:ascii="Times New Roman;serif" w:hAnsi="Times New Roman;serif"/>
          <w:b w:val="false"/>
          <w:color w:val="000000"/>
          <w:sz w:val="23"/>
        </w:rPr>
        <w:t>Crown Holdings, Inc.</w:t>
      </w:r>
    </w:p>
    <w:p>
      <w:pPr>
        <w:pStyle w:val="TextBody"/>
        <w:bidi w:val="0"/>
        <w:spacing w:lineRule="auto" w:line="288" w:before="17" w:after="283"/>
        <w:jc w:val="left"/>
        <w:rPr>
          <w:rFonts w:ascii="Times New Roman;serif" w:hAnsi="Times New Roman;serif"/>
          <w:b w:val="false"/>
          <w:color w:val="000000"/>
          <w:sz w:val="23"/>
        </w:rPr>
      </w:pPr>
      <w:r>
        <w:rPr>
          <w:rFonts w:ascii="Times New Roman;serif" w:hAnsi="Times New Roman;serif"/>
          <w:b w:val="false"/>
          <w:color w:val="000000"/>
          <w:sz w:val="23"/>
        </w:rPr>
        <w:t>14025 Riveredge Drive, Suite 300</w:t>
      </w:r>
    </w:p>
    <w:p>
      <w:pPr>
        <w:pStyle w:val="TextBody"/>
        <w:bidi w:val="0"/>
        <w:spacing w:lineRule="auto" w:line="288" w:before="17" w:after="283"/>
        <w:jc w:val="left"/>
        <w:rPr>
          <w:rFonts w:ascii="Times New Roman;serif" w:hAnsi="Times New Roman;serif"/>
          <w:b w:val="false"/>
          <w:color w:val="000000"/>
          <w:sz w:val="23"/>
        </w:rPr>
      </w:pPr>
      <w:r>
        <w:rPr>
          <w:rFonts w:ascii="Times New Roman;serif" w:hAnsi="Times New Roman;serif"/>
          <w:b w:val="false"/>
          <w:color w:val="000000"/>
          <w:sz w:val="23"/>
        </w:rPr>
        <w:t>Tampa, FL 33637</w:t>
      </w:r>
    </w:p>
    <w:p>
      <w:pPr>
        <w:pStyle w:val="TextBody"/>
        <w:bidi w:val="0"/>
        <w:spacing w:lineRule="auto" w:line="288" w:before="10" w:after="283"/>
        <w:jc w:val="left"/>
        <w:rPr>
          <w:rFonts w:ascii="Times New Roman;serif" w:hAnsi="Times New Roman;serif"/>
          <w:b w:val="false"/>
          <w:color w:val="000000"/>
          <w:sz w:val="23"/>
        </w:rPr>
      </w:pPr>
      <w:r>
        <w:rPr>
          <w:rFonts w:ascii="Times New Roman;serif" w:hAnsi="Times New Roman;serif"/>
          <w:b w:val="false"/>
          <w:color w:val="000000"/>
          <w:sz w:val="23"/>
        </w:rPr>
        <w:t>Attention: Chief Executive Officer</w:t>
      </w:r>
    </w:p>
    <w:p>
      <w:pPr>
        <w:pStyle w:val="TextBody"/>
        <w:bidi w:val="0"/>
        <w:spacing w:lineRule="auto" w:line="312" w:before="248" w:after="283"/>
        <w:ind w:left="0" w:right="0" w:firstLine="2"/>
        <w:jc w:val="left"/>
        <w:rPr>
          <w:rFonts w:ascii="Times New Roman;serif" w:hAnsi="Times New Roman;serif"/>
          <w:b w:val="false"/>
          <w:color w:val="000000"/>
          <w:sz w:val="23"/>
        </w:rPr>
      </w:pPr>
      <w:r>
        <w:rPr>
          <w:rFonts w:ascii="Times New Roman;serif" w:hAnsi="Times New Roman;serif"/>
          <w:b w:val="false"/>
          <w:color w:val="000000"/>
          <w:sz w:val="23"/>
        </w:rPr>
        <w:t>If to the Executive, notice shall be sent to the Executive's address on file with the Company.</w:t>
      </w:r>
    </w:p>
    <w:p>
      <w:pPr>
        <w:pStyle w:val="TextBody"/>
        <w:bidi w:val="0"/>
        <w:spacing w:lineRule="auto" w:line="295" w:before="216" w:after="283"/>
        <w:ind w:left="0" w:right="0" w:firstLine="3"/>
        <w:jc w:val="left"/>
        <w:rPr/>
      </w:pPr>
      <w:r>
        <w:rPr>
          <w:rFonts w:ascii="Times New Roman;serif" w:hAnsi="Times New Roman;serif"/>
          <w:b w:val="false"/>
          <w:color w:val="000000"/>
          <w:sz w:val="23"/>
        </w:rPr>
        <w:t>12.</w:t>
      </w:r>
      <w:r>
        <w:rPr>
          <w:rFonts w:ascii="Times New Roman;serif" w:hAnsi="Times New Roman;serif"/>
          <w:b w:val="false"/>
          <w:color w:val="000000"/>
          <w:sz w:val="23"/>
          <w:u w:val="single"/>
        </w:rPr>
        <w:t>Amendments.</w:t>
      </w:r>
      <w:r>
        <w:rPr>
          <w:color w:val="000000"/>
        </w:rPr>
        <w:t xml:space="preserve"> </w:t>
      </w:r>
      <w:r>
        <w:rPr>
          <w:rFonts w:ascii="Times New Roman;serif" w:hAnsi="Times New Roman;serif"/>
          <w:b w:val="false"/>
          <w:color w:val="000000"/>
          <w:sz w:val="23"/>
        </w:rPr>
        <w:t>This Agreement may be amended, modified or superseded only by a written instrument executed by both of the parties hereto.</w:t>
      </w:r>
    </w:p>
    <w:p>
      <w:pPr>
        <w:pStyle w:val="TextBody"/>
        <w:bidi w:val="0"/>
        <w:spacing w:lineRule="auto" w:line="300" w:before="233" w:after="283"/>
        <w:ind w:left="0" w:right="0" w:firstLine="6"/>
        <w:jc w:val="both"/>
        <w:rPr/>
      </w:pPr>
      <w:r>
        <w:rPr>
          <w:rFonts w:ascii="Times New Roman;serif" w:hAnsi="Times New Roman;serif"/>
          <w:b w:val="false"/>
          <w:color w:val="000000"/>
          <w:sz w:val="23"/>
        </w:rPr>
        <w:t>13.</w:t>
      </w:r>
      <w:r>
        <w:rPr>
          <w:rFonts w:ascii="Times New Roman;serif" w:hAnsi="Times New Roman;serif"/>
          <w:b w:val="false"/>
          <w:color w:val="000000"/>
          <w:sz w:val="23"/>
          <w:u w:val="single"/>
        </w:rPr>
        <w:t>Binding Effect.</w:t>
      </w:r>
      <w:r>
        <w:rPr>
          <w:color w:val="000000"/>
        </w:rPr>
        <w:t xml:space="preserve"> </w:t>
      </w:r>
      <w:r>
        <w:rPr>
          <w:rFonts w:ascii="Times New Roman;serif" w:hAnsi="Times New Roman;serif"/>
          <w:b w:val="false"/>
          <w:color w:val="000000"/>
          <w:sz w:val="23"/>
        </w:rPr>
        <w:t>This Agreement shall inure to the benefit of and shall be binding upon the Company and the Executive and their respective heirs, executors, personal representatives, successors and permitted assigns.</w:t>
      </w:r>
    </w:p>
    <w:p>
      <w:pPr>
        <w:pStyle w:val="TextBody"/>
        <w:bidi w:val="0"/>
        <w:spacing w:lineRule="auto" w:line="292" w:before="218" w:after="283"/>
        <w:ind w:left="0" w:right="0" w:firstLine="17"/>
        <w:jc w:val="left"/>
        <w:rPr/>
      </w:pPr>
      <w:r>
        <w:rPr>
          <w:rFonts w:ascii="Times New Roman;serif" w:hAnsi="Times New Roman;serif"/>
          <w:b w:val="false"/>
          <w:color w:val="000000"/>
          <w:sz w:val="23"/>
        </w:rPr>
        <w:t>14.</w:t>
      </w:r>
      <w:r>
        <w:rPr>
          <w:rFonts w:ascii="Times New Roman;serif" w:hAnsi="Times New Roman;serif"/>
          <w:b w:val="false"/>
          <w:color w:val="000000"/>
          <w:sz w:val="23"/>
          <w:u w:val="single"/>
        </w:rPr>
        <w:t>Assignability.</w:t>
      </w:r>
      <w:r>
        <w:rPr>
          <w:color w:val="000000"/>
        </w:rPr>
        <w:t xml:space="preserve"> </w:t>
      </w:r>
      <w:r>
        <w:rPr>
          <w:rFonts w:ascii="Times New Roman;serif" w:hAnsi="Times New Roman;serif"/>
          <w:b w:val="false"/>
          <w:color w:val="000000"/>
          <w:sz w:val="23"/>
        </w:rPr>
        <w:t>This Agreement shall not be assignable, in whole or in part, by either party, without the prior written consent of the other party, provided that (i) this Agreement shall be binding upon and shall be assigned by Crown to any person, firm or corporation with which Crown may be merged or consolidated or which may acquire all or substantially all of the assets of Crown, or its successor ("</w:t>
      </w:r>
      <w:r>
        <w:rPr>
          <w:rFonts w:ascii="Times New Roman;serif" w:hAnsi="Times New Roman;serif"/>
          <w:b w:val="false"/>
          <w:color w:val="000000"/>
          <w:sz w:val="23"/>
          <w:u w:val="single"/>
        </w:rPr>
        <w:t>Crown's Successor</w:t>
      </w:r>
      <w:r>
        <w:rPr>
          <w:rFonts w:ascii="Times New Roman;serif" w:hAnsi="Times New Roman;serif"/>
          <w:b w:val="false"/>
          <w:color w:val="000000"/>
          <w:sz w:val="23"/>
        </w:rPr>
        <w:t>"), (ii) Crown shall require Crown's Successor to</w:t>
      </w:r>
    </w:p>
    <w:p>
      <w:pPr>
        <w:pStyle w:val="TextBody"/>
        <w:bidi w:val="0"/>
        <w:spacing w:before="0" w:after="0"/>
        <w:jc w:val="left"/>
        <w:rPr/>
      </w:pPr>
      <w:r>
        <w:rPr/>
      </w:r>
    </w:p>
    <w:p>
      <w:pPr>
        <w:pStyle w:val="TextBody"/>
        <w:bidi w:val="0"/>
        <w:spacing w:before="2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1625"/>
                <wp:effectExtent l="0" t="0" r="0" b="0"/>
                <wp:wrapNone/>
                <wp:docPr id="51" name="Frame51"/>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88" w:before="74" w:after="283"/>
        <w:ind w:left="0" w:right="0" w:hanging="2"/>
        <w:jc w:val="left"/>
        <w:rPr>
          <w:rFonts w:ascii="Times New Roman;serif" w:hAnsi="Times New Roman;serif"/>
          <w:b w:val="false"/>
          <w:color w:val="000000"/>
          <w:sz w:val="23"/>
        </w:rPr>
      </w:pPr>
      <w:r>
        <w:rPr>
          <w:rFonts w:ascii="Times New Roman;serif" w:hAnsi="Times New Roman;serif"/>
          <w:b w:val="false"/>
          <w:color w:val="000000"/>
          <w:sz w:val="23"/>
        </w:rPr>
        <w:t>expressly assume in writing all of Crown's obligations under this Agreement and (iii) Crown's Successor shall be deemed substituted for Crown for all purposes of this Agreement.</w:t>
      </w:r>
    </w:p>
    <w:p>
      <w:pPr>
        <w:pStyle w:val="TextBody"/>
        <w:bidi w:val="0"/>
        <w:spacing w:lineRule="auto" w:line="280" w:before="249" w:after="283"/>
        <w:ind w:left="0" w:right="0" w:firstLine="16"/>
        <w:jc w:val="left"/>
        <w:rPr/>
      </w:pPr>
      <w:r>
        <w:rPr>
          <w:rFonts w:ascii="Times New Roman;serif" w:hAnsi="Times New Roman;serif"/>
          <w:b w:val="false"/>
          <w:color w:val="000000"/>
          <w:sz w:val="23"/>
        </w:rPr>
        <w:t>15.</w:t>
      </w:r>
      <w:r>
        <w:rPr>
          <w:rFonts w:ascii="Times New Roman;serif" w:hAnsi="Times New Roman;serif"/>
          <w:b w:val="false"/>
          <w:color w:val="000000"/>
          <w:sz w:val="23"/>
          <w:u w:val="single"/>
        </w:rPr>
        <w:t>Arbitration.</w:t>
      </w:r>
      <w:r>
        <w:rPr>
          <w:color w:val="000000"/>
        </w:rPr>
        <w:t xml:space="preserve"> </w:t>
      </w:r>
      <w:r>
        <w:rPr>
          <w:rFonts w:ascii="Times New Roman;serif" w:hAnsi="Times New Roman;serif"/>
          <w:b w:val="false"/>
          <w:color w:val="000000"/>
          <w:sz w:val="23"/>
        </w:rPr>
        <w:t>Except as provided in Section 10 of this Agreement, any controversy or claim arising out of or relating to this Agreement or the breach thereof shall be settled by arbitration in Tampa, Florida in accordance with the rules of the American Arbitration Association, and judgment upon any award so rendered may be entered in any court having jurisdiction thereof. The determination of the arbitrator(s) shall be conclusive and binding on the Company and the Executive, and judgment may be entered on the arbitrator(s)' award in any court having jurisdiction.</w:t>
      </w:r>
    </w:p>
    <w:p>
      <w:pPr>
        <w:pStyle w:val="TextBody"/>
        <w:bidi w:val="0"/>
        <w:spacing w:lineRule="auto" w:line="283" w:before="243" w:after="283"/>
        <w:ind w:left="0" w:right="0" w:firstLine="2"/>
        <w:jc w:val="left"/>
        <w:rPr/>
      </w:pPr>
      <w:r>
        <w:rPr>
          <w:rFonts w:ascii="Times New Roman;serif" w:hAnsi="Times New Roman;serif"/>
          <w:b w:val="false"/>
          <w:color w:val="000000"/>
          <w:sz w:val="23"/>
        </w:rPr>
        <w:t>16.</w:t>
      </w:r>
      <w:r>
        <w:rPr>
          <w:rFonts w:ascii="Times New Roman;serif" w:hAnsi="Times New Roman;serif"/>
          <w:b w:val="false"/>
          <w:color w:val="000000"/>
          <w:sz w:val="23"/>
          <w:u w:val="single"/>
        </w:rPr>
        <w:t>Governing Law.</w:t>
      </w:r>
      <w:r>
        <w:rPr>
          <w:color w:val="000000"/>
        </w:rPr>
        <w:t xml:space="preserve"> </w:t>
      </w:r>
      <w:r>
        <w:rPr>
          <w:rFonts w:ascii="Times New Roman;serif" w:hAnsi="Times New Roman;serif"/>
          <w:b w:val="false"/>
          <w:color w:val="000000"/>
          <w:sz w:val="23"/>
        </w:rPr>
        <w:t>Except to the extent such laws are superseded by Federal laws, this Agreement shall be governed by the laws of the State of Florida without reference to principles of conflict of laws.</w:t>
      </w:r>
    </w:p>
    <w:p>
      <w:pPr>
        <w:pStyle w:val="TextBody"/>
        <w:bidi w:val="0"/>
        <w:spacing w:lineRule="auto" w:line="280" w:before="238" w:after="283"/>
        <w:ind w:left="0" w:right="0" w:firstLine="2"/>
        <w:jc w:val="left"/>
        <w:rPr/>
      </w:pPr>
      <w:r>
        <w:rPr>
          <w:rFonts w:ascii="Times New Roman;serif" w:hAnsi="Times New Roman;serif"/>
          <w:b w:val="false"/>
          <w:color w:val="000000"/>
          <w:sz w:val="23"/>
        </w:rPr>
        <w:t>17.</w:t>
      </w:r>
      <w:r>
        <w:rPr>
          <w:rFonts w:ascii="Times New Roman;serif" w:hAnsi="Times New Roman;serif"/>
          <w:b w:val="false"/>
          <w:color w:val="000000"/>
          <w:sz w:val="23"/>
          <w:u w:val="single"/>
        </w:rPr>
        <w:t>Entire Agreement.</w:t>
      </w:r>
      <w:r>
        <w:rPr>
          <w:color w:val="000000"/>
        </w:rPr>
        <w:t xml:space="preserve"> </w:t>
      </w:r>
      <w:r>
        <w:rPr>
          <w:rFonts w:ascii="Times New Roman;serif" w:hAnsi="Times New Roman;serif"/>
          <w:b w:val="false"/>
          <w:color w:val="000000"/>
          <w:sz w:val="23"/>
        </w:rPr>
        <w:t>This Agreement contains the entire Agreement between the parties relative to its subject matter, superseding all prior agreements or understandings of the parties relating thereto. In the event of any conflict between this Agreement and the terms of any benefit plan or any other agreement, the terms of this Agreement will control.</w:t>
      </w:r>
    </w:p>
    <w:p>
      <w:pPr>
        <w:pStyle w:val="TextBody"/>
        <w:bidi w:val="0"/>
        <w:spacing w:lineRule="auto" w:line="280" w:before="242" w:after="283"/>
        <w:ind w:left="0" w:right="0" w:firstLine="10"/>
        <w:jc w:val="left"/>
        <w:rPr/>
      </w:pPr>
      <w:r>
        <w:rPr>
          <w:rFonts w:ascii="Times New Roman;serif" w:hAnsi="Times New Roman;serif"/>
          <w:b w:val="false"/>
          <w:color w:val="000000"/>
          <w:sz w:val="23"/>
        </w:rPr>
        <w:t>18.</w:t>
      </w:r>
      <w:r>
        <w:rPr>
          <w:rFonts w:ascii="Times New Roman;serif" w:hAnsi="Times New Roman;serif"/>
          <w:b w:val="false"/>
          <w:color w:val="000000"/>
          <w:sz w:val="23"/>
          <w:u w:val="single"/>
        </w:rPr>
        <w:t>Waiver.</w:t>
      </w:r>
      <w:r>
        <w:rPr>
          <w:color w:val="000000"/>
        </w:rPr>
        <w:t xml:space="preserve"> </w:t>
      </w:r>
      <w:r>
        <w:rPr>
          <w:rFonts w:ascii="Times New Roman;serif" w:hAnsi="Times New Roman;serif"/>
          <w:b w:val="false"/>
          <w:color w:val="000000"/>
          <w:sz w:val="23"/>
        </w:rPr>
        <w:t>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pStyle w:val="TextBody"/>
        <w:bidi w:val="0"/>
        <w:spacing w:lineRule="auto" w:line="283" w:before="240" w:after="283"/>
        <w:ind w:left="0" w:right="0" w:firstLine="9"/>
        <w:jc w:val="left"/>
        <w:rPr/>
      </w:pPr>
      <w:r>
        <w:rPr>
          <w:rFonts w:ascii="Times New Roman;serif" w:hAnsi="Times New Roman;serif"/>
          <w:b w:val="false"/>
          <w:color w:val="000000"/>
          <w:sz w:val="23"/>
        </w:rPr>
        <w:t>19.</w:t>
      </w:r>
      <w:r>
        <w:rPr>
          <w:rFonts w:ascii="Times New Roman;serif" w:hAnsi="Times New Roman;serif"/>
          <w:b w:val="false"/>
          <w:color w:val="000000"/>
          <w:sz w:val="23"/>
          <w:u w:val="single"/>
        </w:rPr>
        <w:t>Withholding of Taxes.</w:t>
      </w:r>
      <w:r>
        <w:rPr>
          <w:color w:val="000000"/>
        </w:rPr>
        <w:t xml:space="preserve"> </w:t>
      </w:r>
      <w:r>
        <w:rPr>
          <w:rFonts w:ascii="Times New Roman;serif" w:hAnsi="Times New Roman;serif"/>
          <w:b w:val="false"/>
          <w:color w:val="000000"/>
          <w:sz w:val="23"/>
        </w:rPr>
        <w:t>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pStyle w:val="TextBody"/>
        <w:bidi w:val="0"/>
        <w:spacing w:lineRule="auto" w:line="283" w:before="230" w:after="283"/>
        <w:ind w:left="0" w:right="0" w:firstLine="8"/>
        <w:jc w:val="left"/>
        <w:rPr/>
      </w:pPr>
      <w:r>
        <w:rPr>
          <w:rFonts w:ascii="Times New Roman;serif" w:hAnsi="Times New Roman;serif"/>
          <w:b w:val="false"/>
          <w:color w:val="000000"/>
          <w:sz w:val="23"/>
        </w:rPr>
        <w:t>20.</w:t>
      </w:r>
      <w:r>
        <w:rPr>
          <w:rFonts w:ascii="Times New Roman;serif" w:hAnsi="Times New Roman;serif"/>
          <w:b w:val="false"/>
          <w:color w:val="000000"/>
          <w:sz w:val="23"/>
          <w:u w:val="single"/>
        </w:rPr>
        <w:t>Survival.</w:t>
      </w:r>
      <w:r>
        <w:rPr>
          <w:color w:val="000000"/>
        </w:rPr>
        <w:t xml:space="preserve"> </w:t>
      </w:r>
      <w:r>
        <w:rPr>
          <w:rFonts w:ascii="Times New Roman;serif" w:hAnsi="Times New Roman;serif"/>
          <w:b w:val="false"/>
          <w:color w:val="000000"/>
          <w:sz w:val="23"/>
        </w:rPr>
        <w:t>Anything contained in this Agreement to the contrary notwithstanding, the provisions of Sections 6, 7, 8, 9, 13, 14, 15, 16 and 17, (and the other provisions of this</w:t>
      </w:r>
    </w:p>
    <w:p>
      <w:pPr>
        <w:pStyle w:val="TextBody"/>
        <w:bidi w:val="0"/>
        <w:spacing w:lineRule="auto" w:line="283" w:before="0" w:after="0"/>
        <w:ind w:left="0" w:right="0" w:firstLine="6"/>
        <w:jc w:val="left"/>
        <w:rPr>
          <w:rFonts w:ascii="Times New Roman;serif" w:hAnsi="Times New Roman;serif"/>
          <w:b w:val="false"/>
          <w:color w:val="000000"/>
          <w:sz w:val="23"/>
        </w:rPr>
      </w:pPr>
      <w:r>
        <w:rPr>
          <w:rFonts w:ascii="Times New Roman;serif" w:hAnsi="Times New Roman;serif"/>
          <w:b w:val="false"/>
          <w:color w:val="000000"/>
          <w:sz w:val="23"/>
        </w:rPr>
        <w:t>Agreement to the extent necessary to effectuate the survival of Sections 6, 7, 8, 9, 13, 14, 15, 16 and 17), shall survive termination of this Agreement and any termination of the Executive's employment hereunder.</w:t>
      </w:r>
    </w:p>
    <w:p>
      <w:pPr>
        <w:pStyle w:val="TextBody"/>
        <w:bidi w:val="0"/>
        <w:spacing w:lineRule="auto" w:line="280" w:before="231" w:after="283"/>
        <w:ind w:left="0" w:right="0" w:firstLine="25"/>
        <w:jc w:val="left"/>
        <w:rPr/>
      </w:pPr>
      <w:r>
        <w:rPr>
          <w:rFonts w:ascii="Times New Roman;serif" w:hAnsi="Times New Roman;serif"/>
          <w:b w:val="false"/>
          <w:color w:val="000000"/>
          <w:sz w:val="23"/>
        </w:rPr>
        <w:t>21.</w:t>
      </w:r>
      <w:r>
        <w:rPr>
          <w:rFonts w:ascii="Times New Roman;serif" w:hAnsi="Times New Roman;serif"/>
          <w:b w:val="false"/>
          <w:color w:val="000000"/>
          <w:sz w:val="23"/>
          <w:u w:val="single"/>
        </w:rPr>
        <w:t>Invalidity of Portion of Agreement.</w:t>
      </w:r>
      <w:r>
        <w:rPr>
          <w:color w:val="000000"/>
        </w:rPr>
        <w:t xml:space="preserve"> </w:t>
      </w:r>
      <w:r>
        <w:rPr>
          <w:rFonts w:ascii="Times New Roman;serif" w:hAnsi="Times New Roman;serif"/>
          <w:b w:val="false"/>
          <w:color w:val="000000"/>
          <w:sz w:val="23"/>
        </w:rPr>
        <w:t>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pStyle w:val="TextBody"/>
        <w:bidi w:val="0"/>
        <w:spacing w:before="4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1625"/>
                <wp:effectExtent l="0" t="0" r="0" b="0"/>
                <wp:wrapNone/>
                <wp:docPr id="52" name="Frame52"/>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5" w:before="67" w:after="283"/>
        <w:ind w:left="0" w:right="0" w:firstLine="23"/>
        <w:jc w:val="left"/>
        <w:rPr/>
      </w:pPr>
      <w:r>
        <w:rPr>
          <w:rFonts w:ascii="Times New Roman;serif" w:hAnsi="Times New Roman;serif"/>
          <w:b w:val="false"/>
          <w:color w:val="000000"/>
          <w:sz w:val="23"/>
        </w:rPr>
        <w:t>22.</w:t>
      </w:r>
      <w:r>
        <w:rPr>
          <w:rFonts w:ascii="Times New Roman;serif" w:hAnsi="Times New Roman;serif"/>
          <w:b w:val="false"/>
          <w:color w:val="000000"/>
          <w:sz w:val="23"/>
          <w:u w:val="single"/>
        </w:rPr>
        <w:t>Compliance with Code Section 409A.</w:t>
      </w:r>
      <w:r>
        <w:rPr>
          <w:color w:val="000000"/>
        </w:rPr>
        <w:t xml:space="preserve"> </w:t>
      </w:r>
      <w:r>
        <w:rPr>
          <w:rFonts w:ascii="Times New Roman;serif" w:hAnsi="Times New Roman;serif"/>
          <w:b w:val="false"/>
          <w:color w:val="000000"/>
          <w:sz w:val="23"/>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For purposes of the application of Code Section 409A, each payment in a series of payments will be deemed a separate payment.</w:t>
      </w:r>
    </w:p>
    <w:p>
      <w:pPr>
        <w:pStyle w:val="TextBody"/>
        <w:bidi w:val="0"/>
        <w:spacing w:before="244" w:after="283"/>
        <w:jc w:val="left"/>
        <w:rPr/>
      </w:pPr>
      <w:r>
        <w:rPr/>
      </w:r>
    </w:p>
    <w:p>
      <w:pPr>
        <w:pStyle w:val="TextBody"/>
        <w:bidi w:val="0"/>
        <w:spacing w:lineRule="auto" w:line="288" w:before="0" w:after="0"/>
        <w:jc w:val="center"/>
        <w:rPr>
          <w:rFonts w:ascii="Times New Roman;serif" w:hAnsi="Times New Roman;serif"/>
          <w:b w:val="false"/>
          <w:i/>
          <w:color w:val="000000"/>
          <w:sz w:val="23"/>
        </w:rPr>
      </w:pPr>
      <w:r>
        <w:rPr>
          <w:rFonts w:ascii="Times New Roman;serif" w:hAnsi="Times New Roman;serif"/>
          <w:b w:val="false"/>
          <w:i/>
          <w:color w:val="000000"/>
          <w:sz w:val="23"/>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1625"/>
                <wp:effectExtent l="0" t="0" r="0" b="0"/>
                <wp:wrapNone/>
                <wp:docPr id="53" name="Frame53"/>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before="52" w:after="283"/>
        <w:jc w:val="left"/>
        <w:rPr/>
      </w:pPr>
      <w:r>
        <w:rPr/>
      </w:r>
    </w:p>
    <w:p>
      <w:pPr>
        <w:pStyle w:val="TextBody"/>
        <w:bidi w:val="0"/>
        <w:spacing w:lineRule="auto" w:line="302" w:before="0" w:after="0"/>
        <w:ind w:left="0" w:right="0" w:firstLine="1459"/>
        <w:jc w:val="left"/>
        <w:rPr>
          <w:rFonts w:ascii="Times New Roman;serif" w:hAnsi="Times New Roman;serif"/>
          <w:b w:val="false"/>
          <w:color w:val="000000"/>
          <w:sz w:val="23"/>
        </w:rPr>
      </w:pPr>
      <w:r>
        <w:rPr>
          <w:rFonts w:ascii="Times New Roman;serif" w:hAnsi="Times New Roman;serif"/>
          <w:b w:val="false"/>
          <w:color w:val="000000"/>
          <w:sz w:val="23"/>
        </w:rPr>
        <w:t>IN WITNESS WHEREOF, the parties hereto have duly executed this Agreement as of the date first written above.</w:t>
      </w:r>
    </w:p>
    <w:p>
      <w:pPr>
        <w:pStyle w:val="TextBody"/>
        <w:bidi w:val="0"/>
        <w:spacing w:lineRule="auto" w:line="288" w:before="225" w:after="283"/>
        <w:jc w:val="left"/>
        <w:rPr>
          <w:rFonts w:ascii="Times New Roman;serif" w:hAnsi="Times New Roman;serif"/>
          <w:b w:val="false"/>
          <w:color w:val="000000"/>
          <w:sz w:val="23"/>
        </w:rPr>
      </w:pPr>
      <w:r>
        <w:rPr>
          <w:rFonts w:ascii="Times New Roman;serif" w:hAnsi="Times New Roman;serif"/>
          <w:b w:val="false"/>
          <w:color w:val="000000"/>
          <w:sz w:val="23"/>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22" w:before="0" w:after="0"/>
        <w:ind w:left="0" w:right="0" w:firstLine="646"/>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/s/Timothy J. Donahue</w:t>
      </w:r>
    </w:p>
    <w:p>
      <w:pPr>
        <w:pStyle w:val="TextBody"/>
        <w:bidi w:val="0"/>
        <w:spacing w:lineRule="atLeast" w:line="222" w:before="0" w:after="0"/>
        <w:ind w:left="0" w:right="0" w:firstLine="646"/>
        <w:jc w:val="left"/>
        <w:rPr>
          <w:rFonts w:ascii="Times New Roman;serif" w:hAnsi="Times New Roman;serif"/>
          <w:b w:val="false"/>
          <w:color w:val="000000"/>
          <w:sz w:val="23"/>
        </w:rPr>
      </w:pPr>
      <w:r>
        <w:rPr>
          <w:rFonts w:ascii="Times New Roman;serif" w:hAnsi="Times New Roman;serif"/>
          <w:b w:val="false"/>
          <w:color w:val="000000"/>
          <w:sz w:val="23"/>
        </w:rPr>
        <w:t>Timothy J. Donahue</w:t>
      </w:r>
    </w:p>
    <w:p>
      <w:pPr>
        <w:pStyle w:val="TextBody"/>
        <w:bidi w:val="0"/>
        <w:spacing w:lineRule="auto" w:line="295" w:before="0" w:after="0"/>
        <w:ind w:left="0" w:right="0" w:hanging="595"/>
        <w:jc w:val="left"/>
        <w:rPr>
          <w:rFonts w:ascii="Times New Roman;serif" w:hAnsi="Times New Roman;serif"/>
          <w:b w:val="false"/>
          <w:color w:val="000000"/>
          <w:sz w:val="23"/>
        </w:rPr>
      </w:pPr>
      <w:r>
        <w:rPr>
          <w:rFonts w:ascii="Times New Roman;serif" w:hAnsi="Times New Roman;serif"/>
          <w:b w:val="false"/>
          <w:color w:val="000000"/>
          <w:sz w:val="23"/>
        </w:rPr>
        <w:t>President and Chief Executive Officer</w:t>
      </w:r>
    </w:p>
    <w:p>
      <w:pPr>
        <w:pStyle w:val="TextBody"/>
        <w:bidi w:val="0"/>
        <w:spacing w:before="24" w:after="283"/>
        <w:jc w:val="left"/>
        <w:rPr/>
      </w:pPr>
      <w:r>
        <w:rPr/>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Executive</w:t>
      </w:r>
    </w:p>
    <w:p>
      <w:pPr>
        <w:pStyle w:val="TextBody"/>
        <w:bidi w:val="0"/>
        <w:spacing w:lineRule="auto" w:line="288" w:before="55" w:after="283"/>
        <w:jc w:val="left"/>
        <w:rPr>
          <w:color w:val="000000"/>
        </w:rPr>
      </w:pPr>
      <w:r>
        <w:rPr>
          <w:color w:val="000000"/>
        </w:rPr>
        <w:t>                                </w:t>
      </w:r>
    </w:p>
    <w:p>
      <w:pPr>
        <w:pStyle w:val="TextBody"/>
        <w:bidi w:val="0"/>
        <w:spacing w:lineRule="atLeast" w:line="222" w:before="0" w:after="0"/>
        <w:ind w:left="0" w:right="0" w:firstLine="646"/>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/s/John Rost</w:t>
      </w:r>
    </w:p>
    <w:p>
      <w:pPr>
        <w:pStyle w:val="TextBody"/>
        <w:bidi w:val="0"/>
        <w:spacing w:lineRule="atLeast" w:line="222" w:before="0" w:after="0"/>
        <w:ind w:left="0" w:right="0" w:firstLine="646"/>
        <w:jc w:val="left"/>
        <w:rPr>
          <w:rFonts w:ascii="Times New Roman;serif" w:hAnsi="Times New Roman;serif"/>
          <w:b w:val="false"/>
          <w:color w:val="000000"/>
          <w:sz w:val="23"/>
        </w:rPr>
      </w:pPr>
      <w:r>
        <w:rPr>
          <w:rFonts w:ascii="Times New Roman;serif" w:hAnsi="Times New Roman;serif"/>
          <w:b w:val="false"/>
          <w:color w:val="000000"/>
          <w:sz w:val="23"/>
        </w:rPr>
        <w:t>John Rost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84480"/>
                <wp:effectExtent l="0" t="0" r="0" b="0"/>
                <wp:wrapNone/>
                <wp:docPr id="54" name="Frame54"/>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84480"/>
                <wp:effectExtent l="0" t="0" r="0" b="0"/>
                <wp:wrapNone/>
                <wp:docPr id="55" name="Frame55"/>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BUSINESS.33046131.3</w:t>
                      </w:r>
                    </w:p>
                  </w:txbxContent>
                </v:textbox>
                <w10:wrap type="none"/>
              </v:rect>
            </w:pict>
          </mc:Fallback>
        </mc:AlternateContent>
      </w:r>
    </w:p>
    <w:p>
      <w:pPr>
        <w:pStyle w:val="TextBody"/>
        <w:bidi w:val="0"/>
        <w:spacing w:lineRule="auto" w:line="292" w:before="69" w:after="283"/>
        <w:jc w:val="center"/>
        <w:rPr>
          <w:rFonts w:ascii="Times New Roman;serif" w:hAnsi="Times New Roman;serif"/>
          <w:b w:val="false"/>
          <w:color w:val="1D1D1D"/>
          <w:sz w:val="23"/>
        </w:rPr>
      </w:pPr>
      <w:r>
        <w:rPr>
          <w:rFonts w:ascii="Times New Roman;serif" w:hAnsi="Times New Roman;serif"/>
          <w:b w:val="false"/>
          <w:color w:val="1D1D1D"/>
          <w:sz w:val="23"/>
        </w:rPr>
        <w:t>FIRST AMENDMENT TO</w:t>
      </w:r>
    </w:p>
    <w:p>
      <w:pPr>
        <w:pStyle w:val="TextBody"/>
        <w:bidi w:val="0"/>
        <w:spacing w:lineRule="auto" w:line="288" w:before="2" w:after="283"/>
        <w:jc w:val="center"/>
        <w:rPr>
          <w:rFonts w:ascii="Times New Roman;serif" w:hAnsi="Times New Roman;serif"/>
          <w:b w:val="false"/>
          <w:color w:val="1D1D1D"/>
          <w:sz w:val="23"/>
        </w:rPr>
      </w:pPr>
      <w:r>
        <w:rPr>
          <w:rFonts w:ascii="Times New Roman;serif" w:hAnsi="Times New Roman;serif"/>
          <w:b w:val="false"/>
          <w:color w:val="1D1D1D"/>
          <w:sz w:val="23"/>
        </w:rPr>
        <w:t>EXECUTIVE EMPLOYMENT AGREEMENT</w:t>
      </w:r>
    </w:p>
    <w:p>
      <w:pPr>
        <w:pStyle w:val="TextBody"/>
        <w:bidi w:val="0"/>
        <w:spacing w:before="0" w:after="0"/>
        <w:jc w:val="left"/>
        <w:rPr/>
      </w:pPr>
      <w:r>
        <w:rPr/>
      </w:r>
    </w:p>
    <w:p>
      <w:pPr>
        <w:pStyle w:val="TextBody"/>
        <w:bidi w:val="0"/>
        <w:spacing w:before="42" w:after="283"/>
        <w:jc w:val="left"/>
        <w:rPr/>
      </w:pPr>
      <w:r>
        <w:rPr/>
      </w:r>
    </w:p>
    <w:p>
      <w:pPr>
        <w:pStyle w:val="TextBody"/>
        <w:bidi w:val="0"/>
        <w:spacing w:lineRule="auto" w:line="288" w:before="0" w:after="0"/>
        <w:ind w:left="0" w:right="0" w:firstLine="734"/>
        <w:jc w:val="left"/>
        <w:rPr>
          <w:rFonts w:ascii="Times New Roman;serif" w:hAnsi="Times New Roman;serif"/>
          <w:b w:val="false"/>
          <w:color w:val="1D1D1D"/>
          <w:sz w:val="23"/>
        </w:rPr>
      </w:pPr>
      <w:r>
        <w:rPr>
          <w:rFonts w:ascii="Times New Roman;serif" w:hAnsi="Times New Roman;serif"/>
          <w:b w:val="false"/>
          <w:color w:val="1D1D1D"/>
          <w:sz w:val="23"/>
        </w:rPr>
        <w:t>This is the First Amendment (the "Amendment") to the Executive Employment Agreement between Crown Holdings, Inc. (the "Company") and Djalma Novaes, Jr. (the "Executive") dated January 1, 2015 (the "Agreement").</w:t>
      </w:r>
    </w:p>
    <w:p>
      <w:pPr>
        <w:pStyle w:val="TextBody"/>
        <w:bidi w:val="0"/>
        <w:spacing w:before="26" w:after="283"/>
        <w:jc w:val="left"/>
        <w:rPr/>
      </w:pPr>
      <w:r>
        <w:rPr/>
      </w:r>
    </w:p>
    <w:p>
      <w:pPr>
        <w:pStyle w:val="TextBody"/>
        <w:bidi w:val="0"/>
        <w:spacing w:lineRule="auto" w:line="288" w:before="0" w:after="0"/>
        <w:ind w:left="0" w:right="0" w:firstLine="731"/>
        <w:jc w:val="left"/>
        <w:rPr>
          <w:rFonts w:ascii="Times New Roman;serif" w:hAnsi="Times New Roman;serif"/>
          <w:b w:val="false"/>
          <w:color w:val="1D1D1D"/>
          <w:sz w:val="23"/>
        </w:rPr>
      </w:pPr>
      <w:r>
        <w:rPr>
          <w:rFonts w:ascii="Times New Roman;serif" w:hAnsi="Times New Roman;serif"/>
          <w:b w:val="false"/>
          <w:color w:val="1D1D1D"/>
          <w:sz w:val="23"/>
        </w:rPr>
        <w:t>WHEREAS, the Executive currently serves as the Company's President – American Division; and</w:t>
      </w:r>
    </w:p>
    <w:p>
      <w:pPr>
        <w:pStyle w:val="TextBody"/>
        <w:bidi w:val="0"/>
        <w:spacing w:before="21" w:after="283"/>
        <w:jc w:val="left"/>
        <w:rPr/>
      </w:pPr>
      <w:r>
        <w:rPr/>
      </w:r>
    </w:p>
    <w:p>
      <w:pPr>
        <w:pStyle w:val="TextBody"/>
        <w:bidi w:val="0"/>
        <w:spacing w:lineRule="auto" w:line="288" w:before="0" w:after="0"/>
        <w:ind w:left="0" w:right="0" w:firstLine="736"/>
        <w:jc w:val="left"/>
        <w:rPr>
          <w:rFonts w:ascii="Times New Roman;serif" w:hAnsi="Times New Roman;serif"/>
          <w:b w:val="false"/>
          <w:color w:val="1D1D1D"/>
          <w:sz w:val="23"/>
        </w:rPr>
      </w:pPr>
      <w:r>
        <w:rPr>
          <w:rFonts w:ascii="Times New Roman;serif" w:hAnsi="Times New Roman;serif"/>
          <w:b w:val="false"/>
          <w:color w:val="1D1D1D"/>
          <w:sz w:val="23"/>
        </w:rPr>
        <w:t>WHEREAS, the Executive is being promoted to serve as the Company's Executive Vice President and Chief Operating Officer.</w:t>
      </w:r>
    </w:p>
    <w:p>
      <w:pPr>
        <w:pStyle w:val="TextBody"/>
        <w:bidi w:val="0"/>
        <w:spacing w:before="22" w:after="283"/>
        <w:jc w:val="left"/>
        <w:rPr/>
      </w:pPr>
      <w:r>
        <w:rPr/>
      </w:r>
    </w:p>
    <w:p>
      <w:pPr>
        <w:pStyle w:val="TextBody"/>
        <w:bidi w:val="0"/>
        <w:spacing w:lineRule="auto" w:line="292" w:before="0" w:after="0"/>
        <w:ind w:left="0" w:right="0" w:firstLine="726"/>
        <w:jc w:val="left"/>
        <w:rPr>
          <w:rFonts w:ascii="Times New Roman;serif" w:hAnsi="Times New Roman;serif"/>
          <w:b w:val="false"/>
          <w:color w:val="1D1D1D"/>
          <w:sz w:val="23"/>
        </w:rPr>
      </w:pPr>
      <w:r>
        <w:rPr>
          <w:rFonts w:ascii="Times New Roman;serif" w:hAnsi="Times New Roman;serif"/>
          <w:b w:val="false"/>
          <w:color w:val="1D1D1D"/>
          <w:sz w:val="23"/>
        </w:rPr>
        <w:t>NOW THEREFORE, in accordance with Section 11 of the Agreement and in consideration of the promises and the mutual covenants contained hereinafter and intending to be legally bound hereby, effective July 1, 2025, the parties agree as follows:</w:t>
      </w:r>
    </w:p>
    <w:p>
      <w:pPr>
        <w:pStyle w:val="TextBody"/>
        <w:bidi w:val="0"/>
        <w:spacing w:before="17" w:after="283"/>
        <w:jc w:val="left"/>
        <w:rPr/>
      </w:pPr>
      <w:r>
        <w:rPr/>
      </w:r>
    </w:p>
    <w:p>
      <w:pPr>
        <w:pStyle w:val="TextBody"/>
        <w:bidi w:val="0"/>
        <w:spacing w:lineRule="auto" w:line="288" w:before="0" w:after="0"/>
        <w:ind w:left="0" w:right="0" w:hanging="355"/>
        <w:jc w:val="left"/>
        <w:rPr/>
      </w:pPr>
      <w:r>
        <w:rPr>
          <w:rFonts w:ascii="Times New Roman;serif" w:hAnsi="Times New Roman;serif"/>
          <w:b w:val="false"/>
          <w:color w:val="1D1D1D"/>
          <w:sz w:val="23"/>
        </w:rPr>
        <w:t xml:space="preserve">1.The second sentence of Section 2. </w:t>
      </w:r>
      <w:r>
        <w:rPr>
          <w:rFonts w:ascii="Times New Roman;serif" w:hAnsi="Times New Roman;serif"/>
          <w:b w:val="false"/>
          <w:color w:val="1D1D1D"/>
          <w:sz w:val="23"/>
          <w:u w:val="single"/>
        </w:rPr>
        <w:t>Positions and Duties</w:t>
      </w:r>
      <w:r>
        <w:rPr>
          <w:color w:val="1D1D1D"/>
        </w:rPr>
        <w:t xml:space="preserve"> </w:t>
      </w:r>
      <w:r>
        <w:rPr>
          <w:rFonts w:ascii="Times New Roman;serif" w:hAnsi="Times New Roman;serif"/>
          <w:b w:val="false"/>
          <w:color w:val="1D1D1D"/>
          <w:sz w:val="23"/>
        </w:rPr>
        <w:t>is hereby revised to read as follows:</w:t>
      </w:r>
    </w:p>
    <w:p>
      <w:pPr>
        <w:pStyle w:val="TextBody"/>
        <w:bidi w:val="0"/>
        <w:spacing w:before="17" w:after="283"/>
        <w:jc w:val="left"/>
        <w:rPr/>
      </w:pPr>
      <w:r>
        <w:rPr/>
      </w:r>
    </w:p>
    <w:p>
      <w:pPr>
        <w:pStyle w:val="TextBody"/>
        <w:bidi w:val="0"/>
        <w:spacing w:lineRule="auto" w:line="292" w:before="0" w:after="0"/>
        <w:ind w:left="0" w:right="0" w:firstLine="12"/>
        <w:jc w:val="left"/>
        <w:rPr>
          <w:rFonts w:ascii="Times New Roman;serif" w:hAnsi="Times New Roman;serif"/>
          <w:b w:val="false"/>
          <w:color w:val="1D1D1D"/>
          <w:sz w:val="23"/>
        </w:rPr>
      </w:pPr>
      <w:r>
        <w:rPr>
          <w:rFonts w:ascii="Times New Roman;serif" w:hAnsi="Times New Roman;serif"/>
          <w:b w:val="false"/>
          <w:color w:val="1D1D1D"/>
          <w:sz w:val="23"/>
        </w:rPr>
        <w:t>"The Executive shall serve as the Company's Executive Vice President and Chief Operating Officer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the Chairman of the Board, the Company's Chief Executive Officer or any other executive to whom the Executive reports as are consistent with such position."</w:t>
      </w:r>
    </w:p>
    <w:p>
      <w:pPr>
        <w:pStyle w:val="TextBody"/>
        <w:bidi w:val="0"/>
        <w:spacing w:before="23"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1D1D1D"/>
          <w:sz w:val="23"/>
        </w:rPr>
        <w:t xml:space="preserve">2.Section 3. </w:t>
      </w:r>
      <w:r>
        <w:rPr>
          <w:rFonts w:ascii="Times New Roman;serif" w:hAnsi="Times New Roman;serif"/>
          <w:b w:val="false"/>
          <w:color w:val="1D1D1D"/>
          <w:sz w:val="23"/>
          <w:u w:val="single"/>
        </w:rPr>
        <w:t>Term</w:t>
      </w:r>
      <w:r>
        <w:rPr>
          <w:color w:val="1D1D1D"/>
        </w:rPr>
        <w:t xml:space="preserve"> </w:t>
      </w:r>
      <w:r>
        <w:rPr>
          <w:rFonts w:ascii="Times New Roman;serif" w:hAnsi="Times New Roman;serif"/>
          <w:b w:val="false"/>
          <w:color w:val="1D1D1D"/>
          <w:sz w:val="23"/>
        </w:rPr>
        <w:t>shall be revised in its entirety to read as follows:</w:t>
      </w:r>
    </w:p>
    <w:p>
      <w:pPr>
        <w:pStyle w:val="TextBody"/>
        <w:bidi w:val="0"/>
        <w:spacing w:before="28" w:after="283"/>
        <w:jc w:val="left"/>
        <w:rPr/>
      </w:pPr>
      <w:r>
        <w:rPr/>
      </w:r>
    </w:p>
    <w:p>
      <w:pPr>
        <w:pStyle w:val="TextBody"/>
        <w:bidi w:val="0"/>
        <w:spacing w:lineRule="auto" w:line="292" w:before="0" w:after="0"/>
        <w:ind w:left="0" w:right="0" w:firstLine="1"/>
        <w:jc w:val="left"/>
        <w:rPr/>
      </w:pPr>
      <w:r>
        <w:rPr>
          <w:rFonts w:ascii="Times New Roman;serif" w:hAnsi="Times New Roman;serif"/>
          <w:b w:val="false"/>
          <w:color w:val="1D1D1D"/>
          <w:sz w:val="23"/>
        </w:rPr>
        <w:t xml:space="preserve">"3. </w:t>
      </w:r>
      <w:r>
        <w:rPr>
          <w:rFonts w:ascii="Times New Roman;serif" w:hAnsi="Times New Roman;serif"/>
          <w:b w:val="false"/>
          <w:color w:val="1D1D1D"/>
          <w:sz w:val="23"/>
          <w:u w:val="single"/>
        </w:rPr>
        <w:t>Term.</w:t>
      </w:r>
      <w:r>
        <w:rPr>
          <w:color w:val="1D1D1D"/>
        </w:rPr>
        <w:t xml:space="preserve"> </w:t>
      </w:r>
      <w:r>
        <w:rPr>
          <w:rFonts w:ascii="Times New Roman;serif" w:hAnsi="Times New Roman;serif"/>
          <w:b w:val="false"/>
          <w:color w:val="1D1D1D"/>
          <w:sz w:val="23"/>
        </w:rPr>
        <w:t xml:space="preserve">The Executive's employment under this Agreement shall commence on the Effective Date and unless sooner terminated as provided in Article 5 shall continue until December 31, 2027. For purposes of this Agreement, the period from the Effective Date until December 31, 2027 shall be referred to as the </w:t>
      </w:r>
      <w:r>
        <w:rPr>
          <w:rFonts w:ascii="Times New Roman;serif" w:hAnsi="Times New Roman;serif"/>
          <w:b w:val="false"/>
          <w:color w:val="1D1D1D"/>
          <w:sz w:val="23"/>
          <w:u w:val="single"/>
        </w:rPr>
        <w:t>'Term'</w:t>
      </w:r>
      <w:r>
        <w:rPr>
          <w:color w:val="1D1D1D"/>
        </w:rPr>
        <w:t xml:space="preserve"> </w:t>
      </w:r>
      <w:r>
        <w:rPr>
          <w:rFonts w:ascii="Times New Roman;serif" w:hAnsi="Times New Roman;serif"/>
          <w:b w:val="false"/>
          <w:color w:val="1D1D1D"/>
          <w:sz w:val="23"/>
        </w:rPr>
        <w:t>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4625"/>
                <wp:effectExtent l="0" t="0" r="0" b="0"/>
                <wp:wrapNone/>
                <wp:docPr id="56" name="Frame56"/>
                <a:graphic xmlns:a="http://schemas.openxmlformats.org/drawingml/2006/main">
                  <a:graphicData uri="http://schemas.microsoft.com/office/word/2010/wordprocessingShape">
                    <wps:wsp>
                      <wps:cNvSpPr txBox="1"/>
                      <wps:spPr>
                        <a:xfrm>
                          <a:off x="0" y="0"/>
                          <a:ext cx="6480175" cy="174625"/>
                        </a:xfrm>
                        <a:prstGeom prst="rect"/>
                        <a:solidFill>
                          <a:srgbClr val="FFFFFF"/>
                        </a:solidFill>
                      </wps:spPr>
                      <wps:txbx>
                        <w:txbxContent>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v:textbox>
                <w10:wrap type="none"/>
              </v:rect>
            </w:pict>
          </mc:Fallback>
        </mc:AlternateContent>
      </w:r>
    </w:p>
    <w:p>
      <w:pPr>
        <w:pStyle w:val="TextBody"/>
        <w:bidi w:val="0"/>
        <w:spacing w:lineRule="auto" w:line="292" w:before="63" w:after="283"/>
        <w:ind w:left="0" w:right="0" w:hanging="362"/>
        <w:jc w:val="left"/>
        <w:rPr/>
      </w:pPr>
      <w:r>
        <w:rPr>
          <w:rFonts w:ascii="Times New Roman;serif" w:hAnsi="Times New Roman;serif"/>
          <w:b w:val="false"/>
          <w:color w:val="232323"/>
          <w:sz w:val="23"/>
        </w:rPr>
        <w:t xml:space="preserve">3.Section 5.6. </w:t>
      </w:r>
      <w:r>
        <w:rPr>
          <w:rFonts w:ascii="Times New Roman;serif" w:hAnsi="Times New Roman;serif"/>
          <w:b w:val="false"/>
          <w:color w:val="232323"/>
          <w:sz w:val="23"/>
          <w:u w:val="single"/>
        </w:rPr>
        <w:t>Involuntary Termination by the Company without Cause Prior to a</w:t>
      </w:r>
      <w:r>
        <w:rPr>
          <w:color w:val="232323"/>
        </w:rPr>
        <w:t xml:space="preserve"> </w:t>
      </w:r>
      <w:r>
        <w:rPr>
          <w:rFonts w:ascii="Times New Roman;serif" w:hAnsi="Times New Roman;serif"/>
          <w:b w:val="false"/>
          <w:color w:val="232323"/>
          <w:sz w:val="23"/>
          <w:u w:val="single"/>
        </w:rPr>
        <w:t>Change in Control</w:t>
      </w:r>
      <w:r>
        <w:rPr>
          <w:color w:val="232323"/>
        </w:rPr>
        <w:t xml:space="preserve"> </w:t>
      </w:r>
      <w:r>
        <w:rPr>
          <w:rFonts w:ascii="Times New Roman;serif" w:hAnsi="Times New Roman;serif"/>
          <w:b w:val="false"/>
          <w:color w:val="232323"/>
          <w:sz w:val="23"/>
        </w:rPr>
        <w:t>shall be revised in its entirety to read as follows:</w:t>
      </w:r>
    </w:p>
    <w:p>
      <w:pPr>
        <w:pStyle w:val="TextBody"/>
        <w:bidi w:val="0"/>
        <w:spacing w:before="16" w:after="283"/>
        <w:jc w:val="left"/>
        <w:rPr/>
      </w:pPr>
      <w:r>
        <w:rPr/>
      </w:r>
    </w:p>
    <w:p>
      <w:pPr>
        <w:pStyle w:val="TextBody"/>
        <w:bidi w:val="0"/>
        <w:spacing w:lineRule="auto" w:line="292" w:before="0" w:after="0"/>
        <w:ind w:left="0" w:right="0" w:firstLine="7"/>
        <w:jc w:val="left"/>
        <w:rPr/>
      </w:pPr>
      <w:r>
        <w:rPr>
          <w:rFonts w:ascii="Times New Roman;serif" w:hAnsi="Times New Roman;serif"/>
          <w:b w:val="false"/>
          <w:color w:val="232323"/>
          <w:sz w:val="23"/>
        </w:rPr>
        <w:t>"5.6.    </w:t>
      </w:r>
      <w:r>
        <w:rPr>
          <w:rFonts w:ascii="Times New Roman;serif" w:hAnsi="Times New Roman;serif"/>
          <w:b w:val="false"/>
          <w:color w:val="232323"/>
          <w:sz w:val="23"/>
          <w:u w:val="single"/>
        </w:rPr>
        <w:t>Involuntary Termination by the Company without Cause Prior to a Change in Control.</w:t>
      </w:r>
      <w:r>
        <w:rPr>
          <w:color w:val="232323"/>
        </w:rPr>
        <w:t xml:space="preserve"> </w:t>
      </w:r>
      <w:r>
        <w:rPr>
          <w:rFonts w:ascii="Times New Roman;serif" w:hAnsi="Times New Roman;serif"/>
          <w:b w:val="false"/>
          <w:color w:val="232323"/>
          <w:sz w:val="23"/>
        </w:rPr>
        <w:t xml:space="preserve">The Company may terminate the Executive's employment without Cause at any time during the Term, upon thirty (30) days' written notice; </w:t>
      </w:r>
      <w:r>
        <w:rPr>
          <w:rFonts w:ascii="Times New Roman;serif" w:hAnsi="Times New Roman;serif"/>
          <w:b w:val="false"/>
          <w:color w:val="232323"/>
          <w:sz w:val="23"/>
          <w:u w:val="single"/>
        </w:rPr>
        <w:t>provided that</w:t>
      </w:r>
      <w:r>
        <w:rPr>
          <w:color w:val="232323"/>
        </w:rPr>
        <w:t xml:space="preserve"> </w:t>
      </w:r>
      <w:r>
        <w:rPr>
          <w:rFonts w:ascii="Times New Roman;serif" w:hAnsi="Times New Roman;serif"/>
          <w:b w:val="false"/>
          <w:color w:val="232323"/>
          <w:sz w:val="23"/>
        </w:rPr>
        <w:t xml:space="preserve">during such notice period, the Company, in its absolute discretion, may relieve the Executive of all his duties, responsibilities and authority with respect to the Company and restrict the Executive's access to Company property. If the Company so terminates the Executive's employment without cause at any time other than the 12-month period following a Change in Control, the Company's obligation under this Agreement shall terminate except for the Company's obligation to pay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30 days following the Executive's termination of employment, </w:t>
      </w:r>
      <w:r>
        <w:rPr>
          <w:rFonts w:ascii="Times New Roman;serif" w:hAnsi="Times New Roman;serif"/>
          <w:b w:val="false"/>
          <w:color w:val="232323"/>
          <w:sz w:val="23"/>
          <w:u w:val="single"/>
        </w:rPr>
        <w:t>provided, however,</w:t>
      </w:r>
      <w:r>
        <w:rPr>
          <w:color w:val="232323"/>
        </w:rPr>
        <w:t xml:space="preserve"> </w:t>
      </w:r>
      <w:r>
        <w:rPr>
          <w:rFonts w:ascii="Times New Roman;serif" w:hAnsi="Times New Roman;serif"/>
          <w:b w:val="false"/>
          <w:color w:val="232323"/>
          <w:sz w:val="23"/>
        </w:rPr>
        <w:t xml:space="preserve">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 his termination under the terms of any employee benefit plan of the Company in which the Executive participates, including without limitation all vested benefits due under the SERP and other retirement plans all of the foregoing to be paid in the normal course for such payments and in accordance with the terms of such plans. In no event shall the payment in clause (c) be included for purposes of the SERP in Executive's "Compensation," as that term is defined therein. Notwithstanding anything herein to the contrary, the payments described in causes (b) and (c) shall be continent on the Executive's prior execution and non-revocation of a release of claims in favor of the Company and its affiliates substantially in the form attached as </w:t>
      </w:r>
      <w:r>
        <w:rPr>
          <w:rFonts w:ascii="Times New Roman;serif" w:hAnsi="Times New Roman;serif"/>
          <w:b w:val="false"/>
          <w:color w:val="232323"/>
          <w:sz w:val="23"/>
          <w:u w:val="single"/>
        </w:rPr>
        <w:t>Exhibit A</w:t>
      </w:r>
      <w:r>
        <w:rPr>
          <w:color w:val="232323"/>
        </w:rPr>
        <w:t xml:space="preserve"> </w:t>
      </w:r>
      <w:r>
        <w:rPr>
          <w:rFonts w:ascii="Times New Roman;serif" w:hAnsi="Times New Roman;serif"/>
          <w:b w:val="false"/>
          <w:color w:val="232323"/>
          <w:sz w:val="23"/>
        </w:rPr>
        <w:t xml:space="preserve">(the </w:t>
      </w:r>
      <w:r>
        <w:rPr>
          <w:rFonts w:ascii="Times New Roman;serif" w:hAnsi="Times New Roman;serif"/>
          <w:b w:val="false"/>
          <w:color w:val="232323"/>
          <w:sz w:val="23"/>
          <w:u w:val="single"/>
        </w:rPr>
        <w:t>"Release")</w:t>
      </w:r>
      <w:r>
        <w:rPr>
          <w:color w:val="232323"/>
        </w:rPr>
        <w:t xml:space="preserve"> </w:t>
      </w:r>
      <w:r>
        <w:rPr>
          <w:rFonts w:ascii="Times New Roman;serif" w:hAnsi="Times New Roman;serif"/>
          <w:b w:val="false"/>
          <w:color w:val="232323"/>
          <w:sz w:val="23"/>
        </w:rPr>
        <w:t>within 60 days following his termination date and shall be paid as specified above or such later date as may be required to comply with Section 409A of the Code."</w:t>
      </w:r>
    </w:p>
    <w:p>
      <w:pPr>
        <w:pStyle w:val="TextBody"/>
        <w:bidi w:val="0"/>
        <w:spacing w:before="16" w:after="283"/>
        <w:jc w:val="left"/>
        <w:rPr/>
      </w:pPr>
      <w:r>
        <w:rPr/>
      </w:r>
    </w:p>
    <w:p>
      <w:pPr>
        <w:pStyle w:val="TextBody"/>
        <w:bidi w:val="0"/>
        <w:spacing w:lineRule="auto" w:line="292" w:before="0" w:after="0"/>
        <w:ind w:left="0" w:right="0" w:hanging="342"/>
        <w:jc w:val="left"/>
        <w:rPr/>
      </w:pPr>
      <w:r>
        <w:rPr>
          <w:rFonts w:ascii="Times New Roman;serif" w:hAnsi="Times New Roman;serif"/>
          <w:b w:val="false"/>
          <w:color w:val="232323"/>
          <w:sz w:val="23"/>
        </w:rPr>
        <w:t xml:space="preserve">4.Section 5.7. </w:t>
      </w:r>
      <w:r>
        <w:rPr>
          <w:rFonts w:ascii="Times New Roman;serif" w:hAnsi="Times New Roman;serif"/>
          <w:b w:val="false"/>
          <w:color w:val="232323"/>
          <w:sz w:val="23"/>
          <w:u w:val="single"/>
        </w:rPr>
        <w:t>Involuntary Termination by the Company or by the Executive for Good</w:t>
      </w:r>
      <w:r>
        <w:rPr>
          <w:color w:val="232323"/>
        </w:rPr>
        <w:t xml:space="preserve"> </w:t>
      </w:r>
      <w:r>
        <w:rPr>
          <w:rFonts w:ascii="Times New Roman;serif" w:hAnsi="Times New Roman;serif"/>
          <w:b w:val="false"/>
          <w:color w:val="232323"/>
          <w:sz w:val="23"/>
          <w:u w:val="single"/>
        </w:rPr>
        <w:t>Reason Following a Change of Control</w:t>
      </w:r>
      <w:r>
        <w:rPr>
          <w:color w:val="232323"/>
        </w:rPr>
        <w:t xml:space="preserve"> </w:t>
      </w:r>
      <w:r>
        <w:rPr>
          <w:rFonts w:ascii="Times New Roman;serif" w:hAnsi="Times New Roman;serif"/>
          <w:b w:val="false"/>
          <w:color w:val="232323"/>
          <w:sz w:val="23"/>
        </w:rPr>
        <w:t>shall be revised in its entirety to read as follows:</w:t>
      </w:r>
    </w:p>
    <w:p>
      <w:pPr>
        <w:pStyle w:val="TextBody"/>
        <w:bidi w:val="0"/>
        <w:spacing w:before="13" w:after="283"/>
        <w:jc w:val="left"/>
        <w:rPr/>
      </w:pPr>
      <w:r>
        <w:rPr/>
      </w:r>
    </w:p>
    <w:p>
      <w:pPr>
        <w:pStyle w:val="TextBody"/>
        <w:bidi w:val="0"/>
        <w:spacing w:lineRule="auto" w:line="292" w:before="0" w:after="0"/>
        <w:ind w:left="0" w:right="0" w:hanging="2"/>
        <w:jc w:val="left"/>
        <w:rPr/>
      </w:pPr>
      <w:r>
        <w:rPr>
          <w:rFonts w:ascii="Times New Roman;serif" w:hAnsi="Times New Roman;serif"/>
          <w:b w:val="false"/>
          <w:color w:val="232323"/>
          <w:sz w:val="23"/>
        </w:rPr>
        <w:t>"5.7.    </w:t>
      </w:r>
      <w:r>
        <w:rPr>
          <w:rFonts w:ascii="Times New Roman;serif" w:hAnsi="Times New Roman;serif"/>
          <w:b w:val="false"/>
          <w:color w:val="232323"/>
          <w:sz w:val="23"/>
          <w:u w:val="single"/>
        </w:rPr>
        <w:t>Involuntary Termination by the Company or by the Executive for Good Reason</w:t>
      </w:r>
      <w:r>
        <w:rPr>
          <w:color w:val="232323"/>
        </w:rPr>
        <w:t xml:space="preserve"> </w:t>
      </w:r>
      <w:r>
        <w:rPr>
          <w:rFonts w:ascii="Times New Roman;serif" w:hAnsi="Times New Roman;serif"/>
          <w:b w:val="false"/>
          <w:color w:val="232323"/>
          <w:sz w:val="23"/>
          <w:u w:val="single"/>
        </w:rPr>
        <w:t>Following a Change of Control.</w:t>
      </w:r>
      <w:r>
        <w:rPr>
          <w:color w:val="232323"/>
        </w:rPr>
        <w:t xml:space="preserve"> </w:t>
      </w:r>
      <w:r>
        <w:rPr>
          <w:rFonts w:ascii="Times New Roman;serif" w:hAnsi="Times New Roman;serif"/>
          <w:b w:val="false"/>
          <w:color w:val="232323"/>
          <w:sz w:val="23"/>
        </w:rPr>
        <w:t>If the Company terminates the Executive's employment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4500"/>
                <wp:effectExtent l="0" t="0" r="0" b="0"/>
                <wp:wrapNone/>
                <wp:docPr id="57" name="Frame57"/>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1D1D1D"/>
                                <w:sz w:val="23"/>
                              </w:rPr>
                            </w:pPr>
                            <w:r>
                              <w:rPr>
                                <w:rFonts w:ascii="Times New Roman;serif" w:hAnsi="Times New Roman;serif"/>
                                <w:b w:val="false"/>
                                <w:color w:val="1D1D1D"/>
                                <w:sz w:val="23"/>
                              </w:rPr>
                              <w:t>2</w:t>
                            </w:r>
                          </w:p>
                          <w:p>
                            <w:pPr>
                              <w:pStyle w:val="TextBody"/>
                              <w:bidi w:val="0"/>
                              <w:spacing w:lineRule="auto" w:line="192" w:before="0" w:after="0"/>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1D1D1D"/>
                          <w:sz w:val="23"/>
                        </w:rPr>
                      </w:pPr>
                      <w:r>
                        <w:rPr>
                          <w:rFonts w:ascii="Times New Roman;serif" w:hAnsi="Times New Roman;serif"/>
                          <w:b w:val="false"/>
                          <w:color w:val="1D1D1D"/>
                          <w:sz w:val="23"/>
                        </w:rPr>
                        <w:t>2</w:t>
                      </w:r>
                    </w:p>
                    <w:p>
                      <w:pPr>
                        <w:pStyle w:val="TextBody"/>
                        <w:bidi w:val="0"/>
                        <w:spacing w:lineRule="auto" w:line="192" w:before="0" w:after="0"/>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v:textbox>
                <w10:wrap type="none"/>
              </v:rect>
            </w:pict>
          </mc:Fallback>
        </mc:AlternateContent>
      </w:r>
    </w:p>
    <w:p>
      <w:pPr>
        <w:pStyle w:val="TextBody"/>
        <w:bidi w:val="0"/>
        <w:spacing w:lineRule="auto" w:line="292" w:before="72" w:after="283"/>
        <w:ind w:left="0" w:right="0" w:firstLine="24"/>
        <w:jc w:val="left"/>
        <w:rPr/>
      </w:pPr>
      <w:r>
        <w:rPr>
          <w:rFonts w:ascii="Times New Roman;serif" w:hAnsi="Times New Roman;serif"/>
          <w:b w:val="false"/>
          <w:color w:val="232323"/>
          <w:sz w:val="23"/>
        </w:rPr>
        <w:t xml:space="preserve">without Cause during the 12-month period following a Change in Control, or the Executive voluntarily terminates his employment for Good Reason during the 12 months following a Change in Control, the Company's obligations under this Agreement shall terminate except for the Company's obligation to pay to the Executive the following: (a) any Base Salary earned through the date of the Executive's termination of employment, to the extent therefore unpaid, (b) a lump-sum payment equal to 2.99 times the sum of the Executive's Base Salary and target Incentive Bonus Payment for the year of such termination, payable within 30 days following the Executive's termination of employment, </w:t>
      </w:r>
      <w:r>
        <w:rPr>
          <w:rFonts w:ascii="Times New Roman;serif" w:hAnsi="Times New Roman;serif"/>
          <w:b w:val="false"/>
          <w:color w:val="232323"/>
          <w:sz w:val="23"/>
          <w:u w:val="single"/>
        </w:rPr>
        <w:t>provided, however</w:t>
      </w:r>
      <w:r>
        <w:rPr>
          <w:color w:val="232323"/>
        </w:rPr>
        <w:t xml:space="preserve"> </w:t>
      </w:r>
      <w:r>
        <w:rPr>
          <w:rFonts w:ascii="Times New Roman;serif" w:hAnsi="Times New Roman;serif"/>
          <w:b w:val="false"/>
          <w:color w:val="232323"/>
          <w:sz w:val="23"/>
        </w:rPr>
        <w:t>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SERP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for such longer period as provided under the terms of such option. In no event shall the payment in the clause (b) be included for purposes of the SERP in Executive's "Compensation," as that term is defined therein. Notwithstanding anything herein to the contrary, the payment described in clause (b) shall be continent on the Executive's prior execution and non-revocation of the Release within 60 days following his termination date and shall be paid as specified above or such later date as may be required to comply with Section 409A of the Code."</w:t>
      </w:r>
    </w:p>
    <w:p>
      <w:pPr>
        <w:pStyle w:val="TextBody"/>
        <w:bidi w:val="0"/>
        <w:spacing w:before="15" w:after="283"/>
        <w:jc w:val="left"/>
        <w:rPr/>
      </w:pPr>
      <w:r>
        <w:rPr/>
      </w:r>
    </w:p>
    <w:p>
      <w:pPr>
        <w:pStyle w:val="TextBody"/>
        <w:bidi w:val="0"/>
        <w:spacing w:lineRule="auto" w:line="288" w:before="0" w:after="0"/>
        <w:ind w:left="0" w:right="0" w:hanging="357"/>
        <w:jc w:val="left"/>
        <w:rPr/>
      </w:pPr>
      <w:r>
        <w:rPr>
          <w:rFonts w:ascii="Times New Roman;serif" w:hAnsi="Times New Roman;serif"/>
          <w:b w:val="false"/>
          <w:color w:val="232323"/>
          <w:sz w:val="23"/>
        </w:rPr>
        <w:t xml:space="preserve">5.Section 14. </w:t>
      </w:r>
      <w:r>
        <w:rPr>
          <w:rFonts w:ascii="Times New Roman;serif" w:hAnsi="Times New Roman;serif"/>
          <w:b w:val="false"/>
          <w:color w:val="232323"/>
          <w:sz w:val="23"/>
          <w:u w:val="single"/>
        </w:rPr>
        <w:t>Arbitration</w:t>
      </w:r>
      <w:r>
        <w:rPr>
          <w:color w:val="232323"/>
        </w:rPr>
        <w:t xml:space="preserve"> </w:t>
      </w:r>
      <w:r>
        <w:rPr>
          <w:rFonts w:ascii="Times New Roman;serif" w:hAnsi="Times New Roman;serif"/>
          <w:b w:val="false"/>
          <w:color w:val="232323"/>
          <w:sz w:val="23"/>
        </w:rPr>
        <w:t>shall be revised in its entirety to read as follows:</w:t>
      </w:r>
    </w:p>
    <w:p>
      <w:pPr>
        <w:pStyle w:val="TextBody"/>
        <w:bidi w:val="0"/>
        <w:spacing w:before="28" w:after="283"/>
        <w:jc w:val="left"/>
        <w:rPr/>
      </w:pPr>
      <w:r>
        <w:rPr/>
      </w:r>
    </w:p>
    <w:p>
      <w:pPr>
        <w:pStyle w:val="TextBody"/>
        <w:bidi w:val="0"/>
        <w:spacing w:lineRule="auto" w:line="292" w:before="0" w:after="0"/>
        <w:ind w:left="0" w:right="0" w:firstLine="2"/>
        <w:jc w:val="left"/>
        <w:rPr/>
      </w:pPr>
      <w:r>
        <w:rPr>
          <w:rFonts w:ascii="Times New Roman;serif" w:hAnsi="Times New Roman;serif"/>
          <w:b w:val="false"/>
          <w:color w:val="232323"/>
          <w:sz w:val="23"/>
        </w:rPr>
        <w:t>"14.    </w:t>
      </w:r>
      <w:r>
        <w:rPr>
          <w:rFonts w:ascii="Times New Roman;serif" w:hAnsi="Times New Roman;serif"/>
          <w:b w:val="false"/>
          <w:color w:val="232323"/>
          <w:sz w:val="23"/>
          <w:u w:val="single"/>
        </w:rPr>
        <w:t>Arbitration.</w:t>
      </w:r>
      <w:r>
        <w:rPr>
          <w:color w:val="232323"/>
        </w:rPr>
        <w:t xml:space="preserve"> </w:t>
      </w:r>
      <w:r>
        <w:rPr>
          <w:rFonts w:ascii="Times New Roman;serif" w:hAnsi="Times New Roman;serif"/>
          <w:b w:val="false"/>
          <w:color w:val="232323"/>
          <w:sz w:val="23"/>
        </w:rPr>
        <w:t>Except as provided in Section 9 of this Agreement, any controversy or claim arising out of or relating to this Agreement or the breach thereof shall be settled by arbitration in Tampa, Florida in accordance with the rules of the American Arbitration Association, the judgment upon any award so rendered may be entered in any court of competent jurisdiction. The determination of the arbitrator(s) shall be conclusive and binding on the Company and the Executive, and judgment may be entered on the arbitrator(s)' award in any court having jurisdiction."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53085"/>
                <wp:effectExtent l="0" t="0" r="0" b="0"/>
                <wp:wrapNone/>
                <wp:docPr id="58" name="Frame58"/>
                <a:graphic xmlns:a="http://schemas.openxmlformats.org/drawingml/2006/main">
                  <a:graphicData uri="http://schemas.microsoft.com/office/word/2010/wordprocessingShape">
                    <wps:wsp>
                      <wps:cNvSpPr txBox="1"/>
                      <wps:spPr>
                        <a:xfrm>
                          <a:off x="0" y="0"/>
                          <a:ext cx="6480175" cy="553085"/>
                        </a:xfrm>
                        <a:prstGeom prst="rect"/>
                        <a:solidFill>
                          <a:srgbClr val="FFFFFF"/>
                        </a:solidFill>
                      </wps:spPr>
                      <wps:txbx>
                        <w:txbxContent>
                          <w:p>
                            <w:pPr>
                              <w:pStyle w:val="TextBody"/>
                              <w:bidi w:val="0"/>
                              <w:spacing w:lineRule="auto" w:line="288" w:before="10" w:after="283"/>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0" w:after="283"/>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v:textbox>
                <w10:wrap type="none"/>
              </v:rect>
            </w:pict>
          </mc:Fallback>
        </mc:AlternateContent>
      </w:r>
    </w:p>
    <w:p>
      <w:pPr>
        <w:pStyle w:val="TextBody"/>
        <w:bidi w:val="0"/>
        <w:spacing w:lineRule="auto" w:line="288" w:before="73" w:after="283"/>
        <w:ind w:left="0" w:right="0" w:hanging="365"/>
        <w:jc w:val="left"/>
        <w:rPr/>
      </w:pPr>
      <w:r>
        <w:rPr>
          <w:rFonts w:ascii="Times New Roman;serif" w:hAnsi="Times New Roman;serif"/>
          <w:b w:val="false"/>
          <w:color w:val="1F1F1F"/>
          <w:sz w:val="23"/>
        </w:rPr>
        <w:t xml:space="preserve">6.Section 15. </w:t>
      </w:r>
      <w:r>
        <w:rPr>
          <w:rFonts w:ascii="Times New Roman;serif" w:hAnsi="Times New Roman;serif"/>
          <w:b w:val="false"/>
          <w:color w:val="1F1F1F"/>
          <w:sz w:val="23"/>
          <w:u w:val="single"/>
        </w:rPr>
        <w:t>Governing Law</w:t>
      </w:r>
      <w:r>
        <w:rPr>
          <w:color w:val="1F1F1F"/>
        </w:rPr>
        <w:t xml:space="preserve"> </w:t>
      </w:r>
      <w:r>
        <w:rPr>
          <w:rFonts w:ascii="Times New Roman;serif" w:hAnsi="Times New Roman;serif"/>
          <w:b w:val="false"/>
          <w:color w:val="1F1F1F"/>
          <w:sz w:val="23"/>
        </w:rPr>
        <w:t>shall be revised in its entirety to read as follows:</w:t>
      </w:r>
    </w:p>
    <w:p>
      <w:pPr>
        <w:pStyle w:val="TextBody"/>
        <w:bidi w:val="0"/>
        <w:spacing w:before="23" w:after="283"/>
        <w:jc w:val="left"/>
        <w:rPr/>
      </w:pPr>
      <w:r>
        <w:rPr/>
      </w:r>
    </w:p>
    <w:p>
      <w:pPr>
        <w:pStyle w:val="TextBody"/>
        <w:bidi w:val="0"/>
        <w:spacing w:lineRule="auto" w:line="292" w:before="0" w:after="0"/>
        <w:ind w:left="0" w:right="0" w:hanging="12"/>
        <w:jc w:val="left"/>
        <w:rPr/>
      </w:pPr>
      <w:r>
        <w:rPr>
          <w:rFonts w:ascii="Times New Roman;serif" w:hAnsi="Times New Roman;serif"/>
          <w:b w:val="false"/>
          <w:color w:val="1F1F1F"/>
          <w:sz w:val="23"/>
        </w:rPr>
        <w:t>"15.    </w:t>
      </w:r>
      <w:r>
        <w:rPr>
          <w:rFonts w:ascii="Times New Roman;serif" w:hAnsi="Times New Roman;serif"/>
          <w:b w:val="false"/>
          <w:color w:val="1F1F1F"/>
          <w:sz w:val="23"/>
          <w:u w:val="single"/>
        </w:rPr>
        <w:t>Governing Law.</w:t>
      </w:r>
      <w:r>
        <w:rPr>
          <w:color w:val="1F1F1F"/>
        </w:rPr>
        <w:t xml:space="preserve"> </w:t>
      </w:r>
      <w:r>
        <w:rPr>
          <w:rFonts w:ascii="Times New Roman;serif" w:hAnsi="Times New Roman;serif"/>
          <w:b w:val="false"/>
          <w:color w:val="1F1F1F"/>
          <w:sz w:val="23"/>
        </w:rPr>
        <w:t>Except to the extent such laws are superseded by Federal laws, this Agreement shall be governed by the laws of the State of Florida without reference to principles of conflict of laws."</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1F1F1F"/>
          <w:sz w:val="23"/>
        </w:rPr>
      </w:pPr>
      <w:r>
        <w:rPr>
          <w:rFonts w:ascii="Times New Roman;serif" w:hAnsi="Times New Roman;serif"/>
          <w:b w:val="false"/>
          <w:color w:val="1F1F1F"/>
          <w:sz w:val="23"/>
        </w:rPr>
        <w:t>Crown Holdings, Inc.</w:t>
      </w:r>
    </w:p>
    <w:p>
      <w:pPr>
        <w:pStyle w:val="TextBody"/>
        <w:bidi w:val="0"/>
        <w:spacing w:before="0" w:after="0"/>
        <w:jc w:val="left"/>
        <w:rPr/>
      </w:pPr>
      <w:r>
        <w:rPr/>
      </w:r>
    </w:p>
    <w:p>
      <w:pPr>
        <w:pStyle w:val="TextBody"/>
        <w:bidi w:val="0"/>
        <w:spacing w:before="257" w:after="283"/>
        <w:jc w:val="left"/>
        <w:rPr/>
      </w:pPr>
      <w:r>
        <w:rPr/>
      </w:r>
    </w:p>
    <w:p>
      <w:pPr>
        <w:pStyle w:val="TextBody"/>
        <w:bidi w:val="0"/>
        <w:spacing w:lineRule="auto" w:line="288" w:before="0" w:after="0"/>
        <w:jc w:val="left"/>
        <w:rPr>
          <w:rFonts w:ascii="Times New Roman;serif" w:hAnsi="Times New Roman;serif"/>
          <w:b w:val="false"/>
          <w:color w:val="1F1F1F"/>
          <w:sz w:val="23"/>
          <w:u w:val="single"/>
        </w:rPr>
      </w:pPr>
      <w:r>
        <w:rPr>
          <w:rFonts w:ascii="Times New Roman;serif" w:hAnsi="Times New Roman;serif"/>
          <w:b w:val="false"/>
          <w:color w:val="1F1F1F"/>
          <w:sz w:val="23"/>
          <w:u w:val="single"/>
        </w:rPr>
        <w:t>/s/Timothy J. Donahue</w:t>
      </w:r>
    </w:p>
    <w:p>
      <w:pPr>
        <w:pStyle w:val="TextBody"/>
        <w:bidi w:val="0"/>
        <w:spacing w:lineRule="auto" w:line="288" w:before="0" w:after="0"/>
        <w:jc w:val="left"/>
        <w:rPr>
          <w:rFonts w:ascii="Times New Roman;serif" w:hAnsi="Times New Roman;serif"/>
          <w:b w:val="false"/>
          <w:color w:val="1F1F1F"/>
          <w:sz w:val="23"/>
        </w:rPr>
      </w:pPr>
      <w:r>
        <w:rPr>
          <w:rFonts w:ascii="Times New Roman;serif" w:hAnsi="Times New Roman;serif"/>
          <w:b w:val="false"/>
          <w:color w:val="1F1F1F"/>
          <w:sz w:val="23"/>
        </w:rPr>
        <w:t>Timothy J. Donahue</w:t>
      </w:r>
    </w:p>
    <w:p>
      <w:pPr>
        <w:pStyle w:val="TextBody"/>
        <w:bidi w:val="0"/>
        <w:spacing w:lineRule="auto" w:line="288" w:before="0" w:after="0"/>
        <w:jc w:val="left"/>
        <w:rPr>
          <w:rFonts w:ascii="Times New Roman;serif" w:hAnsi="Times New Roman;serif"/>
          <w:b w:val="false"/>
          <w:color w:val="1F1F1F"/>
          <w:sz w:val="23"/>
        </w:rPr>
      </w:pPr>
      <w:r>
        <w:rPr>
          <w:rFonts w:ascii="Times New Roman;serif" w:hAnsi="Times New Roman;serif"/>
          <w:b w:val="false"/>
          <w:color w:val="1F1F1F"/>
          <w:sz w:val="23"/>
        </w:rPr>
        <w:t>President and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1F1F1F"/>
          <w:sz w:val="23"/>
        </w:rPr>
      </w:pPr>
      <w:r>
        <w:rPr>
          <w:rFonts w:ascii="Times New Roman;serif" w:hAnsi="Times New Roman;serif"/>
          <w:b w:val="false"/>
          <w:color w:val="1F1F1F"/>
          <w:sz w:val="23"/>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1F1F1F"/>
          <w:sz w:val="23"/>
          <w:u w:val="single"/>
        </w:rPr>
      </w:pPr>
      <w:r>
        <w:rPr>
          <w:rFonts w:ascii="Times New Roman;serif" w:hAnsi="Times New Roman;serif"/>
          <w:b w:val="false"/>
          <w:color w:val="1F1F1F"/>
          <w:sz w:val="23"/>
          <w:u w:val="single"/>
        </w:rPr>
        <w:t>/s/Djalma Novaes, Jr.</w:t>
      </w:r>
    </w:p>
    <w:p>
      <w:pPr>
        <w:pStyle w:val="TextBody"/>
        <w:bidi w:val="0"/>
        <w:spacing w:lineRule="auto" w:line="288" w:before="0" w:after="0"/>
        <w:jc w:val="left"/>
        <w:rPr>
          <w:rFonts w:ascii="Times New Roman;serif" w:hAnsi="Times New Roman;serif"/>
          <w:b w:val="false"/>
          <w:color w:val="1F1F1F"/>
          <w:sz w:val="23"/>
        </w:rPr>
      </w:pPr>
      <w:r>
        <w:rPr>
          <w:rFonts w:ascii="Times New Roman;serif" w:hAnsi="Times New Roman;serif"/>
          <w:b w:val="false"/>
          <w:color w:val="1F1F1F"/>
          <w:sz w:val="23"/>
        </w:rPr>
        <w:t>Djalma Novaes, Jr.</w:t>
      </w:r>
    </w:p>
    <w:p>
      <w:pPr>
        <w:pStyle w:val="TextBody"/>
        <w:bidi w:val="0"/>
        <w:spacing w:before="0" w:after="0"/>
        <w:jc w:val="left"/>
        <w:rPr/>
      </w:pPr>
      <w:r>
        <w:rPr/>
      </w:r>
    </w:p>
    <w:p>
      <w:pPr>
        <w:pStyle w:val="TextBody"/>
        <w:bidi w:val="0"/>
        <w:spacing w:before="0" w:after="0"/>
        <w:jc w:val="left"/>
        <w:rPr/>
      </w:pPr>
      <w:r>
        <w:rPr/>
      </w:r>
    </w:p>
    <w:p>
      <w:pPr>
        <w:pStyle w:val="TextBody"/>
        <w:bidi w:val="0"/>
        <w:spacing w:before="18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53085"/>
                <wp:effectExtent l="0" t="0" r="0" b="0"/>
                <wp:wrapNone/>
                <wp:docPr id="59" name="Frame59"/>
                <a:graphic xmlns:a="http://schemas.openxmlformats.org/drawingml/2006/main">
                  <a:graphicData uri="http://schemas.microsoft.com/office/word/2010/wordprocessingShape">
                    <wps:wsp>
                      <wps:cNvSpPr txBox="1"/>
                      <wps:spPr>
                        <a:xfrm>
                          <a:off x="0" y="0"/>
                          <a:ext cx="6480175" cy="553085"/>
                        </a:xfrm>
                        <a:prstGeom prst="rect"/>
                        <a:solidFill>
                          <a:srgbClr val="FFFFFF"/>
                        </a:solidFill>
                      </wps:spPr>
                      <wps:txbx>
                        <w:txbxContent>
                          <w:p>
                            <w:pPr>
                              <w:pStyle w:val="TextBody"/>
                              <w:bidi w:val="0"/>
                              <w:spacing w:lineRule="auto" w:line="288" w:before="10" w:after="283"/>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0" w:after="283"/>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10" w:after="283"/>
                        <w:jc w:val="left"/>
                        <w:rPr>
                          <w:rFonts w:ascii="Times New Roman;serif" w:hAnsi="Times New Roman;serif"/>
                          <w:b w:val="false"/>
                          <w:color w:val="1D1D1D"/>
                          <w:sz w:val="23"/>
                        </w:rPr>
                      </w:pPr>
                      <w:r>
                        <w:rPr>
                          <w:rFonts w:ascii="Times New Roman;serif" w:hAnsi="Times New Roman;serif"/>
                          <w:b w:val="false"/>
                          <w:color w:val="1D1D1D"/>
                          <w:sz w:val="23"/>
                        </w:rPr>
                        <w:t>TAX.12862650.1</w:t>
                      </w:r>
                    </w:p>
                  </w:txbxContent>
                </v:textbox>
                <w10:wrap type="none"/>
              </v:rect>
            </w:pict>
          </mc:Fallback>
        </mc:AlternateContent>
      </w:r>
    </w:p>
    <w:p>
      <w:pPr>
        <w:pStyle w:val="TextBody"/>
        <w:bidi w:val="0"/>
        <w:spacing w:lineRule="auto" w:line="292" w:before="102" w:after="283"/>
        <w:jc w:val="center"/>
        <w:rPr>
          <w:rFonts w:ascii="Times New Roman;serif" w:hAnsi="Times New Roman;serif"/>
          <w:b/>
          <w:color w:val="101010"/>
          <w:sz w:val="24"/>
        </w:rPr>
      </w:pPr>
      <w:r>
        <w:rPr>
          <w:rFonts w:ascii="Times New Roman;serif" w:hAnsi="Times New Roman;serif"/>
          <w:b/>
          <w:color w:val="101010"/>
          <w:sz w:val="24"/>
        </w:rPr>
        <w:t>AMENDMENT NO. 1 TO</w:t>
      </w:r>
    </w:p>
    <w:p>
      <w:pPr>
        <w:pStyle w:val="TextBody"/>
        <w:bidi w:val="0"/>
        <w:spacing w:lineRule="atLeast" w:line="272" w:before="0" w:after="0"/>
        <w:jc w:val="center"/>
        <w:rPr>
          <w:rFonts w:ascii="Times New Roman;serif" w:hAnsi="Times New Roman;serif"/>
          <w:b/>
          <w:color w:val="0E0E0E"/>
          <w:sz w:val="24"/>
        </w:rPr>
      </w:pPr>
      <w:r>
        <w:rPr>
          <w:rFonts w:ascii="Times New Roman;serif" w:hAnsi="Times New Roman;serif"/>
          <w:b/>
          <w:color w:val="0E0E0E"/>
          <w:sz w:val="24"/>
        </w:rPr>
        <w:t>SENIOR EXECUTIVE RETIREMENT AGREEMENT</w:t>
      </w:r>
    </w:p>
    <w:p>
      <w:pPr>
        <w:pStyle w:val="TextBody"/>
        <w:bidi w:val="0"/>
        <w:spacing w:before="29" w:after="283"/>
        <w:jc w:val="left"/>
        <w:rPr/>
      </w:pPr>
      <w:r>
        <w:rPr/>
      </w:r>
    </w:p>
    <w:p>
      <w:pPr>
        <w:pStyle w:val="TextBody"/>
        <w:bidi w:val="0"/>
        <w:spacing w:lineRule="auto" w:line="292" w:before="0" w:after="0"/>
        <w:ind w:left="0" w:right="0" w:firstLine="729"/>
        <w:jc w:val="both"/>
        <w:rPr>
          <w:rFonts w:ascii="Times New Roman;serif" w:hAnsi="Times New Roman;serif"/>
          <w:b w:val="false"/>
          <w:color w:val="171717"/>
          <w:sz w:val="24"/>
        </w:rPr>
      </w:pPr>
      <w:r>
        <w:rPr>
          <w:rFonts w:ascii="Times New Roman;serif" w:hAnsi="Times New Roman;serif"/>
          <w:b w:val="false"/>
          <w:color w:val="171717"/>
          <w:sz w:val="24"/>
        </w:rPr>
        <w:t>This is Amendment No. 1 (this "Amendment"), effective as of July 1, 2025, to the Senior Executive Retirement Agreement by and between Crown Holdings, Inc. ("Crown") and Djalma Novaes, Jr. (the "Participant"), dated December 31, 2014 (the "Agreement").</w:t>
      </w:r>
    </w:p>
    <w:p>
      <w:pPr>
        <w:pStyle w:val="TextBody"/>
        <w:bidi w:val="0"/>
        <w:spacing w:before="14" w:after="283"/>
        <w:jc w:val="left"/>
        <w:rPr/>
      </w:pPr>
      <w:r>
        <w:rPr/>
      </w:r>
    </w:p>
    <w:p>
      <w:pPr>
        <w:pStyle w:val="TextBody"/>
        <w:bidi w:val="0"/>
        <w:spacing w:lineRule="auto" w:line="288" w:before="0" w:after="0"/>
        <w:jc w:val="center"/>
        <w:rPr>
          <w:rFonts w:ascii="Times New Roman;serif" w:hAnsi="Times New Roman;serif"/>
          <w:b/>
          <w:color w:val="0D0D0D"/>
          <w:sz w:val="24"/>
          <w:u w:val="single"/>
        </w:rPr>
      </w:pPr>
      <w:r>
        <w:rPr>
          <w:rFonts w:ascii="Times New Roman;serif" w:hAnsi="Times New Roman;serif"/>
          <w:b/>
          <w:color w:val="0D0D0D"/>
          <w:sz w:val="24"/>
          <w:u w:val="single"/>
        </w:rPr>
        <w:t>Background</w:t>
      </w:r>
    </w:p>
    <w:p>
      <w:pPr>
        <w:pStyle w:val="TextBody"/>
        <w:bidi w:val="0"/>
        <w:spacing w:before="25" w:after="283"/>
        <w:jc w:val="left"/>
        <w:rPr/>
      </w:pPr>
      <w:r>
        <w:rPr/>
      </w:r>
    </w:p>
    <w:p>
      <w:pPr>
        <w:pStyle w:val="TextBody"/>
        <w:bidi w:val="0"/>
        <w:spacing w:lineRule="auto" w:line="288" w:before="0" w:after="0"/>
        <w:ind w:left="0" w:right="0" w:firstLine="719"/>
        <w:jc w:val="both"/>
        <w:rPr>
          <w:rFonts w:ascii="Times New Roman;serif" w:hAnsi="Times New Roman;serif"/>
          <w:b w:val="false"/>
          <w:color w:val="171717"/>
          <w:sz w:val="24"/>
        </w:rPr>
      </w:pPr>
      <w:r>
        <w:rPr>
          <w:rFonts w:ascii="Times New Roman;serif" w:hAnsi="Times New Roman;serif"/>
          <w:b w:val="false"/>
          <w:color w:val="171717"/>
          <w:sz w:val="24"/>
        </w:rPr>
        <w:t>WHEREAS, the Agreement sets forth the terms and conditions under which the Participant participates in the Crown Senior Executive Retirement Plan, as amended and restated January 1, 2008; and</w:t>
      </w:r>
    </w:p>
    <w:p>
      <w:pPr>
        <w:pStyle w:val="TextBody"/>
        <w:bidi w:val="0"/>
        <w:spacing w:before="20" w:after="283"/>
        <w:jc w:val="left"/>
        <w:rPr/>
      </w:pPr>
      <w:r>
        <w:rPr/>
      </w:r>
    </w:p>
    <w:p>
      <w:pPr>
        <w:pStyle w:val="TextBody"/>
        <w:bidi w:val="0"/>
        <w:spacing w:lineRule="atLeast" w:line="258" w:before="0" w:after="0"/>
        <w:jc w:val="left"/>
        <w:rPr>
          <w:rFonts w:ascii="Times New Roman;serif" w:hAnsi="Times New Roman;serif"/>
          <w:b w:val="false"/>
          <w:color w:val="181818"/>
          <w:sz w:val="24"/>
        </w:rPr>
      </w:pPr>
      <w:r>
        <w:rPr>
          <w:rFonts w:ascii="Times New Roman;serif" w:hAnsi="Times New Roman;serif"/>
          <w:b w:val="false"/>
          <w:color w:val="181818"/>
          <w:sz w:val="24"/>
        </w:rPr>
        <w:t>WHEREAS, Crown and the Participant desire to amend the Agreement as hereinafter set</w:t>
      </w:r>
    </w:p>
    <w:p>
      <w:pPr>
        <w:pStyle w:val="TextBody"/>
        <w:bidi w:val="0"/>
        <w:spacing w:lineRule="auto" w:line="288" w:before="25" w:after="283"/>
        <w:jc w:val="left"/>
        <w:rPr>
          <w:rFonts w:ascii="Times New Roman;serif" w:hAnsi="Times New Roman;serif"/>
          <w:b w:val="false"/>
          <w:color w:val="161616"/>
          <w:sz w:val="24"/>
        </w:rPr>
      </w:pPr>
      <w:r>
        <w:rPr>
          <w:rFonts w:ascii="Times New Roman;serif" w:hAnsi="Times New Roman;serif"/>
          <w:b w:val="false"/>
          <w:color w:val="161616"/>
          <w:sz w:val="24"/>
        </w:rPr>
        <w:t>fo1th.</w:t>
      </w:r>
    </w:p>
    <w:p>
      <w:pPr>
        <w:pStyle w:val="TextBody"/>
        <w:bidi w:val="0"/>
        <w:spacing w:before="34" w:after="283"/>
        <w:jc w:val="left"/>
        <w:rPr/>
      </w:pPr>
      <w:r>
        <w:rPr/>
      </w:r>
    </w:p>
    <w:p>
      <w:pPr>
        <w:pStyle w:val="TextBody"/>
        <w:bidi w:val="0"/>
        <w:spacing w:lineRule="atLeast" w:line="261" w:before="0" w:after="0"/>
        <w:jc w:val="left"/>
        <w:rPr>
          <w:rFonts w:ascii="Times New Roman;serif" w:hAnsi="Times New Roman;serif"/>
          <w:b w:val="false"/>
          <w:color w:val="171717"/>
          <w:sz w:val="24"/>
        </w:rPr>
      </w:pPr>
      <w:r>
        <w:rPr>
          <w:rFonts w:ascii="Times New Roman;serif" w:hAnsi="Times New Roman;serif"/>
          <w:b w:val="false"/>
          <w:color w:val="171717"/>
          <w:sz w:val="24"/>
        </w:rPr>
        <w:t>NOW, THEREFORE, for good and valuable consideration the sufficiency of which is</w:t>
      </w:r>
    </w:p>
    <w:p>
      <w:pPr>
        <w:pStyle w:val="TextBody"/>
        <w:bidi w:val="0"/>
        <w:spacing w:lineRule="auto" w:line="295" w:before="25" w:after="283"/>
        <w:jc w:val="left"/>
        <w:rPr>
          <w:rFonts w:ascii="Times New Roman;serif" w:hAnsi="Times New Roman;serif"/>
          <w:b w:val="false"/>
          <w:color w:val="171717"/>
          <w:sz w:val="24"/>
        </w:rPr>
      </w:pPr>
      <w:r>
        <w:rPr>
          <w:rFonts w:ascii="Times New Roman;serif" w:hAnsi="Times New Roman;serif"/>
          <w:b w:val="false"/>
          <w:color w:val="171717"/>
          <w:sz w:val="24"/>
        </w:rPr>
        <w:t>hereby acknowledged, Crown and the Participant, intending to be legally bound, hereby agree as follows:</w:t>
      </w:r>
    </w:p>
    <w:p>
      <w:pPr>
        <w:pStyle w:val="TextBody"/>
        <w:bidi w:val="0"/>
        <w:spacing w:before="8" w:after="283"/>
        <w:jc w:val="left"/>
        <w:rPr/>
      </w:pPr>
      <w:r>
        <w:rPr/>
      </w:r>
    </w:p>
    <w:p>
      <w:pPr>
        <w:pStyle w:val="TextBody"/>
        <w:bidi w:val="0"/>
        <w:spacing w:lineRule="auto" w:line="288" w:before="0" w:after="0"/>
        <w:jc w:val="center"/>
        <w:rPr>
          <w:rFonts w:ascii="Times New Roman;serif" w:hAnsi="Times New Roman;serif"/>
          <w:b/>
          <w:color w:val="0E0E0E"/>
          <w:sz w:val="24"/>
          <w:u w:val="single"/>
        </w:rPr>
      </w:pPr>
      <w:r>
        <w:rPr>
          <w:rFonts w:ascii="Times New Roman;serif" w:hAnsi="Times New Roman;serif"/>
          <w:b/>
          <w:color w:val="0E0E0E"/>
          <w:sz w:val="24"/>
          <w:u w:val="single"/>
        </w:rPr>
        <w:t>Terms</w:t>
      </w:r>
    </w:p>
    <w:p>
      <w:pPr>
        <w:pStyle w:val="TextBody"/>
        <w:bidi w:val="0"/>
        <w:spacing w:before="32" w:after="283"/>
        <w:jc w:val="left"/>
        <w:rPr/>
      </w:pPr>
      <w:r>
        <w:rPr/>
      </w:r>
    </w:p>
    <w:p>
      <w:pPr>
        <w:pStyle w:val="TextBody"/>
        <w:bidi w:val="0"/>
        <w:spacing w:lineRule="auto" w:line="288" w:before="0" w:after="0"/>
        <w:ind w:left="0" w:right="0" w:hanging="429"/>
        <w:jc w:val="left"/>
        <w:rPr>
          <w:rFonts w:ascii="Times New Roman;serif" w:hAnsi="Times New Roman;serif"/>
          <w:b w:val="false"/>
          <w:color w:val="181818"/>
          <w:sz w:val="24"/>
        </w:rPr>
      </w:pPr>
      <w:r>
        <w:rPr>
          <w:rFonts w:ascii="Times New Roman;serif" w:hAnsi="Times New Roman;serif"/>
          <w:b w:val="false"/>
          <w:color w:val="181818"/>
          <w:sz w:val="24"/>
        </w:rPr>
        <w:t>1.Section 3 of the Agreement is hereby amended and restated in its entirety as follows:</w:t>
      </w:r>
    </w:p>
    <w:p>
      <w:pPr>
        <w:pStyle w:val="TextBody"/>
        <w:bidi w:val="0"/>
        <w:spacing w:before="25" w:after="283"/>
        <w:jc w:val="left"/>
        <w:rPr/>
      </w:pPr>
      <w:r>
        <w:rPr/>
      </w:r>
    </w:p>
    <w:p>
      <w:pPr>
        <w:pStyle w:val="TextBody"/>
        <w:bidi w:val="0"/>
        <w:spacing w:lineRule="auto" w:line="292" w:before="1" w:after="283"/>
        <w:ind w:left="0" w:right="0" w:firstLine="558"/>
        <w:jc w:val="both"/>
        <w:rPr/>
      </w:pPr>
      <w:r>
        <w:rPr>
          <w:rFonts w:ascii="Times New Roman;serif" w:hAnsi="Times New Roman;serif"/>
          <w:b w:val="false"/>
          <w:color w:val="181818"/>
          <w:sz w:val="24"/>
        </w:rPr>
        <w:t xml:space="preserve">"3. </w:t>
      </w:r>
      <w:r>
        <w:rPr>
          <w:rFonts w:ascii="Times New Roman;serif" w:hAnsi="Times New Roman;serif"/>
          <w:b w:val="false"/>
          <w:color w:val="181818"/>
          <w:sz w:val="24"/>
          <w:u w:val="single"/>
        </w:rPr>
        <w:t>Normal Retirement Benefit.</w:t>
      </w:r>
      <w:r>
        <w:rPr>
          <w:color w:val="181818"/>
        </w:rPr>
        <w:t xml:space="preserve"> </w:t>
      </w:r>
      <w:r>
        <w:rPr>
          <w:rFonts w:ascii="Times New Roman;serif" w:hAnsi="Times New Roman;serif"/>
          <w:b w:val="false"/>
          <w:color w:val="181818"/>
          <w:sz w:val="24"/>
        </w:rPr>
        <w:t xml:space="preserve">The Participant has been designated as a Group C </w:t>
      </w:r>
      <w:r>
        <w:rPr>
          <w:rFonts w:ascii="Times New Roman;serif" w:hAnsi="Times New Roman;serif"/>
          <w:b w:val="false"/>
          <w:color w:val="171717"/>
          <w:sz w:val="24"/>
        </w:rPr>
        <w:t>Participant and shall be entitled to a Retirement Benefit calculated in accordance with the applicable provision of Section 3.1 of the Plan. For purposes of calculating the Participant's Retirement Benefit under Section 3.1.2 of the Plan, item "A" Participant's Years of Service shall be determined by taking into account the Participant's service after the Participant reaches his Normal Retirement Date. In addition to the offsets specified in Article III of the Plan, the Participant's Retirement Benefit shall be calculated with an offset for the amount of any employer</w:t>
        <w:softHyphen/>
        <w:t xml:space="preserve"> funded benefit earned by the Participant under any other retirement plan (other than the Crown Cork &amp; Seal Company, Inc. 401(k) Retirement Savings Plan) sponsored by the Company or its subsidiaries, whether domestic or foreign."</w:t>
      </w:r>
    </w:p>
    <w:p>
      <w:pPr>
        <w:pStyle w:val="TextBody"/>
        <w:bidi w:val="0"/>
        <w:spacing w:before="7" w:after="283"/>
        <w:jc w:val="left"/>
        <w:rPr/>
      </w:pPr>
      <w:r>
        <w:rPr/>
      </w:r>
    </w:p>
    <w:p>
      <w:pPr>
        <w:pStyle w:val="TextBody"/>
        <w:bidi w:val="0"/>
        <w:spacing w:lineRule="auto" w:line="285" w:before="0" w:after="0"/>
        <w:ind w:left="0" w:right="0" w:firstLine="726"/>
        <w:jc w:val="left"/>
        <w:rPr>
          <w:rFonts w:ascii="Times New Roman;serif" w:hAnsi="Times New Roman;serif"/>
          <w:b w:val="false"/>
          <w:color w:val="181818"/>
          <w:sz w:val="24"/>
        </w:rPr>
      </w:pPr>
      <w:r>
        <w:rPr>
          <w:rFonts w:ascii="Times New Roman;serif" w:hAnsi="Times New Roman;serif"/>
          <w:b w:val="false"/>
          <w:color w:val="181818"/>
          <w:sz w:val="24"/>
        </w:rPr>
        <w:t>2.Except as expressly modified herein, the Agreement is hereby ratified and affirmed in its entirety.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5" w:after="283"/>
        <w:jc w:val="center"/>
        <w:rPr>
          <w:rFonts w:ascii="Times New Roman;serif" w:hAnsi="Times New Roman;serif"/>
          <w:b w:val="false"/>
          <w:i/>
          <w:color w:val="1A1A1A"/>
          <w:sz w:val="24"/>
        </w:rPr>
      </w:pPr>
      <w:r>
        <w:rPr>
          <w:rFonts w:ascii="Times New Roman;serif" w:hAnsi="Times New Roman;serif"/>
          <w:b w:val="false"/>
          <w:i/>
          <w:color w:val="1A1A1A"/>
          <w:sz w:val="24"/>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5" w:after="283"/>
        <w:jc w:val="left"/>
        <w:rPr/>
      </w:pPr>
      <w:r>
        <w:rPr/>
      </w:r>
    </w:p>
    <w:p>
      <w:pPr>
        <w:pStyle w:val="TextBody"/>
        <w:bidi w:val="0"/>
        <w:spacing w:lineRule="auto" w:line="288" w:before="0" w:after="0"/>
        <w:jc w:val="left"/>
        <w:rPr>
          <w:rFonts w:ascii="Times New Roman;serif" w:hAnsi="Times New Roman;serif"/>
          <w:b w:val="false"/>
          <w:color w:val="202020"/>
          <w:sz w:val="17"/>
        </w:rPr>
      </w:pPr>
      <w:r>
        <w:rPr>
          <w:rFonts w:ascii="Times New Roman;serif" w:hAnsi="Times New Roman;serif"/>
          <w:b w:val="false"/>
          <w:color w:val="202020"/>
          <w:sz w:val="17"/>
        </w:rPr>
        <w:t>TAX.12862742.1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2" w:before="72" w:after="283"/>
        <w:ind w:left="0" w:right="0" w:firstLine="717"/>
        <w:jc w:val="left"/>
        <w:rPr>
          <w:rFonts w:ascii="Times New Roman;serif" w:hAnsi="Times New Roman;serif"/>
          <w:b w:val="false"/>
          <w:color w:val="282828"/>
          <w:sz w:val="24"/>
        </w:rPr>
      </w:pPr>
      <w:r>
        <w:rPr>
          <w:rFonts w:ascii="Times New Roman;serif" w:hAnsi="Times New Roman;serif"/>
          <w:b w:val="false"/>
          <w:color w:val="282828"/>
          <w:sz w:val="24"/>
        </w:rPr>
        <w:t>IN WITNESS WHEREOF, the parties hereto have duly executed this Amendment as of the day and year first written above.</w:t>
      </w:r>
    </w:p>
    <w:p>
      <w:pPr>
        <w:pStyle w:val="TextBody"/>
        <w:bidi w:val="0"/>
        <w:spacing w:before="0" w:after="0"/>
        <w:jc w:val="left"/>
        <w:rPr/>
      </w:pPr>
      <w:r>
        <w:rPr/>
      </w:r>
    </w:p>
    <w:p>
      <w:pPr>
        <w:pStyle w:val="TextBody"/>
        <w:bidi w:val="0"/>
        <w:spacing w:before="72" w:after="283"/>
        <w:jc w:val="left"/>
        <w:rPr/>
      </w:pPr>
      <w:r>
        <w:rPr/>
      </w:r>
    </w:p>
    <w:p>
      <w:pPr>
        <w:pStyle w:val="TextBody"/>
        <w:bidi w:val="0"/>
        <w:spacing w:lineRule="auto" w:line="288" w:before="0" w:after="0"/>
        <w:jc w:val="left"/>
        <w:rPr>
          <w:rFonts w:ascii="Times New Roman;serif" w:hAnsi="Times New Roman;serif"/>
          <w:b w:val="false"/>
          <w:color w:val="282828"/>
          <w:sz w:val="24"/>
        </w:rPr>
      </w:pPr>
      <w:r>
        <w:rPr>
          <w:rFonts w:ascii="Times New Roman;serif" w:hAnsi="Times New Roman;serif"/>
          <w:b w:val="false"/>
          <w:color w:val="282828"/>
          <w:sz w:val="24"/>
        </w:rPr>
        <w:t>CROWN HOLDINGS,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82828"/>
          <w:sz w:val="24"/>
          <w:u w:val="single"/>
        </w:rPr>
      </w:pPr>
      <w:r>
        <w:rPr>
          <w:rFonts w:ascii="Times New Roman;serif" w:hAnsi="Times New Roman;serif"/>
          <w:b w:val="false"/>
          <w:color w:val="282828"/>
          <w:sz w:val="24"/>
          <w:u w:val="single"/>
        </w:rPr>
        <w:t>/s/ Timothy J. Donahue</w:t>
      </w:r>
    </w:p>
    <w:p>
      <w:pPr>
        <w:pStyle w:val="TextBody"/>
        <w:bidi w:val="0"/>
        <w:spacing w:lineRule="auto" w:line="288" w:before="0" w:after="0"/>
        <w:jc w:val="left"/>
        <w:rPr>
          <w:rFonts w:ascii="Times New Roman;serif" w:hAnsi="Times New Roman;serif"/>
          <w:b w:val="false"/>
          <w:color w:val="282828"/>
          <w:sz w:val="24"/>
        </w:rPr>
      </w:pPr>
      <w:r>
        <w:rPr>
          <w:rFonts w:ascii="Times New Roman;serif" w:hAnsi="Times New Roman;serif"/>
          <w:b w:val="false"/>
          <w:color w:val="282828"/>
          <w:sz w:val="24"/>
        </w:rPr>
        <w:t>Timothy J. Donahue</w:t>
      </w:r>
    </w:p>
    <w:p>
      <w:pPr>
        <w:pStyle w:val="TextBody"/>
        <w:bidi w:val="0"/>
        <w:spacing w:lineRule="auto" w:line="288" w:before="55" w:after="283"/>
        <w:ind w:left="0" w:right="0" w:firstLine="720"/>
        <w:jc w:val="left"/>
        <w:rPr>
          <w:rFonts w:ascii="Times New Roman;serif" w:hAnsi="Times New Roman;serif"/>
          <w:b w:val="false"/>
          <w:color w:val="282828"/>
          <w:sz w:val="24"/>
        </w:rPr>
      </w:pPr>
      <w:r>
        <w:rPr>
          <w:rFonts w:ascii="Times New Roman;serif" w:hAnsi="Times New Roman;serif"/>
          <w:b w:val="false"/>
          <w:color w:val="282828"/>
          <w:sz w:val="24"/>
        </w:rPr>
        <w:t>President and Chief Executive Officer</w:t>
      </w:r>
    </w:p>
    <w:p>
      <w:pPr>
        <w:pStyle w:val="TextBody"/>
        <w:bidi w:val="0"/>
        <w:spacing w:before="55" w:after="283"/>
        <w:ind w:left="0" w:right="0" w:firstLine="720"/>
        <w:jc w:val="left"/>
        <w:rPr/>
      </w:pPr>
      <w:r>
        <w:rPr/>
      </w:r>
    </w:p>
    <w:p>
      <w:pPr>
        <w:pStyle w:val="TextBody"/>
        <w:bidi w:val="0"/>
        <w:spacing w:lineRule="auto" w:line="288" w:before="0" w:after="0"/>
        <w:jc w:val="left"/>
        <w:rPr>
          <w:rFonts w:ascii="Times New Roman;serif" w:hAnsi="Times New Roman;serif"/>
          <w:b w:val="false"/>
          <w:color w:val="282828"/>
          <w:sz w:val="24"/>
        </w:rPr>
      </w:pPr>
      <w:r>
        <w:rPr>
          <w:rFonts w:ascii="Times New Roman;serif" w:hAnsi="Times New Roman;serif"/>
          <w:b w:val="false"/>
          <w:color w:val="282828"/>
          <w:sz w:val="24"/>
        </w:rPr>
        <w:t>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82828"/>
          <w:sz w:val="24"/>
          <w:u w:val="single"/>
        </w:rPr>
      </w:pPr>
      <w:r>
        <w:rPr>
          <w:rFonts w:ascii="Times New Roman;serif" w:hAnsi="Times New Roman;serif"/>
          <w:b w:val="false"/>
          <w:color w:val="282828"/>
          <w:sz w:val="24"/>
          <w:u w:val="single"/>
        </w:rPr>
        <w:t>/s/ Djalma Novaes, Jr.</w:t>
      </w:r>
    </w:p>
    <w:p>
      <w:pPr>
        <w:pStyle w:val="TextBody"/>
        <w:bidi w:val="0"/>
        <w:spacing w:lineRule="auto" w:line="288" w:before="0" w:after="0"/>
        <w:jc w:val="left"/>
        <w:rPr>
          <w:rFonts w:ascii="Times New Roman;serif" w:hAnsi="Times New Roman;serif"/>
          <w:b w:val="false"/>
          <w:color w:val="282828"/>
          <w:sz w:val="24"/>
        </w:rPr>
      </w:pPr>
      <w:r>
        <w:rPr>
          <w:rFonts w:ascii="Times New Roman;serif" w:hAnsi="Times New Roman;serif"/>
          <w:b w:val="false"/>
          <w:color w:val="282828"/>
          <w:sz w:val="24"/>
        </w:rPr>
        <w:t>Djalma Novaes, Jr.</w:t>
      </w:r>
    </w:p>
    <w:p>
      <w:pPr>
        <w:pStyle w:val="TextBody"/>
        <w:bidi w:val="0"/>
        <w:spacing w:before="55" w:after="283"/>
        <w:ind w:left="0" w:right="0" w:firstLine="720"/>
        <w:jc w:val="left"/>
        <w:rPr/>
      </w:pPr>
      <w:r>
        <w:rPr/>
      </w:r>
    </w:p>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4" w:after="283"/>
        <w:jc w:val="left"/>
        <w:rPr/>
      </w:pPr>
      <w:r>
        <w:rPr/>
      </w:r>
    </w:p>
    <w:p>
      <w:pPr>
        <w:pStyle w:val="TextBody"/>
        <w:bidi w:val="0"/>
        <w:spacing w:lineRule="auto" w:line="288"/>
        <w:jc w:val="left"/>
        <w:rPr>
          <w:rFonts w:ascii="Arial;sans-serif" w:hAnsi="Arial;sans-serif"/>
          <w:b w:val="false"/>
          <w:color w:val="3B3B3B"/>
          <w:sz w:val="15"/>
        </w:rPr>
      </w:pPr>
      <w:r>
        <w:rPr>
          <w:rFonts w:ascii="Arial;sans-serif" w:hAnsi="Arial;sans-serif"/>
          <w:b w:val="false"/>
          <w:color w:val="3B3B3B"/>
          <w:sz w:val="15"/>
        </w:rPr>
        <w:t>TAX.12862742.1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7"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EXECUTIVE EMPLOYMENT AGREEMENT</w:t>
      </w:r>
    </w:p>
    <w:p>
      <w:pPr>
        <w:pStyle w:val="TextBody"/>
        <w:bidi w:val="0"/>
        <w:spacing w:lineRule="auto" w:line="295" w:before="255" w:after="283"/>
        <w:ind w:left="0" w:right="0" w:firstLine="1455"/>
        <w:jc w:val="left"/>
        <w:rPr/>
      </w:pPr>
      <w:r>
        <w:rPr>
          <w:rFonts w:ascii="Times New Roman;serif" w:hAnsi="Times New Roman;serif"/>
          <w:b w:val="false"/>
          <w:color w:val="000000"/>
          <w:sz w:val="23"/>
        </w:rPr>
        <w:t>THIS IS AN EMPLOYMENT AGREEMENT ("</w:t>
      </w:r>
      <w:r>
        <w:rPr>
          <w:rFonts w:ascii="Times New Roman;serif" w:hAnsi="Times New Roman;serif"/>
          <w:b w:val="false"/>
          <w:color w:val="000000"/>
          <w:sz w:val="23"/>
          <w:u w:val="single"/>
        </w:rPr>
        <w:t>Agreement</w:t>
      </w:r>
      <w:r>
        <w:rPr>
          <w:rFonts w:ascii="Times New Roman;serif" w:hAnsi="Times New Roman;serif"/>
          <w:b w:val="false"/>
          <w:color w:val="000000"/>
          <w:sz w:val="23"/>
        </w:rPr>
        <w:t>"), effective July 1, 2025, ("</w:t>
      </w:r>
      <w:r>
        <w:rPr>
          <w:rFonts w:ascii="Times New Roman;serif" w:hAnsi="Times New Roman;serif"/>
          <w:b w:val="false"/>
          <w:color w:val="000000"/>
          <w:sz w:val="23"/>
          <w:u w:val="single"/>
        </w:rPr>
        <w:t>Effective Date</w:t>
      </w:r>
      <w:r>
        <w:rPr>
          <w:rFonts w:ascii="Times New Roman;serif" w:hAnsi="Times New Roman;serif"/>
          <w:b w:val="false"/>
          <w:color w:val="000000"/>
          <w:sz w:val="23"/>
        </w:rPr>
        <w:t>") between Crown Holdings, Inc. ("</w:t>
      </w:r>
      <w:r>
        <w:rPr>
          <w:rFonts w:ascii="Times New Roman;serif" w:hAnsi="Times New Roman;serif"/>
          <w:b w:val="false"/>
          <w:color w:val="000000"/>
          <w:sz w:val="23"/>
          <w:u w:val="single"/>
        </w:rPr>
        <w:t>Crown</w:t>
      </w:r>
      <w:r>
        <w:rPr>
          <w:rFonts w:ascii="Times New Roman;serif" w:hAnsi="Times New Roman;serif"/>
          <w:b w:val="false"/>
          <w:color w:val="000000"/>
          <w:sz w:val="23"/>
        </w:rPr>
        <w:t>" and, with its subsidiaries, the "</w:t>
      </w:r>
      <w:r>
        <w:rPr>
          <w:rFonts w:ascii="Times New Roman;serif" w:hAnsi="Times New Roman;serif"/>
          <w:b w:val="false"/>
          <w:color w:val="000000"/>
          <w:sz w:val="23"/>
          <w:u w:val="single"/>
        </w:rPr>
        <w:t>Company</w:t>
      </w:r>
      <w:r>
        <w:rPr>
          <w:rFonts w:ascii="Times New Roman;serif" w:hAnsi="Times New Roman;serif"/>
          <w:b w:val="false"/>
          <w:color w:val="000000"/>
          <w:sz w:val="23"/>
        </w:rPr>
        <w:t>") and Gary Gavin (the "</w:t>
      </w:r>
      <w:r>
        <w:rPr>
          <w:rFonts w:ascii="Times New Roman;serif" w:hAnsi="Times New Roman;serif"/>
          <w:b w:val="false"/>
          <w:color w:val="000000"/>
          <w:sz w:val="23"/>
          <w:u w:val="single"/>
        </w:rPr>
        <w:t>Executive</w:t>
      </w:r>
      <w:r>
        <w:rPr>
          <w:rFonts w:ascii="Times New Roman;serif" w:hAnsi="Times New Roman;serif"/>
          <w:b w:val="false"/>
          <w:color w:val="000000"/>
          <w:sz w:val="23"/>
        </w:rPr>
        <w:t>").</w:t>
      </w:r>
    </w:p>
    <w:p>
      <w:pPr>
        <w:pStyle w:val="TextBody"/>
        <w:bidi w:val="0"/>
        <w:spacing w:lineRule="auto" w:line="288" w:before="24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Background</w:t>
      </w:r>
    </w:p>
    <w:p>
      <w:pPr>
        <w:pStyle w:val="TextBody"/>
        <w:bidi w:val="0"/>
        <w:spacing w:lineRule="auto" w:line="288" w:before="259" w:after="283"/>
        <w:jc w:val="center"/>
        <w:rPr>
          <w:rFonts w:ascii="Times New Roman;serif" w:hAnsi="Times New Roman;serif"/>
          <w:b w:val="false"/>
          <w:color w:val="000000"/>
          <w:sz w:val="23"/>
        </w:rPr>
      </w:pPr>
      <w:r>
        <w:rPr>
          <w:rFonts w:ascii="Times New Roman;serif" w:hAnsi="Times New Roman;serif"/>
          <w:b w:val="false"/>
          <w:color w:val="000000"/>
          <w:sz w:val="23"/>
        </w:rPr>
        <w:t>WHEREAS, the Executive is currently employed by the Company.</w:t>
      </w:r>
    </w:p>
    <w:p>
      <w:pPr>
        <w:pStyle w:val="TextBody"/>
        <w:bidi w:val="0"/>
        <w:spacing w:lineRule="auto" w:line="292" w:before="255" w:after="283"/>
        <w:ind w:left="0" w:right="0" w:firstLine="1460"/>
        <w:jc w:val="left"/>
        <w:rPr>
          <w:rFonts w:ascii="Times New Roman;serif" w:hAnsi="Times New Roman;serif"/>
          <w:b w:val="false"/>
          <w:color w:val="000000"/>
          <w:sz w:val="23"/>
        </w:rPr>
      </w:pPr>
      <w:r>
        <w:rPr>
          <w:rFonts w:ascii="Times New Roman;serif" w:hAnsi="Times New Roman;serif"/>
          <w:b w:val="false"/>
          <w:color w:val="000000"/>
          <w:sz w:val="23"/>
        </w:rPr>
        <w:t>WHEREAS, the Company desires to assure itself of the continued employment of the Executive with the Company and to encourage his continued attention and dedication to the best interests of the Company.</w:t>
      </w:r>
    </w:p>
    <w:p>
      <w:pPr>
        <w:pStyle w:val="TextBody"/>
        <w:bidi w:val="0"/>
        <w:spacing w:lineRule="auto" w:line="292" w:before="248" w:after="283"/>
        <w:ind w:left="0" w:right="0" w:firstLine="1465"/>
        <w:jc w:val="left"/>
        <w:rPr>
          <w:rFonts w:ascii="Times New Roman;serif" w:hAnsi="Times New Roman;serif"/>
          <w:b w:val="false"/>
          <w:color w:val="000000"/>
          <w:sz w:val="23"/>
        </w:rPr>
      </w:pPr>
      <w:r>
        <w:rPr>
          <w:rFonts w:ascii="Times New Roman;serif" w:hAnsi="Times New Roman;serif"/>
          <w:b w:val="false"/>
          <w:color w:val="000000"/>
          <w:sz w:val="23"/>
        </w:rPr>
        <w:t>WHEREAS, the Executive desires to remain and continue in the employment of the Company in accordance with the terms of this Agreement.</w:t>
      </w:r>
    </w:p>
    <w:p>
      <w:pPr>
        <w:pStyle w:val="TextBody"/>
        <w:bidi w:val="0"/>
        <w:spacing w:lineRule="auto" w:line="292" w:before="243" w:after="283"/>
        <w:ind w:left="0" w:right="0" w:firstLine="1453"/>
        <w:jc w:val="left"/>
        <w:rPr>
          <w:rFonts w:ascii="Times New Roman;serif" w:hAnsi="Times New Roman;serif"/>
          <w:b w:val="false"/>
          <w:color w:val="000000"/>
          <w:sz w:val="23"/>
        </w:rPr>
      </w:pPr>
      <w:r>
        <w:rPr>
          <w:rFonts w:ascii="Times New Roman;serif" w:hAnsi="Times New Roman;serif"/>
          <w:b w:val="false"/>
          <w:color w:val="000000"/>
          <w:sz w:val="23"/>
        </w:rPr>
        <w:t>NOW, THEREFORE, in consideration of the promises and mutual covenants contained herein and intending to be legally bound hereby, the parties agree as follows:</w:t>
      </w:r>
    </w:p>
    <w:p>
      <w:pPr>
        <w:pStyle w:val="TextBody"/>
        <w:bidi w:val="0"/>
        <w:spacing w:lineRule="auto" w:line="288" w:before="247"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Terms</w:t>
      </w:r>
    </w:p>
    <w:p>
      <w:pPr>
        <w:pStyle w:val="TextBody"/>
        <w:bidi w:val="0"/>
        <w:spacing w:lineRule="auto" w:line="297" w:before="249" w:after="283"/>
        <w:ind w:left="0" w:right="0" w:firstLine="10"/>
        <w:jc w:val="left"/>
        <w:rPr/>
      </w:pPr>
      <w:r>
        <w:rPr>
          <w:rFonts w:ascii="Times New Roman;serif" w:hAnsi="Times New Roman;serif"/>
          <w:b w:val="false"/>
          <w:color w:val="000000"/>
          <w:sz w:val="23"/>
        </w:rPr>
        <w:t>1.</w:t>
      </w:r>
      <w:r>
        <w:rPr>
          <w:rFonts w:ascii="Times New Roman;serif" w:hAnsi="Times New Roman;serif"/>
          <w:b w:val="false"/>
          <w:color w:val="000000"/>
          <w:sz w:val="23"/>
          <w:u w:val="single"/>
        </w:rPr>
        <w:t>Definitions.</w:t>
      </w:r>
      <w:r>
        <w:rPr>
          <w:color w:val="000000"/>
        </w:rPr>
        <w:t xml:space="preserve"> </w:t>
      </w:r>
      <w:r>
        <w:rPr>
          <w:rFonts w:ascii="Times New Roman;serif" w:hAnsi="Times New Roman;serif"/>
          <w:b w:val="false"/>
          <w:color w:val="000000"/>
          <w:sz w:val="23"/>
        </w:rPr>
        <w:t>As used in this Agreement, the following terms shall have the meanings set forth below:</w:t>
      </w:r>
    </w:p>
    <w:p>
      <w:pPr>
        <w:pStyle w:val="TextBody"/>
        <w:bidi w:val="0"/>
        <w:spacing w:lineRule="auto" w:line="288" w:before="237" w:after="283"/>
        <w:ind w:left="0" w:right="0" w:hanging="724"/>
        <w:jc w:val="left"/>
        <w:rPr/>
      </w:pPr>
      <w:r>
        <w:rPr>
          <w:rFonts w:ascii="Times New Roman;serif" w:hAnsi="Times New Roman;serif"/>
          <w:b w:val="false"/>
          <w:color w:val="000000"/>
          <w:sz w:val="23"/>
        </w:rPr>
        <w:t>1.1."</w:t>
      </w:r>
      <w:r>
        <w:rPr>
          <w:rFonts w:ascii="Times New Roman;serif" w:hAnsi="Times New Roman;serif"/>
          <w:b w:val="false"/>
          <w:color w:val="000000"/>
          <w:sz w:val="23"/>
          <w:u w:val="single"/>
        </w:rPr>
        <w:t>Board</w:t>
      </w:r>
      <w:r>
        <w:rPr>
          <w:rFonts w:ascii="Times New Roman;serif" w:hAnsi="Times New Roman;serif"/>
          <w:b w:val="false"/>
          <w:color w:val="000000"/>
          <w:sz w:val="23"/>
        </w:rPr>
        <w:t>" shall mean the Board of Directors of Crown.</w:t>
      </w:r>
    </w:p>
    <w:p>
      <w:pPr>
        <w:pStyle w:val="TextBody"/>
        <w:bidi w:val="0"/>
        <w:spacing w:lineRule="auto" w:line="292" w:before="255" w:after="283"/>
        <w:ind w:left="0" w:right="0" w:firstLine="726"/>
        <w:jc w:val="left"/>
        <w:rPr/>
      </w:pPr>
      <w:r>
        <w:rPr>
          <w:rFonts w:ascii="Times New Roman;serif" w:hAnsi="Times New Roman;serif"/>
          <w:b w:val="false"/>
          <w:color w:val="000000"/>
          <w:sz w:val="23"/>
        </w:rPr>
        <w:t>1.2."</w:t>
      </w:r>
      <w:r>
        <w:rPr>
          <w:rFonts w:ascii="Times New Roman;serif" w:hAnsi="Times New Roman;serif"/>
          <w:b w:val="false"/>
          <w:color w:val="000000"/>
          <w:sz w:val="23"/>
          <w:u w:val="single"/>
        </w:rPr>
        <w:t>Cause</w:t>
      </w:r>
      <w:r>
        <w:rPr>
          <w:rFonts w:ascii="Times New Roman;serif" w:hAnsi="Times New Roman;serif"/>
          <w:b w:val="false"/>
          <w:color w:val="000000"/>
          <w:sz w:val="23"/>
        </w:rPr>
        <w:t>" shall mean the termination of the Executive's employment with the Company as a result of:</w:t>
      </w:r>
    </w:p>
    <w:p>
      <w:pPr>
        <w:pStyle w:val="TextBody"/>
        <w:bidi w:val="0"/>
        <w:spacing w:lineRule="auto" w:line="292" w:before="247" w:after="283"/>
        <w:ind w:left="0" w:right="0" w:firstLine="1460"/>
        <w:jc w:val="left"/>
        <w:rPr>
          <w:rFonts w:ascii="Times New Roman;serif" w:hAnsi="Times New Roman;serif"/>
          <w:b w:val="false"/>
          <w:color w:val="000000"/>
          <w:sz w:val="23"/>
        </w:rPr>
      </w:pPr>
      <w:r>
        <w:rPr>
          <w:rFonts w:ascii="Times New Roman;serif" w:hAnsi="Times New Roman;serif"/>
          <w:b w:val="false"/>
          <w:color w:val="000000"/>
          <w:sz w:val="23"/>
        </w:rPr>
        <w:t>(a)the Executive's willful failure to perform such services as may be reasonably delegated or assigned to the Executive by the Board, Crown's Chief Executive Officer or any other executive to whom the Executive reports;</w:t>
      </w:r>
    </w:p>
    <w:p>
      <w:pPr>
        <w:pStyle w:val="TextBody"/>
        <w:bidi w:val="0"/>
        <w:spacing w:lineRule="auto" w:line="292" w:before="243" w:after="283"/>
        <w:ind w:left="0" w:right="0" w:firstLine="1461"/>
        <w:jc w:val="left"/>
        <w:rPr>
          <w:rFonts w:ascii="Times New Roman;serif" w:hAnsi="Times New Roman;serif"/>
          <w:b w:val="false"/>
          <w:color w:val="000000"/>
          <w:sz w:val="23"/>
        </w:rPr>
      </w:pPr>
      <w:r>
        <w:rPr>
          <w:rFonts w:ascii="Times New Roman;serif" w:hAnsi="Times New Roman;serif"/>
          <w:b w:val="false"/>
          <w:color w:val="000000"/>
          <w:sz w:val="23"/>
        </w:rPr>
        <w:t>(b)the failure by the Executive to devote his full-time best effort to the performance of his duties under the Agreement (other than any such failure resulting from the Executive's incapacity due to physical or mental illness);</w:t>
      </w:r>
    </w:p>
    <w:p>
      <w:pPr>
        <w:pStyle w:val="TextBody"/>
        <w:bidi w:val="0"/>
        <w:spacing w:lineRule="auto" w:line="288" w:before="243" w:after="283"/>
        <w:ind w:left="0" w:right="0" w:hanging="723"/>
        <w:jc w:val="left"/>
        <w:rPr>
          <w:rFonts w:ascii="Times New Roman;serif" w:hAnsi="Times New Roman;serif"/>
          <w:b w:val="false"/>
          <w:color w:val="000000"/>
          <w:sz w:val="23"/>
        </w:rPr>
      </w:pPr>
      <w:r>
        <w:rPr>
          <w:rFonts w:ascii="Times New Roman;serif" w:hAnsi="Times New Roman;serif"/>
          <w:b w:val="false"/>
          <w:color w:val="000000"/>
          <w:sz w:val="23"/>
        </w:rPr>
        <w:t>(c)the breach by the Executive of any provision of Sections 6, 7, 8 or 9</w:t>
      </w:r>
    </w:p>
    <w:p>
      <w:pPr>
        <w:pStyle w:val="TextBody"/>
        <w:bidi w:val="0"/>
        <w:spacing w:lineRule="auto" w:line="288" w:before="15" w:after="283"/>
        <w:jc w:val="left"/>
        <w:rPr>
          <w:rFonts w:ascii="Times New Roman;serif" w:hAnsi="Times New Roman;serif"/>
          <w:b w:val="false"/>
          <w:color w:val="000000"/>
          <w:sz w:val="23"/>
        </w:rPr>
      </w:pPr>
      <w:r>
        <w:rPr>
          <w:rFonts w:ascii="Times New Roman;serif" w:hAnsi="Times New Roman;serif"/>
          <w:b w:val="false"/>
          <w:color w:val="000000"/>
          <w:sz w:val="23"/>
        </w:rPr>
        <w:t>hereof;</w:t>
      </w:r>
    </w:p>
    <w:p>
      <w:pPr>
        <w:pStyle w:val="TextBody"/>
        <w:bidi w:val="0"/>
        <w:spacing w:lineRule="auto" w:line="292" w:before="249" w:after="283"/>
        <w:ind w:left="0" w:right="0" w:firstLine="1458"/>
        <w:jc w:val="left"/>
        <w:rPr>
          <w:rFonts w:ascii="Times New Roman;serif" w:hAnsi="Times New Roman;serif"/>
          <w:b w:val="false"/>
          <w:color w:val="000000"/>
          <w:sz w:val="23"/>
        </w:rPr>
      </w:pPr>
      <w:r>
        <w:rPr>
          <w:rFonts w:ascii="Times New Roman;serif" w:hAnsi="Times New Roman;serif"/>
          <w:b w:val="false"/>
          <w:color w:val="000000"/>
          <w:sz w:val="23"/>
        </w:rPr>
        <w:t>(d)the willful engaging by the Executive in misconduct which is materially injurious to the Company, monetarily or otherwise; or</w:t>
      </w:r>
    </w:p>
    <w:p>
      <w:pPr>
        <w:pStyle w:val="TextBody"/>
        <w:bidi w:val="0"/>
        <w:spacing w:lineRule="auto" w:line="292" w:before="243" w:after="283"/>
        <w:ind w:left="0" w:right="0" w:firstLine="1450"/>
        <w:jc w:val="left"/>
        <w:rPr/>
      </w:pPr>
      <w:r>
        <w:rPr>
          <w:rFonts w:ascii="Times New Roman;serif" w:hAnsi="Times New Roman;serif"/>
          <w:b w:val="false"/>
          <w:color w:val="000000"/>
          <w:sz w:val="23"/>
        </w:rPr>
        <w:t xml:space="preserve">(e)the Executive's conviction of, or a plea of </w:t>
      </w:r>
      <w:r>
        <w:rPr>
          <w:rFonts w:ascii="Times New Roman;serif" w:hAnsi="Times New Roman;serif"/>
          <w:b w:val="false"/>
          <w:color w:val="000000"/>
          <w:sz w:val="23"/>
          <w:u w:val="single"/>
        </w:rPr>
        <w:t>nolo contendere</w:t>
      </w:r>
      <w:r>
        <w:rPr>
          <w:color w:val="000000"/>
        </w:rPr>
        <w:t xml:space="preserve"> </w:t>
      </w:r>
      <w:r>
        <w:rPr>
          <w:rFonts w:ascii="Times New Roman;serif" w:hAnsi="Times New Roman;serif"/>
          <w:b w:val="false"/>
          <w:color w:val="000000"/>
          <w:sz w:val="23"/>
        </w:rPr>
        <w:t>to, a felony or a crime involving moral turpitude.</w:t>
      </w:r>
    </w:p>
    <w:p>
      <w:pPr>
        <w:pStyle w:val="TextBody"/>
        <w:bidi w:val="0"/>
        <w:spacing w:lineRule="auto" w:line="288" w:before="242" w:after="283"/>
        <w:ind w:left="0" w:right="0" w:hanging="714"/>
        <w:jc w:val="left"/>
        <w:rPr/>
      </w:pPr>
      <w:r>
        <w:rPr>
          <w:rFonts w:ascii="Times New Roman;serif" w:hAnsi="Times New Roman;serif"/>
          <w:b w:val="false"/>
          <w:color w:val="000000"/>
          <w:sz w:val="23"/>
        </w:rPr>
        <w:t>1.3."</w:t>
      </w:r>
      <w:r>
        <w:rPr>
          <w:rFonts w:ascii="Times New Roman;serif" w:hAnsi="Times New Roman;serif"/>
          <w:b w:val="false"/>
          <w:color w:val="000000"/>
          <w:sz w:val="23"/>
          <w:u w:val="single"/>
        </w:rPr>
        <w:t>Change in Control</w:t>
      </w:r>
      <w:r>
        <w:rPr>
          <w:rFonts w:ascii="Times New Roman;serif" w:hAnsi="Times New Roman;serif"/>
          <w:b w:val="false"/>
          <w:color w:val="000000"/>
          <w:sz w:val="23"/>
        </w:rPr>
        <w:t>" shall mean any of the following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7475"/>
                <wp:effectExtent l="0" t="0" r="0" b="0"/>
                <wp:wrapNone/>
                <wp:docPr id="62" name="Frame62"/>
                <a:graphic xmlns:a="http://schemas.openxmlformats.org/drawingml/2006/main">
                  <a:graphicData uri="http://schemas.microsoft.com/office/word/2010/wordprocessingShape">
                    <wps:wsp>
                      <wps:cNvSpPr txBox="1"/>
                      <wps:spPr>
                        <a:xfrm>
                          <a:off x="0" y="0"/>
                          <a:ext cx="6480175" cy="117475"/>
                        </a:xfrm>
                        <a:prstGeom prst="rect"/>
                        <a:solidFill>
                          <a:srgbClr val="FFFFFF"/>
                        </a:solidFill>
                      </wps:spPr>
                      <wps:txbx>
                        <w:txbxContent>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80" w:before="63" w:after="283"/>
        <w:ind w:left="0" w:right="0" w:firstLine="1467"/>
        <w:jc w:val="left"/>
        <w:rPr/>
      </w:pPr>
      <w:r>
        <w:rPr>
          <w:rFonts w:ascii="Times New Roman;serif" w:hAnsi="Times New Roman;serif"/>
          <w:b w:val="false"/>
          <w:color w:val="000000"/>
          <w:sz w:val="23"/>
        </w:rPr>
        <w:t>(a)a "person" (as such term is used in Sections 13(d) and 14(d) of the Securities Exchange Act of 1934, as amended (the "</w:t>
      </w:r>
      <w:r>
        <w:rPr>
          <w:rFonts w:ascii="Times New Roman;serif" w:hAnsi="Times New Roman;serif"/>
          <w:b w:val="false"/>
          <w:color w:val="000000"/>
          <w:sz w:val="23"/>
          <w:u w:val="single"/>
        </w:rPr>
        <w:t>Exchange Act</w:t>
      </w:r>
      <w:r>
        <w:rPr>
          <w:rFonts w:ascii="Times New Roman;serif" w:hAnsi="Times New Roman;serif"/>
          <w:b w:val="false"/>
          <w:color w:val="000000"/>
          <w:sz w:val="23"/>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 l 3d-3 under the Exchange Act), directly or indirectly, of securities of Crown representing 50% or more of the combined voting power of Crown's then outstanding securities; or</w:t>
      </w:r>
    </w:p>
    <w:p>
      <w:pPr>
        <w:pStyle w:val="TextBody"/>
        <w:bidi w:val="0"/>
        <w:spacing w:lineRule="auto" w:line="280" w:before="245" w:after="283"/>
        <w:ind w:left="0" w:right="0" w:firstLine="1474"/>
        <w:jc w:val="left"/>
        <w:rPr>
          <w:rFonts w:ascii="Times New Roman;serif" w:hAnsi="Times New Roman;serif"/>
          <w:b w:val="false"/>
          <w:color w:val="000000"/>
          <w:sz w:val="23"/>
        </w:rPr>
      </w:pPr>
      <w:r>
        <w:rPr>
          <w:rFonts w:ascii="Times New Roman;serif" w:hAnsi="Times New Roman;serif"/>
          <w:b w:val="false"/>
          <w:color w:val="000000"/>
          <w:sz w:val="23"/>
        </w:rPr>
        <w:t>(b)during any period of two consecutive years, individuals who at the beginning of such period constitute the Board and any new director (other than a director designated by a person who has entered into an agreement with Crown to effect a transaction described in Section l.3(a), Section 1.3(c) or Section l.3(d)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pStyle w:val="TextBody"/>
        <w:bidi w:val="0"/>
        <w:spacing w:lineRule="auto" w:line="280" w:before="240" w:after="283"/>
        <w:ind w:left="0" w:right="0" w:firstLine="1473"/>
        <w:jc w:val="left"/>
        <w:rPr>
          <w:rFonts w:ascii="Times New Roman;serif" w:hAnsi="Times New Roman;serif"/>
          <w:b w:val="false"/>
          <w:color w:val="000000"/>
          <w:sz w:val="23"/>
        </w:rPr>
      </w:pPr>
      <w:r>
        <w:rPr>
          <w:rFonts w:ascii="Times New Roman;serif" w:hAnsi="Times New Roman;serif"/>
          <w:b w:val="false"/>
          <w:color w:val="000000"/>
          <w:sz w:val="23"/>
        </w:rPr>
        <w:t>(c)Crown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pStyle w:val="TextBody"/>
        <w:bidi w:val="0"/>
        <w:spacing w:lineRule="auto" w:line="276" w:before="243" w:after="283"/>
        <w:ind w:left="0" w:right="0" w:firstLine="1455"/>
        <w:jc w:val="left"/>
        <w:rPr>
          <w:rFonts w:ascii="Times New Roman;serif" w:hAnsi="Times New Roman;serif"/>
          <w:b w:val="false"/>
          <w:color w:val="000000"/>
          <w:sz w:val="23"/>
        </w:rPr>
      </w:pPr>
      <w:r>
        <w:rPr>
          <w:rFonts w:ascii="Times New Roman;serif" w:hAnsi="Times New Roman;serif"/>
          <w:b w:val="false"/>
          <w:color w:val="000000"/>
          <w:sz w:val="23"/>
        </w:rPr>
        <w:t>(d)the complete liquidation of Crown or Crown sells or otherwise disposes of all or substantially all of Crown's assets.</w:t>
      </w:r>
    </w:p>
    <w:p>
      <w:pPr>
        <w:pStyle w:val="TextBody"/>
        <w:bidi w:val="0"/>
        <w:spacing w:lineRule="auto" w:line="288" w:before="249" w:after="283"/>
        <w:ind w:left="0" w:right="0" w:hanging="724"/>
        <w:jc w:val="left"/>
        <w:rPr/>
      </w:pPr>
      <w:r>
        <w:rPr>
          <w:rFonts w:ascii="Times New Roman;serif" w:hAnsi="Times New Roman;serif"/>
          <w:b w:val="false"/>
          <w:color w:val="000000"/>
          <w:sz w:val="23"/>
        </w:rPr>
        <w:t>1.4."</w:t>
      </w:r>
      <w:r>
        <w:rPr>
          <w:rFonts w:ascii="Times New Roman;serif" w:hAnsi="Times New Roman;serif"/>
          <w:b w:val="false"/>
          <w:color w:val="000000"/>
          <w:sz w:val="23"/>
          <w:u w:val="single"/>
        </w:rPr>
        <w:t>Code</w:t>
      </w:r>
      <w:r>
        <w:rPr>
          <w:rFonts w:ascii="Times New Roman;serif" w:hAnsi="Times New Roman;serif"/>
          <w:b w:val="false"/>
          <w:color w:val="000000"/>
          <w:sz w:val="23"/>
        </w:rPr>
        <w:t>" means the Internal Revenue Code of 1986, as amended from time to time.</w:t>
      </w:r>
    </w:p>
    <w:p>
      <w:pPr>
        <w:pStyle w:val="TextBody"/>
        <w:bidi w:val="0"/>
        <w:spacing w:lineRule="auto" w:line="288" w:before="243" w:after="283"/>
        <w:ind w:left="0" w:right="0" w:hanging="724"/>
        <w:jc w:val="left"/>
        <w:rPr/>
      </w:pPr>
      <w:r>
        <w:rPr>
          <w:rFonts w:ascii="Times New Roman;serif" w:hAnsi="Times New Roman;serif"/>
          <w:b w:val="false"/>
          <w:color w:val="000000"/>
          <w:sz w:val="23"/>
        </w:rPr>
        <w:t>1.5."</w:t>
      </w:r>
      <w:r>
        <w:rPr>
          <w:rFonts w:ascii="Times New Roman;serif" w:hAnsi="Times New Roman;serif"/>
          <w:b w:val="false"/>
          <w:color w:val="000000"/>
          <w:sz w:val="23"/>
          <w:u w:val="single"/>
        </w:rPr>
        <w:t>Good Reason</w:t>
      </w:r>
      <w:r>
        <w:rPr>
          <w:rFonts w:ascii="Times New Roman;serif" w:hAnsi="Times New Roman;serif"/>
          <w:b w:val="false"/>
          <w:color w:val="000000"/>
          <w:sz w:val="23"/>
        </w:rPr>
        <w:t>" shall mean:</w:t>
      </w:r>
    </w:p>
    <w:p>
      <w:pPr>
        <w:pStyle w:val="TextBody"/>
        <w:bidi w:val="0"/>
        <w:spacing w:lineRule="auto" w:line="288" w:before="248" w:after="283"/>
        <w:ind w:left="0" w:right="0" w:firstLine="1464"/>
        <w:jc w:val="left"/>
        <w:rPr>
          <w:rFonts w:ascii="Times New Roman;serif" w:hAnsi="Times New Roman;serif"/>
          <w:b w:val="false"/>
          <w:color w:val="000000"/>
          <w:sz w:val="23"/>
        </w:rPr>
      </w:pPr>
      <w:r>
        <w:rPr>
          <w:rFonts w:ascii="Times New Roman;serif" w:hAnsi="Times New Roman;serif"/>
          <w:b w:val="false"/>
          <w:color w:val="000000"/>
          <w:sz w:val="23"/>
        </w:rPr>
        <w:t>(a)the assignment to the Executive, without the Executive's express written approval, of duties or responsibilities, inconsistent, in a material respect, with the Executive's title and position on the date of a Change in Control or a material reduction in the Executive's duties, responsibilities or authority from those in effect on the date of a Change in Control;</w:t>
      </w:r>
    </w:p>
    <w:p>
      <w:pPr>
        <w:pStyle w:val="TextBody"/>
        <w:bidi w:val="0"/>
        <w:spacing w:lineRule="auto" w:line="288" w:before="246" w:after="283"/>
        <w:ind w:left="0" w:right="0" w:firstLine="1468"/>
        <w:jc w:val="left"/>
        <w:rPr>
          <w:rFonts w:ascii="Times New Roman;serif" w:hAnsi="Times New Roman;serif"/>
          <w:b w:val="false"/>
          <w:color w:val="000000"/>
          <w:sz w:val="23"/>
        </w:rPr>
      </w:pPr>
      <w:r>
        <w:rPr>
          <w:rFonts w:ascii="Times New Roman;serif" w:hAnsi="Times New Roman;serif"/>
          <w:b w:val="false"/>
          <w:color w:val="000000"/>
          <w:sz w:val="23"/>
        </w:rPr>
        <w:t>(b)following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pStyle w:val="TextBody"/>
        <w:bidi w:val="0"/>
        <w:spacing w:lineRule="auto" w:line="280" w:before="247" w:after="283"/>
        <w:ind w:left="0" w:right="0" w:firstLine="1460"/>
        <w:jc w:val="left"/>
        <w:rPr>
          <w:rFonts w:ascii="Times New Roman;serif" w:hAnsi="Times New Roman;serif"/>
          <w:b w:val="false"/>
          <w:color w:val="000000"/>
          <w:sz w:val="23"/>
        </w:rPr>
      </w:pPr>
      <w:r>
        <w:rPr>
          <w:rFonts w:ascii="Times New Roman;serif" w:hAnsi="Times New Roman;serif"/>
          <w:b w:val="false"/>
          <w:color w:val="000000"/>
          <w:sz w:val="23"/>
        </w:rPr>
        <w:t>(c)following a Change in Control, the Company's failure, without the express consent of the Executive, to pay the Executive any amounts otherwise vested and due hereunder or under any plan or policy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99465"/>
                <wp:effectExtent l="0" t="0" r="0" b="0"/>
                <wp:wrapNone/>
                <wp:docPr id="63" name="Frame63"/>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2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2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65" w:after="283"/>
        <w:ind w:left="0" w:right="0" w:firstLine="1455"/>
        <w:jc w:val="left"/>
        <w:rPr>
          <w:rFonts w:ascii="Times New Roman;serif" w:hAnsi="Times New Roman;serif"/>
          <w:b w:val="false"/>
          <w:color w:val="000000"/>
          <w:sz w:val="23"/>
        </w:rPr>
      </w:pPr>
      <w:r>
        <w:rPr>
          <w:rFonts w:ascii="Times New Roman;serif" w:hAnsi="Times New Roman;serif"/>
          <w:b w:val="false"/>
          <w:color w:val="000000"/>
          <w:sz w:val="23"/>
        </w:rPr>
        <w:t>(d)following a Change in Control, a relocation of the Executive's primary place of employment, without the Executive's express written approval, to a location more than 50 miles from the location at which the Executive performed his duties on the date of such Change in Control; or</w:t>
      </w:r>
    </w:p>
    <w:p>
      <w:pPr>
        <w:pStyle w:val="TextBody"/>
        <w:bidi w:val="0"/>
        <w:spacing w:lineRule="auto" w:line="292" w:before="249" w:after="283"/>
        <w:ind w:left="0" w:right="0" w:firstLine="1446"/>
        <w:jc w:val="left"/>
        <w:rPr>
          <w:rFonts w:ascii="Times New Roman;serif" w:hAnsi="Times New Roman;serif"/>
          <w:b w:val="false"/>
          <w:color w:val="000000"/>
          <w:sz w:val="23"/>
        </w:rPr>
      </w:pPr>
      <w:r>
        <w:rPr>
          <w:rFonts w:ascii="Times New Roman;serif" w:hAnsi="Times New Roman;serif"/>
          <w:b w:val="false"/>
          <w:color w:val="000000"/>
          <w:sz w:val="23"/>
        </w:rPr>
        <w:t>(e)the failure or refusal of Crown's Successor (as defined in Section 14 below) to expressly assume this Agreement in writing, and all of the duties and obligations of the Company hereunder in accordance with Section 14.</w:t>
      </w:r>
    </w:p>
    <w:p>
      <w:pPr>
        <w:pStyle w:val="TextBody"/>
        <w:bidi w:val="0"/>
        <w:spacing w:lineRule="auto" w:line="292" w:before="244" w:after="283"/>
        <w:ind w:left="0" w:right="0" w:firstLine="720"/>
        <w:jc w:val="left"/>
        <w:rPr/>
      </w:pPr>
      <w:r>
        <w:rPr>
          <w:rFonts w:ascii="Times New Roman;serif" w:hAnsi="Times New Roman;serif"/>
          <w:b w:val="false"/>
          <w:color w:val="000000"/>
          <w:sz w:val="23"/>
        </w:rPr>
        <w:t>1.6."</w:t>
      </w:r>
      <w:r>
        <w:rPr>
          <w:rFonts w:ascii="Times New Roman;serif" w:hAnsi="Times New Roman;serif"/>
          <w:b w:val="false"/>
          <w:color w:val="000000"/>
          <w:sz w:val="23"/>
          <w:u w:val="single"/>
        </w:rPr>
        <w:t>Short-Term Disability</w:t>
      </w:r>
      <w:r>
        <w:rPr>
          <w:rFonts w:ascii="Times New Roman;serif" w:hAnsi="Times New Roman;serif"/>
          <w:b w:val="false"/>
          <w:color w:val="000000"/>
          <w:sz w:val="23"/>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pStyle w:val="TextBody"/>
        <w:bidi w:val="0"/>
        <w:spacing w:lineRule="auto" w:line="292" w:before="249" w:after="283"/>
        <w:ind w:left="0" w:right="0" w:firstLine="722"/>
        <w:jc w:val="left"/>
        <w:rPr/>
      </w:pPr>
      <w:r>
        <w:rPr>
          <w:rFonts w:ascii="Times New Roman;serif" w:hAnsi="Times New Roman;serif"/>
          <w:b w:val="false"/>
          <w:color w:val="000000"/>
          <w:sz w:val="23"/>
        </w:rPr>
        <w:t>1.7."</w:t>
      </w:r>
      <w:r>
        <w:rPr>
          <w:rFonts w:ascii="Times New Roman;serif" w:hAnsi="Times New Roman;serif"/>
          <w:b w:val="false"/>
          <w:color w:val="000000"/>
          <w:sz w:val="23"/>
          <w:u w:val="single"/>
        </w:rPr>
        <w:t>Total Disability</w:t>
      </w:r>
      <w:r>
        <w:rPr>
          <w:rFonts w:ascii="Times New Roman;serif" w:hAnsi="Times New Roman;serif"/>
          <w:b w:val="false"/>
          <w:color w:val="000000"/>
          <w:sz w:val="23"/>
        </w:rPr>
        <w:t>" shall mean that a qualified physician designated by the Company has determined that the Executive:</w:t>
      </w:r>
    </w:p>
    <w:p>
      <w:pPr>
        <w:pStyle w:val="TextBody"/>
        <w:bidi w:val="0"/>
        <w:spacing w:lineRule="auto" w:line="292" w:before="242" w:after="283"/>
        <w:ind w:left="0" w:right="0" w:firstLine="1454"/>
        <w:jc w:val="left"/>
        <w:rPr>
          <w:rFonts w:ascii="Times New Roman;serif" w:hAnsi="Times New Roman;serif"/>
          <w:b w:val="false"/>
          <w:color w:val="000000"/>
          <w:sz w:val="23"/>
        </w:rPr>
      </w:pPr>
      <w:r>
        <w:rPr>
          <w:rFonts w:ascii="Times New Roman;serif" w:hAnsi="Times New Roman;serif"/>
          <w:b w:val="false"/>
          <w:color w:val="000000"/>
          <w:sz w:val="23"/>
        </w:rPr>
        <w:t>(a)is unable to engage in any substantial gainful activity by reason of any medically determinable physical or mental impairment which can be expected to result in death or can be expected to last for a continuous period of not less than 12 months, or</w:t>
      </w:r>
    </w:p>
    <w:p>
      <w:pPr>
        <w:pStyle w:val="TextBody"/>
        <w:bidi w:val="0"/>
        <w:spacing w:lineRule="auto" w:line="292" w:before="244" w:after="283"/>
        <w:ind w:left="0" w:right="0" w:firstLine="1458"/>
        <w:jc w:val="left"/>
        <w:rPr>
          <w:rFonts w:ascii="Times New Roman;serif" w:hAnsi="Times New Roman;serif"/>
          <w:b w:val="false"/>
          <w:color w:val="000000"/>
          <w:sz w:val="23"/>
        </w:rPr>
      </w:pPr>
      <w:r>
        <w:rPr>
          <w:rFonts w:ascii="Times New Roman;serif" w:hAnsi="Times New Roman;serif"/>
          <w:b w:val="false"/>
          <w:color w:val="000000"/>
          <w:sz w:val="23"/>
        </w:rPr>
        <w:t>(b)is,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pStyle w:val="TextBody"/>
        <w:bidi w:val="0"/>
        <w:spacing w:lineRule="auto" w:line="292" w:before="244" w:after="283"/>
        <w:ind w:left="0" w:right="0" w:firstLine="37"/>
        <w:jc w:val="left"/>
        <w:rPr/>
      </w:pPr>
      <w:r>
        <w:rPr>
          <w:rFonts w:ascii="Times New Roman;serif" w:hAnsi="Times New Roman;serif"/>
          <w:b w:val="false"/>
          <w:color w:val="000000"/>
          <w:sz w:val="23"/>
        </w:rPr>
        <w:t>2.</w:t>
      </w:r>
      <w:r>
        <w:rPr>
          <w:rFonts w:ascii="Times New Roman;serif" w:hAnsi="Times New Roman;serif"/>
          <w:b w:val="false"/>
          <w:color w:val="000000"/>
          <w:sz w:val="23"/>
          <w:u w:val="single"/>
        </w:rPr>
        <w:t>Position and Duties.</w:t>
      </w:r>
      <w:r>
        <w:rPr>
          <w:color w:val="000000"/>
        </w:rPr>
        <w:t xml:space="preserve"> </w:t>
      </w:r>
      <w:r>
        <w:rPr>
          <w:rFonts w:ascii="Times New Roman;serif" w:hAnsi="Times New Roman;serif"/>
          <w:b w:val="false"/>
          <w:color w:val="000000"/>
          <w:sz w:val="23"/>
        </w:rPr>
        <w:t>The Company agrees to continue to employ the Executive and the Executive hereby agrees to continue to be employed by the Company, upon the terms, conditions and limitations set forth in this Agreement. The Executive shall serve as President of the Company's Americas Division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in such other positions as reasonably requested by the Board, Crown's Chief Executive Officer or any other executive to whom the Executive reports.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pStyle w:val="TextBody"/>
        <w:bidi w:val="0"/>
        <w:spacing w:lineRule="auto" w:line="292" w:before="243" w:after="283"/>
        <w:ind w:left="0" w:right="0" w:firstLine="8"/>
        <w:jc w:val="left"/>
        <w:rPr/>
      </w:pPr>
      <w:r>
        <w:rPr>
          <w:rFonts w:ascii="Times New Roman;serif" w:hAnsi="Times New Roman;serif"/>
          <w:b w:val="false"/>
          <w:color w:val="000000"/>
          <w:sz w:val="23"/>
        </w:rPr>
        <w:t>3.</w:t>
      </w:r>
      <w:r>
        <w:rPr>
          <w:rFonts w:ascii="Times New Roman;serif" w:hAnsi="Times New Roman;serif"/>
          <w:b w:val="false"/>
          <w:color w:val="000000"/>
          <w:sz w:val="23"/>
          <w:u w:val="single"/>
        </w:rPr>
        <w:t>Term.</w:t>
      </w:r>
      <w:r>
        <w:rPr>
          <w:color w:val="000000"/>
        </w:rPr>
        <w:t xml:space="preserve"> </w:t>
      </w:r>
      <w:r>
        <w:rPr>
          <w:rFonts w:ascii="Times New Roman;serif" w:hAnsi="Times New Roman;serif"/>
          <w:b w:val="false"/>
          <w:color w:val="000000"/>
          <w:sz w:val="23"/>
        </w:rPr>
        <w:t>The Executive's employment under this Agreement shall commence on the Effective Date and unless sooner terminated as provided in Article 5 shall continue for a period of one year (the "</w:t>
      </w:r>
      <w:r>
        <w:rPr>
          <w:rFonts w:ascii="Times New Roman;serif" w:hAnsi="Times New Roman;serif"/>
          <w:b w:val="false"/>
          <w:color w:val="000000"/>
          <w:sz w:val="23"/>
          <w:u w:val="single"/>
        </w:rPr>
        <w:t>Initial Term</w:t>
      </w:r>
      <w:r>
        <w:rPr>
          <w:rFonts w:ascii="Times New Roman;serif" w:hAnsi="Times New Roman;serif"/>
          <w:b w:val="false"/>
          <w:color w:val="000000"/>
          <w:sz w:val="23"/>
        </w:rPr>
        <w:t>"). Except as otherwise provided herein, unless either party gives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99465"/>
                <wp:effectExtent l="0" t="0" r="0" b="0"/>
                <wp:wrapNone/>
                <wp:docPr id="64" name="Frame64"/>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3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3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80" w:before="65" w:after="283"/>
        <w:ind w:left="0" w:right="0" w:firstLine="14"/>
        <w:jc w:val="left"/>
        <w:rPr/>
      </w:pPr>
      <w:r>
        <w:rPr>
          <w:rFonts w:ascii="Times New Roman;serif" w:hAnsi="Times New Roman;serif"/>
          <w:b w:val="false"/>
          <w:color w:val="000000"/>
          <w:sz w:val="23"/>
        </w:rPr>
        <w:t>written notice to the other party at least 30 days before any anniversary of the Effective Date that the term hereunder shall not be extended beyond its then term (a "</w:t>
      </w:r>
      <w:r>
        <w:rPr>
          <w:rFonts w:ascii="Times New Roman;serif" w:hAnsi="Times New Roman;serif"/>
          <w:b w:val="false"/>
          <w:color w:val="000000"/>
          <w:sz w:val="23"/>
          <w:u w:val="single"/>
        </w:rPr>
        <w:t>Nonrenewal Notice</w:t>
      </w:r>
      <w:r>
        <w:rPr>
          <w:rFonts w:ascii="Times New Roman;serif" w:hAnsi="Times New Roman;serif"/>
          <w:b w:val="false"/>
          <w:color w:val="000000"/>
          <w:sz w:val="23"/>
        </w:rPr>
        <w:t>"), the term of the Agreement shall automatically be extended for an additional one year period from each anniversary, subject to the same terms, conditions and limitations as applicable to the Initial Term unless amended or terminated as provided herein (each such additional one year period a "</w:t>
      </w:r>
      <w:r>
        <w:rPr>
          <w:rFonts w:ascii="Times New Roman;serif" w:hAnsi="Times New Roman;serif"/>
          <w:b w:val="false"/>
          <w:color w:val="000000"/>
          <w:sz w:val="23"/>
          <w:u w:val="single"/>
        </w:rPr>
        <w:t>Renewal Term</w:t>
      </w:r>
      <w:r>
        <w:rPr>
          <w:rFonts w:ascii="Times New Roman;serif" w:hAnsi="Times New Roman;serif"/>
          <w:b w:val="false"/>
          <w:color w:val="000000"/>
          <w:sz w:val="23"/>
        </w:rPr>
        <w:t>"). For purposes of this Agreement, the Initial Term and all subsequent Renewal Terms shall be collectively referred to as the "</w:t>
      </w:r>
      <w:r>
        <w:rPr>
          <w:rFonts w:ascii="Times New Roman;serif" w:hAnsi="Times New Roman;serif"/>
          <w:b w:val="false"/>
          <w:color w:val="000000"/>
          <w:sz w:val="23"/>
          <w:u w:val="single"/>
        </w:rPr>
        <w:t>Term</w:t>
      </w:r>
      <w:r>
        <w:rPr>
          <w:rFonts w:ascii="Times New Roman;serif" w:hAnsi="Times New Roman;serif"/>
          <w:b w:val="false"/>
          <w:color w:val="000000"/>
          <w:sz w:val="23"/>
        </w:rPr>
        <w:t>" of the Agreement.</w:t>
      </w:r>
    </w:p>
    <w:p>
      <w:pPr>
        <w:pStyle w:val="TextBody"/>
        <w:bidi w:val="0"/>
        <w:spacing w:lineRule="auto" w:line="288" w:before="245" w:after="283"/>
        <w:ind w:left="0" w:right="0" w:hanging="726"/>
        <w:jc w:val="left"/>
        <w:rPr/>
      </w:pPr>
      <w:r>
        <w:rPr>
          <w:rFonts w:ascii="Times New Roman;serif" w:hAnsi="Times New Roman;serif"/>
          <w:b w:val="false"/>
          <w:color w:val="000000"/>
          <w:sz w:val="23"/>
        </w:rPr>
        <w:t>4.</w:t>
      </w:r>
      <w:r>
        <w:rPr>
          <w:rFonts w:ascii="Times New Roman;serif" w:hAnsi="Times New Roman;serif"/>
          <w:b w:val="false"/>
          <w:color w:val="000000"/>
          <w:sz w:val="23"/>
          <w:u w:val="single"/>
        </w:rPr>
        <w:t>Compensation and Benefits.</w:t>
      </w:r>
    </w:p>
    <w:p>
      <w:pPr>
        <w:pStyle w:val="TextBody"/>
        <w:bidi w:val="0"/>
        <w:spacing w:lineRule="auto" w:line="280" w:before="243" w:after="283"/>
        <w:ind w:left="0" w:right="0" w:firstLine="734"/>
        <w:jc w:val="left"/>
        <w:rPr/>
      </w:pPr>
      <w:r>
        <w:rPr>
          <w:rFonts w:ascii="Times New Roman;serif" w:hAnsi="Times New Roman;serif"/>
          <w:b w:val="false"/>
          <w:color w:val="000000"/>
          <w:sz w:val="23"/>
        </w:rPr>
        <w:t>4.1.</w:t>
      </w:r>
      <w:r>
        <w:rPr>
          <w:rFonts w:ascii="Times New Roman;serif" w:hAnsi="Times New Roman;serif"/>
          <w:b w:val="false"/>
          <w:color w:val="000000"/>
          <w:sz w:val="23"/>
          <w:u w:val="single"/>
        </w:rPr>
        <w:t>Base Salary.</w:t>
      </w:r>
      <w:r>
        <w:rPr>
          <w:color w:val="000000"/>
        </w:rPr>
        <w:t xml:space="preserve"> </w:t>
      </w:r>
      <w:r>
        <w:rPr>
          <w:rFonts w:ascii="Times New Roman;serif" w:hAnsi="Times New Roman;serif"/>
          <w:b w:val="false"/>
          <w:color w:val="000000"/>
          <w:sz w:val="23"/>
        </w:rPr>
        <w:t>The Company shall pay to the Executive for the performance of his duties under this Agreement an initial base salary of $600,000 per year (the "</w:t>
      </w:r>
      <w:r>
        <w:rPr>
          <w:rFonts w:ascii="Times New Roman;serif" w:hAnsi="Times New Roman;serif"/>
          <w:b w:val="false"/>
          <w:color w:val="000000"/>
          <w:sz w:val="23"/>
          <w:u w:val="single"/>
        </w:rPr>
        <w:t>Base Salary</w:t>
      </w:r>
      <w:r>
        <w:rPr>
          <w:rFonts w:ascii="Times New Roman;serif" w:hAnsi="Times New Roman;serif"/>
          <w:b w:val="false"/>
          <w:color w:val="000000"/>
          <w:sz w:val="23"/>
        </w:rPr>
        <w:t>")</w:t>
      </w:r>
      <w:r>
        <w:rPr>
          <w:rFonts w:ascii="Times New Roman;serif" w:hAnsi="Times New Roman;serif"/>
          <w:b w:val="false"/>
          <w:color w:val="000000"/>
          <w:sz w:val="23"/>
          <w:u w:val="single"/>
        </w:rPr>
        <w:t>,</w:t>
      </w:r>
      <w:r>
        <w:rPr>
          <w:color w:val="000000"/>
        </w:rPr>
        <w:t xml:space="preserve"> </w:t>
      </w:r>
      <w:r>
        <w:rPr>
          <w:rFonts w:ascii="Times New Roman;serif" w:hAnsi="Times New Roman;serif"/>
          <w:b w:val="false"/>
          <w:color w:val="000000"/>
          <w:sz w:val="23"/>
        </w:rPr>
        <w:t>payable in accordance with the Company's normal payroll practices. Thereafter, the rate of the Executive's Base Salary will be reviewed and adjusted as appropriate in accordance with the Company's regular compensation review practices. Effective as of the date of any such increase, the Base Salary so increased shall be considered the new Base Salary for all purposes of this Agreement.</w:t>
      </w:r>
    </w:p>
    <w:p>
      <w:pPr>
        <w:pStyle w:val="TextBody"/>
        <w:bidi w:val="0"/>
        <w:spacing w:lineRule="auto" w:line="280" w:before="241" w:after="283"/>
        <w:ind w:left="0" w:right="0" w:firstLine="729"/>
        <w:jc w:val="left"/>
        <w:rPr/>
      </w:pPr>
      <w:r>
        <w:rPr>
          <w:rFonts w:ascii="Times New Roman;serif" w:hAnsi="Times New Roman;serif"/>
          <w:b w:val="false"/>
          <w:color w:val="000000"/>
          <w:sz w:val="23"/>
        </w:rPr>
        <w:t>4.2.</w:t>
      </w:r>
      <w:r>
        <w:rPr>
          <w:rFonts w:ascii="Times New Roman;serif" w:hAnsi="Times New Roman;serif"/>
          <w:b w:val="false"/>
          <w:color w:val="000000"/>
          <w:sz w:val="23"/>
          <w:u w:val="single"/>
        </w:rPr>
        <w:t>Incentive Bonus.</w:t>
      </w:r>
      <w:r>
        <w:rPr>
          <w:color w:val="000000"/>
        </w:rPr>
        <w:t xml:space="preserve"> </w:t>
      </w:r>
      <w:r>
        <w:rPr>
          <w:rFonts w:ascii="Times New Roman;serif" w:hAnsi="Times New Roman;serif"/>
          <w:b w:val="false"/>
          <w:color w:val="000000"/>
          <w:sz w:val="23"/>
        </w:rPr>
        <w:t>During the Term, in addition to Base Salary, for each calendar year ending during the Term,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Times New Roman;serif" w:hAnsi="Times New Roman;serif"/>
          <w:b w:val="false"/>
          <w:color w:val="000000"/>
          <w:sz w:val="23"/>
          <w:u w:val="single"/>
        </w:rPr>
        <w:t>Incentive Bonus Payment</w:t>
      </w:r>
      <w:r>
        <w:rPr>
          <w:rFonts w:ascii="Times New Roman;serif" w:hAnsi="Times New Roman;serif"/>
          <w:b w:val="false"/>
          <w:color w:val="000000"/>
          <w:sz w:val="23"/>
        </w:rPr>
        <w:t>").</w:t>
      </w:r>
    </w:p>
    <w:p>
      <w:pPr>
        <w:pStyle w:val="TextBody"/>
        <w:bidi w:val="0"/>
        <w:spacing w:lineRule="auto" w:line="280" w:before="240" w:after="283"/>
        <w:ind w:left="0" w:right="0" w:firstLine="759"/>
        <w:jc w:val="left"/>
        <w:rPr/>
      </w:pPr>
      <w:r>
        <w:rPr>
          <w:rFonts w:ascii="Times New Roman;serif" w:hAnsi="Times New Roman;serif"/>
          <w:b w:val="false"/>
          <w:color w:val="000000"/>
          <w:sz w:val="23"/>
        </w:rPr>
        <w:t>4.3.</w:t>
      </w:r>
      <w:r>
        <w:rPr>
          <w:rFonts w:ascii="Times New Roman;serif" w:hAnsi="Times New Roman;serif"/>
          <w:b w:val="false"/>
          <w:color w:val="000000"/>
          <w:sz w:val="23"/>
          <w:u w:val="single"/>
        </w:rPr>
        <w:t>Employee Benefits.</w:t>
      </w:r>
      <w:r>
        <w:rPr>
          <w:color w:val="000000"/>
        </w:rPr>
        <w:t xml:space="preserve"> </w:t>
      </w:r>
      <w:r>
        <w:rPr>
          <w:rFonts w:ascii="Times New Roman;serif" w:hAnsi="Times New Roman;serif"/>
          <w:b w:val="false"/>
          <w:color w:val="000000"/>
          <w:sz w:val="23"/>
        </w:rPr>
        <w:t>During the Term, the Executive shall be eligible to participate in the applicable employee benefit plans, programs and policies of the Company (or other applicable affiliate as agreed to by the parties) that are now or hereafter made available to its salaried personnel generally, as such plans, programs and policies may be in effect from time to time, in each case to the extent that the Executive is eligible under the terms of such plans, programs and policies and the Executive's participation therein is not duplicative of other benefits provided by the Company. Without limiting the generality of the foregoing, the Executive shall also be eligible to participate in Crown's Restoration Plan (the "Restoration Plan") and Crown's equity-based incentive plans as maintained by Crown from time to time for the benefit of senior executives. For purposes of the Restoration Plan, the Executive will become 100% vested in his "Supplemental Retirement Benefit" under the Restoration Plan upon completing five years of continuous employment with the Company (measured from the Effective Date of this Agreement) or on such earlier date provided for under the Restoration Plan.</w:t>
      </w:r>
    </w:p>
    <w:p>
      <w:pPr>
        <w:pStyle w:val="TextBody"/>
        <w:bidi w:val="0"/>
        <w:spacing w:lineRule="auto" w:line="280" w:before="235" w:after="283"/>
        <w:ind w:left="0" w:right="0" w:firstLine="721"/>
        <w:jc w:val="left"/>
        <w:rPr/>
      </w:pPr>
      <w:r>
        <w:rPr>
          <w:rFonts w:ascii="Times New Roman;serif" w:hAnsi="Times New Roman;serif"/>
          <w:b w:val="false"/>
          <w:color w:val="000000"/>
          <w:sz w:val="23"/>
        </w:rPr>
        <w:t>4.4.</w:t>
      </w:r>
      <w:r>
        <w:rPr>
          <w:rFonts w:ascii="Times New Roman;serif" w:hAnsi="Times New Roman;serif"/>
          <w:b w:val="false"/>
          <w:color w:val="000000"/>
          <w:sz w:val="23"/>
          <w:u w:val="single"/>
        </w:rPr>
        <w:t>Vacation.</w:t>
      </w:r>
      <w:r>
        <w:rPr>
          <w:color w:val="000000"/>
        </w:rPr>
        <w:t xml:space="preserve"> </w:t>
      </w:r>
      <w:r>
        <w:rPr>
          <w:rFonts w:ascii="Times New Roman;serif" w:hAnsi="Times New Roman;serif"/>
          <w:b w:val="false"/>
          <w:color w:val="000000"/>
          <w:sz w:val="23"/>
        </w:rPr>
        <w:t>The Executive shall be entitled to vacation in accordance with the Company's vacation policy.</w:t>
      </w:r>
    </w:p>
    <w:p>
      <w:pPr>
        <w:pStyle w:val="TextBody"/>
        <w:bidi w:val="0"/>
        <w:spacing w:lineRule="auto" w:line="288" w:before="241" w:after="283"/>
        <w:ind w:left="0" w:right="0" w:firstLine="734"/>
        <w:jc w:val="left"/>
        <w:rPr/>
      </w:pPr>
      <w:r>
        <w:rPr>
          <w:rFonts w:ascii="Times New Roman;serif" w:hAnsi="Times New Roman;serif"/>
          <w:b w:val="false"/>
          <w:color w:val="000000"/>
          <w:sz w:val="23"/>
        </w:rPr>
        <w:t>4.5.</w:t>
      </w:r>
      <w:r>
        <w:rPr>
          <w:rFonts w:ascii="Times New Roman;serif" w:hAnsi="Times New Roman;serif"/>
          <w:b w:val="false"/>
          <w:color w:val="000000"/>
          <w:sz w:val="23"/>
          <w:u w:val="single"/>
        </w:rPr>
        <w:t>Reimbursement of Expenses.</w:t>
      </w:r>
      <w:r>
        <w:rPr>
          <w:color w:val="000000"/>
        </w:rPr>
        <w:t xml:space="preserve"> </w:t>
      </w:r>
      <w:r>
        <w:rPr>
          <w:rFonts w:ascii="Times New Roman;serif" w:hAnsi="Times New Roman;serif"/>
          <w:b w:val="false"/>
          <w:color w:val="000000"/>
          <w:sz w:val="23"/>
        </w:rPr>
        <w:t>During the Term, the Company will reimburse the Executive in accordance with the Company's expense reimbursement policy as in effect from time to time for expenses reasonably and properly incurred by him in performing his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99465"/>
                <wp:effectExtent l="0" t="0" r="0" b="0"/>
                <wp:wrapNone/>
                <wp:docPr id="65" name="Frame65"/>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4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4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64" w:after="283"/>
        <w:jc w:val="left"/>
        <w:rPr>
          <w:rFonts w:ascii="Times New Roman;serif" w:hAnsi="Times New Roman;serif"/>
          <w:b w:val="false"/>
          <w:color w:val="000000"/>
          <w:sz w:val="23"/>
        </w:rPr>
      </w:pPr>
      <w:r>
        <w:rPr>
          <w:rFonts w:ascii="Times New Roman;serif" w:hAnsi="Times New Roman;serif"/>
          <w:b w:val="false"/>
          <w:color w:val="000000"/>
          <w:sz w:val="23"/>
        </w:rPr>
        <w:t>provided that such expenses are incurred and accounted for in accordance with the policies and procedures presently or hereinafter established by the Company.</w:t>
      </w:r>
    </w:p>
    <w:p>
      <w:pPr>
        <w:pStyle w:val="TextBody"/>
        <w:bidi w:val="0"/>
        <w:spacing w:lineRule="auto" w:line="292" w:before="243" w:after="283"/>
        <w:ind w:left="0" w:right="0" w:firstLine="738"/>
        <w:jc w:val="left"/>
        <w:rPr/>
      </w:pPr>
      <w:r>
        <w:rPr>
          <w:rFonts w:ascii="Times New Roman;serif" w:hAnsi="Times New Roman;serif"/>
          <w:b w:val="false"/>
          <w:color w:val="000000"/>
          <w:sz w:val="23"/>
        </w:rPr>
        <w:t>4.6.</w:t>
      </w:r>
      <w:r>
        <w:rPr>
          <w:rFonts w:ascii="Times New Roman;serif" w:hAnsi="Times New Roman;serif"/>
          <w:b w:val="false"/>
          <w:color w:val="000000"/>
          <w:sz w:val="23"/>
          <w:u w:val="single"/>
        </w:rPr>
        <w:t>Short-Term Disability.</w:t>
      </w:r>
      <w:r>
        <w:rPr>
          <w:color w:val="000000"/>
        </w:rPr>
        <w:t xml:space="preserve"> </w:t>
      </w:r>
      <w:r>
        <w:rPr>
          <w:rFonts w:ascii="Times New Roman;serif" w:hAnsi="Times New Roman;serif"/>
          <w:b w:val="false"/>
          <w:color w:val="000000"/>
          <w:sz w:val="23"/>
        </w:rPr>
        <w:t>In the event that the Executive incurs a Short-Term Disability, the Executive shall be entitled to six months of Base Salary and incentive payments, payable in accordance with the Company's normal payroll practices, provided that all payments under this provision shall be reduced dollar-for-dollar by any other short-term disability benefits the Executive is entitled to under any other Company-sponsored short-term disability plan or arrangement and shall cease as of the earliest of the Executive's cessation of Shot-Term Disability, the occurrence of Total Disability, death or the first day of the month following the month in which the Executive attains age 65 (the "</w:t>
      </w:r>
      <w:r>
        <w:rPr>
          <w:rFonts w:ascii="Times New Roman;serif" w:hAnsi="Times New Roman;serif"/>
          <w:b w:val="false"/>
          <w:color w:val="000000"/>
          <w:sz w:val="23"/>
          <w:u w:val="single"/>
        </w:rPr>
        <w:t>Normal Retirement Date</w:t>
      </w:r>
      <w:r>
        <w:rPr>
          <w:rFonts w:ascii="Times New Roman;serif" w:hAnsi="Times New Roman;serif"/>
          <w:b w:val="false"/>
          <w:color w:val="000000"/>
          <w:sz w:val="23"/>
        </w:rPr>
        <w:t>").</w:t>
      </w:r>
    </w:p>
    <w:p>
      <w:pPr>
        <w:pStyle w:val="TextBody"/>
        <w:bidi w:val="0"/>
        <w:spacing w:lineRule="auto" w:line="292" w:before="253" w:after="283"/>
        <w:ind w:left="0" w:right="0" w:firstLine="730"/>
        <w:jc w:val="left"/>
        <w:rPr/>
      </w:pPr>
      <w:r>
        <w:rPr>
          <w:rFonts w:ascii="Times New Roman;serif" w:hAnsi="Times New Roman;serif"/>
          <w:b w:val="false"/>
          <w:color w:val="000000"/>
          <w:sz w:val="23"/>
        </w:rPr>
        <w:t>4.7.</w:t>
      </w:r>
      <w:r>
        <w:rPr>
          <w:rFonts w:ascii="Times New Roman;serif" w:hAnsi="Times New Roman;serif"/>
          <w:b w:val="false"/>
          <w:color w:val="000000"/>
          <w:sz w:val="23"/>
          <w:u w:val="single"/>
        </w:rPr>
        <w:t>Medical Examination Benefit.</w:t>
      </w:r>
      <w:r>
        <w:rPr>
          <w:color w:val="000000"/>
        </w:rPr>
        <w:t xml:space="preserve"> </w:t>
      </w:r>
      <w:r>
        <w:rPr>
          <w:rFonts w:ascii="Times New Roman;serif" w:hAnsi="Times New Roman;serif"/>
          <w:b w:val="false"/>
          <w:color w:val="000000"/>
          <w:sz w:val="23"/>
        </w:rPr>
        <w:t>During the Term, the Executive shall be entitled to reimbursement for actual costs incurred, up to $2,500 per calendar year, for an annual physical and related medical examinations.</w:t>
      </w:r>
    </w:p>
    <w:p>
      <w:pPr>
        <w:pStyle w:val="TextBody"/>
        <w:bidi w:val="0"/>
        <w:spacing w:lineRule="auto" w:line="288" w:before="248" w:after="283"/>
        <w:ind w:left="0" w:right="0" w:hanging="720"/>
        <w:jc w:val="left"/>
        <w:rPr/>
      </w:pPr>
      <w:r>
        <w:rPr>
          <w:rFonts w:ascii="Times New Roman;serif" w:hAnsi="Times New Roman;serif"/>
          <w:b w:val="false"/>
          <w:color w:val="000000"/>
          <w:sz w:val="23"/>
        </w:rPr>
        <w:t>5.</w:t>
      </w:r>
      <w:r>
        <w:rPr>
          <w:rFonts w:ascii="Times New Roman;serif" w:hAnsi="Times New Roman;serif"/>
          <w:b w:val="false"/>
          <w:color w:val="000000"/>
          <w:sz w:val="23"/>
          <w:u w:val="single"/>
        </w:rPr>
        <w:t>Termination.</w:t>
      </w:r>
    </w:p>
    <w:p>
      <w:pPr>
        <w:pStyle w:val="TextBody"/>
        <w:bidi w:val="0"/>
        <w:spacing w:lineRule="auto" w:line="292" w:before="250" w:after="283"/>
        <w:ind w:left="0" w:right="0" w:firstLine="757"/>
        <w:jc w:val="left"/>
        <w:rPr/>
      </w:pPr>
      <w:r>
        <w:rPr>
          <w:rFonts w:ascii="Times New Roman;serif" w:hAnsi="Times New Roman;serif"/>
          <w:b w:val="false"/>
          <w:color w:val="000000"/>
          <w:sz w:val="23"/>
        </w:rPr>
        <w:t>5.1.</w:t>
      </w:r>
      <w:r>
        <w:rPr>
          <w:rFonts w:ascii="Times New Roman;serif" w:hAnsi="Times New Roman;serif"/>
          <w:b w:val="false"/>
          <w:color w:val="000000"/>
          <w:sz w:val="23"/>
          <w:u w:val="single"/>
        </w:rPr>
        <w:t>Death.</w:t>
      </w:r>
      <w:r>
        <w:rPr>
          <w:color w:val="000000"/>
        </w:rPr>
        <w:t xml:space="preserve"> </w:t>
      </w:r>
      <w:r>
        <w:rPr>
          <w:rFonts w:ascii="Times New Roman;serif" w:hAnsi="Times New Roman;serif"/>
          <w:b w:val="false"/>
          <w:color w:val="000000"/>
          <w:sz w:val="23"/>
        </w:rPr>
        <w:t>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and other benefits earned and vested (if applicable) by the Executive as of the date of his death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pStyle w:val="TextBody"/>
        <w:bidi w:val="0"/>
        <w:spacing w:lineRule="auto" w:line="292" w:before="256" w:after="283"/>
        <w:ind w:left="0" w:right="0" w:firstLine="765"/>
        <w:jc w:val="left"/>
        <w:rPr/>
      </w:pPr>
      <w:r>
        <w:rPr>
          <w:rFonts w:ascii="Times New Roman;serif" w:hAnsi="Times New Roman;serif"/>
          <w:b w:val="false"/>
          <w:color w:val="000000"/>
          <w:sz w:val="23"/>
        </w:rPr>
        <w:t>5.2.</w:t>
      </w:r>
      <w:r>
        <w:rPr>
          <w:rFonts w:ascii="Times New Roman;serif" w:hAnsi="Times New Roman;serif"/>
          <w:b w:val="false"/>
          <w:color w:val="000000"/>
          <w:sz w:val="23"/>
          <w:u w:val="single"/>
        </w:rPr>
        <w:t>Disability.</w:t>
      </w:r>
      <w:r>
        <w:rPr>
          <w:color w:val="000000"/>
        </w:rPr>
        <w:t xml:space="preserve"> </w:t>
      </w:r>
      <w:r>
        <w:rPr>
          <w:rFonts w:ascii="Times New Roman;serif" w:hAnsi="Times New Roman;serif"/>
          <w:b w:val="false"/>
          <w:color w:val="000000"/>
          <w:sz w:val="23"/>
        </w:rPr>
        <w:t>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(d) such retirement and other benefits earned and vested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99465"/>
                <wp:effectExtent l="0" t="0" r="0" b="0"/>
                <wp:wrapNone/>
                <wp:docPr id="66" name="Frame66"/>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5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5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64" w:after="283"/>
        <w:ind w:left="0" w:right="0" w:firstLine="18"/>
        <w:jc w:val="left"/>
        <w:rPr>
          <w:rFonts w:ascii="Times New Roman;serif" w:hAnsi="Times New Roman;serif"/>
          <w:b w:val="false"/>
          <w:color w:val="000000"/>
          <w:sz w:val="23"/>
        </w:rPr>
      </w:pPr>
      <w:r>
        <w:rPr>
          <w:rFonts w:ascii="Times New Roman;serif" w:hAnsi="Times New Roman;serif"/>
          <w:b w:val="false"/>
          <w:color w:val="000000"/>
          <w:sz w:val="23"/>
        </w:rPr>
        <w:t>applicable) by the Executive as of the date of his termination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 with the Company's normal payroll practices, provided that all payments under this provision shall be reduced dollar-for-dollar by Social Security disability benefits and any other long-term disability benefits the Executive is entitled to under any other Company-sponsored or Company funded long-term disability plan or arrangements and shall cease as of the earliest of the Executive's cessation of Total Disability, death or attainment of his Normal Retirement Date.</w:t>
      </w:r>
    </w:p>
    <w:p>
      <w:pPr>
        <w:pStyle w:val="TextBody"/>
        <w:bidi w:val="0"/>
        <w:spacing w:lineRule="auto" w:line="292" w:before="252" w:after="283"/>
        <w:ind w:left="0" w:right="0" w:firstLine="765"/>
        <w:jc w:val="left"/>
        <w:rPr/>
      </w:pPr>
      <w:r>
        <w:rPr>
          <w:rFonts w:ascii="Times New Roman;serif" w:hAnsi="Times New Roman;serif"/>
          <w:b w:val="false"/>
          <w:color w:val="000000"/>
          <w:sz w:val="23"/>
        </w:rPr>
        <w:t>5.3.</w:t>
      </w:r>
      <w:r>
        <w:rPr>
          <w:rFonts w:ascii="Times New Roman;serif" w:hAnsi="Times New Roman;serif"/>
          <w:b w:val="false"/>
          <w:color w:val="000000"/>
          <w:sz w:val="23"/>
          <w:u w:val="single"/>
        </w:rPr>
        <w:t>Retirement.</w:t>
      </w:r>
      <w:r>
        <w:rPr>
          <w:color w:val="000000"/>
        </w:rPr>
        <w:t xml:space="preserve"> </w:t>
      </w:r>
      <w:r>
        <w:rPr>
          <w:rFonts w:ascii="Times New Roman;serif" w:hAnsi="Times New Roman;serif"/>
          <w:b w:val="false"/>
          <w:color w:val="000000"/>
          <w:sz w:val="23"/>
        </w:rPr>
        <w:t>The Executive's voluntary termination of employment at or after attaining his Normal Retirement Date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incentive and other benefits earned and vested (if applicable) by the Executive as of the date of his retirement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pStyle w:val="TextBody"/>
        <w:bidi w:val="0"/>
        <w:spacing w:lineRule="auto" w:line="292" w:before="256" w:after="283"/>
        <w:ind w:left="0" w:right="0" w:firstLine="775"/>
        <w:jc w:val="left"/>
        <w:rPr/>
      </w:pPr>
      <w:r>
        <w:rPr>
          <w:rFonts w:ascii="Times New Roman;serif" w:hAnsi="Times New Roman;serif"/>
          <w:b w:val="false"/>
          <w:color w:val="000000"/>
          <w:sz w:val="23"/>
        </w:rPr>
        <w:t>5.4.</w:t>
      </w:r>
      <w:r>
        <w:rPr>
          <w:rFonts w:ascii="Times New Roman;serif" w:hAnsi="Times New Roman;serif"/>
          <w:b w:val="false"/>
          <w:color w:val="000000"/>
          <w:sz w:val="23"/>
          <w:u w:val="single"/>
        </w:rPr>
        <w:t>Voluntary Termination.</w:t>
      </w:r>
      <w:r>
        <w:rPr>
          <w:color w:val="000000"/>
        </w:rPr>
        <w:t xml:space="preserve"> </w:t>
      </w:r>
      <w:r>
        <w:rPr>
          <w:rFonts w:ascii="Times New Roman;serif" w:hAnsi="Times New Roman;serif"/>
          <w:b w:val="false"/>
          <w:color w:val="000000"/>
          <w:sz w:val="23"/>
        </w:rPr>
        <w:t>At any time during the Term, upon 30 days' written notice to the Company, the Executive may voluntarily terminate his employment with the Company. Unless Section 5.7 is applicable, upon such termination the Company shall have no further obligations under this Agreement except to pay to the Executive (a) any Base Salary earned to the date of the Executive's termination of employment, to the extent theretofore unpaid, and (b)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addition, at the discretion of the Board, the Company may pay to the Executive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99465"/>
                <wp:effectExtent l="0" t="0" r="0" b="0"/>
                <wp:wrapNone/>
                <wp:docPr id="67" name="Frame67"/>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6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6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74" w:after="283"/>
        <w:ind w:left="0" w:right="0" w:firstLine="7"/>
        <w:jc w:val="left"/>
        <w:rPr>
          <w:rFonts w:ascii="Times New Roman;serif" w:hAnsi="Times New Roman;serif"/>
          <w:b w:val="false"/>
          <w:color w:val="000000"/>
          <w:sz w:val="23"/>
        </w:rPr>
      </w:pPr>
      <w:r>
        <w:rPr>
          <w:rFonts w:ascii="Times New Roman;serif" w:hAnsi="Times New Roman;serif"/>
          <w:b w:val="false"/>
          <w:color w:val="000000"/>
          <w:sz w:val="23"/>
        </w:rPr>
        <w:t>terminated his employment; provided that Executive's receipt of such pro-rated Incentive Bonus Payment shall be contingent on the Executive's prior execution and non-revocation of a release of claims in favor of the Company and its affiliates in the form attached as Exhibit A (the "Release").</w:t>
      </w:r>
    </w:p>
    <w:p>
      <w:pPr>
        <w:pStyle w:val="TextBody"/>
        <w:bidi w:val="0"/>
        <w:spacing w:lineRule="auto" w:line="292" w:before="249" w:after="283"/>
        <w:ind w:left="0" w:right="0" w:firstLine="740"/>
        <w:jc w:val="left"/>
        <w:rPr/>
      </w:pPr>
      <w:r>
        <w:rPr>
          <w:rFonts w:ascii="Times New Roman;serif" w:hAnsi="Times New Roman;serif"/>
          <w:b w:val="false"/>
          <w:color w:val="000000"/>
          <w:sz w:val="23"/>
        </w:rPr>
        <w:t>5.5.</w:t>
      </w:r>
      <w:r>
        <w:rPr>
          <w:rFonts w:ascii="Times New Roman;serif" w:hAnsi="Times New Roman;serif"/>
          <w:b w:val="false"/>
          <w:color w:val="000000"/>
          <w:sz w:val="23"/>
          <w:u w:val="single"/>
        </w:rPr>
        <w:t>Termination For Cause.</w:t>
      </w:r>
      <w:r>
        <w:rPr>
          <w:color w:val="000000"/>
        </w:rPr>
        <w:t xml:space="preserve"> </w:t>
      </w:r>
      <w:r>
        <w:rPr>
          <w:rFonts w:ascii="Times New Roman;serif" w:hAnsi="Times New Roman;serif"/>
          <w:b w:val="false"/>
          <w:color w:val="000000"/>
          <w:sz w:val="23"/>
        </w:rPr>
        <w:t>The Board may terminate the Executive's employment and the Company's obligations under this Agreement at any time for Cause by giving written notice to the Executive. The Company's required notice of 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w:t>
      </w:r>
    </w:p>
    <w:p>
      <w:pPr>
        <w:pStyle w:val="TextBody"/>
        <w:bidi w:val="0"/>
        <w:spacing w:lineRule="auto" w:line="292" w:before="6" w:after="283"/>
        <w:ind w:left="0" w:right="0" w:firstLine="8"/>
        <w:jc w:val="left"/>
        <w:rPr>
          <w:rFonts w:ascii="Times New Roman;serif" w:hAnsi="Times New Roman;serif"/>
          <w:b w:val="false"/>
          <w:color w:val="000000"/>
          <w:sz w:val="23"/>
        </w:rPr>
      </w:pPr>
      <w:r>
        <w:rPr>
          <w:rFonts w:ascii="Times New Roman;serif" w:hAnsi="Times New Roman;serif"/>
          <w:b w:val="false"/>
          <w:color w:val="000000"/>
          <w:sz w:val="23"/>
        </w:rPr>
        <w:t>(a) any Base Salary earned through the date of such termination, to the extent theretofore unpaid, and (b) such retirement and other benefits earned and vested (if applicable) by the Executive as of such termination under any employee benefit plan of the Company in which the Executive participates, all of the foregoing to be paid in the normal course for such payments and in accordance with the terms of such plans.</w:t>
      </w:r>
    </w:p>
    <w:p>
      <w:pPr>
        <w:pStyle w:val="TextBody"/>
        <w:bidi w:val="0"/>
        <w:spacing w:lineRule="auto" w:line="292" w:before="246" w:after="283"/>
        <w:ind w:left="0" w:right="0" w:firstLine="774"/>
        <w:jc w:val="left"/>
        <w:rPr/>
      </w:pPr>
      <w:r>
        <w:rPr>
          <w:rFonts w:ascii="Times New Roman;serif" w:hAnsi="Times New Roman;serif"/>
          <w:b w:val="false"/>
          <w:color w:val="000000"/>
          <w:sz w:val="23"/>
        </w:rPr>
        <w:t>5.6.</w:t>
      </w:r>
      <w:r>
        <w:rPr>
          <w:rFonts w:ascii="Times New Roman;serif" w:hAnsi="Times New Roman;serif"/>
          <w:b w:val="false"/>
          <w:color w:val="000000"/>
          <w:sz w:val="23"/>
          <w:u w:val="single"/>
        </w:rPr>
        <w:t>Involuntary Termination by the Company without Cause Prior to a Change in Control.</w:t>
      </w:r>
      <w:r>
        <w:rPr>
          <w:color w:val="000000"/>
        </w:rPr>
        <w:t xml:space="preserve"> </w:t>
      </w:r>
      <w:r>
        <w:rPr>
          <w:rFonts w:ascii="Times New Roman;serif" w:hAnsi="Times New Roman;serif"/>
          <w:b w:val="false"/>
          <w:color w:val="000000"/>
          <w:sz w:val="23"/>
        </w:rPr>
        <w:t xml:space="preserve">The Company may terminate the Executive's employment without Cause at any time during the Term, upon thirty (30) days' written notice; </w:t>
      </w:r>
      <w:r>
        <w:rPr>
          <w:rFonts w:ascii="Times New Roman;serif" w:hAnsi="Times New Roman;serif"/>
          <w:b w:val="false"/>
          <w:color w:val="000000"/>
          <w:sz w:val="23"/>
          <w:u w:val="single"/>
        </w:rPr>
        <w:t>provided that</w:t>
      </w:r>
      <w:r>
        <w:rPr>
          <w:color w:val="000000"/>
        </w:rPr>
        <w:t xml:space="preserve"> </w:t>
      </w:r>
      <w:r>
        <w:rPr>
          <w:rFonts w:ascii="Times New Roman;serif" w:hAnsi="Times New Roman;serif"/>
          <w:b w:val="false"/>
          <w:color w:val="000000"/>
          <w:sz w:val="23"/>
        </w:rPr>
        <w:t xml:space="preserve">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Times New Roman;serif" w:hAnsi="Times New Roman;serif"/>
          <w:b w:val="false"/>
          <w:color w:val="000000"/>
          <w:sz w:val="23"/>
          <w:u w:val="single"/>
        </w:rPr>
        <w:t>provided, however</w:t>
      </w:r>
      <w:r>
        <w:rPr>
          <w:color w:val="000000"/>
        </w:rPr>
        <w:t xml:space="preserve"> </w:t>
      </w:r>
      <w:r>
        <w:rPr>
          <w:rFonts w:ascii="Times New Roman;serif" w:hAnsi="Times New Roman;serif"/>
          <w:b w:val="false"/>
          <w:color w:val="000000"/>
          <w:sz w:val="23"/>
        </w:rPr>
        <w:t>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no event shall the payment in clause (c) be included for purposes of the Restoration Plan or the Pension Plan. Notwithstanding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99465"/>
                <wp:effectExtent l="0" t="0" r="0" b="0"/>
                <wp:wrapNone/>
                <wp:docPr id="68" name="Frame68"/>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7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7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75" w:after="283"/>
        <w:ind w:left="0" w:right="0" w:firstLine="4"/>
        <w:jc w:val="left"/>
        <w:rPr>
          <w:rFonts w:ascii="Times New Roman;serif" w:hAnsi="Times New Roman;serif"/>
          <w:b w:val="false"/>
          <w:color w:val="000000"/>
          <w:sz w:val="23"/>
        </w:rPr>
      </w:pPr>
      <w:r>
        <w:rPr>
          <w:rFonts w:ascii="Times New Roman;serif" w:hAnsi="Times New Roman;serif"/>
          <w:b w:val="false"/>
          <w:color w:val="000000"/>
          <w:sz w:val="23"/>
        </w:rPr>
        <w:t>anything herein to the contrary, the payments described in clauses (b) and (c) shall be contingent on the Executive's prior execution and non-revocation of the Release within 60 days following his termination date and shall be paid as specified above or such later date as may be required to comply with Section 409A of the Code.</w:t>
      </w:r>
    </w:p>
    <w:p>
      <w:pPr>
        <w:pStyle w:val="TextBody"/>
        <w:bidi w:val="0"/>
        <w:spacing w:lineRule="auto" w:line="292" w:before="249" w:after="283"/>
        <w:ind w:left="0" w:right="0" w:firstLine="771"/>
        <w:jc w:val="left"/>
        <w:rPr/>
      </w:pPr>
      <w:r>
        <w:rPr>
          <w:rFonts w:ascii="Times New Roman;serif" w:hAnsi="Times New Roman;serif"/>
          <w:b w:val="false"/>
          <w:color w:val="000000"/>
          <w:sz w:val="23"/>
        </w:rPr>
        <w:t>5.7.</w:t>
      </w:r>
      <w:r>
        <w:rPr>
          <w:rFonts w:ascii="Times New Roman;serif" w:hAnsi="Times New Roman;serif"/>
          <w:b w:val="false"/>
          <w:color w:val="000000"/>
          <w:sz w:val="23"/>
          <w:u w:val="single"/>
        </w:rPr>
        <w:t>Involuntary Termination by the Company or by the Executive for Good Reason</w:t>
      </w:r>
      <w:r>
        <w:rPr>
          <w:color w:val="000000"/>
        </w:rPr>
        <w:t xml:space="preserve"> </w:t>
      </w:r>
      <w:r>
        <w:rPr>
          <w:rFonts w:ascii="Times New Roman;serif" w:hAnsi="Times New Roman;serif"/>
          <w:b w:val="false"/>
          <w:color w:val="000000"/>
          <w:sz w:val="23"/>
          <w:u w:val="single"/>
        </w:rPr>
        <w:t>Following a Change in Control.</w:t>
      </w:r>
      <w:r>
        <w:rPr>
          <w:color w:val="000000"/>
        </w:rPr>
        <w:t xml:space="preserve"> </w:t>
      </w:r>
      <w:r>
        <w:rPr>
          <w:rFonts w:ascii="Times New Roman;serif" w:hAnsi="Times New Roman;serif"/>
          <w:b w:val="false"/>
          <w:color w:val="000000"/>
          <w:sz w:val="23"/>
        </w:rPr>
        <w:t>If the Company terminates the Executive's employment without Cause during the 12-month period following a Change in Control, or the Executive voluntarily terminates his employment for Good Reason during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2.99 times the sum of the Executive's Base Salary and target Incentive Bonus Payment for the year of such termination, payable within 60 days following the Executive's termination of employment, provided, however, 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or such longer period as provided under the terms of such option. In no event shall the payment in clause (b) be included for purposes of the Restoration Plan. Notwithstanding anything herein to the contrary, the payment described in clause (b) and vesting described in clause (d) shall be contingent on the</w:t>
      </w:r>
    </w:p>
    <w:p>
      <w:pPr>
        <w:pStyle w:val="TextBody"/>
        <w:bidi w:val="0"/>
        <w:spacing w:lineRule="auto" w:line="292" w:before="18" w:after="283"/>
        <w:ind w:left="0" w:right="0" w:firstLine="3"/>
        <w:jc w:val="left"/>
        <w:rPr>
          <w:rFonts w:ascii="Times New Roman;serif" w:hAnsi="Times New Roman;serif"/>
          <w:b w:val="false"/>
          <w:color w:val="000000"/>
          <w:sz w:val="23"/>
        </w:rPr>
      </w:pPr>
      <w:r>
        <w:rPr>
          <w:rFonts w:ascii="Times New Roman;serif" w:hAnsi="Times New Roman;serif"/>
          <w:b w:val="false"/>
          <w:color w:val="000000"/>
          <w:sz w:val="23"/>
        </w:rPr>
        <w:t>Executive's prior execution and non-revocation of the Release within 60 days following his termination date and shall be paid as specified above or such later date as may be required to comply with Section 409A of the Code.</w:t>
      </w:r>
    </w:p>
    <w:p>
      <w:pPr>
        <w:pStyle w:val="TextBody"/>
        <w:bidi w:val="0"/>
        <w:spacing w:lineRule="auto" w:line="292" w:before="243" w:after="283"/>
        <w:ind w:left="0" w:right="0" w:firstLine="737"/>
        <w:jc w:val="left"/>
        <w:rPr/>
      </w:pPr>
      <w:r>
        <w:rPr>
          <w:rFonts w:ascii="Times New Roman;serif" w:hAnsi="Times New Roman;serif"/>
          <w:b w:val="false"/>
          <w:color w:val="000000"/>
          <w:sz w:val="23"/>
        </w:rPr>
        <w:t>5.8.</w:t>
      </w:r>
      <w:r>
        <w:rPr>
          <w:rFonts w:ascii="Times New Roman;serif" w:hAnsi="Times New Roman;serif"/>
          <w:b w:val="false"/>
          <w:color w:val="000000"/>
          <w:sz w:val="23"/>
          <w:u w:val="single"/>
        </w:rPr>
        <w:t>Mitigation.</w:t>
      </w:r>
      <w:r>
        <w:rPr>
          <w:color w:val="000000"/>
        </w:rPr>
        <w:t xml:space="preserve"> </w:t>
      </w:r>
      <w:r>
        <w:rPr>
          <w:rFonts w:ascii="Times New Roman;serif" w:hAnsi="Times New Roman;serif"/>
          <w:b w:val="false"/>
          <w:color w:val="000000"/>
          <w:sz w:val="23"/>
        </w:rPr>
        <w:t>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pStyle w:val="TextBody"/>
        <w:bidi w:val="0"/>
        <w:spacing w:lineRule="auto" w:line="292" w:before="245" w:after="283"/>
        <w:ind w:left="0" w:right="0" w:firstLine="752"/>
        <w:jc w:val="left"/>
        <w:rPr/>
      </w:pPr>
      <w:r>
        <w:rPr>
          <w:rFonts w:ascii="Times New Roman;serif" w:hAnsi="Times New Roman;serif"/>
          <w:b w:val="false"/>
          <w:color w:val="000000"/>
          <w:sz w:val="23"/>
        </w:rPr>
        <w:t>5.9.</w:t>
      </w:r>
      <w:r>
        <w:rPr>
          <w:rFonts w:ascii="Times New Roman;serif" w:hAnsi="Times New Roman;serif"/>
          <w:b w:val="false"/>
          <w:color w:val="000000"/>
          <w:sz w:val="23"/>
          <w:u w:val="single"/>
        </w:rPr>
        <w:t>Excise Taxes.</w:t>
      </w:r>
      <w:r>
        <w:rPr>
          <w:color w:val="000000"/>
        </w:rPr>
        <w:t xml:space="preserve"> </w:t>
      </w:r>
      <w:r>
        <w:rPr>
          <w:rFonts w:ascii="Times New Roman;serif" w:hAnsi="Times New Roman;serif"/>
          <w:b w:val="false"/>
          <w:color w:val="000000"/>
          <w:sz w:val="23"/>
        </w:rPr>
        <w:t>If any payment or benefit, or the acceleration of any payment or benefit, the Executive would receive from the Company under this Agreement or otherwise in connection with a Change in Control (collectively, the "</w:t>
      </w:r>
      <w:r>
        <w:rPr>
          <w:rFonts w:ascii="Times New Roman;serif" w:hAnsi="Times New Roman;serif"/>
          <w:b w:val="false"/>
          <w:color w:val="000000"/>
          <w:sz w:val="23"/>
          <w:u w:val="single"/>
        </w:rPr>
        <w:t>Payments</w:t>
      </w:r>
      <w:r>
        <w:rPr>
          <w:rFonts w:ascii="Times New Roman;serif" w:hAnsi="Times New Roman;serif"/>
          <w:b w:val="false"/>
          <w:color w:val="000000"/>
          <w:sz w:val="23"/>
        </w:rPr>
        <w:t>") would be subject to the excise tax imposed by Section 4999 of the Code (the "</w:t>
      </w:r>
      <w:r>
        <w:rPr>
          <w:rFonts w:ascii="Times New Roman;serif" w:hAnsi="Times New Roman;serif"/>
          <w:b w:val="false"/>
          <w:color w:val="000000"/>
          <w:sz w:val="23"/>
          <w:u w:val="single"/>
        </w:rPr>
        <w:t>Excise Tax</w:t>
      </w:r>
      <w:r>
        <w:rPr>
          <w:rFonts w:ascii="Times New Roman;serif" w:hAnsi="Times New Roman;serif"/>
          <w:b w:val="false"/>
          <w:color w:val="000000"/>
          <w:sz w:val="23"/>
        </w:rPr>
        <w:t>"), then either (a) such Payments will be reduced or delayed by the minimum amount necessary such that no portion of the Payments is subject to the Excise Tax, or (b) the full amount of the Payments shall be made, whichever, after taking into account all applicable taxes, including the Excise Tax, results in the Executive's receipt, on an after-tax basis, of the greater amount. If a reduction or delay in the Payments is necessary, such reduction or delay will occur in the following order: (1) cancellation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99465"/>
                <wp:effectExtent l="0" t="0" r="0" b="0"/>
                <wp:wrapNone/>
                <wp:docPr id="69" name="Frame69"/>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8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8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63" w:after="283"/>
        <w:ind w:left="0" w:right="0" w:firstLine="24"/>
        <w:jc w:val="left"/>
        <w:rPr>
          <w:rFonts w:ascii="Times New Roman;serif" w:hAnsi="Times New Roman;serif"/>
          <w:b w:val="false"/>
          <w:color w:val="000000"/>
          <w:sz w:val="23"/>
        </w:rPr>
      </w:pPr>
      <w:r>
        <w:rPr>
          <w:rFonts w:ascii="Times New Roman;serif" w:hAnsi="Times New Roman;serif"/>
          <w:b w:val="false"/>
          <w:color w:val="000000"/>
          <w:sz w:val="23"/>
        </w:rPr>
        <w:t>of accelerated vesting of stock and option awards (reduced from the highest value to the lowest value under Section 280G of the Code) with the understanding that such awards may be replaced with the right to an equivalent cash payment at such future time because of the delisting of the underlying stock; (2) reduction or delay of cash payments (reduced from the latest payment to the earliest payment); and (3) reduction of other benefits payable to the Executive (reduced from the highest value to the lowest value under Section 280G of the Code). The Company will select a reputable third party professional firm to make all determinations required to be made under this provision. The Company will bear all reasonable expenses with respect to the determinations by such firm required to be made hereunder. For the avoidance of doubt, neither the Company nor any of its affiliates shall have any obligation to indemnify, gross-up or otherwise pay or reimburse the Executive for any Excise Tax assessed on any payment or benefit made or provided, or required to be made or provided, to the Executive by the Company under this Agreement or otherwise.</w:t>
      </w:r>
    </w:p>
    <w:p>
      <w:pPr>
        <w:pStyle w:val="TextBody"/>
        <w:bidi w:val="0"/>
        <w:spacing w:lineRule="auto" w:line="292" w:before="259" w:after="283"/>
        <w:ind w:left="0" w:right="0" w:firstLine="727"/>
        <w:jc w:val="left"/>
        <w:rPr/>
      </w:pPr>
      <w:r>
        <w:rPr>
          <w:rFonts w:ascii="Times New Roman;serif" w:hAnsi="Times New Roman;serif"/>
          <w:b w:val="false"/>
          <w:color w:val="000000"/>
          <w:sz w:val="23"/>
        </w:rPr>
        <w:t>5.10.</w:t>
      </w:r>
      <w:r>
        <w:rPr>
          <w:rFonts w:ascii="Times New Roman;serif" w:hAnsi="Times New Roman;serif"/>
          <w:b w:val="false"/>
          <w:color w:val="000000"/>
          <w:sz w:val="23"/>
          <w:u w:val="single"/>
        </w:rPr>
        <w:t>Resignation.</w:t>
      </w:r>
      <w:r>
        <w:rPr>
          <w:color w:val="000000"/>
        </w:rPr>
        <w:t xml:space="preserve"> </w:t>
      </w:r>
      <w:r>
        <w:rPr>
          <w:rFonts w:ascii="Times New Roman;serif" w:hAnsi="Times New Roman;serif"/>
          <w:b w:val="false"/>
          <w:color w:val="000000"/>
          <w:sz w:val="23"/>
        </w:rPr>
        <w:t>Upon the termination of the Executive's employment for whatever reason, the Executive shall be deemed to have automatically resigned without claims for compensation from any position he holds with the Company.</w:t>
      </w:r>
    </w:p>
    <w:p>
      <w:pPr>
        <w:pStyle w:val="TextBody"/>
        <w:bidi w:val="0"/>
        <w:spacing w:lineRule="auto" w:line="292" w:before="243" w:after="283"/>
        <w:ind w:left="0" w:right="0" w:firstLine="42"/>
        <w:jc w:val="left"/>
        <w:rPr/>
      </w:pPr>
      <w:r>
        <w:rPr>
          <w:rFonts w:ascii="Times New Roman;serif" w:hAnsi="Times New Roman;serif"/>
          <w:b w:val="false"/>
          <w:color w:val="000000"/>
          <w:sz w:val="23"/>
        </w:rPr>
        <w:t>6.</w:t>
      </w:r>
      <w:r>
        <w:rPr>
          <w:rFonts w:ascii="Times New Roman;serif" w:hAnsi="Times New Roman;serif"/>
          <w:b w:val="false"/>
          <w:color w:val="000000"/>
          <w:sz w:val="23"/>
          <w:u w:val="single"/>
        </w:rPr>
        <w:t>Confidential Information.</w:t>
      </w:r>
      <w:r>
        <w:rPr>
          <w:color w:val="000000"/>
        </w:rPr>
        <w:t xml:space="preserve"> </w:t>
      </w:r>
      <w:r>
        <w:rPr>
          <w:rFonts w:ascii="Times New Roman;serif" w:hAnsi="Times New Roman;serif"/>
          <w:b w:val="false"/>
          <w:color w:val="000000"/>
          <w:sz w:val="23"/>
        </w:rPr>
        <w:t>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 Notwithstanding the foregoing, (i) nothing in this Section or Agreement shall prohibit the Executive from reporting possible violations of federal</w:t>
      </w:r>
    </w:p>
    <w:p>
      <w:pPr>
        <w:pStyle w:val="TextBody"/>
        <w:bidi w:val="0"/>
        <w:spacing w:lineRule="auto" w:line="292" w:before="9" w:after="283"/>
        <w:ind w:left="0" w:right="0" w:firstLine="29"/>
        <w:jc w:val="left"/>
        <w:rPr>
          <w:rFonts w:ascii="Times New Roman;serif" w:hAnsi="Times New Roman;serif"/>
          <w:b w:val="false"/>
          <w:color w:val="000000"/>
          <w:sz w:val="23"/>
        </w:rPr>
      </w:pPr>
      <w:r>
        <w:rPr>
          <w:rFonts w:ascii="Times New Roman;serif" w:hAnsi="Times New Roman;serif"/>
          <w:b w:val="false"/>
          <w:color w:val="000000"/>
          <w:sz w:val="23"/>
        </w:rPr>
        <w:t>law or regulation to any governmental agency or entity or self-regulatory organization or making disclosures that are protected under the whistleblower provisions of applicable law or regulation (and the Executive shall not be required to obtain the written consent of the Company prior to making any such reports or disclosures); and (ii) in accordance with the Defend Trade Secrets Act of 2016, (A)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99465"/>
                <wp:effectExtent l="0" t="0" r="0" b="0"/>
                <wp:wrapNone/>
                <wp:docPr id="70" name="Frame70"/>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9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9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63" w:after="283"/>
        <w:ind w:left="0" w:right="0" w:firstLine="5"/>
        <w:jc w:val="left"/>
        <w:rPr>
          <w:rFonts w:ascii="Times New Roman;serif" w:hAnsi="Times New Roman;serif"/>
          <w:b w:val="false"/>
          <w:color w:val="000000"/>
          <w:sz w:val="23"/>
        </w:rPr>
      </w:pPr>
      <w:r>
        <w:rPr>
          <w:rFonts w:ascii="Times New Roman;serif" w:hAnsi="Times New Roman;serif"/>
          <w:b w:val="false"/>
          <w:color w:val="000000"/>
          <w:sz w:val="23"/>
        </w:rPr>
        <w:t>seal, and (B)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w:t>
      </w:r>
    </w:p>
    <w:p>
      <w:pPr>
        <w:pStyle w:val="TextBody"/>
        <w:bidi w:val="0"/>
        <w:spacing w:lineRule="auto" w:line="292" w:before="249" w:after="283"/>
        <w:ind w:left="0" w:right="0" w:firstLine="20"/>
        <w:jc w:val="left"/>
        <w:rPr/>
      </w:pPr>
      <w:r>
        <w:rPr>
          <w:rFonts w:ascii="Times New Roman;serif" w:hAnsi="Times New Roman;serif"/>
          <w:b w:val="false"/>
          <w:color w:val="000000"/>
          <w:sz w:val="23"/>
        </w:rPr>
        <w:t>7.</w:t>
      </w:r>
      <w:r>
        <w:rPr>
          <w:rFonts w:ascii="Times New Roman;serif" w:hAnsi="Times New Roman;serif"/>
          <w:b w:val="false"/>
          <w:color w:val="000000"/>
          <w:sz w:val="23"/>
          <w:u w:val="single"/>
        </w:rPr>
        <w:t>Return of Documents and Property.</w:t>
      </w:r>
      <w:r>
        <w:rPr>
          <w:color w:val="000000"/>
        </w:rPr>
        <w:t xml:space="preserve"> </w:t>
      </w:r>
      <w:r>
        <w:rPr>
          <w:rFonts w:ascii="Times New Roman;serif" w:hAnsi="Times New Roman;serif"/>
          <w:b w:val="false"/>
          <w:color w:val="000000"/>
          <w:sz w:val="23"/>
        </w:rPr>
        <w:t>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pStyle w:val="TextBody"/>
        <w:bidi w:val="0"/>
        <w:spacing w:lineRule="auto" w:line="292" w:before="252" w:after="283"/>
        <w:ind w:left="0" w:right="0" w:firstLine="42"/>
        <w:jc w:val="left"/>
        <w:rPr/>
      </w:pPr>
      <w:r>
        <w:rPr>
          <w:rFonts w:ascii="Times New Roman;serif" w:hAnsi="Times New Roman;serif"/>
          <w:b w:val="false"/>
          <w:color w:val="000000"/>
          <w:sz w:val="23"/>
        </w:rPr>
        <w:t>8.</w:t>
      </w:r>
      <w:r>
        <w:rPr>
          <w:rFonts w:ascii="Times New Roman;serif" w:hAnsi="Times New Roman;serif"/>
          <w:b w:val="false"/>
          <w:color w:val="000000"/>
          <w:sz w:val="23"/>
          <w:u w:val="single"/>
        </w:rPr>
        <w:t>Noncompetition.</w:t>
      </w:r>
      <w:r>
        <w:rPr>
          <w:color w:val="000000"/>
        </w:rPr>
        <w:t xml:space="preserve"> </w:t>
      </w:r>
      <w:r>
        <w:rPr>
          <w:rFonts w:ascii="Times New Roman;serif" w:hAnsi="Times New Roman;serif"/>
          <w:b w:val="false"/>
          <w:color w:val="000000"/>
          <w:sz w:val="23"/>
        </w:rPr>
        <w:t>By and in consideration of the salary and benefits to be provided by the Company hereunder, including the severance arrangements set forth herein, and further in consideration of the Executive's exposure to the proprietary information of the Company, the 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 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pStyle w:val="TextBody"/>
        <w:bidi w:val="0"/>
        <w:spacing w:lineRule="auto" w:line="292" w:before="254" w:after="283"/>
        <w:ind w:left="0" w:right="0" w:firstLine="37"/>
        <w:jc w:val="left"/>
        <w:rPr/>
      </w:pPr>
      <w:r>
        <w:rPr>
          <w:rFonts w:ascii="Times New Roman;serif" w:hAnsi="Times New Roman;serif"/>
          <w:b w:val="false"/>
          <w:color w:val="000000"/>
          <w:sz w:val="23"/>
        </w:rPr>
        <w:t>9.</w:t>
      </w:r>
      <w:r>
        <w:rPr>
          <w:rFonts w:ascii="Times New Roman;serif" w:hAnsi="Times New Roman;serif"/>
          <w:b w:val="false"/>
          <w:color w:val="000000"/>
          <w:sz w:val="23"/>
          <w:u w:val="single"/>
        </w:rPr>
        <w:t>Nondisparagement.</w:t>
      </w:r>
      <w:r>
        <w:rPr>
          <w:color w:val="000000"/>
        </w:rPr>
        <w:t xml:space="preserve"> </w:t>
      </w:r>
      <w:r>
        <w:rPr>
          <w:rFonts w:ascii="Times New Roman;serif" w:hAnsi="Times New Roman;serif"/>
          <w:b w:val="false"/>
          <w:color w:val="000000"/>
          <w:sz w:val="23"/>
        </w:rPr>
        <w:t>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 law, court order, subpoena, compulsory process of law or governmental decree shall not constitute a violation or breach of this Section; provided that the Executive delivers written notice of such required disclosure to the Company or its designee promptly before making such disclosure if such notice is not prohibited by applicable law, court order, subpoena, compulsory process of law or governmental decree.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99465"/>
                <wp:effectExtent l="0" t="0" r="0" b="0"/>
                <wp:wrapNone/>
                <wp:docPr id="71" name="Frame71"/>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10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10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5" w:before="63" w:after="283"/>
        <w:ind w:left="0" w:right="0" w:firstLine="20"/>
        <w:jc w:val="left"/>
        <w:rPr/>
      </w:pPr>
      <w:r>
        <w:rPr>
          <w:rFonts w:ascii="Times New Roman;serif" w:hAnsi="Times New Roman;serif"/>
          <w:b w:val="false"/>
          <w:color w:val="000000"/>
          <w:sz w:val="23"/>
        </w:rPr>
        <w:t>10.</w:t>
      </w:r>
      <w:r>
        <w:rPr>
          <w:rFonts w:ascii="Times New Roman;serif" w:hAnsi="Times New Roman;serif"/>
          <w:b w:val="false"/>
          <w:color w:val="000000"/>
          <w:sz w:val="23"/>
          <w:u w:val="single"/>
        </w:rPr>
        <w:t>Enforcement.</w:t>
      </w:r>
      <w:r>
        <w:rPr>
          <w:color w:val="000000"/>
        </w:rPr>
        <w:t xml:space="preserve"> </w:t>
      </w:r>
      <w:r>
        <w:rPr>
          <w:rFonts w:ascii="Times New Roman;serif" w:hAnsi="Times New Roman;serif"/>
          <w:b w:val="false"/>
          <w:color w:val="000000"/>
          <w:sz w:val="23"/>
        </w:rPr>
        <w:t>The Executive acknowledges that (i) the Executive's work for the Company has given and will continue to give him access to the confidential affairs and proprietary information of the Company; (ii) the covenants and agreements of the Executive contained in Sections 6, 7, 8 and 9 are essential to the business and goodwill of the Company; and (iii) Crown would not have entered into this Agreement but for the covenants and agreements set forth in Sections 6, 7, 8 and 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pStyle w:val="TextBody"/>
        <w:bidi w:val="0"/>
        <w:spacing w:lineRule="auto" w:line="292" w:before="226" w:after="283"/>
        <w:ind w:left="0" w:right="0" w:firstLine="9"/>
        <w:jc w:val="left"/>
        <w:rPr/>
      </w:pPr>
      <w:r>
        <w:rPr>
          <w:rFonts w:ascii="Times New Roman;serif" w:hAnsi="Times New Roman;serif"/>
          <w:b w:val="false"/>
          <w:color w:val="000000"/>
          <w:sz w:val="23"/>
        </w:rPr>
        <w:t>11.</w:t>
      </w:r>
      <w:r>
        <w:rPr>
          <w:rFonts w:ascii="Times New Roman;serif" w:hAnsi="Times New Roman;serif"/>
          <w:b w:val="false"/>
          <w:color w:val="000000"/>
          <w:sz w:val="23"/>
          <w:u w:val="single"/>
        </w:rPr>
        <w:t>Notices.</w:t>
      </w:r>
      <w:r>
        <w:rPr>
          <w:color w:val="000000"/>
        </w:rPr>
        <w:t xml:space="preserve"> </w:t>
      </w:r>
      <w:r>
        <w:rPr>
          <w:rFonts w:ascii="Times New Roman;serif" w:hAnsi="Times New Roman;serif"/>
          <w:b w:val="false"/>
          <w:color w:val="000000"/>
          <w:sz w:val="23"/>
        </w:rPr>
        <w:t>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pStyle w:val="TextBody"/>
        <w:bidi w:val="0"/>
        <w:spacing w:lineRule="auto" w:line="288" w:before="244" w:after="283"/>
        <w:jc w:val="left"/>
        <w:rPr>
          <w:rFonts w:ascii="Times New Roman;serif" w:hAnsi="Times New Roman;serif"/>
          <w:b w:val="false"/>
          <w:color w:val="000000"/>
          <w:sz w:val="23"/>
        </w:rPr>
      </w:pPr>
      <w:r>
        <w:rPr>
          <w:rFonts w:ascii="Times New Roman;serif" w:hAnsi="Times New Roman;serif"/>
          <w:b w:val="false"/>
          <w:color w:val="000000"/>
          <w:sz w:val="23"/>
        </w:rPr>
        <w:t>If to the Company:</w:t>
      </w:r>
    </w:p>
    <w:p>
      <w:pPr>
        <w:pStyle w:val="TextBody"/>
        <w:bidi w:val="0"/>
        <w:spacing w:lineRule="auto" w:line="288" w:before="140" w:after="283"/>
        <w:jc w:val="left"/>
        <w:rPr>
          <w:rFonts w:ascii="Times New Roman;serif" w:hAnsi="Times New Roman;serif"/>
          <w:b w:val="false"/>
          <w:color w:val="000000"/>
          <w:sz w:val="23"/>
        </w:rPr>
      </w:pPr>
      <w:r>
        <w:rPr>
          <w:rFonts w:ascii="Times New Roman;serif" w:hAnsi="Times New Roman;serif"/>
          <w:b w:val="false"/>
          <w:color w:val="000000"/>
          <w:sz w:val="23"/>
        </w:rPr>
        <w:t>Crown Holdings, Inc.</w:t>
      </w:r>
    </w:p>
    <w:p>
      <w:pPr>
        <w:pStyle w:val="TextBody"/>
        <w:bidi w:val="0"/>
        <w:spacing w:lineRule="auto" w:line="288" w:before="9" w:after="283"/>
        <w:jc w:val="left"/>
        <w:rPr>
          <w:rFonts w:ascii="Times New Roman;serif" w:hAnsi="Times New Roman;serif"/>
          <w:b w:val="false"/>
          <w:color w:val="000000"/>
          <w:sz w:val="23"/>
        </w:rPr>
      </w:pPr>
      <w:r>
        <w:rPr>
          <w:rFonts w:ascii="Times New Roman;serif" w:hAnsi="Times New Roman;serif"/>
          <w:b w:val="false"/>
          <w:color w:val="000000"/>
          <w:sz w:val="23"/>
        </w:rPr>
        <w:t>14025 Riveredge Drive, Suite 300</w:t>
      </w:r>
    </w:p>
    <w:p>
      <w:pPr>
        <w:pStyle w:val="TextBody"/>
        <w:bidi w:val="0"/>
        <w:spacing w:lineRule="auto" w:line="288" w:before="14" w:after="283"/>
        <w:jc w:val="left"/>
        <w:rPr>
          <w:rFonts w:ascii="Times New Roman;serif" w:hAnsi="Times New Roman;serif"/>
          <w:b w:val="false"/>
          <w:color w:val="000000"/>
          <w:sz w:val="23"/>
        </w:rPr>
      </w:pPr>
      <w:r>
        <w:rPr>
          <w:rFonts w:ascii="Times New Roman;serif" w:hAnsi="Times New Roman;serif"/>
          <w:b w:val="false"/>
          <w:color w:val="000000"/>
          <w:sz w:val="23"/>
        </w:rPr>
        <w:t>Tampa, FL 33637</w:t>
      </w:r>
    </w:p>
    <w:p>
      <w:pPr>
        <w:pStyle w:val="TextBody"/>
        <w:bidi w:val="0"/>
        <w:spacing w:lineRule="auto" w:line="288" w:before="15" w:after="283"/>
        <w:jc w:val="left"/>
        <w:rPr>
          <w:rFonts w:ascii="Times New Roman;serif" w:hAnsi="Times New Roman;serif"/>
          <w:b w:val="false"/>
          <w:color w:val="000000"/>
          <w:sz w:val="23"/>
        </w:rPr>
      </w:pPr>
      <w:r>
        <w:rPr>
          <w:rFonts w:ascii="Times New Roman;serif" w:hAnsi="Times New Roman;serif"/>
          <w:b w:val="false"/>
          <w:color w:val="000000"/>
          <w:sz w:val="23"/>
        </w:rPr>
        <w:t>Attention: Chief Executive Officer</w:t>
      </w:r>
    </w:p>
    <w:p>
      <w:pPr>
        <w:pStyle w:val="TextBody"/>
        <w:bidi w:val="0"/>
        <w:spacing w:lineRule="auto" w:line="292" w:before="254" w:after="283"/>
        <w:ind w:left="0" w:right="0" w:hanging="7"/>
        <w:jc w:val="left"/>
        <w:rPr>
          <w:rFonts w:ascii="Times New Roman;serif" w:hAnsi="Times New Roman;serif"/>
          <w:b w:val="false"/>
          <w:color w:val="000000"/>
          <w:sz w:val="23"/>
        </w:rPr>
      </w:pPr>
      <w:r>
        <w:rPr>
          <w:rFonts w:ascii="Times New Roman;serif" w:hAnsi="Times New Roman;serif"/>
          <w:b w:val="false"/>
          <w:color w:val="000000"/>
          <w:sz w:val="23"/>
        </w:rPr>
        <w:t>If to the Executive, notice shall be sent to the Executive's address on file with the Company.</w:t>
      </w:r>
    </w:p>
    <w:p>
      <w:pPr>
        <w:pStyle w:val="TextBody"/>
        <w:bidi w:val="0"/>
        <w:spacing w:lineRule="auto" w:line="292" w:before="247" w:after="283"/>
        <w:ind w:left="0" w:right="0" w:firstLine="3"/>
        <w:jc w:val="left"/>
        <w:rPr/>
      </w:pPr>
      <w:r>
        <w:rPr>
          <w:rFonts w:ascii="Times New Roman;serif" w:hAnsi="Times New Roman;serif"/>
          <w:b w:val="false"/>
          <w:color w:val="000000"/>
          <w:sz w:val="23"/>
        </w:rPr>
        <w:t>12.</w:t>
      </w:r>
      <w:r>
        <w:rPr>
          <w:rFonts w:ascii="Times New Roman;serif" w:hAnsi="Times New Roman;serif"/>
          <w:b w:val="false"/>
          <w:color w:val="000000"/>
          <w:sz w:val="23"/>
          <w:u w:val="single"/>
        </w:rPr>
        <w:t>Amendments.</w:t>
      </w:r>
      <w:r>
        <w:rPr>
          <w:color w:val="000000"/>
        </w:rPr>
        <w:t xml:space="preserve"> </w:t>
      </w:r>
      <w:r>
        <w:rPr>
          <w:rFonts w:ascii="Times New Roman;serif" w:hAnsi="Times New Roman;serif"/>
          <w:b w:val="false"/>
          <w:color w:val="000000"/>
          <w:sz w:val="23"/>
        </w:rPr>
        <w:t>This Agreement may be amended, modified or superseded only by a written instrument executed by both of the parties hereto.</w:t>
      </w:r>
    </w:p>
    <w:p>
      <w:pPr>
        <w:pStyle w:val="TextBody"/>
        <w:bidi w:val="0"/>
        <w:spacing w:lineRule="auto" w:line="292" w:before="243" w:after="283"/>
        <w:ind w:left="0" w:right="0" w:firstLine="9"/>
        <w:jc w:val="both"/>
        <w:rPr/>
      </w:pPr>
      <w:r>
        <w:rPr>
          <w:rFonts w:ascii="Times New Roman;serif" w:hAnsi="Times New Roman;serif"/>
          <w:b w:val="false"/>
          <w:color w:val="000000"/>
          <w:sz w:val="23"/>
        </w:rPr>
        <w:t>13.</w:t>
      </w:r>
      <w:r>
        <w:rPr>
          <w:rFonts w:ascii="Times New Roman;serif" w:hAnsi="Times New Roman;serif"/>
          <w:b w:val="false"/>
          <w:color w:val="000000"/>
          <w:sz w:val="23"/>
          <w:u w:val="single"/>
        </w:rPr>
        <w:t>Binding Effect.</w:t>
      </w:r>
      <w:r>
        <w:rPr>
          <w:color w:val="000000"/>
        </w:rPr>
        <w:t xml:space="preserve"> </w:t>
      </w:r>
      <w:r>
        <w:rPr>
          <w:rFonts w:ascii="Times New Roman;serif" w:hAnsi="Times New Roman;serif"/>
          <w:b w:val="false"/>
          <w:color w:val="000000"/>
          <w:sz w:val="23"/>
        </w:rPr>
        <w:t>This Agreement shall inure to the benefit of and shall be binding upon the Company and the Executive and their respective heirs, executors, personal representatives, successors and permitted assigns.</w:t>
      </w:r>
    </w:p>
    <w:p>
      <w:pPr>
        <w:pStyle w:val="TextBody"/>
        <w:bidi w:val="0"/>
        <w:spacing w:lineRule="auto" w:line="292" w:before="243" w:after="283"/>
        <w:ind w:left="0" w:right="0" w:firstLine="21"/>
        <w:jc w:val="left"/>
        <w:rPr/>
      </w:pPr>
      <w:r>
        <w:rPr>
          <w:rFonts w:ascii="Times New Roman;serif" w:hAnsi="Times New Roman;serif"/>
          <w:b w:val="false"/>
          <w:color w:val="000000"/>
          <w:sz w:val="23"/>
        </w:rPr>
        <w:t>14.</w:t>
      </w:r>
      <w:r>
        <w:rPr>
          <w:rFonts w:ascii="Times New Roman;serif" w:hAnsi="Times New Roman;serif"/>
          <w:b w:val="false"/>
          <w:color w:val="000000"/>
          <w:sz w:val="23"/>
          <w:u w:val="single"/>
        </w:rPr>
        <w:t>Assignability.</w:t>
      </w:r>
      <w:r>
        <w:rPr>
          <w:color w:val="000000"/>
        </w:rPr>
        <w:t xml:space="preserve"> </w:t>
      </w:r>
      <w:r>
        <w:rPr>
          <w:rFonts w:ascii="Times New Roman;serif" w:hAnsi="Times New Roman;serif"/>
          <w:b w:val="false"/>
          <w:color w:val="000000"/>
          <w:sz w:val="23"/>
        </w:rPr>
        <w:t>This Agreement shall not be assignable, in whole or in part, by either party, without the prior written consent of the other party, provided that (i) this Agreement shall be binding upon and shall be assigned by Crown to any person, film or corporation with which Crown may be merged or consolidated or which may acquire all or substantially all of the assets of Crown, or its successor ("</w:t>
      </w:r>
      <w:r>
        <w:rPr>
          <w:rFonts w:ascii="Times New Roman;serif" w:hAnsi="Times New Roman;serif"/>
          <w:b w:val="false"/>
          <w:color w:val="000000"/>
          <w:sz w:val="23"/>
          <w:u w:val="single"/>
        </w:rPr>
        <w:t>Crown's Successor</w:t>
      </w:r>
      <w:r>
        <w:rPr>
          <w:rFonts w:ascii="Times New Roman;serif" w:hAnsi="Times New Roman;serif"/>
          <w:b w:val="false"/>
          <w:color w:val="000000"/>
          <w:sz w:val="23"/>
        </w:rPr>
        <w:t>")</w:t>
      </w:r>
      <w:r>
        <w:rPr>
          <w:rFonts w:ascii="Times New Roman;serif" w:hAnsi="Times New Roman;serif"/>
          <w:b w:val="false"/>
          <w:color w:val="000000"/>
          <w:sz w:val="23"/>
          <w:u w:val="single"/>
        </w:rPr>
        <w:t>,</w:t>
      </w:r>
      <w:r>
        <w:rPr>
          <w:color w:val="000000"/>
        </w:rPr>
        <w:t xml:space="preserve"> </w:t>
      </w:r>
      <w:r>
        <w:rPr>
          <w:rFonts w:ascii="Times New Roman;serif" w:hAnsi="Times New Roman;serif"/>
          <w:b w:val="false"/>
          <w:color w:val="000000"/>
          <w:sz w:val="23"/>
        </w:rPr>
        <w:t>(ii) Crown shall require Crown's Successor to expressly assume in writing all of Crown's obligations under this Agreement and (iii) Crown's Successor shall be deemed substituted for Crown for all purposes of this Agreement.</w:t>
      </w:r>
    </w:p>
    <w:p>
      <w:pPr>
        <w:pStyle w:val="TextBody"/>
        <w:bidi w:val="0"/>
        <w:spacing w:lineRule="auto" w:line="292" w:before="243" w:after="283"/>
        <w:ind w:left="0" w:right="0" w:firstLine="8"/>
        <w:jc w:val="left"/>
        <w:rPr/>
      </w:pPr>
      <w:r>
        <w:rPr>
          <w:rFonts w:ascii="Times New Roman;serif" w:hAnsi="Times New Roman;serif"/>
          <w:b w:val="false"/>
          <w:color w:val="000000"/>
          <w:sz w:val="23"/>
        </w:rPr>
        <w:t>15.</w:t>
      </w:r>
      <w:r>
        <w:rPr>
          <w:rFonts w:ascii="Times New Roman;serif" w:hAnsi="Times New Roman;serif"/>
          <w:b w:val="false"/>
          <w:color w:val="000000"/>
          <w:sz w:val="23"/>
          <w:u w:val="single"/>
        </w:rPr>
        <w:t>Arbitration.</w:t>
      </w:r>
      <w:r>
        <w:rPr>
          <w:color w:val="000000"/>
        </w:rPr>
        <w:t xml:space="preserve"> </w:t>
      </w:r>
      <w:r>
        <w:rPr>
          <w:rFonts w:ascii="Times New Roman;serif" w:hAnsi="Times New Roman;serif"/>
          <w:b w:val="false"/>
          <w:color w:val="000000"/>
          <w:sz w:val="23"/>
        </w:rPr>
        <w:t>Except as provided in Section 10 of this Agreement, any controversy or claim arising out of or relating to this Agreement or the breach thereof shall be settled by arbitration in Tampa, Florida in accordance with the rules of the American Arbitration Association, and judgment upon any award so rendered may be entered in any court having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99465"/>
                <wp:effectExtent l="0" t="0" r="0" b="0"/>
                <wp:wrapNone/>
                <wp:docPr id="72" name="Frame72"/>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11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11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88" w:before="64" w:after="283"/>
        <w:ind w:left="0" w:right="0" w:firstLine="7"/>
        <w:jc w:val="left"/>
        <w:rPr>
          <w:rFonts w:ascii="Times New Roman;serif" w:hAnsi="Times New Roman;serif"/>
          <w:b w:val="false"/>
          <w:color w:val="000000"/>
          <w:sz w:val="23"/>
        </w:rPr>
      </w:pPr>
      <w:r>
        <w:rPr>
          <w:rFonts w:ascii="Times New Roman;serif" w:hAnsi="Times New Roman;serif"/>
          <w:b w:val="false"/>
          <w:color w:val="000000"/>
          <w:sz w:val="23"/>
        </w:rPr>
        <w:t>jurisdiction thereof. The determination of the arbitrator(s) shall be conclusive and binding on the Company and the Executive, and judgment may be entered on the arbitrator(s)' award in any court having jurisdiction.</w:t>
      </w:r>
    </w:p>
    <w:p>
      <w:pPr>
        <w:pStyle w:val="TextBody"/>
        <w:bidi w:val="0"/>
        <w:spacing w:lineRule="auto" w:line="280" w:before="249" w:after="283"/>
        <w:ind w:left="0" w:right="0" w:firstLine="4"/>
        <w:jc w:val="left"/>
        <w:rPr/>
      </w:pPr>
      <w:r>
        <w:rPr>
          <w:rFonts w:ascii="Times New Roman;serif" w:hAnsi="Times New Roman;serif"/>
          <w:b w:val="false"/>
          <w:color w:val="000000"/>
          <w:sz w:val="23"/>
        </w:rPr>
        <w:t>16.</w:t>
      </w:r>
      <w:r>
        <w:rPr>
          <w:rFonts w:ascii="Times New Roman;serif" w:hAnsi="Times New Roman;serif"/>
          <w:b w:val="false"/>
          <w:color w:val="000000"/>
          <w:sz w:val="23"/>
          <w:u w:val="single"/>
        </w:rPr>
        <w:t>Governing Law.</w:t>
      </w:r>
      <w:r>
        <w:rPr>
          <w:color w:val="000000"/>
        </w:rPr>
        <w:t xml:space="preserve"> </w:t>
      </w:r>
      <w:r>
        <w:rPr>
          <w:rFonts w:ascii="Times New Roman;serif" w:hAnsi="Times New Roman;serif"/>
          <w:b w:val="false"/>
          <w:color w:val="000000"/>
          <w:sz w:val="23"/>
        </w:rPr>
        <w:t>Except to the extent such laws are superseded by Federal laws, this Agreement shall be governed by the laws of the State of Florida without reference to principles of conflict of laws.</w:t>
      </w:r>
    </w:p>
    <w:p>
      <w:pPr>
        <w:pStyle w:val="TextBody"/>
        <w:bidi w:val="0"/>
        <w:spacing w:lineRule="auto" w:line="280" w:before="245" w:after="283"/>
        <w:ind w:left="0" w:right="0" w:firstLine="2"/>
        <w:jc w:val="left"/>
        <w:rPr/>
      </w:pPr>
      <w:r>
        <w:rPr>
          <w:rFonts w:ascii="Times New Roman;serif" w:hAnsi="Times New Roman;serif"/>
          <w:b w:val="false"/>
          <w:color w:val="000000"/>
          <w:sz w:val="23"/>
        </w:rPr>
        <w:t>17.</w:t>
      </w:r>
      <w:r>
        <w:rPr>
          <w:rFonts w:ascii="Times New Roman;serif" w:hAnsi="Times New Roman;serif"/>
          <w:b w:val="false"/>
          <w:color w:val="000000"/>
          <w:sz w:val="23"/>
          <w:u w:val="single"/>
        </w:rPr>
        <w:t>Entire Agreement.</w:t>
      </w:r>
      <w:r>
        <w:rPr>
          <w:color w:val="000000"/>
        </w:rPr>
        <w:t xml:space="preserve"> </w:t>
      </w:r>
      <w:r>
        <w:rPr>
          <w:rFonts w:ascii="Times New Roman;serif" w:hAnsi="Times New Roman;serif"/>
          <w:b w:val="false"/>
          <w:color w:val="000000"/>
          <w:sz w:val="23"/>
        </w:rPr>
        <w:t>This Agreement contains the entire Agreement between the parties relative to its subject matter, superseding all prior agreements or understandings of the parities relating thereto. In the event of any conflict between this Agreement and the terms of any benefit plan or any other agreement, the terms of this Agreement will control.</w:t>
      </w:r>
    </w:p>
    <w:p>
      <w:pPr>
        <w:pStyle w:val="TextBody"/>
        <w:bidi w:val="0"/>
        <w:spacing w:lineRule="auto" w:line="280" w:before="240" w:after="283"/>
        <w:ind w:left="0" w:right="0" w:firstLine="8"/>
        <w:jc w:val="left"/>
        <w:rPr/>
      </w:pPr>
      <w:r>
        <w:rPr>
          <w:rFonts w:ascii="Times New Roman;serif" w:hAnsi="Times New Roman;serif"/>
          <w:b w:val="false"/>
          <w:color w:val="000000"/>
          <w:sz w:val="23"/>
        </w:rPr>
        <w:t>18.</w:t>
      </w:r>
      <w:r>
        <w:rPr>
          <w:rFonts w:ascii="Times New Roman;serif" w:hAnsi="Times New Roman;serif"/>
          <w:b w:val="false"/>
          <w:color w:val="000000"/>
          <w:sz w:val="23"/>
          <w:u w:val="single"/>
        </w:rPr>
        <w:t>Waiver.</w:t>
      </w:r>
      <w:r>
        <w:rPr>
          <w:color w:val="000000"/>
        </w:rPr>
        <w:t xml:space="preserve"> </w:t>
      </w:r>
      <w:r>
        <w:rPr>
          <w:rFonts w:ascii="Times New Roman;serif" w:hAnsi="Times New Roman;serif"/>
          <w:b w:val="false"/>
          <w:color w:val="000000"/>
          <w:sz w:val="23"/>
        </w:rPr>
        <w:t>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pStyle w:val="TextBody"/>
        <w:bidi w:val="0"/>
        <w:spacing w:lineRule="auto" w:line="280" w:before="241" w:after="283"/>
        <w:ind w:left="0" w:right="0" w:firstLine="4"/>
        <w:jc w:val="left"/>
        <w:rPr/>
      </w:pPr>
      <w:r>
        <w:rPr>
          <w:rFonts w:ascii="Times New Roman;serif" w:hAnsi="Times New Roman;serif"/>
          <w:b w:val="false"/>
          <w:color w:val="000000"/>
          <w:sz w:val="23"/>
        </w:rPr>
        <w:t>19.</w:t>
      </w:r>
      <w:r>
        <w:rPr>
          <w:rFonts w:ascii="Times New Roman;serif" w:hAnsi="Times New Roman;serif"/>
          <w:b w:val="false"/>
          <w:color w:val="000000"/>
          <w:sz w:val="23"/>
          <w:u w:val="single"/>
        </w:rPr>
        <w:t>Withholding of Taxes.</w:t>
      </w:r>
      <w:r>
        <w:rPr>
          <w:color w:val="000000"/>
        </w:rPr>
        <w:t xml:space="preserve"> </w:t>
      </w:r>
      <w:r>
        <w:rPr>
          <w:rFonts w:ascii="Times New Roman;serif" w:hAnsi="Times New Roman;serif"/>
          <w:b w:val="false"/>
          <w:color w:val="000000"/>
          <w:sz w:val="23"/>
        </w:rPr>
        <w:t>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pStyle w:val="TextBody"/>
        <w:bidi w:val="0"/>
        <w:spacing w:lineRule="auto" w:line="285" w:before="240" w:after="283"/>
        <w:ind w:left="0" w:right="0" w:firstLine="3"/>
        <w:jc w:val="left"/>
        <w:rPr/>
      </w:pPr>
      <w:r>
        <w:rPr>
          <w:rFonts w:ascii="Times New Roman;serif" w:hAnsi="Times New Roman;serif"/>
          <w:b w:val="false"/>
          <w:color w:val="000000"/>
          <w:sz w:val="23"/>
        </w:rPr>
        <w:t>20.</w:t>
      </w:r>
      <w:r>
        <w:rPr>
          <w:rFonts w:ascii="Times New Roman;serif" w:hAnsi="Times New Roman;serif"/>
          <w:b w:val="false"/>
          <w:color w:val="000000"/>
          <w:sz w:val="23"/>
          <w:u w:val="single"/>
        </w:rPr>
        <w:t>Survival.</w:t>
      </w:r>
      <w:r>
        <w:rPr>
          <w:color w:val="000000"/>
        </w:rPr>
        <w:t xml:space="preserve"> </w:t>
      </w:r>
      <w:r>
        <w:rPr>
          <w:rFonts w:ascii="Times New Roman;serif" w:hAnsi="Times New Roman;serif"/>
          <w:b w:val="false"/>
          <w:color w:val="000000"/>
          <w:sz w:val="23"/>
        </w:rPr>
        <w:t>Anything contained in this Agreement to the contrary notwithstanding, the provisions of Sections 6, 7, 8, 9, 13, 14, 15, 16 and 17, (and the other provisions of this</w:t>
      </w:r>
    </w:p>
    <w:p>
      <w:pPr>
        <w:pStyle w:val="TextBody"/>
        <w:bidi w:val="0"/>
        <w:spacing w:lineRule="auto" w:line="283" w:before="0" w:after="0"/>
        <w:ind w:left="0" w:right="0" w:firstLine="6"/>
        <w:jc w:val="left"/>
        <w:rPr>
          <w:rFonts w:ascii="Times New Roman;serif" w:hAnsi="Times New Roman;serif"/>
          <w:b w:val="false"/>
          <w:color w:val="000000"/>
          <w:sz w:val="23"/>
        </w:rPr>
      </w:pPr>
      <w:r>
        <w:rPr>
          <w:rFonts w:ascii="Times New Roman;serif" w:hAnsi="Times New Roman;serif"/>
          <w:b w:val="false"/>
          <w:color w:val="000000"/>
          <w:sz w:val="23"/>
        </w:rPr>
        <w:t>Agreement to the extent necessary to effectuate the survival of Sections 6, 7, 8, 9, 13, 14, 15, 16 and 17), shall survive termination of this Agreement and any termination of the Executive's employment hereunder.</w:t>
      </w:r>
    </w:p>
    <w:p>
      <w:pPr>
        <w:pStyle w:val="TextBody"/>
        <w:bidi w:val="0"/>
        <w:spacing w:lineRule="auto" w:line="280" w:before="221" w:after="283"/>
        <w:ind w:left="0" w:right="0" w:firstLine="18"/>
        <w:jc w:val="left"/>
        <w:rPr/>
      </w:pPr>
      <w:r>
        <w:rPr>
          <w:rFonts w:ascii="Times New Roman;serif" w:hAnsi="Times New Roman;serif"/>
          <w:b w:val="false"/>
          <w:color w:val="000000"/>
          <w:sz w:val="23"/>
        </w:rPr>
        <w:t>21.</w:t>
      </w:r>
      <w:r>
        <w:rPr>
          <w:rFonts w:ascii="Times New Roman;serif" w:hAnsi="Times New Roman;serif"/>
          <w:b w:val="false"/>
          <w:color w:val="000000"/>
          <w:sz w:val="23"/>
          <w:u w:val="single"/>
        </w:rPr>
        <w:t>Invalidity of Portion of Agreement.</w:t>
      </w:r>
      <w:r>
        <w:rPr>
          <w:color w:val="000000"/>
        </w:rPr>
        <w:t xml:space="preserve"> </w:t>
      </w:r>
      <w:r>
        <w:rPr>
          <w:rFonts w:ascii="Times New Roman;serif" w:hAnsi="Times New Roman;serif"/>
          <w:b w:val="false"/>
          <w:color w:val="000000"/>
          <w:sz w:val="23"/>
        </w:rPr>
        <w:t>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pStyle w:val="TextBody"/>
        <w:bidi w:val="0"/>
        <w:spacing w:lineRule="auto" w:line="288" w:before="240" w:after="283"/>
        <w:ind w:left="0" w:right="0" w:firstLine="22"/>
        <w:jc w:val="left"/>
        <w:rPr/>
      </w:pPr>
      <w:r>
        <w:rPr>
          <w:rFonts w:ascii="Times New Roman;serif" w:hAnsi="Times New Roman;serif"/>
          <w:b w:val="false"/>
          <w:color w:val="000000"/>
          <w:sz w:val="23"/>
        </w:rPr>
        <w:t>22.</w:t>
      </w:r>
      <w:r>
        <w:rPr>
          <w:rFonts w:ascii="Times New Roman;serif" w:hAnsi="Times New Roman;serif"/>
          <w:b w:val="false"/>
          <w:color w:val="000000"/>
          <w:sz w:val="23"/>
          <w:u w:val="single"/>
        </w:rPr>
        <w:t>Compliance with Code Section 409A.</w:t>
      </w:r>
      <w:r>
        <w:rPr>
          <w:color w:val="000000"/>
        </w:rPr>
        <w:t xml:space="preserve"> </w:t>
      </w:r>
      <w:r>
        <w:rPr>
          <w:rFonts w:ascii="Times New Roman;serif" w:hAnsi="Times New Roman;serif"/>
          <w:b w:val="false"/>
          <w:color w:val="000000"/>
          <w:sz w:val="23"/>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 If the Executive's termination of employment hereunder does not constitute a "separation from service" within the meaning of Code Section 409A, then any amounts payable hereunder on account of a termination of the Executive's employment and which are subject to Code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99465"/>
                <wp:effectExtent l="0" t="0" r="0" b="0"/>
                <wp:wrapNone/>
                <wp:docPr id="73" name="Frame73"/>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12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12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92" w:before="79" w:after="283"/>
        <w:ind w:left="0" w:right="0" w:firstLine="14"/>
        <w:jc w:val="left"/>
        <w:rPr>
          <w:rFonts w:ascii="Times New Roman;serif" w:hAnsi="Times New Roman;serif"/>
          <w:b w:val="false"/>
          <w:color w:val="000000"/>
          <w:sz w:val="23"/>
        </w:rPr>
      </w:pPr>
      <w:r>
        <w:rPr>
          <w:rFonts w:ascii="Times New Roman;serif" w:hAnsi="Times New Roman;serif"/>
          <w:b w:val="false"/>
          <w:color w:val="000000"/>
          <w:sz w:val="23"/>
        </w:rPr>
        <w:t>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For purposes of the application of Code Section 409A, each payment in a series of payments will be deemed a separate payment.</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88" w:before="0" w:after="0"/>
        <w:jc w:val="center"/>
        <w:rPr>
          <w:rFonts w:ascii="Times New Roman;serif" w:hAnsi="Times New Roman;serif"/>
          <w:b w:val="false"/>
          <w:i/>
          <w:color w:val="000000"/>
          <w:sz w:val="23"/>
        </w:rPr>
      </w:pPr>
      <w:r>
        <w:rPr>
          <w:rFonts w:ascii="Times New Roman;serif" w:hAnsi="Times New Roman;serif"/>
          <w:b w:val="false"/>
          <w:i/>
          <w:color w:val="000000"/>
          <w:sz w:val="23"/>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9"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99465"/>
                <wp:effectExtent l="0" t="0" r="0" b="0"/>
                <wp:wrapNone/>
                <wp:docPr id="74" name="Frame74"/>
                <a:graphic xmlns:a="http://schemas.openxmlformats.org/drawingml/2006/main">
                  <a:graphicData uri="http://schemas.microsoft.com/office/word/2010/wordprocessingShape">
                    <wps:wsp>
                      <wps:cNvSpPr txBox="1"/>
                      <wps:spPr>
                        <a:xfrm>
                          <a:off x="0" y="0"/>
                          <a:ext cx="6480175" cy="799465"/>
                        </a:xfrm>
                        <a:prstGeom prst="rect"/>
                        <a:solidFill>
                          <a:srgbClr val="FFFFFF"/>
                        </a:solidFill>
                      </wps:spPr>
                      <wps:txbx>
                        <w:txbxContent>
                          <w:p>
                            <w:pPr>
                              <w:pStyle w:val="TextBody"/>
                              <w:bidi w:val="0"/>
                              <w:spacing w:before="13" w:after="283"/>
                              <w:jc w:val="left"/>
                              <w:rPr/>
                            </w:pPr>
                            <w:r>
                              <w:rPr/>
                            </w:r>
                            <w:r>
                              <w:br w:type="page"/>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13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 w:after="283"/>
                        <w:jc w:val="left"/>
                        <w:rPr/>
                      </w:pPr>
                      <w:r>
                        <w:rPr/>
                      </w:r>
                    </w:p>
                    <w:p>
                      <w:pPr>
                        <w:pStyle w:val="TextBody"/>
                        <w:bidi w:val="0"/>
                        <w:spacing w:lineRule="auto" w:line="288" w:before="13"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13 </w:t>
                      </w:r>
                    </w:p>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before="243" w:after="283"/>
        <w:jc w:val="left"/>
        <w:rPr/>
      </w:pPr>
      <w:r>
        <w:rPr/>
      </w:r>
    </w:p>
    <w:p>
      <w:pPr>
        <w:pStyle w:val="TextBody"/>
        <w:bidi w:val="0"/>
        <w:spacing w:lineRule="auto" w:line="288" w:before="1" w:after="283"/>
        <w:ind w:left="0" w:right="0" w:firstLine="1449"/>
        <w:jc w:val="left"/>
        <w:rPr>
          <w:rFonts w:ascii="Times New Roman;serif" w:hAnsi="Times New Roman;serif"/>
          <w:b w:val="false"/>
          <w:color w:val="000000"/>
          <w:sz w:val="23"/>
        </w:rPr>
      </w:pPr>
      <w:r>
        <w:rPr>
          <w:rFonts w:ascii="Times New Roman;serif" w:hAnsi="Times New Roman;serif"/>
          <w:b w:val="false"/>
          <w:color w:val="000000"/>
          <w:sz w:val="23"/>
        </w:rPr>
        <w:t>IN WITNESS WHEREOF, the parties hereto have duly executed this Agreement as of the date first written above.</w:t>
      </w:r>
    </w:p>
    <w:p>
      <w:pPr>
        <w:pStyle w:val="TextBody"/>
        <w:bidi w:val="0"/>
        <w:spacing w:lineRule="auto" w:line="288" w:before="247" w:after="283"/>
        <w:jc w:val="left"/>
        <w:rPr>
          <w:rFonts w:ascii="Times New Roman;serif" w:hAnsi="Times New Roman;serif"/>
          <w:b w:val="false"/>
          <w:color w:val="000000"/>
          <w:sz w:val="23"/>
        </w:rPr>
      </w:pPr>
      <w:r>
        <w:rPr>
          <w:rFonts w:ascii="Times New Roman;serif" w:hAnsi="Times New Roman;serif"/>
          <w:b w:val="false"/>
          <w:color w:val="000000"/>
          <w:sz w:val="23"/>
        </w:rPr>
        <w:t>Crown Holdings, Inc.</w:t>
      </w:r>
    </w:p>
    <w:p>
      <w:pPr>
        <w:pStyle w:val="TextBody"/>
        <w:bidi w:val="0"/>
        <w:spacing w:before="0" w:after="0"/>
        <w:jc w:val="left"/>
        <w:rPr/>
      </w:pPr>
      <w:r>
        <w:rPr/>
      </w:r>
    </w:p>
    <w:p>
      <w:pPr>
        <w:pStyle w:val="TextBody"/>
        <w:bidi w:val="0"/>
        <w:spacing w:before="253" w:after="283"/>
        <w:jc w:val="left"/>
        <w:rPr/>
      </w:pPr>
      <w:r>
        <w:rPr/>
      </w:r>
    </w:p>
    <w:p>
      <w:pPr>
        <w:pStyle w:val="TextBody"/>
        <w:bidi w:val="0"/>
        <w:spacing w:lineRule="auto" w:line="292" w:before="6" w:after="283"/>
        <w:ind w:left="0" w:right="0" w:hanging="602"/>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/s/Timothy J. Donahue</w:t>
      </w:r>
    </w:p>
    <w:p>
      <w:pPr>
        <w:pStyle w:val="TextBody"/>
        <w:bidi w:val="0"/>
        <w:spacing w:lineRule="auto" w:line="292" w:before="6" w:after="283"/>
        <w:ind w:left="0" w:right="0" w:hanging="602"/>
        <w:jc w:val="left"/>
        <w:rPr>
          <w:rFonts w:ascii="Times New Roman;serif" w:hAnsi="Times New Roman;serif"/>
          <w:b w:val="false"/>
          <w:color w:val="000000"/>
          <w:sz w:val="23"/>
        </w:rPr>
      </w:pPr>
      <w:r>
        <w:rPr>
          <w:rFonts w:ascii="Times New Roman;serif" w:hAnsi="Times New Roman;serif"/>
          <w:b w:val="false"/>
          <w:color w:val="000000"/>
          <w:sz w:val="23"/>
        </w:rPr>
        <w:t>Timothy J. Donahue</w:t>
      </w:r>
    </w:p>
    <w:p>
      <w:pPr>
        <w:pStyle w:val="TextBody"/>
        <w:bidi w:val="0"/>
        <w:spacing w:lineRule="auto" w:line="292" w:before="6" w:after="283"/>
        <w:ind w:left="0" w:right="0" w:hanging="602"/>
        <w:jc w:val="left"/>
        <w:rPr>
          <w:rFonts w:ascii="Times New Roman;serif" w:hAnsi="Times New Roman;serif"/>
          <w:b w:val="false"/>
          <w:color w:val="000000"/>
          <w:sz w:val="23"/>
        </w:rPr>
      </w:pPr>
      <w:r>
        <w:rPr>
          <w:rFonts w:ascii="Times New Roman;serif" w:hAnsi="Times New Roman;serif"/>
          <w:b w:val="false"/>
          <w:color w:val="000000"/>
          <w:sz w:val="23"/>
        </w:rPr>
        <w:t>President and Chief Executive Officer</w:t>
      </w:r>
    </w:p>
    <w:p>
      <w:pPr>
        <w:pStyle w:val="TextBody"/>
        <w:bidi w:val="0"/>
        <w:spacing w:before="0" w:after="0"/>
        <w:jc w:val="left"/>
        <w:rPr/>
      </w:pPr>
      <w:r>
        <w:rPr/>
      </w:r>
    </w:p>
    <w:p>
      <w:pPr>
        <w:pStyle w:val="TextBody"/>
        <w:bidi w:val="0"/>
        <w:spacing w:before="26" w:after="283"/>
        <w:jc w:val="left"/>
        <w:rPr/>
      </w:pPr>
      <w:r>
        <w:rPr/>
      </w:r>
    </w:p>
    <w:p>
      <w:pPr>
        <w:pStyle w:val="TextBody"/>
        <w:bidi w:val="0"/>
        <w:spacing w:lineRule="auto" w:line="288" w:before="0" w:after="0"/>
        <w:jc w:val="left"/>
        <w:rPr>
          <w:rFonts w:ascii="Times New Roman;serif" w:hAnsi="Times New Roman;serif"/>
          <w:b w:val="false"/>
          <w:color w:val="000000"/>
          <w:sz w:val="23"/>
        </w:rPr>
      </w:pPr>
      <w:r>
        <w:rPr>
          <w:rFonts w:ascii="Times New Roman;serif" w:hAnsi="Times New Roman;serif"/>
          <w:b w:val="false"/>
          <w:color w:val="000000"/>
          <w:sz w:val="23"/>
        </w:rPr>
        <w:t>Executive</w:t>
      </w:r>
    </w:p>
    <w:p>
      <w:pPr>
        <w:pStyle w:val="TextBody"/>
        <w:bidi w:val="0"/>
        <w:spacing w:before="0" w:after="0"/>
        <w:jc w:val="left"/>
        <w:rPr/>
      </w:pPr>
      <w:r>
        <w:rPr/>
      </w:r>
    </w:p>
    <w:p>
      <w:pPr>
        <w:pStyle w:val="TextBody"/>
        <w:bidi w:val="0"/>
        <w:spacing w:lineRule="auto" w:line="292" w:before="6" w:after="283"/>
        <w:ind w:left="0" w:right="0" w:hanging="602"/>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/s/Gary Gavin</w:t>
      </w:r>
    </w:p>
    <w:p>
      <w:pPr>
        <w:pStyle w:val="TextBody"/>
        <w:bidi w:val="0"/>
        <w:spacing w:lineRule="auto" w:line="292" w:before="6" w:after="283"/>
        <w:ind w:left="0" w:right="0" w:hanging="602"/>
        <w:jc w:val="left"/>
        <w:rPr>
          <w:rFonts w:ascii="Times New Roman;serif" w:hAnsi="Times New Roman;serif"/>
          <w:b w:val="false"/>
          <w:color w:val="000000"/>
          <w:sz w:val="23"/>
        </w:rPr>
      </w:pPr>
      <w:r>
        <w:rPr>
          <w:rFonts w:ascii="Times New Roman;serif" w:hAnsi="Times New Roman;serif"/>
          <w:b w:val="false"/>
          <w:color w:val="000000"/>
          <w:sz w:val="23"/>
        </w:rPr>
        <w:t>Gary Gavin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7475"/>
                <wp:effectExtent l="0" t="0" r="0" b="0"/>
                <wp:wrapNone/>
                <wp:docPr id="75" name="Frame75"/>
                <a:graphic xmlns:a="http://schemas.openxmlformats.org/drawingml/2006/main">
                  <a:graphicData uri="http://schemas.microsoft.com/office/word/2010/wordprocessingShape">
                    <wps:wsp>
                      <wps:cNvSpPr txBox="1"/>
                      <wps:spPr>
                        <a:xfrm>
                          <a:off x="0" y="0"/>
                          <a:ext cx="6480175" cy="117475"/>
                        </a:xfrm>
                        <a:prstGeom prst="rect"/>
                        <a:solidFill>
                          <a:srgbClr val="FFFFFF"/>
                        </a:solidFill>
                      </wps:spPr>
                      <wps:txbx>
                        <w:txbxContent>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3" w:after="283"/>
                        <w:jc w:val="left"/>
                        <w:rPr>
                          <w:rFonts w:ascii="Times New Roman;serif" w:hAnsi="Times New Roman;serif"/>
                          <w:b w:val="false"/>
                          <w:color w:val="000000"/>
                          <w:sz w:val="15"/>
                        </w:rPr>
                      </w:pPr>
                      <w:r>
                        <w:rPr>
                          <w:rFonts w:ascii="Times New Roman;serif" w:hAnsi="Times New Roman;serif"/>
                          <w:b w:val="false"/>
                          <w:color w:val="000000"/>
                          <w:sz w:val="15"/>
                        </w:rPr>
                        <w:t>TAX.12863068.2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Exhibit 22 - List of Guarantor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Crown Holdings, Inc. (the "Company") were, as of June 30, 2025, guarantors of the Company's $350 principal 7.375% senior notes due 2026 and $40 principal 7.5% senior notes due 2096:</w:t>
      </w:r>
    </w:p>
    <w:tbl>
      <w:tblPr>
        <w:tblW w:w="10205" w:type="dxa"/>
        <w:jc w:val="center"/>
        <w:tblInd w:w="0" w:type="dxa"/>
        <w:tblLayout w:type="fixed"/>
        <w:tblCellMar>
          <w:top w:w="28" w:type="dxa"/>
          <w:left w:w="28" w:type="dxa"/>
          <w:bottom w:w="28" w:type="dxa"/>
          <w:right w:w="28" w:type="dxa"/>
        </w:tblCellMar>
      </w:tblPr>
      <w:tblGrid>
        <w:gridCol w:w="1186"/>
        <w:gridCol w:w="1040"/>
        <w:gridCol w:w="1048"/>
        <w:gridCol w:w="2027"/>
        <w:gridCol w:w="2027"/>
        <w:gridCol w:w="2877"/>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the Company were, as of June 30, 2025, guarantors of the Company's $400 principal 4.25% senior notes due 2026, $500 principal 5.250% senior notes due 2030 and $700 principal 5.875% senior notes due 2033:</w:t>
      </w:r>
    </w:p>
    <w:tbl>
      <w:tblPr>
        <w:tblW w:w="10205" w:type="dxa"/>
        <w:jc w:val="center"/>
        <w:tblInd w:w="0" w:type="dxa"/>
        <w:tblLayout w:type="fixed"/>
        <w:tblCellMar>
          <w:top w:w="28" w:type="dxa"/>
          <w:left w:w="28" w:type="dxa"/>
          <w:bottom w:w="28" w:type="dxa"/>
          <w:right w:w="28" w:type="dxa"/>
        </w:tblCellMar>
      </w:tblPr>
      <w:tblGrid>
        <w:gridCol w:w="1499"/>
        <w:gridCol w:w="1233"/>
        <w:gridCol w:w="1242"/>
        <w:gridCol w:w="1822"/>
        <w:gridCol w:w="1822"/>
        <w:gridCol w:w="2587"/>
      </w:tblGrid>
      <w:tr>
        <w:trPr/>
        <w:tc>
          <w:tcPr>
            <w:tcW w:w="14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Consultants,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Financial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VI</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Holdings,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Puerto Rico,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(DE),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USA,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International Holdings,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Technology,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 USA,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Manufacturers Finance Corporation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Holdings US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US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IP Holdings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Pickling Holding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US IP Holdings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Package Design and Manufacturing, Inc.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Michigan</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Engineering Holdings,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Automation LLC</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II</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SEH Real Estate Holdings LLC</w:t>
            </w:r>
          </w:p>
        </w:tc>
        <w:tc>
          <w:tcPr>
            <w:tcW w:w="62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Virginia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J. Donahue,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Crown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233"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37"/>
        <w:gridCol w:w="637"/>
        <w:gridCol w:w="637"/>
        <w:gridCol w:w="637"/>
        <w:gridCol w:w="637"/>
        <w:gridCol w:w="9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Donahue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Kevin C. Clothier,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Crown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tbl>
      <w:tblPr>
        <w:tblW w:w="6279"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41"/>
        <w:gridCol w:w="641"/>
        <w:gridCol w:w="641"/>
        <w:gridCol w:w="641"/>
        <w:gridCol w:w="641"/>
        <w:gridCol w:w="93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 SECTION 906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4"/>
        </w:rPr>
        <w:t>In connection with the Quarterly Report of Crown Holdings, Inc. (the “Company”) on Form 10-Q for the period ending June 30, 2025 (the “Report”), each of the undersigned officers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(2)    The information contained in the Report fairly presents, in all material respects, the financial position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7212" w:type="dxa"/>
        <w:jc w:val="left"/>
        <w:tblInd w:w="0" w:type="dxa"/>
        <w:tblLayout w:type="fixed"/>
        <w:tblCellMar>
          <w:top w:w="28" w:type="dxa"/>
          <w:left w:w="28" w:type="dxa"/>
          <w:bottom w:w="28" w:type="dxa"/>
          <w:right w:w="28" w:type="dxa"/>
        </w:tblCellMar>
      </w:tblPr>
      <w:tblGrid>
        <w:gridCol w:w="228"/>
        <w:gridCol w:w="200"/>
        <w:gridCol w:w="202"/>
        <w:gridCol w:w="464"/>
        <w:gridCol w:w="464"/>
        <w:gridCol w:w="467"/>
        <w:gridCol w:w="109"/>
        <w:gridCol w:w="109"/>
        <w:gridCol w:w="109"/>
        <w:gridCol w:w="757"/>
        <w:gridCol w:w="757"/>
        <w:gridCol w:w="757"/>
        <w:gridCol w:w="757"/>
        <w:gridCol w:w="757"/>
        <w:gridCol w:w="1075"/>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Timothy J. Donahue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Timothy J. Donahue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Chairman, President and 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Kevin C. Clothier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Kevin C. Clothier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9601/000121960105000069/ex3a200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34466</Words>
  <Characters>183592</Characters>
  <CharactersWithSpaces>216350</CharactersWithSpaces>
  <Paragraphs>3070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