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Dickstein Adam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Gen Counsel &amp; Secretary</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15,221</w:t>
            </w:r>
            <w:r>
              <w:rPr>
                <w:rFonts w:ascii="Times New Roman" w:cs="Times New Roman" w:eastAsia="Times New Roman" w:hAnsi="Times New Roman"/>
                <w:sz w:val="22"/>
                <w:szCs w:val="22"/>
                <w:color w:val="008000"/>
                <w:w w:val="97"/>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62,778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1,919</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60,859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3,025</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3"/>
                <w:szCs w:val="23"/>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57,834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15,221 shares of Restricted Common Stock under the 2022 Stock-Based Compensation Plan. 5,248 time-vested restricted shares vest over a three year period as follows: 1,750 time-vested restricted shares on January 5, 2026 and 1,749 time-vested restricted shares on January 4, 2027 and January 3, 2028, respectively. 4,663 performance-based restricted shares are targeted to vest on January 3, 2028 based on the Company's Total Shareholder Return versus a defined peer group of companies, with the final number of performance-based vested shares varying from 0 to 200% of 4,663. 5,310 performance-based restricted shares are targeted to vest on January 3, 2028 based on the Return on Invested Capital achieved by the Company compared to the ROIC target, with the final number of performance-based vested shares varying from 0 to 200% of 5,310.</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01/10/2025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93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2025-01-10T13:44:21Z</dcterms:created>
  <dcterms:modified xsi:type="dcterms:W3CDTF">2025-01-10T13:44:21Z</dcterms:modified>
</cp:coreProperties>
</file>