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7045960" cy="46920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692015"/>
                    </a:xfrm>
                    <a:prstGeom prst="rect">
                      <a:avLst/>
                    </a:prstGeom>
                    <a:noFill/>
                  </pic:spPr>
                </pic:pic>
              </a:graphicData>
            </a:graphic>
          </wp:anchor>
        </w:drawing>
      </w:r>
    </w:p>
    <w:p>
      <w:pPr>
        <w:spacing w:after="0" w:line="1251" w:lineRule="exact"/>
        <w:rPr>
          <w:sz w:val="24"/>
          <w:szCs w:val="24"/>
          <w:color w:val="auto"/>
        </w:rPr>
      </w:pPr>
    </w:p>
    <w:p>
      <w:pPr>
        <w:sectPr>
          <w:pgSz w:w="11900" w:h="16838" w:orient="portrait"/>
          <w:cols w:equalWidth="0" w:num="2">
            <w:col w:w="2320" w:space="220"/>
            <w:col w:w="854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Wilson Dwayne Andree</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right="280"/>
        <w:spacing w:after="0" w:line="348" w:lineRule="auto"/>
        <w:rPr>
          <w:sz w:val="20"/>
          <w:szCs w:val="20"/>
          <w:color w:val="auto"/>
        </w:rPr>
      </w:pPr>
      <w:r>
        <w:rPr>
          <w:rFonts w:ascii="Times New Roman" w:cs="Times New Roman" w:eastAsia="Times New Roman" w:hAnsi="Times New Roman"/>
          <w:sz w:val="17"/>
          <w:szCs w:val="17"/>
          <w:color w:val="0000FF"/>
        </w:rPr>
        <w:t>HIDDEN RIVER CORPORATE CENTER TWO 14025 RIVEREDGE DRIVE, SUITE 300</w:t>
      </w:r>
    </w:p>
    <w:p>
      <w:pPr>
        <w:spacing w:after="0" w:line="176"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TAMPA</w:t>
            </w:r>
          </w:p>
        </w:tc>
        <w:tc>
          <w:tcPr>
            <w:tcW w:w="11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FL</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33637</w:t>
            </w:r>
          </w:p>
        </w:tc>
      </w:tr>
      <w:tr>
        <w:trPr>
          <w:trHeight w:val="152"/>
        </w:trPr>
        <w:tc>
          <w:tcPr>
            <w:tcW w:w="2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3"/>
        </w:trPr>
        <w:tc>
          <w:tcPr>
            <w:tcW w:w="2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080" w:type="dxa"/>
            <w:vAlign w:val="bottom"/>
            <w:gridSpan w:val="2"/>
          </w:tcPr>
          <w:p>
            <w:pPr>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2"/>
        </w:trPr>
        <w:tc>
          <w:tcPr>
            <w:tcW w:w="80" w:type="dxa"/>
            <w:vAlign w:val="bottom"/>
          </w:tcPr>
          <w:p>
            <w:pPr>
              <w:spacing w:after="0"/>
              <w:rPr>
                <w:sz w:val="19"/>
                <w:szCs w:val="19"/>
                <w:color w:val="auto"/>
              </w:rPr>
            </w:pPr>
          </w:p>
        </w:tc>
        <w:tc>
          <w:tcPr>
            <w:tcW w:w="3760" w:type="dxa"/>
            <w:vAlign w:val="bottom"/>
            <w:gridSpan w:val="3"/>
          </w:tcPr>
          <w:p>
            <w:pPr>
              <w:spacing w:after="0" w:line="22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CROWN HOLDINGS,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CCK</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80" w:type="dxa"/>
            <w:vAlign w:val="bottom"/>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2280" w:type="dxa"/>
            <w:vAlign w:val="bottom"/>
            <w:tcBorders>
              <w:top w:val="single" w:sz="8" w:color="0000EE"/>
            </w:tcBorders>
          </w:tcPr>
          <w:p>
            <w:pPr>
              <w:spacing w:after="0"/>
              <w:rPr>
                <w:sz w:val="13"/>
                <w:szCs w:val="13"/>
                <w:color w:val="auto"/>
              </w:rPr>
            </w:pPr>
          </w:p>
        </w:tc>
        <w:tc>
          <w:tcPr>
            <w:tcW w:w="1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tcPr>
          <w:p>
            <w:pPr>
              <w:ind w:left="38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tcPr>
          <w:p>
            <w:pPr>
              <w:spacing w:after="0"/>
              <w:rPr>
                <w:sz w:val="10"/>
                <w:szCs w:val="10"/>
                <w:color w:val="auto"/>
              </w:rPr>
            </w:pPr>
          </w:p>
        </w:tc>
        <w:tc>
          <w:tcPr>
            <w:tcW w:w="136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40" w:type="dxa"/>
            <w:vAlign w:val="bottom"/>
            <w:vMerge w:val="restart"/>
          </w:tcPr>
          <w:p>
            <w:pPr>
              <w:ind w:left="3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3"/>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40" w:type="dxa"/>
            <w:vAlign w:val="bottom"/>
          </w:tcPr>
          <w:p>
            <w:pPr>
              <w:ind w:left="380"/>
              <w:spacing w:after="0" w:line="13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9"/>
        </w:trPr>
        <w:tc>
          <w:tcPr>
            <w:tcW w:w="24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07/30/2025</w:t>
            </w:r>
          </w:p>
        </w:tc>
        <w:tc>
          <w:tcPr>
            <w:tcW w:w="1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2"/>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28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080" w:type="dxa"/>
            <w:vAlign w:val="bottom"/>
            <w:gridSpan w:val="2"/>
          </w:tcPr>
          <w:p>
            <w:pPr>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490"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Deferred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100" w:type="dxa"/>
            <w:vAlign w:val="bottom"/>
            <w:vMerge w:val="restart"/>
          </w:tcPr>
          <w:p>
            <w:pPr>
              <w:jc w:val="right"/>
              <w:ind w:right="200"/>
              <w:spacing w:after="0"/>
              <w:rPr>
                <w:sz w:val="20"/>
                <w:szCs w:val="20"/>
                <w:color w:val="auto"/>
              </w:rPr>
            </w:pPr>
            <w:r>
              <w:rPr>
                <w:rFonts w:ascii="Times New Roman" w:cs="Times New Roman" w:eastAsia="Times New Roman" w:hAnsi="Times New Roman"/>
                <w:sz w:val="13"/>
                <w:szCs w:val="13"/>
                <w:color w:val="0000FF"/>
              </w:rPr>
              <w:t>07/30/2025</w:t>
            </w:r>
          </w:p>
        </w:tc>
        <w:tc>
          <w:tcPr>
            <w:tcW w:w="1100" w:type="dxa"/>
            <w:vAlign w:val="bottom"/>
          </w:tcPr>
          <w:p>
            <w:pPr>
              <w:spacing w:after="0"/>
              <w:rPr>
                <w:sz w:val="15"/>
                <w:szCs w:val="15"/>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389</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389</w:t>
            </w:r>
          </w:p>
        </w:tc>
        <w:tc>
          <w:tcPr>
            <w:tcW w:w="70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103.008</w:t>
            </w:r>
          </w:p>
        </w:tc>
        <w:tc>
          <w:tcPr>
            <w:tcW w:w="9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2,644</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70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40" w:right="520" w:firstLine="3"/>
        <w:spacing w:after="0" w:line="260"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deferred stock is the economic equivalent of one share of common stock. The shares of deferred stock become payable in cash as soon as administratively feasible following the time the reporting person ceases to be a Director of the Company.</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Rosemary Haselroth, by</w:t>
            </w:r>
          </w:p>
        </w:tc>
        <w:tc>
          <w:tcPr>
            <w:tcW w:w="9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8"/>
              </w:rPr>
              <w:t>07/30/2025</w:t>
            </w:r>
          </w:p>
        </w:tc>
        <w:tc>
          <w:tcPr>
            <w:tcW w:w="0" w:type="dxa"/>
            <w:vAlign w:val="bottom"/>
          </w:tcPr>
          <w:p>
            <w:pPr>
              <w:spacing w:after="0"/>
              <w:rPr>
                <w:sz w:val="1"/>
                <w:szCs w:val="1"/>
                <w:color w:val="auto"/>
              </w:rPr>
            </w:pPr>
          </w:p>
        </w:tc>
      </w:tr>
      <w:tr>
        <w:trPr>
          <w:trHeight w:val="84"/>
        </w:trPr>
        <w:tc>
          <w:tcPr>
            <w:tcW w:w="1260" w:type="dxa"/>
            <w:vAlign w:val="bottom"/>
            <w:tcBorders>
              <w:top w:val="single" w:sz="8" w:color="auto"/>
            </w:tcBorders>
            <w:vMerge w:val="restart"/>
          </w:tcPr>
          <w:p>
            <w:pPr>
              <w:spacing w:after="0" w:line="189" w:lineRule="exact"/>
              <w:rPr>
                <w:sz w:val="20"/>
                <w:szCs w:val="20"/>
                <w:color w:val="auto"/>
              </w:rPr>
            </w:pPr>
            <w:r>
              <w:rPr>
                <w:rFonts w:ascii="Times New Roman" w:cs="Times New Roman" w:eastAsia="Times New Roman" w:hAnsi="Times New Roman"/>
                <w:sz w:val="17"/>
                <w:szCs w:val="17"/>
                <w:color w:val="0000FF"/>
                <w:w w:val="97"/>
              </w:rPr>
              <w:t>Power of Attorney</w:t>
            </w:r>
          </w:p>
        </w:tc>
        <w:tc>
          <w:tcPr>
            <w:tcW w:w="580" w:type="dxa"/>
            <w:vAlign w:val="bottom"/>
            <w:tcBorders>
              <w:top w:val="single" w:sz="8" w:color="auto"/>
            </w:tcBorders>
            <w:vMerge w:val="restart"/>
          </w:tcPr>
          <w:p>
            <w:pPr>
              <w:spacing w:after="0"/>
              <w:rPr>
                <w:sz w:val="7"/>
                <w:szCs w:val="7"/>
                <w:color w:val="auto"/>
              </w:rPr>
            </w:pPr>
          </w:p>
        </w:tc>
        <w:tc>
          <w:tcPr>
            <w:tcW w:w="200" w:type="dxa"/>
            <w:vAlign w:val="bottom"/>
            <w:vMerge w:val="restart"/>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260" w:type="dxa"/>
            <w:vAlign w:val="bottom"/>
            <w:tcBorders>
              <w:top w:val="single" w:sz="8" w:color="auto"/>
              <w:bottom w:val="single" w:sz="8" w:color="auto"/>
            </w:tcBorders>
            <w:vMerge w:val="continue"/>
          </w:tcPr>
          <w:p>
            <w:pPr>
              <w:spacing w:after="0"/>
              <w:rPr>
                <w:sz w:val="7"/>
                <w:szCs w:val="7"/>
                <w:color w:val="auto"/>
              </w:rPr>
            </w:pPr>
          </w:p>
        </w:tc>
        <w:tc>
          <w:tcPr>
            <w:tcW w:w="580" w:type="dxa"/>
            <w:vAlign w:val="bottom"/>
            <w:tcBorders>
              <w:top w:val="single" w:sz="8" w:color="auto"/>
            </w:tcBorders>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391996" TargetMode="External"/><Relationship Id="rId14" Type="http://schemas.openxmlformats.org/officeDocument/2006/relationships/hyperlink" Target="http://www.sec.gov/cgi-bin/browse-edgar?action=getcompany&amp;CIK=00012196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2025-07-30T13:37:09Z</dcterms:created>
  <dcterms:modified xsi:type="dcterms:W3CDTF">2025-07-30T13:37:09Z</dcterms:modified>
</cp:coreProperties>
</file>