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40" w:right="118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2025</w:t>
      </w:r>
    </w:p>
    <w:p>
      <w:pPr>
        <w:spacing w:after="0" w:line="233" w:lineRule="exact"/>
        <w:rPr>
          <w:sz w:val="24"/>
          <w:szCs w:val="24"/>
          <w:color w:val="auto"/>
        </w:rPr>
      </w:pPr>
    </w:p>
    <w:p>
      <w:pPr>
        <w:ind w:left="440" w:right="116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6"/>
        </w:trPr>
        <w:tc>
          <w:tcPr>
            <w:tcW w:w="3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8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Tampa</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FL</w:t>
            </w:r>
          </w:p>
        </w:tc>
        <w:tc>
          <w:tcPr>
            <w:tcW w:w="16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33637</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168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4"/>
                <w:szCs w:val="14"/>
                <w:color w:val="auto"/>
              </w:rPr>
            </w:pPr>
          </w:p>
        </w:tc>
      </w:tr>
      <w:tr>
        <w:trPr>
          <w:trHeight w:val="188"/>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____________________</w:t>
            </w:r>
          </w:p>
        </w:tc>
        <w:tc>
          <w:tcPr>
            <w:tcW w:w="1680" w:type="dxa"/>
            <w:vAlign w:val="bottom"/>
          </w:tcPr>
          <w:p>
            <w:pPr>
              <w:spacing w:after="0"/>
              <w:rPr>
                <w:sz w:val="16"/>
                <w:szCs w:val="16"/>
                <w:color w:val="auto"/>
              </w:rPr>
            </w:pPr>
          </w:p>
        </w:tc>
      </w:tr>
      <w:tr>
        <w:trPr>
          <w:trHeight w:val="301"/>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80" w:type="dxa"/>
            <w:vAlign w:val="bottom"/>
          </w:tcPr>
          <w:p>
            <w:pPr>
              <w:spacing w:after="0"/>
              <w:rPr>
                <w:sz w:val="24"/>
                <w:szCs w:val="24"/>
                <w:color w:val="auto"/>
              </w:rPr>
            </w:pPr>
          </w:p>
        </w:tc>
      </w:tr>
      <w:tr>
        <w:trPr>
          <w:trHeight w:val="327"/>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Trading Symbols</w:t>
            </w: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680" w:type="dxa"/>
            <w:vAlign w:val="bottom"/>
            <w:tcBorders>
              <w:bottom w:val="single" w:sz="8" w:color="auto"/>
            </w:tcBorders>
          </w:tcPr>
          <w:p>
            <w:pPr>
              <w:spacing w:after="0"/>
              <w:rPr>
                <w:sz w:val="24"/>
                <w:szCs w:val="24"/>
                <w:color w:val="auto"/>
              </w:rPr>
            </w:pP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7"/>
                <w:szCs w:val="17"/>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CCK26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CCK96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115,347,894 shares of Common Stock outstanding as of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54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17"/>
                <w:szCs w:val="17"/>
                <w:color w:val="auto"/>
              </w:rPr>
            </w:pPr>
          </w:p>
        </w:tc>
      </w:tr>
      <w:tr>
        <w:trPr>
          <w:trHeight w:val="6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8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Basis of Presentation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B.  Recent Accounting and Reporting Pronouncements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8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G.  Supplier Finance Program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8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J.  Commitments and Contingent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K.  Derivative and Other 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M.  Pension and Other Postretirement Benefits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O.  Accumulated Other Comprehensive Loss Attributable to Crown Holdings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Segment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992"/>
        </w:trPr>
        <w:tc>
          <w:tcPr>
            <w:tcW w:w="5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5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923"/>
        </w:trPr>
        <w:tc>
          <w:tcPr>
            <w:tcW w:w="3800" w:type="dxa"/>
            <w:vAlign w:val="bottom"/>
          </w:tcPr>
          <w:p>
            <w:pPr>
              <w:spacing w:after="0"/>
              <w:rPr>
                <w:sz w:val="24"/>
                <w:szCs w:val="24"/>
                <w:color w:val="auto"/>
              </w:rPr>
            </w:pPr>
          </w:p>
        </w:tc>
        <w:tc>
          <w:tcPr>
            <w:tcW w:w="34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34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720" w:type="dxa"/>
            <w:vAlign w:val="bottom"/>
            <w:gridSpan w:val="6"/>
          </w:tcPr>
          <w:p>
            <w:pPr>
              <w:ind w:left="34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3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3800" w:type="dxa"/>
            <w:vAlign w:val="bottom"/>
          </w:tcPr>
          <w:p>
            <w:pPr>
              <w:spacing w:after="0"/>
              <w:rPr>
                <w:sz w:val="20"/>
                <w:szCs w:val="20"/>
                <w:color w:val="auto"/>
              </w:rPr>
            </w:pPr>
          </w:p>
        </w:tc>
        <w:tc>
          <w:tcPr>
            <w:tcW w:w="25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8"/>
        </w:trPr>
        <w:tc>
          <w:tcPr>
            <w:tcW w:w="38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8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r>
      <w:tr>
        <w:trPr>
          <w:trHeight w:val="223"/>
        </w:trPr>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r>
      <w:tr>
        <w:trPr>
          <w:trHeight w:val="23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 and equity in net earnings of affiliates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3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6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income (loss) attributable to Crown Holdings</w:t>
            </w:r>
          </w:p>
        </w:tc>
        <w:tc>
          <w:tcPr>
            <w:tcW w:w="2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 attributable to Crown Holdings:</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3"/>
        </w:trPr>
        <w:tc>
          <w:tcPr>
            <w:tcW w:w="38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50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7"/>
                <w:szCs w:val="17"/>
                <w:color w:val="auto"/>
              </w:rPr>
            </w:pPr>
          </w:p>
        </w:tc>
        <w:tc>
          <w:tcPr>
            <w:tcW w:w="48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(1.47)</w:t>
            </w:r>
          </w:p>
        </w:tc>
        <w:tc>
          <w:tcPr>
            <w:tcW w:w="4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5.08</w:t>
            </w:r>
          </w:p>
        </w:tc>
        <w:tc>
          <w:tcPr>
            <w:tcW w:w="2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0.55</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3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 w:name="page4"/>
    <w:bookmarkEnd w:id="3"/>
    <w:tbl>
      <w:tblPr>
        <w:tblLayout w:type="fixed"/>
        <w:tblInd w:w="16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923"/>
        </w:trPr>
        <w:tc>
          <w:tcPr>
            <w:tcW w:w="8700" w:type="dxa"/>
            <w:vAlign w:val="bottom"/>
            <w:gridSpan w:val="8"/>
          </w:tcPr>
          <w:p>
            <w:pPr>
              <w:ind w:left="28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8"/>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4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0"/>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0"/>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3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23"/>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0"/>
        </w:trPr>
        <w:tc>
          <w:tcPr>
            <w:tcW w:w="35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0000FF"/>
              </w:rPr>
              <w:t>Note J</w:t>
            </w:r>
            <w:r>
              <w:rPr>
                <w:rFonts w:ascii="Times New Roman" w:cs="Times New Roman" w:eastAsia="Times New Roman" w:hAnsi="Times New Roman"/>
                <w:sz w:val="18"/>
                <w:szCs w:val="18"/>
                <w:i w:val="1"/>
                <w:iCs w:val="1"/>
                <w:color w:val="auto"/>
              </w:rPr>
              <w:t>)</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r>
      <w:tr>
        <w:trPr>
          <w:trHeight w:val="20"/>
        </w:trPr>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923"/>
        </w:trPr>
        <w:tc>
          <w:tcPr>
            <w:tcW w:w="846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(Condensed)</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8"/>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earnings, net of distributions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September 30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7" w:right="1179" w:bottom="1440" w:gutter="0" w:footer="0" w:header="0"/>
        </w:sectPr>
      </w:pPr>
    </w:p>
    <w:bookmarkStart w:id="7" w:name="page8"/>
    <w:bookmarkEnd w:id="7"/>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887" w:right="11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2025 and the results of its operations for the three and nine months ended September 30, 2025 and 2024 and of its cash flows for the nine months ended September 30, 2025 and 2024.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annual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2024.</w:t>
      </w:r>
    </w:p>
    <w:p>
      <w:pPr>
        <w:spacing w:after="0" w:line="202" w:lineRule="exact"/>
        <w:rPr>
          <w:rFonts w:ascii="Times New Roman" w:cs="Times New Roman" w:eastAsia="Times New Roman" w:hAnsi="Times New Roman"/>
          <w:sz w:val="18"/>
          <w:szCs w:val="18"/>
          <w:b w:val="1"/>
          <w:bCs w:val="1"/>
          <w:color w:val="auto"/>
        </w:rPr>
      </w:pPr>
    </w:p>
    <w:p>
      <w:pPr>
        <w:ind w:left="660" w:right="6640" w:hanging="652"/>
        <w:spacing w:after="0" w:line="534" w:lineRule="auto"/>
        <w:tabs>
          <w:tab w:leader="none" w:pos="64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Recent Accounting and Reporting Pronouncements </w:t>
      </w:r>
      <w:r>
        <w:rPr>
          <w:rFonts w:ascii="Times New Roman" w:cs="Times New Roman" w:eastAsia="Times New Roman" w:hAnsi="Times New Roman"/>
          <w:sz w:val="18"/>
          <w:szCs w:val="18"/>
          <w:u w:val="single" w:color="auto"/>
          <w:color w:val="auto"/>
        </w:rPr>
        <w:t>Recently Issued Accounting Standards</w:t>
      </w: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The standard is applied prospectively with an option for retrospective adoption. As the guidance impacts disclosure only, it will not have an impact on the Company's financial results. These changes in disclosure will initially be reflected in the annual financial statement footnotes for the year ended December 31, 2025.</w:t>
      </w:r>
    </w:p>
    <w:p>
      <w:pPr>
        <w:spacing w:after="0" w:line="214"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of adopting this standard on its disclosures.</w:t>
      </w:r>
    </w:p>
    <w:p>
      <w:pPr>
        <w:spacing w:after="0" w:line="206"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7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880" w:type="dxa"/>
            <w:vAlign w:val="bottom"/>
            <w:gridSpan w:val="5"/>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264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7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36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60" w:type="dxa"/>
            <w:vAlign w:val="bottom"/>
            <w:vMerge w:val="continue"/>
          </w:tcPr>
          <w:p>
            <w:pPr>
              <w:spacing w:after="0"/>
              <w:rPr>
                <w:sz w:val="24"/>
                <w:szCs w:val="24"/>
                <w:color w:val="auto"/>
              </w:rPr>
            </w:pPr>
          </w:p>
        </w:tc>
        <w:tc>
          <w:tcPr>
            <w:tcW w:w="3640" w:type="dxa"/>
            <w:vAlign w:val="bottom"/>
            <w:gridSpan w:val="5"/>
            <w:vMerge w:val="continue"/>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24"/>
                <w:szCs w:val="24"/>
                <w:color w:val="auto"/>
              </w:rPr>
            </w:pPr>
          </w:p>
        </w:tc>
        <w:tc>
          <w:tcPr>
            <w:tcW w:w="23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7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78"/>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4"/>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1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three and nine months ended September 30, 2025 and 2024 included amortization expense of $37 and $110 and $41 and $122.</w:t>
      </w:r>
    </w:p>
    <w:p>
      <w:pPr>
        <w:spacing w:after="0" w:line="24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Supplier Finance Program Obligations</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$908 and $927 confirmed obligations outstanding under these supplier finance programs as of September 30, 2025 and December 31, 2024 included in Accounts Payable.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80" w:type="dxa"/>
            <w:vAlign w:val="bottom"/>
          </w:tcPr>
          <w:p>
            <w:pPr>
              <w:spacing w:after="0"/>
              <w:rPr>
                <w:sz w:val="20"/>
                <w:szCs w:val="20"/>
                <w:color w:val="auto"/>
              </w:rPr>
            </w:pPr>
          </w:p>
        </w:tc>
        <w:tc>
          <w:tcPr>
            <w:tcW w:w="20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6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asset sales and impairments primarily included asset impairment charges related to plants in Myanmar and China and end line rationalization in the Asia Pacific segment. In addition, in the first quarter of 2025 the Company recognized a gain for a sale of a building in the Transit Packaging segment. For the nine months ended September 30, 2024, asset sales and impairments included a gain of $22 for the sale of food can equipment in Mexico.</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restructuring primarily included headcount reductions and other exit costs in the Transit Packaging segment. For the three and nine months ended September 30, 2024, restructuring primarily included headcount reductions and other exit costs in the Company's European Beverage and Other segments.</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recorded an $11 asbestos reserve related to an unfavorable jury verdict in the state of California.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-159385</wp:posOffset>
            </wp:positionV>
            <wp:extent cx="51435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 cy="128905"/>
                    </a:xfrm>
                    <a:prstGeom prst="rect">
                      <a:avLst/>
                    </a:prstGeom>
                    <a:noFill/>
                  </pic:spPr>
                </pic:pic>
              </a:graphicData>
            </a:graphic>
          </wp:anchor>
        </w:drawing>
      </w:r>
    </w:p>
    <w:p>
      <w:pPr>
        <w:spacing w:after="0" w:line="16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2025, the Company made payments of $16 and had a restructuring accrual of $19 as of September 30, 2025, primarily related to previously announced restructuring actions and the items discussed above. The Company expects to pay these amounts over the next twelve months. The Company continues to review its costs structure and may record additional restructuring charges in the future.</w:t>
      </w:r>
    </w:p>
    <w:p>
      <w:pPr>
        <w:spacing w:after="0" w:line="199"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Crown Cork has paid significantly more for asbestos-related claims than the total adjusted value of its predecessor’s assets.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June 2025, Crown Cork was party to a verdict in a mesothelioma wrongful death case tried in the Superior Court of the State of California in Los Angeles. A jury found that the conduct of the United States Navy and a predecessor of</w:t>
      </w:r>
    </w:p>
    <w:p>
      <w:pPr>
        <w:jc w:val="both"/>
        <w:spacing w:after="0" w:line="255" w:lineRule="auto"/>
        <w:rPr>
          <w:sz w:val="20"/>
          <w:szCs w:val="20"/>
          <w:color w:val="auto"/>
        </w:rPr>
      </w:pPr>
      <w:r>
        <w:rPr>
          <w:rFonts w:ascii="Times New Roman" w:cs="Times New Roman" w:eastAsia="Times New Roman" w:hAnsi="Times New Roman"/>
          <w:sz w:val="18"/>
          <w:szCs w:val="18"/>
          <w:color w:val="auto"/>
        </w:rPr>
        <w:t>Crown Cork was a substantial factor in causing the plaintiff’s exposure. Crown Cork’s share of the compensatory damages was $4. The jury also awarded punitive damages against Crown Cork of $7. These amounts have been fully accrued as of September 30, 2025. The Company intends to appeal the judgment on various grounds. There can be no assurances regarding the outcome of the appeal.</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paid $13 to settle asbestos claims and pay related legal and defense costs and had approximate claims activity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2024, the Company's outstanding claims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percentage of outstanding claims related to claimants alleging serious diseases (primarily mesothelioma and other malignancies) were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5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3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2025.</w:t>
      </w:r>
    </w:p>
    <w:p>
      <w:pPr>
        <w:spacing w:after="0" w:line="20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accrual for pending and future asbestos-related claims and related legal costs was $183, including $106 for unasserted claims. The Company determines its accrual without limitation to a specific time period.</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2024),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1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$9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In September 2025, the parties executed a settlement agreement in which the Company continued to deny all claims and causes of action, and the suit was subsequently dismissed by the U.S. Court of International Trade.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During the fourth quarter of 2024, the Company received an unfavorable ruling to a challenge at the administrative level. The Company does not believe that a loss for this assessment is probable and plans to challenge the assessment at the judicial level. There can be no assurances that the Company will be successful in contesting the assessment.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September 30, 2025,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42" w:lineRule="exact"/>
        <w:rPr>
          <w:sz w:val="20"/>
          <w:szCs w:val="20"/>
          <w:color w:val="auto"/>
        </w:rPr>
      </w:pPr>
    </w:p>
    <w:p>
      <w:pPr>
        <w:ind w:left="660" w:right="7480" w:hanging="652"/>
        <w:spacing w:after="0" w:line="534" w:lineRule="auto"/>
        <w:tabs>
          <w:tab w:leader="none" w:pos="37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Derivative and Other Financial Instruments </w:t>
      </w:r>
      <w:r>
        <w:rPr>
          <w:rFonts w:ascii="Times New Roman" w:cs="Times New Roman" w:eastAsia="Times New Roman" w:hAnsi="Times New Roman"/>
          <w:sz w:val="18"/>
          <w:szCs w:val="18"/>
          <w:u w:val="single" w:color="auto"/>
          <w:color w:val="auto"/>
        </w:rPr>
        <w:t>Fair Value Measurements</w:t>
      </w:r>
    </w:p>
    <w:p>
      <w:pPr>
        <w:spacing w:after="0" w:line="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fair value disclosures related to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September 30, 2025 mature between one and twenty-seven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w:t>
      </w: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15"/>
                <w:szCs w:val="15"/>
                <w:color w:val="auto"/>
              </w:rPr>
            </w:pPr>
          </w:p>
        </w:tc>
        <w:tc>
          <w:tcPr>
            <w:tcW w:w="2080" w:type="dxa"/>
            <w:vAlign w:val="bottom"/>
            <w:gridSpan w:val="5"/>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9"/>
              </w:rPr>
              <w:t>Amount of gain/(loss)</w:t>
            </w:r>
          </w:p>
        </w:tc>
      </w:tr>
      <w:tr>
        <w:trPr>
          <w:trHeight w:val="239"/>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recognized in OCI</w:t>
            </w:r>
          </w:p>
        </w:tc>
      </w:tr>
      <w:tr>
        <w:trPr>
          <w:trHeight w:val="17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4"/>
          </w:tcPr>
          <w:p>
            <w:pPr>
              <w:jc w:val="center"/>
              <w:ind w:right="110"/>
              <w:spacing w:after="0" w:line="173"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jc w:val="center"/>
              <w:ind w:right="170"/>
              <w:spacing w:after="0" w:line="173" w:lineRule="exact"/>
              <w:rPr>
                <w:sz w:val="20"/>
                <w:szCs w:val="20"/>
                <w:color w:val="auto"/>
              </w:rPr>
            </w:pPr>
            <w:r>
              <w:rPr>
                <w:rFonts w:ascii="Times New Roman" w:cs="Times New Roman" w:eastAsia="Times New Roman" w:hAnsi="Times New Roman"/>
                <w:sz w:val="18"/>
                <w:szCs w:val="18"/>
                <w:color w:val="auto"/>
                <w:w w:val="99"/>
              </w:rPr>
              <w:t>Nine Months Ended</w:t>
            </w:r>
          </w:p>
        </w:tc>
        <w:tc>
          <w:tcPr>
            <w:tcW w:w="100" w:type="dxa"/>
            <w:vAlign w:val="bottom"/>
          </w:tcPr>
          <w:p>
            <w:pPr>
              <w:spacing w:after="0"/>
              <w:rPr>
                <w:sz w:val="15"/>
                <w:szCs w:val="15"/>
                <w:color w:val="auto"/>
              </w:rPr>
            </w:pPr>
          </w:p>
        </w:tc>
      </w:tr>
      <w:tr>
        <w:trPr>
          <w:trHeight w:val="237"/>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48"/>
        </w:trPr>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sectPr>
          <w:pgSz w:w="11900" w:h="16838" w:orient="portrait"/>
          <w:cols w:equalWidth="0" w:num="1">
            <w:col w:w="10580"/>
          </w:cols>
          <w:pgMar w:left="980" w:top="11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18"/>
                <w:szCs w:val="18"/>
                <w:color w:val="auto"/>
              </w:rPr>
            </w:pPr>
          </w:p>
        </w:tc>
        <w:tc>
          <w:tcPr>
            <w:tcW w:w="19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 gain/(loss)</w:t>
            </w:r>
          </w:p>
        </w:tc>
      </w:tr>
      <w:tr>
        <w:trPr>
          <w:trHeight w:val="18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218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income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income</w:t>
            </w:r>
          </w:p>
        </w:tc>
        <w:tc>
          <w:tcPr>
            <w:tcW w:w="760" w:type="dxa"/>
            <w:vAlign w:val="bottom"/>
            <w:tcBorders>
              <w:bottom w:val="single" w:sz="8" w:color="auto"/>
            </w:tcBorders>
          </w:tcPr>
          <w:p>
            <w:pPr>
              <w:spacing w:after="0"/>
              <w:rPr>
                <w:sz w:val="20"/>
                <w:szCs w:val="20"/>
                <w:color w:val="auto"/>
              </w:rPr>
            </w:pPr>
          </w:p>
        </w:tc>
      </w:tr>
      <w:tr>
        <w:trPr>
          <w:trHeight w:val="169"/>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4"/>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39"/>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19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40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(26)</w:t>
            </w:r>
          </w:p>
        </w:tc>
      </w:tr>
      <w:tr>
        <w:trPr>
          <w:trHeight w:val="40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Pr>
          <w:p>
            <w:pPr>
              <w:spacing w:after="0"/>
              <w:rPr>
                <w:sz w:val="24"/>
                <w:szCs w:val="24"/>
                <w:color w:val="auto"/>
              </w:rPr>
            </w:pPr>
          </w:p>
        </w:tc>
        <w:tc>
          <w:tcPr>
            <w:tcW w:w="8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11</w:t>
            </w:r>
          </w:p>
        </w:tc>
      </w:tr>
      <w:tr>
        <w:trPr>
          <w:trHeight w:val="23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20"/>
                <w:szCs w:val="20"/>
                <w:color w:val="auto"/>
              </w:rPr>
            </w:pPr>
          </w:p>
        </w:tc>
        <w:tc>
          <w:tcPr>
            <w:tcW w:w="8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r>
      <w:tr>
        <w:trPr>
          <w:trHeight w:val="4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24"/>
                <w:szCs w:val="24"/>
                <w:color w:val="auto"/>
              </w:rPr>
            </w:pPr>
          </w:p>
        </w:tc>
        <w:tc>
          <w:tcPr>
            <w:tcW w:w="8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-409575</wp:posOffset>
            </wp:positionV>
            <wp:extent cx="67208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-829310</wp:posOffset>
            </wp:positionV>
            <wp:extent cx="672084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79"/>
        <w:spacing w:after="0" w:line="237" w:lineRule="auto"/>
        <w:rPr>
          <w:sz w:val="20"/>
          <w:szCs w:val="20"/>
          <w:color w:val="auto"/>
        </w:rPr>
      </w:pPr>
      <w:r>
        <w:rPr>
          <w:rFonts w:ascii="Times New Roman" w:cs="Times New Roman" w:eastAsia="Times New Roman" w:hAnsi="Times New Roman"/>
          <w:sz w:val="18"/>
          <w:szCs w:val="18"/>
          <w:color w:val="auto"/>
        </w:rPr>
        <w:t>Affected line items in the Statement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right="840"/>
        <w:spacing w:after="0" w:line="234" w:lineRule="auto"/>
        <w:rPr>
          <w:sz w:val="20"/>
          <w:szCs w:val="20"/>
          <w:color w:val="auto"/>
        </w:rPr>
      </w:pPr>
      <w:r>
        <w:rPr>
          <w:rFonts w:ascii="Times New Roman" w:cs="Times New Roman" w:eastAsia="Times New Roman" w:hAnsi="Times New Roman"/>
          <w:sz w:val="18"/>
          <w:szCs w:val="18"/>
          <w:color w:val="auto"/>
        </w:rPr>
        <w:t>Cost of products sold, excluding depreciation and amortization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right="840"/>
        <w:spacing w:after="0" w:line="234" w:lineRule="auto"/>
        <w:rPr>
          <w:sz w:val="20"/>
          <w:szCs w:val="20"/>
          <w:color w:val="auto"/>
        </w:rPr>
      </w:pPr>
      <w:r>
        <w:rPr>
          <w:rFonts w:ascii="Times New Roman" w:cs="Times New Roman" w:eastAsia="Times New Roman" w:hAnsi="Times New Roman"/>
          <w:sz w:val="18"/>
          <w:szCs w:val="18"/>
          <w:color w:val="auto"/>
        </w:rPr>
        <w:t>Cost of products sold, excluding depreciation and amortization</w:t>
      </w:r>
    </w:p>
    <w:p>
      <w:pPr>
        <w:spacing w:after="0" w:line="13" w:lineRule="exact"/>
        <w:rPr>
          <w:sz w:val="20"/>
          <w:szCs w:val="20"/>
          <w:color w:val="auto"/>
        </w:rPr>
      </w:pPr>
    </w:p>
    <w:p>
      <w:pPr>
        <w:sectPr>
          <w:pgSz w:w="11900" w:h="16838" w:orient="portrait"/>
          <w:cols w:equalWidth="0" w:num="2">
            <w:col w:w="7280" w:space="120"/>
            <w:col w:w="3180"/>
          </w:cols>
          <w:pgMar w:left="98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8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300" w:type="dxa"/>
            <w:vAlign w:val="bottom"/>
            <w:tcBorders>
              <w:top w:val="single" w:sz="8" w:color="CCEEFF"/>
            </w:tcBorders>
            <w:shd w:val="clear" w:color="auto" w:fill="CCEEFF"/>
          </w:tcPr>
          <w:p>
            <w:pPr>
              <w:ind w:left="120"/>
              <w:spacing w:after="0" w:line="157" w:lineRule="exact"/>
              <w:rPr>
                <w:sz w:val="20"/>
                <w:szCs w:val="20"/>
                <w:color w:val="auto"/>
              </w:rPr>
            </w:pPr>
            <w:r>
              <w:rPr>
                <w:rFonts w:ascii="Times New Roman" w:cs="Times New Roman" w:eastAsia="Times New Roman" w:hAnsi="Times New Roman"/>
                <w:sz w:val="18"/>
                <w:szCs w:val="18"/>
                <w:color w:val="auto"/>
              </w:rPr>
              <w:t>Income before taxes and equity in net</w:t>
            </w:r>
          </w:p>
        </w:tc>
      </w:tr>
      <w:tr>
        <w:trPr>
          <w:trHeight w:val="243"/>
        </w:trPr>
        <w:tc>
          <w:tcPr>
            <w:tcW w:w="28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of affiliates</w:t>
            </w:r>
          </w:p>
        </w:tc>
      </w:tr>
      <w:tr>
        <w:trPr>
          <w:trHeight w:val="223"/>
        </w:trPr>
        <w:tc>
          <w:tcPr>
            <w:tcW w:w="28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48"/>
        </w:trPr>
        <w:tc>
          <w:tcPr>
            <w:tcW w:w="2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September 30, 2026, a net gain of $11 ($8, net of tax) is expected to be reclassified to earnings for commodity and foreign exchange contracts. No material amounts were reclassified during the nine months ended September 30, 2025 and 2024 in connection with anticipated transactions that were considered probable of not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16" w:name="page17"/>
    <w:bookmarkEnd w:id="16"/>
    <w:p>
      <w:pPr>
        <w:spacing w:after="0" w:line="185" w:lineRule="auto"/>
        <w:framePr w:w="2260" w:h="160" w:wrap="auto" w:vAnchor="page" w:hAnchor="page" w:x="6420" w:y="529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amounts of gain/(loss)</w:t>
      </w:r>
    </w:p>
    <w:p>
      <w:pPr>
        <w:spacing w:after="0" w:line="196" w:lineRule="auto"/>
        <w:framePr w:w="1620" w:h="160" w:wrap="auto" w:vAnchor="page" w:hAnchor="page" w:x="6740" w:y="547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in income</w:t>
      </w:r>
    </w:p>
    <w:p>
      <w:pPr>
        <w:spacing w:after="0" w:line="185" w:lineRule="auto"/>
        <w:framePr w:w="1540" w:h="160" w:wrap="auto" w:vAnchor="page" w:hAnchor="page" w:x="6760" w:y="573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Months Ended</w:t>
      </w:r>
    </w:p>
    <w:p>
      <w:pPr>
        <w:spacing w:after="0" w:line="196" w:lineRule="auto"/>
        <w:framePr w:w="1120" w:h="160" w:wrap="auto" w:vAnchor="page" w:hAnchor="page" w:x="7000" w:y="590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September 30,</w:t>
      </w:r>
    </w:p>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rFonts w:ascii="Times New Roman" w:cs="Times New Roman" w:eastAsia="Times New Roman" w:hAnsi="Times New Roman"/>
          <w:sz w:val="17"/>
          <w:szCs w:val="17"/>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3" w:lineRule="exact"/>
        <w:rPr>
          <w:rFonts w:ascii="Times New Roman" w:cs="Times New Roman" w:eastAsia="Times New Roman" w:hAnsi="Times New Roman"/>
          <w:sz w:val="17"/>
          <w:szCs w:val="17"/>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loss of $7 and a gain of $8, respectively, from foreign exchange contracts designated as fair value hedges. These adjustments were reported within foreign exchange in the Consolidated Statements of Operations.</w:t>
      </w:r>
    </w:p>
    <w:p>
      <w:pPr>
        <w:spacing w:after="0" w:line="203" w:lineRule="exact"/>
        <w:rPr>
          <w:rFonts w:ascii="Times New Roman" w:cs="Times New Roman" w:eastAsia="Times New Roman" w:hAnsi="Times New Roman"/>
          <w:sz w:val="17"/>
          <w:szCs w:val="17"/>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trade accounts receivable and payable and unrecognized firm commitments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38" w:lineRule="exact"/>
        <w:rPr>
          <w:rFonts w:ascii="Times New Roman" w:cs="Times New Roman" w:eastAsia="Times New Roman" w:hAnsi="Times New Roman"/>
          <w:sz w:val="17"/>
          <w:szCs w:val="17"/>
          <w:color w:val="auto"/>
        </w:rPr>
      </w:pPr>
    </w:p>
    <w:p>
      <w:pPr>
        <w:ind w:left="3580"/>
        <w:spacing w:after="0"/>
        <w:rPr>
          <w:sz w:val="20"/>
          <w:szCs w:val="20"/>
          <w:color w:val="auto"/>
        </w:rPr>
      </w:pPr>
      <w:r>
        <w:rPr>
          <w:rFonts w:ascii="Times New Roman" w:cs="Times New Roman" w:eastAsia="Times New Roman" w:hAnsi="Times New Roman"/>
          <w:sz w:val="18"/>
          <w:szCs w:val="18"/>
          <w:color w:val="auto"/>
        </w:rPr>
        <w:t>Pre-tax amounts of</w:t>
      </w:r>
    </w:p>
    <w:p>
      <w:pPr>
        <w:jc w:val="center"/>
        <w:ind w:right="2060"/>
        <w:spacing w:after="0" w:line="219" w:lineRule="auto"/>
        <w:rPr>
          <w:sz w:val="20"/>
          <w:szCs w:val="20"/>
          <w:color w:val="auto"/>
        </w:rPr>
      </w:pPr>
      <w:r>
        <w:rPr>
          <w:rFonts w:ascii="Times New Roman" w:cs="Times New Roman" w:eastAsia="Times New Roman" w:hAnsi="Times New Roman"/>
          <w:sz w:val="18"/>
          <w:szCs w:val="18"/>
          <w:color w:val="auto"/>
        </w:rPr>
        <w:t>gain/(loss) recognized in</w:t>
      </w:r>
    </w:p>
    <w:p>
      <w:pPr>
        <w:jc w:val="center"/>
        <w:ind w:right="2060"/>
        <w:spacing w:after="0"/>
        <w:rPr>
          <w:sz w:val="20"/>
          <w:szCs w:val="20"/>
          <w:color w:val="auto"/>
        </w:rPr>
      </w:pPr>
      <w:r>
        <w:rPr>
          <w:rFonts w:ascii="Times New Roman" w:cs="Times New Roman" w:eastAsia="Times New Roman" w:hAnsi="Times New Roman"/>
          <w:sz w:val="18"/>
          <w:szCs w:val="18"/>
          <w:color w:val="auto"/>
        </w:rPr>
        <w:t>income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2003425</wp:posOffset>
            </wp:positionH>
            <wp:positionV relativeFrom="paragraph">
              <wp:posOffset>4445</wp:posOffset>
            </wp:positionV>
            <wp:extent cx="2871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jc w:val="center"/>
        <w:ind w:right="206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right="206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 of Operations</w:t>
            </w: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w:t>
            </w: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excluding depreciation and</w:t>
            </w:r>
          </w:p>
        </w:tc>
      </w:tr>
      <w:tr>
        <w:trPr>
          <w:trHeight w:val="23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23"/>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31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rFonts w:ascii="Times New Roman" w:cs="Times New Roman" w:eastAsia="Times New Roman" w:hAnsi="Times New Roman"/>
          <w:sz w:val="17"/>
          <w:szCs w:val="17"/>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rFonts w:ascii="Times New Roman" w:cs="Times New Roman" w:eastAsia="Times New Roman" w:hAnsi="Times New Roman"/>
          <w:sz w:val="17"/>
          <w:szCs w:val="17"/>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gains of $4 ($3, net of tax) and losses of $137 ($104, net of tax) in other comprehensive income for certain debt instruments that are designated as hedges of its net investment in a euro-based subsidiary. During the three and nine months ended September 30, 2024, the Company recorded losses of $64 ($55, net of tax) and $11 ($11, net of tax). As of September 30, 2025 and December 31, 2024, cumulative losses of $4 ($28, net of tax) and gains of $133 ($131, net of tax) were recognized in accumulated other comprehensive income related to these net investment hedges. The carrying amount of the hedging instrument was approximately €1,011 ($1,186) at September 30, 2025.</w:t>
      </w:r>
    </w:p>
    <w:p>
      <w:pPr>
        <w:spacing w:after="0" w:line="214" w:lineRule="exact"/>
        <w:rPr>
          <w:rFonts w:ascii="Times New Roman" w:cs="Times New Roman" w:eastAsia="Times New Roman" w:hAnsi="Times New Roman"/>
          <w:sz w:val="17"/>
          <w:szCs w:val="17"/>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 of $1,475 designated as hedges of the Company's net investment in a euro-based subsidiary. These swaps mature in 2026 and 2030 and reduced interest expense by $8 and $22 for the three and nine months ended September 30, 2025 and $6 and $18 for the three and nine months ended September 30, 2024.</w:t>
      </w:r>
    </w:p>
    <w:p>
      <w:pPr>
        <w:spacing w:after="0" w:line="203" w:lineRule="exact"/>
        <w:rPr>
          <w:rFonts w:ascii="Times New Roman" w:cs="Times New Roman" w:eastAsia="Times New Roman" w:hAnsi="Times New Roman"/>
          <w:sz w:val="17"/>
          <w:szCs w:val="17"/>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2" w:lineRule="exact"/>
        <w:rPr>
          <w:rFonts w:ascii="Times New Roman" w:cs="Times New Roman" w:eastAsia="Times New Roman" w:hAnsi="Times New Roman"/>
          <w:sz w:val="17"/>
          <w:szCs w:val="17"/>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7" w:name="page18"/>
    <w:bookmarkEnd w:id="1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Amount of gain / (loss) recognized in</w:t>
            </w: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Amount of gain / (loss) recognized</w:t>
            </w:r>
          </w:p>
        </w:tc>
      </w:tr>
      <w:tr>
        <w:trPr>
          <w:trHeight w:val="239"/>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AOCI</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in AOCI</w:t>
            </w:r>
          </w:p>
        </w:tc>
        <w:tc>
          <w:tcPr>
            <w:tcW w:w="900" w:type="dxa"/>
            <w:vAlign w:val="bottom"/>
            <w:tcBorders>
              <w:bottom w:val="single" w:sz="8" w:color="auto"/>
            </w:tcBorders>
          </w:tcPr>
          <w:p>
            <w:pPr>
              <w:spacing w:after="0"/>
              <w:rPr>
                <w:sz w:val="20"/>
                <w:szCs w:val="20"/>
                <w:color w:val="auto"/>
              </w:rPr>
            </w:pPr>
          </w:p>
        </w:tc>
      </w:t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jc w:val="center"/>
              <w:ind w:left="290"/>
              <w:spacing w:after="0" w:line="173"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3"/>
          </w:tcPr>
          <w:p>
            <w:pPr>
              <w:jc w:val="center"/>
              <w:ind w:right="230"/>
              <w:spacing w:after="0" w:line="173"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37"/>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September 30, 2025 and December 31, 2024, respectively. The fair values of these financial instruments were reported under Level 2 of the fair value hierarchy.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7"/>
                <w:szCs w:val="17"/>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December</w:t>
            </w:r>
          </w:p>
        </w:tc>
        <w:tc>
          <w:tcPr>
            <w:tcW w:w="80" w:type="dxa"/>
            <w:vAlign w:val="bottom"/>
          </w:tcPr>
          <w:p>
            <w:pPr>
              <w:spacing w:after="0"/>
              <w:rPr>
                <w:sz w:val="17"/>
                <w:szCs w:val="17"/>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Balance Sheet</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9"/>
        </w:trPr>
        <w:tc>
          <w:tcPr>
            <w:tcW w:w="1720" w:type="dxa"/>
            <w:vAlign w:val="bottom"/>
          </w:tcPr>
          <w:p>
            <w:pPr>
              <w:spacing w:after="0"/>
              <w:rPr>
                <w:sz w:val="20"/>
                <w:szCs w:val="20"/>
                <w:color w:val="auto"/>
              </w:rPr>
            </w:pP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31, 2024</w:t>
            </w:r>
          </w:p>
        </w:tc>
        <w:tc>
          <w:tcPr>
            <w:tcW w:w="80" w:type="dxa"/>
            <w:vAlign w:val="bottom"/>
          </w:tcPr>
          <w:p>
            <w:pPr>
              <w:spacing w:after="0"/>
              <w:rPr>
                <w:sz w:val="20"/>
                <w:szCs w:val="20"/>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classification</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31, 2024</w:t>
            </w:r>
          </w:p>
        </w:tc>
      </w:tr>
      <w:tr>
        <w:trPr>
          <w:trHeight w:val="214"/>
        </w:trPr>
        <w:tc>
          <w:tcPr>
            <w:tcW w:w="17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w:t>
            </w:r>
          </w:p>
        </w:tc>
        <w:tc>
          <w:tcPr>
            <w:tcW w:w="1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169"/>
        </w:trPr>
        <w:tc>
          <w:tcPr>
            <w:tcW w:w="17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Commodities</w:t>
            </w:r>
          </w:p>
        </w:tc>
        <w:tc>
          <w:tcPr>
            <w:tcW w:w="19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9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55"/>
        </w:trPr>
        <w:tc>
          <w:tcPr>
            <w:tcW w:w="36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9"/>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r>
      <w:tr>
        <w:trPr>
          <w:trHeight w:val="173"/>
        </w:trPr>
        <w:tc>
          <w:tcPr>
            <w:tcW w:w="17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17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7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8" w:name="page19"/>
    <w:bookmarkEnd w:id="18"/>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480" w:type="dxa"/>
            <w:vAlign w:val="bottom"/>
          </w:tcPr>
          <w:p>
            <w:pPr>
              <w:spacing w:after="0"/>
              <w:rPr>
                <w:sz w:val="17"/>
                <w:szCs w:val="17"/>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Balance Sheet</w:t>
            </w:r>
          </w:p>
        </w:tc>
        <w:tc>
          <w:tcPr>
            <w:tcW w:w="2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2025</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$25</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$9</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95</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9</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86</w:t>
            </w:r>
          </w:p>
        </w:tc>
      </w:tr>
      <w:tr>
        <w:trPr>
          <w:trHeight w:val="162"/>
        </w:trPr>
        <w:tc>
          <w:tcPr>
            <w:tcW w:w="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2024</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$102</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14</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3</w:t>
            </w: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11</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September 30, 2025 and December 31, 2024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bl>
    <w:p>
      <w:pPr>
        <w:spacing w:after="0" w:line="200" w:lineRule="exact"/>
        <w:rPr>
          <w:sz w:val="20"/>
          <w:szCs w:val="20"/>
          <w:color w:val="auto"/>
        </w:rPr>
      </w:pPr>
    </w:p>
    <w:p>
      <w:pPr>
        <w:sectPr>
          <w:pgSz w:w="11900" w:h="16838" w:orient="portrait"/>
          <w:cols w:equalWidth="0" w:num="1">
            <w:col w:w="10360"/>
          </w:cols>
          <w:pgMar w:left="980" w:top="11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980" w:top="117" w:right="5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904"/>
        </w:trPr>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  Debt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20"/>
        </w:trPr>
        <w:tc>
          <w:tcPr>
            <w:tcW w:w="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4"/>
                <w:szCs w:val="24"/>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8"/>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Carrying</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360" w:type="dxa"/>
            <w:vAlign w:val="bottom"/>
          </w:tcPr>
          <w:p>
            <w:pPr>
              <w:spacing w:after="0"/>
              <w:rPr>
                <w:sz w:val="17"/>
                <w:szCs w:val="17"/>
                <w:color w:val="auto"/>
              </w:rPr>
            </w:pPr>
          </w:p>
        </w:tc>
        <w:tc>
          <w:tcPr>
            <w:tcW w:w="360" w:type="dxa"/>
            <w:vAlign w:val="bottom"/>
            <w:tcBorders>
              <w:right w:val="single" w:sz="8" w:color="CCEEFF"/>
            </w:tcBorders>
          </w:tcPr>
          <w:p>
            <w:pPr>
              <w:spacing w:after="0"/>
              <w:rPr>
                <w:sz w:val="17"/>
                <w:szCs w:val="17"/>
                <w:color w:val="auto"/>
              </w:rPr>
            </w:pPr>
          </w:p>
        </w:tc>
        <w:tc>
          <w:tcPr>
            <w:tcW w:w="39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142</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w:t>
            </w:r>
          </w:p>
        </w:tc>
      </w:tr>
      <w:tr>
        <w:trPr>
          <w:trHeight w:val="270"/>
        </w:trPr>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84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09"/>
        </w:trPr>
        <w:tc>
          <w:tcPr>
            <w:tcW w:w="360" w:type="dxa"/>
            <w:vAlign w:val="bottom"/>
          </w:tcPr>
          <w:p>
            <w:pPr>
              <w:spacing w:after="0"/>
              <w:rPr>
                <w:sz w:val="18"/>
                <w:szCs w:val="18"/>
                <w:color w:val="auto"/>
              </w:rPr>
            </w:pPr>
          </w:p>
        </w:tc>
        <w:tc>
          <w:tcPr>
            <w:tcW w:w="360" w:type="dxa"/>
            <w:vAlign w:val="bottom"/>
            <w:tcBorders>
              <w:right w:val="single" w:sz="8" w:color="CCEEFF"/>
            </w:tcBorders>
          </w:tcPr>
          <w:p>
            <w:pPr>
              <w:spacing w:after="0"/>
              <w:rPr>
                <w:sz w:val="18"/>
                <w:szCs w:val="18"/>
                <w:color w:val="auto"/>
              </w:rPr>
            </w:pPr>
          </w:p>
        </w:tc>
        <w:tc>
          <w:tcPr>
            <w:tcW w:w="10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4"/>
              </w:rPr>
              <w:t>Long-term debt</w:t>
            </w:r>
          </w:p>
        </w:tc>
        <w:tc>
          <w:tcPr>
            <w:tcW w:w="28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Term loan facilities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U.S. dollar due 2027</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60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€500 at 2.875% due 2026</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€500 at 5.00% due 2028</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€500 at 4.75% due 2029</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€600 at 4.50% due 2030</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dollar at 5.875% due 2033</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long-term debt</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36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€500 and €520 at September 30, 2025 and December 31, 2024</w:t>
      </w:r>
    </w:p>
    <w:p>
      <w:pPr>
        <w:spacing w:after="0" w:line="27" w:lineRule="exact"/>
        <w:rPr>
          <w:sz w:val="20"/>
          <w:szCs w:val="20"/>
          <w:color w:val="auto"/>
        </w:rPr>
      </w:pPr>
    </w:p>
    <w:p>
      <w:pPr>
        <w:jc w:val="both"/>
        <w:ind w:left="660" w:right="20"/>
        <w:spacing w:after="0" w:line="255" w:lineRule="auto"/>
        <w:rPr>
          <w:sz w:val="20"/>
          <w:szCs w:val="20"/>
          <w:color w:val="auto"/>
        </w:rPr>
      </w:pPr>
      <w:r>
        <w:rPr>
          <w:rFonts w:ascii="Times New Roman" w:cs="Times New Roman" w:eastAsia="Times New Roman" w:hAnsi="Times New Roman"/>
          <w:sz w:val="18"/>
          <w:szCs w:val="18"/>
          <w:color w:val="auto"/>
        </w:rPr>
        <w:t>In May 2025, the Company issued $700 principal amount of 5.875% senior unsecured notes due 2033 issued at par by its subsidiary Crown Americas LLC and used the proceeds, together with cash on hand, to redeem the $875 principal amount of 4.75% senior unsecured notes due February 2026. The Company paid $10 in issuance costs that will be amortized over the term of the notes.</w:t>
      </w:r>
    </w:p>
    <w:p>
      <w:pPr>
        <w:spacing w:after="0" w:line="21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October 2025, the Company issued €500 principal amount of 3.75% senior unsecured notes due 2031 issued at par by its subsidiary Crown European Holdings S.A. and used the proceeds, together with cash on hand, to redeem the €500 principal amount of 2.875% senior unsecured notes due February 2026.</w:t>
      </w:r>
    </w:p>
    <w:p>
      <w:pPr>
        <w:spacing w:after="0" w:line="20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$6,500 at September 30, 2025 and $6,255 at December 31, 2024.</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U.S. dollar term loan interest rate was SOFR plus 1.10% and the Euro term loan interest rate was EURIBOR plus 1.00% at September 30, 2025 and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92" w:hanging="392"/>
        <w:spacing w:after="0"/>
        <w:tabs>
          <w:tab w:leader="none" w:pos="3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56"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other postretirement benefits costs for the three and nine months ended September 30, 2025 and 2024 were as follows:</w:t>
      </w:r>
    </w:p>
    <w:p>
      <w:pPr>
        <w:spacing w:after="0" w:line="81"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U.S. plans</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and curtailments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 and curtailments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gridSpan w:val="3"/>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52"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other than the service cost component are included in Other pension and postretirement in the Consolidated Statement of Operations.</w:t>
      </w:r>
    </w:p>
    <w:p>
      <w:pPr>
        <w:spacing w:after="0" w:line="189"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In the third quarter of 2024, the Company's Canadian and primary U.S. defined benefit pension plans entered into transactions to transfer a significant portion of their pension liabilities through the purchase of group annuity insurance contracts for the benefit of nearly all their respective retiree and deferred vested participants. The issuers of the group annuity insurance contracts fully guarantee and are solely responsible for paying each participant's future benefits in full. The Company used plan assets to settle $120 of Canadian Plan obligations and $740 of U.S. Plans obligations and recorded settlement charges of $48 and $469, respectively, for the Canadian and U.S. Plans.</w:t>
      </w:r>
    </w:p>
    <w:p>
      <w:pPr>
        <w:spacing w:after="0" w:line="21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9"/>
                <w:szCs w:val="19"/>
                <w:color w:val="auto"/>
              </w:rPr>
            </w:pPr>
          </w:p>
        </w:tc>
        <w:tc>
          <w:tcPr>
            <w:tcW w:w="17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Details about accumulated other</w:t>
            </w:r>
          </w:p>
        </w:tc>
        <w:tc>
          <w:tcPr>
            <w:tcW w:w="160" w:type="dxa"/>
            <w:vAlign w:val="bottom"/>
          </w:tcPr>
          <w:p>
            <w:pPr>
              <w:spacing w:after="0"/>
              <w:rPr>
                <w:sz w:val="20"/>
                <w:szCs w:val="20"/>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17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0"/>
                <w:szCs w:val="2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Affected line items in the statement of</w:t>
            </w:r>
          </w:p>
        </w:tc>
        <w:tc>
          <w:tcPr>
            <w:tcW w:w="0" w:type="dxa"/>
            <w:vAlign w:val="bottom"/>
          </w:tcPr>
          <w:p>
            <w:pPr>
              <w:spacing w:after="0"/>
              <w:rPr>
                <w:sz w:val="1"/>
                <w:szCs w:val="1"/>
                <w:color w:val="auto"/>
              </w:rPr>
            </w:pPr>
          </w:p>
        </w:tc>
      </w:tr>
      <w:tr>
        <w:trPr>
          <w:trHeight w:val="155"/>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comprehensive income</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ind w:left="1080"/>
              <w:spacing w:after="0" w:line="184" w:lineRule="exact"/>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34"/>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components</w:t>
            </w: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155"/>
        </w:trPr>
        <w:tc>
          <w:tcPr>
            <w:tcW w:w="2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received a $24 repayment, included within Pension contributions in the Consolidated Statements of Cash Flows, of the contribution the Company made in 2021 to settle the U.K. defined pension plan.</w:t>
      </w:r>
    </w:p>
    <w:p>
      <w:pPr>
        <w:spacing w:after="0" w:line="185"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with approximately $1,500 remaining on the program.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$314 of its shares during the nine months ended September 30, 2025.</w:t>
      </w:r>
    </w:p>
    <w:p>
      <w:pPr>
        <w:spacing w:after="0" w:line="21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declared and paid cash dividends of $0.26 per share and $0.78 per share and $0.25 and $0.75 per share, respectively. Additionally, on October 23, 2025, the Company's Board of Directors declared a dividend of $0.26 per share payable on November 20, 2025 to shareholders of record as of November 6, 2025.</w:t>
      </w:r>
    </w:p>
    <w:p>
      <w:pPr>
        <w:spacing w:after="0" w:line="19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8480" w:right="1100" w:hanging="7831"/>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income/(loss). Gains and</w:t>
      </w:r>
    </w:p>
    <w:tbl>
      <w:tblPr>
        <w:tblLayout w:type="fixed"/>
        <w:tblInd w:w="660" w:type="dxa"/>
        <w:tblCellMar>
          <w:top w:w="0" w:type="dxa"/>
          <w:left w:w="0" w:type="dxa"/>
          <w:bottom w:w="0" w:type="dxa"/>
          <w:right w:w="0" w:type="dxa"/>
        </w:tblCellMar>
      </w:tblPr>
      <w:tr>
        <w:trPr>
          <w:trHeight w:val="160"/>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3"/>
                <w:szCs w:val="13"/>
                <w:color w:val="auto"/>
              </w:rPr>
            </w:pPr>
          </w:p>
        </w:tc>
        <w:tc>
          <w:tcPr>
            <w:tcW w:w="118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cash flow</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0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further details of amounts related to cash flow hedges and defined benefit plans.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   Revenue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recognized revenue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disaggregation of the Company's revenue.</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$12 and $9 as of September 30, 2025 and December 31, 2024, respectively, included in prepaid and other current assets. During the nine months ended September 30, 2025, the Company satisfied performance obligations related to contract assets at December 31, 2024 and also recorded new contract assets primarily related to work in process for the equipment business.</w:t>
      </w:r>
    </w:p>
    <w:p>
      <w:pPr>
        <w:spacing w:after="0" w:line="152"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1"/>
        </w:trPr>
        <w:tc>
          <w:tcPr>
            <w:tcW w:w="53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9"/>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0.11 million and 0.34 million and 0.57 million and 0.68 million contingently issuable common shares were excluded from the computation of diluted earnings per share because the effect would be anti-dilutive.</w:t>
      </w:r>
    </w:p>
    <w:p>
      <w:pPr>
        <w:spacing w:after="0" w:line="185"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prepared in accordance with GAAP and may not be comparable to calculations of similarly titled measures by other companies.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7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c>
          <w:tcPr>
            <w:tcW w:w="7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 September 30, 2024</w:t>
            </w:r>
          </w:p>
        </w:tc>
        <w:tc>
          <w:tcPr>
            <w:tcW w:w="7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9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980" w:top="117" w:right="1099" w:bottom="1440" w:gutter="0" w:footer="0" w:header="0"/>
          <w:type w:val="continuous"/>
        </w:sectPr>
      </w:pPr>
    </w:p>
    <w:bookmarkStart w:id="24" w:name="page25"/>
    <w:bookmarkEnd w:id="24"/>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total assets by segment as it is not provided to the chief operating decision maker.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sources of revenue included in Other are the Company's food can, aerosol can, and closures businesses in North America, and beverage tooling and equipment operations in the U.S. and U.K.</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primarily include equipment and parts used in the manufacturing process.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9"/>
                <w:szCs w:val="19"/>
                <w:color w:val="auto"/>
              </w:rPr>
            </w:pPr>
          </w:p>
        </w:tc>
        <w:tc>
          <w:tcPr>
            <w:tcW w:w="22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of 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(loss) from operations before taxes and equity in net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5" w:name="page26"/>
    <w:bookmarkEnd w:id="25"/>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right="35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and nine months ended September 30, 2025 compared to 2024 and changes in financial condition and liquidity from December 31, 2024. This discussion should be read in conjunction with the consolidated financial statements and notes thereto included in the Company's Annual Report on Form 10-K for the year ended December 31, 2024, along with the consolidated financial statements and related notes included in and referred to within this report.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4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growth opportunities while returning cash to shareholders through dividends and share repurchases.</w:t>
      </w:r>
    </w:p>
    <w:p>
      <w:pPr>
        <w:spacing w:after="0" w:line="189" w:lineRule="exact"/>
        <w:rPr>
          <w:sz w:val="20"/>
          <w:szCs w:val="20"/>
          <w:color w:val="auto"/>
        </w:rPr>
      </w:pPr>
    </w:p>
    <w:p>
      <w:pPr>
        <w:jc w:val="both"/>
        <w:ind w:left="480"/>
        <w:spacing w:after="0" w:line="242"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and Europe. Growth has been driven by new product introductions, customer and consumer focus on the sustainability benefits of aluminum and population and GDP growth in many markets. To meet such demand, the Company made long-term investments in excess of $2,000 for new manufacturing facilities and additional production lines in existing facilities since 2019. Based on current market conditions, the Company expects to have the ability to meet expected demand growth with its current installed capital base and expects capital spending to be approximately $400 in 2025.</w:t>
      </w:r>
    </w:p>
    <w:p>
      <w:pPr>
        <w:spacing w:after="0" w:line="19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long-term net leverage ratio target of 2.5x adjusted EBITDA (a non-GAAP measure). The Company believes it has the flexibility and resources to fund growth, repay debt and return excess cash flow to shareholders in the future. On July 25, 2024, the Company's Board of Directors authorized the repurchase of an aggregate amount of $2,000 of the Company's common stock through the end of 2027, with approximately $1,500 remaining on the program.</w:t>
      </w:r>
    </w:p>
    <w:p>
      <w:pPr>
        <w:spacing w:after="0" w:line="21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 2024, the Company garnered recognition for its commitment to integrate sustainability into all aspects of the organization, including the top spot within the Sustainalytics "Container and Packaging" industry category.</w:t>
      </w:r>
    </w:p>
    <w:p>
      <w:pPr>
        <w:spacing w:after="0" w:line="207" w:lineRule="exact"/>
        <w:rPr>
          <w:sz w:val="20"/>
          <w:szCs w:val="20"/>
          <w:color w:val="auto"/>
        </w:rPr>
      </w:pPr>
    </w:p>
    <w:p>
      <w:pPr>
        <w:jc w:val="both"/>
        <w:ind w:left="480"/>
        <w:spacing w:after="0" w:line="254"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tariffs, retaliatory trade measures and further trade restrictions could result in higher raw material costs and a wide range of possible outcomes including impacts on consumers and industrial activity.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spacing w:after="0" w:line="219"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have not had a direct material impact on the Company's business, financial condition, or results of operations.</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3"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the euro and the British pound in the Company's</w:t>
      </w:r>
    </w:p>
    <w:p>
      <w:pPr>
        <w:sectPr>
          <w:pgSz w:w="11900" w:h="16838" w:orient="portrait"/>
          <w:cols w:equalWidth="0" w:num="1">
            <w:col w:w="11060"/>
          </w:cols>
          <w:pgMar w:left="50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type w:val="continuous"/>
        </w:sectPr>
      </w:pPr>
    </w:p>
    <w:bookmarkStart w:id="26" w:name="page27"/>
    <w:bookmarkEnd w:id="2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European Beverage segment, and the Thai baht in the Company's Asia Pacific segment. The Company's Transit Packaging segment is a global business and the foreign currency translation impacts referred to in the discussion below are primarily related to the euro, the Indian rupee, the Mexican peso and the Brazilian real.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2"/>
        </w:trPr>
        <w:tc>
          <w:tcPr>
            <w:tcW w:w="2360" w:type="dxa"/>
            <w:vAlign w:val="bottom"/>
            <w:tcBorders>
              <w:top w:val="single" w:sz="8" w:color="auto"/>
            </w:tcBorders>
          </w:tcPr>
          <w:p>
            <w:pPr>
              <w:spacing w:after="0"/>
              <w:rPr>
                <w:sz w:val="23"/>
                <w:szCs w:val="23"/>
                <w:color w:val="auto"/>
              </w:rPr>
            </w:pPr>
          </w:p>
        </w:tc>
        <w:tc>
          <w:tcPr>
            <w:tcW w:w="2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3"/>
                <w:szCs w:val="23"/>
                <w:color w:val="auto"/>
              </w:rPr>
            </w:pPr>
          </w:p>
        </w:tc>
        <w:tc>
          <w:tcPr>
            <w:tcW w:w="2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8"/>
              </w:rPr>
              <w:t>September 30,</w:t>
            </w:r>
          </w:p>
        </w:tc>
      </w:tr>
      <w:tr>
        <w:trPr>
          <w:trHeight w:val="223"/>
        </w:trPr>
        <w:tc>
          <w:tcPr>
            <w:tcW w:w="236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2025 compared to 2024</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$104 from the pass-through of higher material costs, higher volumes in European Beverage and favorable foreign currency translation of $34, partially offset by lower volumes in Americas Beverage, Asia Pacific and Transit Packaging.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2025 compared to 2024</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$318 from the pass-through of higher material costs, higher volumes in European Beverage and North America food can and favorable foreign currency translation of $26, partially offset by lower volumes in Asia Pacific and Transit Packaging.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2025, the Company announced it will add a new high-speed production line to its beverage can plant in Ponta Grossa, Brazil. The line is expected to commence commercial production in late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2025 compared to 2024</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compared to 2024, Net sales increased primarily due to $98 from the pass-through of higher aluminum costs, partially offset by 5% lower volumes.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decreased primarily due to lower volumes.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7" w:name="page28"/>
    <w:bookmarkEnd w:id="2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2025 compared to 2024</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compared to 2024, Net sales increased primarily due to $252 from the pass-through of higher aluminum costs, partially offset by unfavorable foreign currency translation of $22.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lower costs from continued operational improvements and improved customer mix.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0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2025 compared to 2024</w:t>
      </w:r>
    </w:p>
    <w:p>
      <w:pPr>
        <w:spacing w:after="0" w:line="2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compared to 2024, Net sales increased primarily due to higher volumes of 12% and 9% and favorable foreign currency translation of $21 and $32. For the nine months ended September 30, 2025, Net sales was also positively impacted $38 from the pass-through of higher aluminum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compared to 2024, segment income improved primarily due to higher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 In recent years, the Asia Pacific beverage can market has experienced some softness as the region struggles with the effects of higher inflation and interest rates.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Yangon, Myanmar beverage can plant was temporarily idled in 2022 due to currency restrictions, which resulted in the inability to source U.S. dollars required to procure U.S. dollar raw materials. The Company has operated the plant on a limited basis since 2023 and had net sales of $2 for the nine months ended September 30, 2025. In the third quarter of 2025, the Company recorded an asset impairment charge of $30 due to economic conditions and the impact to the Company's business in Myanmar.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Nine Months Ended</w:t>
            </w:r>
          </w:p>
        </w:tc>
        <w:tc>
          <w:tcPr>
            <w:tcW w:w="340" w:type="dxa"/>
            <w:vAlign w:val="bottom"/>
          </w:tcPr>
          <w:p>
            <w:pPr>
              <w:spacing w:after="0"/>
              <w:rPr>
                <w:sz w:val="19"/>
                <w:szCs w:val="19"/>
                <w:color w:val="auto"/>
              </w:rPr>
            </w:pPr>
          </w:p>
        </w:tc>
      </w:tr>
      <w:tr>
        <w:trPr>
          <w:trHeight w:val="234"/>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259</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794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853</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141</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147</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2025 compared to 2024</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8" w:name="page29"/>
    <w:bookmarkEnd w:id="28"/>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compared to 2024, Net sales decreased primarily due to lower volumes of 9% and 13%. For the nine months ended September 30, 2025, the decrease in Net sales was partially offset by $25 from the pass-through of higher aluminum costs.</w:t>
      </w:r>
    </w:p>
    <w:p>
      <w:pPr>
        <w:spacing w:after="0" w:line="203"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compared to 2024, segment income decreased primarily due to lower volumes partially offset by $3 and $11 of improved manufacturing performance, including savings realized as part of prior year restructuring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segment may be subject to direct and indirect effects from tariffs which may slow consumer and industrial activity, the impact of which cannot be reasonably predicted. The Company will continue to monitor these conditions, including potential actions to mitigate their impact. This economic uncertainty could affect projected future financial performance and may require a quantitative goodwill impairment test in the future to determine if an impairment charge is necessary.</w:t>
      </w:r>
    </w:p>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6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517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526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2025 compared to 2024</w:t>
      </w:r>
    </w:p>
    <w:p>
      <w:pPr>
        <w:spacing w:after="0" w:line="254"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For the three and nine months ended September 30, 2025 compared to 2024, Net sales decreased primarily due to $4 and $42 of lower equipment volumes and the pass-through of lower material costs of $8 and $30, partially offset by higher steel and plastic strap volumes.</w:t>
      </w:r>
    </w:p>
    <w:p>
      <w:pPr>
        <w:spacing w:after="0" w:line="16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compared to 2024, segment income was flat, as unfavorable product mix, driven by lower equipment volumes which have higher margins, was offset by improved cost performance of $7.</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compared to 2024, segment income decreased primarily due to unfavorable product mix, driven by lower equipment volumes, partially offset by improved cost performance of $16.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The Company added a pet food can line to its Dubuque, Iowa plant in 2024. During the second quarter of 2024, the Company closed its food can plant in La Villa, Mexico.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9" w:name="page30"/>
    <w:bookmarkEnd w:id="29"/>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351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2025 compared to 2024</w:t>
      </w: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compared to 2024, Net sales increased primarily due to $26 from the pass-through of higher tinplate costs.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2025 compared to 2024, segment income increased primarily due to increased profitability in the Company's North America food can, aerosol can and closures businesses due to lower costs from continued operational improvements and higher sales in the Company's beverage can equipment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2025 compared to 2024</w:t>
      </w: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compared to 2024, Net sales increased primarily due to 7% higher North America food can volumes and $33 from the pass-through of higher tinplate costs.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30, 2025 compared to 2024, segment income increased primarily due to increased profitability in the Company's North America food can, aerosol can and closures businesses due to $15 from higher volumes and improved customer mix, $9 lower costs from continued operational improvements and higher sales in the Company's beverage can equipment operations. Additionally, the nine months ended September 30, 2024, included a steel repricing loss of $8.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30,</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5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(126)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expenses were relatively flat for the three and nine months ended September 30, 2025 compared to 2024, primarily due to lower insurance costs, partially offset by higher employee compensation costs, including stock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restructuring and other net charges of $30 and $75, primarily related to asset impairment charges in Myanmar and China and end line rationalization in the Asia Pacific segment. For the nine months ended, the Company also recorded severance and other exit costs in the Transit Packaging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restructuring and other net gains of $13, included a $22 gain for the sale of food can equipment in Mexico. For the nine months ended September 30, 2024, restructuring and other net charges of $27, primarily included business reorganization activities in the Company's European Beverage and Other segments.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review its costs structure and may record additional restructuring charges in the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pension and postretirement</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30" w:name="page31"/>
    <w:bookmarkEnd w:id="30"/>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three and nine months ended September 30, 2024, Other pension and postretirement expense included settlement charges of $517 related to the transfer of portions of the Company's Canadian and primary U.S. defined benefit pension liabilities through the purchase of group annuity insurance contracts.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and interest income</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three and nine months ended September 30, 2025 compared to 2024, interest expense decreased from $119 to $101 and $344 to $303. During the same periods, interest income decreased from $24 to $13 and $60 to $40. The decrease in both interest expense and interest income was due to lower borrowings, cash balances, and interest rates.</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cross-currency swaps with an aggregate notional value of $875 that mature in February 2026. These swaps reduced interest expense by $19 for the nine months ended September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9"/>
                <w:szCs w:val="19"/>
                <w:color w:val="auto"/>
              </w:rPr>
            </w:pPr>
          </w:p>
        </w:tc>
        <w:tc>
          <w:tcPr>
            <w:tcW w:w="22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20"/>
                <w:szCs w:val="20"/>
                <w:color w:val="auto"/>
              </w:rPr>
            </w:pPr>
          </w:p>
        </w:tc>
        <w:tc>
          <w:tcPr>
            <w:tcW w:w="22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156"/>
        </w:trPr>
        <w:tc>
          <w:tcPr>
            <w:tcW w:w="41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 (loss) before taxes and equity in net earnings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affiliates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bl>
    <w:p>
      <w:pPr>
        <w:spacing w:after="0" w:line="29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September 30, 2025 compared to 2024, was primarily due to the tax benefit from the pension settlement charges taken during the third quarter of 2024.</w:t>
      </w:r>
    </w:p>
    <w:p>
      <w:pPr>
        <w:spacing w:after="0" w:line="19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decrease in the effective tax rate for the nine months ended September 30, 2025 compared to 2024, was primarily due to an income tax benefit of $22 in the first quarter of 2025 after an internal reorganization which resulted in the release of deferred tax liabilities related to the foreign currency impact of certain intercompany debt instruments that were designated as hedges of the Company's net investment in a euro-based subsidiary. During the nine months ended September 30, 2024 the Company recognized a $16 benefit related to the release of a valuation allowance resulting from improved profitability in a European subsidiary.</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does not currently expect OBBB to have a material impact on its financial results, including its annual estimated effective tax rate.</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Effective January 1, 2024, various jurisdictions in which the Company operates have enacted the Pillar II directive which establishes a global minimum corporate tax rate of 15% initiated by the Organisation for Economic Co-operation and Development ("OECD"). The Company does not currently expect Pillar II to have a material impact on its financial results, including its annual estimated effective tax rate or liquidity for 2025 based on currently enacted tax laws, however the Company continues to monitor its jurisdictions for any changes, including additional guidance from the OECD.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compared to 2024, net income attributable to noncontrolling interests decreased from $43 to $25 and $102 to $94 primarily due to lower earnings in the Company's beverage can operations in Brazil.</w:t>
      </w:r>
    </w:p>
    <w:p>
      <w:pPr>
        <w:spacing w:after="0" w:line="1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from operating activities increased from $897 for the nine months ended September 30, 2024 to $1,043 for the nine months ended September 30, 2025, primarily due to higher income from operations and lower pension contributions.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31" w:name="page32"/>
    <w:bookmarkEnd w:id="31"/>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was 29 days as of September 30, 2024 and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turnover decreased from 60 days at September 30, 2024 to 57 days at September 30,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outstanding for trade payables was 93 days at September 30, 2024 and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decreased from $208 for the nine months ended September 30, 2024 to $121 for the nine months ended September 30, 2025, primarily due to lower capital expenditures.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2025 to be approximately $400.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for financing activities increased from $260 for the nine months ended September 30, 2024 to $680 for the nine months ended September 30, 2025 primarily due to the repayment of $875 4.75% senior notes and $314 of common stock repurchases, partially offset by the issuance of $700 5.875% senior notes in 2025.</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the Company issued €600 principal amount of 4.50% senior unsecured notes due 2030 and used the proceeds to pay down the €600 principal amount of 2.625% senior unsecured notes due September 2024.</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$935 of the Company's $1,172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$446 was held by subsidiaries for which earnings are considered indefinitely reinvested.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September 30, 2025, the Company had available capacity of $1,621. The Company could have borrowed this amount at September 30, 2025 and still have been in compliance with its leverage ratio covenants.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2.4 to 1.0 at September 30, 2025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2" w:name="page33"/>
    <w:bookmarkEnd w:id="32"/>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will evaluate any such transactions in light of any required premiums and then existing market conditions and may or may not pursue such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sources of liquidity also include a securitization facility with a program limit up to a maximum of $800 that expires in July 2027 and securitization facilities with program limits of $230 and $160 that expire in November 2025.</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October 2025, the Company issued €500 principal amount of 3.75% senior unsecured notes due 2031 issued at par by its subsidiary Crown European Holdings S.A. and used the proceeds, together with cash on hand, to redeem the €500 principal amount of 2.875% senior unsecured notes due February 2026. Long-term debt payments due in the next twelve months include the Company's $400 4.25% senior notes due in September 2026. The Company expects to have sufficient liquidity to refinance the senior notes or repay them at maturity.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approximately $158 of capital commitments primarily related to Americas Beverage and European Beverage. The Company expects to fund these commitments primarily through cash flows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2024,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72"/>
        </w:trPr>
        <w:tc>
          <w:tcPr>
            <w:tcW w:w="2000" w:type="dxa"/>
            <w:vAlign w:val="bottom"/>
            <w:tcBorders>
              <w:top w:val="single" w:sz="8" w:color="auto"/>
            </w:tcBorders>
          </w:tcPr>
          <w:p>
            <w:pPr>
              <w:spacing w:after="0"/>
              <w:rPr>
                <w:sz w:val="23"/>
                <w:szCs w:val="23"/>
                <w:color w:val="auto"/>
              </w:rPr>
            </w:pPr>
          </w:p>
        </w:tc>
        <w:tc>
          <w:tcPr>
            <w:tcW w:w="2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0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202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4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20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4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 attributable to Crown Holdings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$47 of expense related to intercompany interest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3" w:name="page34"/>
    <w:bookmarkEnd w:id="33"/>
    <w:p>
      <w:pPr>
        <w:ind w:left="4144"/>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r>
    </w:tbl>
    <w:p>
      <w:pPr>
        <w:ind w:left="4" w:right="3220"/>
        <w:spacing w:after="0" w:line="586" w:lineRule="auto"/>
        <w:rPr>
          <w:sz w:val="20"/>
          <w:szCs w:val="20"/>
          <w:color w:val="auto"/>
        </w:rPr>
      </w:pPr>
      <w:r>
        <w:rPr>
          <w:rFonts w:ascii="Times New Roman" w:cs="Times New Roman" w:eastAsia="Times New Roman" w:hAnsi="Times New Roman"/>
          <w:sz w:val="14"/>
          <w:szCs w:val="14"/>
          <w:color w:val="auto"/>
        </w:rPr>
        <w:t xml:space="preserve">(1) Includes payables of $6,341 and $5,905 due to non-guarantor subsidiaries as of September 30, 2025 and December 31, 2024 </w:t>
      </w:r>
      <w:r>
        <w:rPr>
          <w:rFonts w:ascii="Times New Roman" w:cs="Times New Roman" w:eastAsia="Times New Roman" w:hAnsi="Times New Roman"/>
          <w:sz w:val="17"/>
          <w:szCs w:val="17"/>
          <w:i w:val="1"/>
          <w:iCs w:val="1"/>
          <w:u w:val="single" w:color="auto"/>
          <w:color w:val="auto"/>
        </w:rPr>
        <w:t>Crown Americas Obligor Group</w:t>
      </w:r>
    </w:p>
    <w:p>
      <w:pPr>
        <w:spacing w:after="0" w:line="3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23"/>
        </w:trPr>
        <w:tc>
          <w:tcPr>
            <w:tcW w:w="4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72" w:lineRule="exact"/>
        <w:rPr>
          <w:sz w:val="20"/>
          <w:szCs w:val="20"/>
          <w:color w:val="auto"/>
        </w:rPr>
      </w:pPr>
    </w:p>
    <w:p>
      <w:pPr>
        <w:ind w:left="204" w:hanging="204"/>
        <w:spacing w:after="0"/>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$333 of sales to non-guarantor subsidiaries</w:t>
      </w:r>
    </w:p>
    <w:p>
      <w:pPr>
        <w:spacing w:after="0" w:line="27"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 of gross profit related to sales to non-guarantor subsidiaries</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 of expense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4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30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r>
    </w:tbl>
    <w:p>
      <w:pPr>
        <w:ind w:left="204" w:hanging="204"/>
        <w:spacing w:after="0"/>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$45 and $32 due from non-guarantor subsidiaries as of September 30, 2025 and December 31, 2024</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$197 and $167 due from non-guarantor subsidiaries as of September 30, 2025 and December 31, 2024</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$16 and $20 due to non-guarantor subsidiaries as of September 30, 2025 and December 31, 2024</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$947 and $2,242 due to non-guarantor subsidiaries as of September 30, 2025 and December 31, 2024</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34"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2024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and commitments and contingencies in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to the consolidated financial statements included in this Quarterly Report on Form 10-Q,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-287655</wp:posOffset>
            </wp:positionV>
            <wp:extent cx="408876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88765" cy="12890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type w:val="continuous"/>
        </w:sectPr>
      </w:pPr>
    </w:p>
    <w:bookmarkStart w:id="34" w:name="page35"/>
    <w:bookmarkEnd w:id="3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also in Part I, Item 1, “Business” and Item 3, “Legal Proceedings” and in Part II, Item 7, “Management's Discussion and Analysis of Financial Condition and Results of Operations,” within the Company's Annual Report on Form 10-K for the year ended December 31, 2024, which are not historical facts (including any statements concerning the conflicts in the Middle East and the Russia-Ukraine war, objectives of management for share repurchases, dividends, future operations or economic performance, or assumptions related thereto, including the potential for higher interest rates, energy and raw material prices, including tariffs, retaliatory trade measures and further trade restrictions), are “forward-looking statements” within the meaning of the federal securities laws. In addition, the Company and its representatives may, from time to time, make oral or written statements which are also “forward-looking statements.”</w:t>
      </w:r>
    </w:p>
    <w:p>
      <w:pPr>
        <w:spacing w:after="0" w:line="21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207"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2024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tem 3.</w:t>
        <w:tab/>
        <w:t>Quantitative and Qualitative Disclosures About Market Risk</w:t>
      </w:r>
    </w:p>
    <w:p>
      <w:pPr>
        <w:spacing w:after="0" w:line="234"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2025, 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to the consolidated financial statements included in this Quarterly Report on Form 10-Q.</w:t>
      </w:r>
    </w:p>
    <w:p>
      <w:pPr>
        <w:spacing w:after="0" w:line="215"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$1.9 billion principal floating interest rate debt and $1.5 billion of securitization and factoring. A change of 0.25% in these floating interest rates would change annual interest expense by approximately $9 million before tax.</w:t>
      </w:r>
    </w:p>
    <w:p>
      <w:pPr>
        <w:spacing w:after="0" w:line="185"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35" w:name="page36"/>
    <w:bookmarkEnd w:id="35"/>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entitled “Asbestos-Related Liabilities” and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5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2024.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three months ended September 30, 2025.</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excludes 309 shares surrendered to cover taxes on the vesting of restricted stock during the three months ended September 30, 2025.</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Approximate dollar value of shares that</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1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Total number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 price</w:t>
            </w:r>
          </w:p>
        </w:tc>
        <w:tc>
          <w:tcPr>
            <w:tcW w:w="20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60" w:type="dxa"/>
            <w:vAlign w:val="bottom"/>
          </w:tcPr>
          <w:p>
            <w:pPr>
              <w:spacing w:after="0"/>
              <w:rPr>
                <w:sz w:val="15"/>
                <w:szCs w:val="15"/>
                <w:color w:val="auto"/>
              </w:rPr>
            </w:pPr>
          </w:p>
        </w:tc>
        <w:tc>
          <w:tcPr>
            <w:tcW w:w="30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may yet be purchased under the program</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publicly announced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as of the end of the period (millions of</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shares purchased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programs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4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660" w:hanging="4"/>
        <w:spacing w:after="0" w:line="266" w:lineRule="auto"/>
        <w:tabs>
          <w:tab w:leader="none" w:pos="9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nine months ended September 30, 2025.</w:t>
      </w:r>
    </w:p>
    <w:p>
      <w:pPr>
        <w:spacing w:after="0" w:line="248"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31" w:lineRule="exact"/>
        <w:rPr>
          <w:sz w:val="20"/>
          <w:szCs w:val="20"/>
          <w:color w:val="auto"/>
        </w:rPr>
      </w:pPr>
    </w:p>
    <w:p>
      <w:pPr>
        <w:jc w:val="both"/>
        <w:ind w:left="660" w:right="240"/>
        <w:spacing w:after="0" w:line="255"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97" w:lineRule="exact"/>
        <w:rPr>
          <w:sz w:val="20"/>
          <w:szCs w:val="20"/>
          <w:color w:val="auto"/>
        </w:rPr>
      </w:pPr>
    </w:p>
    <w:p>
      <w:pPr>
        <w:ind w:left="760" w:right="3320" w:hanging="741"/>
        <w:spacing w:after="0" w:line="266" w:lineRule="auto"/>
        <w:tabs>
          <w:tab w:leader="none" w:pos="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50">
        <w:r>
          <w:rPr>
            <w:rFonts w:ascii="Times New Roman" w:cs="Times New Roman" w:eastAsia="Times New Roman" w:hAnsi="Times New Roman"/>
            <w:sz w:val="18"/>
            <w:szCs w:val="18"/>
            <w:u w:val="single" w:color="auto"/>
            <w:color w:val="0000FF"/>
          </w:rPr>
          <w:t>Articles of Incorporation of Crown Holdings, Inc., as amended (incorporated by reference to</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Exhibit 3.a of the Registrant’s Annual Report on Form 10-K for the year ended December 31, 2004</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(File No. 000-50189))</w:t>
        </w:r>
      </w:hyperlink>
    </w:p>
    <w:p>
      <w:pPr>
        <w:spacing w:after="0" w:line="176" w:lineRule="exact"/>
        <w:rPr>
          <w:rFonts w:ascii="Times New Roman" w:cs="Times New Roman" w:eastAsia="Times New Roman" w:hAnsi="Times New Roman"/>
          <w:sz w:val="18"/>
          <w:szCs w:val="18"/>
          <w:u w:val="single" w:color="auto"/>
          <w:color w:val="0000FF"/>
        </w:rPr>
      </w:pPr>
    </w:p>
    <w:p>
      <w:pPr>
        <w:ind w:left="760" w:hanging="7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198" w:lineRule="exact"/>
        <w:rPr>
          <w:rFonts w:ascii="Times New Roman" w:cs="Times New Roman" w:eastAsia="Times New Roman" w:hAnsi="Times New Roman"/>
          <w:sz w:val="18"/>
          <w:szCs w:val="18"/>
          <w:u w:val="single" w:color="auto"/>
          <w:color w:val="0000FF"/>
        </w:rPr>
      </w:pPr>
    </w:p>
    <w:p>
      <w:pPr>
        <w:ind w:left="760" w:right="334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48" w:lineRule="exact"/>
        <w:rPr>
          <w:rFonts w:ascii="Times New Roman" w:cs="Times New Roman" w:eastAsia="Times New Roman" w:hAnsi="Times New Roman"/>
          <w:sz w:val="18"/>
          <w:szCs w:val="18"/>
          <w:u w:val="single" w:color="auto"/>
          <w:color w:val="0000FF"/>
        </w:rPr>
      </w:pPr>
    </w:p>
    <w:p>
      <w:pPr>
        <w:ind w:left="760" w:right="332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62" w:lineRule="exact"/>
        <w:rPr>
          <w:rFonts w:ascii="Times New Roman" w:cs="Times New Roman" w:eastAsia="Times New Roman" w:hAnsi="Times New Roman"/>
          <w:sz w:val="18"/>
          <w:szCs w:val="18"/>
          <w:u w:val="single" w:color="auto"/>
          <w:color w:val="0000FF"/>
        </w:rPr>
      </w:pPr>
    </w:p>
    <w:p>
      <w:pPr>
        <w:jc w:val="both"/>
        <w:ind w:left="760" w:right="3320" w:hanging="734"/>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66" w:lineRule="exact"/>
        <w:rPr>
          <w:rFonts w:ascii="Times New Roman" w:cs="Times New Roman" w:eastAsia="Times New Roman" w:hAnsi="Times New Roman"/>
          <w:sz w:val="18"/>
          <w:szCs w:val="18"/>
          <w:u w:val="single" w:color="auto"/>
          <w:color w:val="0000FF"/>
        </w:rPr>
      </w:pPr>
    </w:p>
    <w:p>
      <w:pPr>
        <w:jc w:val="both"/>
        <w:ind w:left="760" w:right="3320" w:hanging="734"/>
        <w:spacing w:after="0" w:line="254"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September 30, 2025 formatted in inline XBRL (eXtensible Business Reporting Language): (i) Consolidated Statements of Operations for the three and nine months ended September 30, 2025 and 2024, (ii) Consolidated Statements of Comprehensive Income for the three and nine months ended September 30, 2025 and 2024, (iii) Consolidated Balance Sheets as of September 30, 2025 and December 31, 2024, (iv) Consolidated Statements of Cash Flows for the nine months ended September 30, 2025 and 2024, (v) Consolidated Statements of Changes in Equity for the three and nine months ended September 30, 2025 and 2024 and (vi) Notes to Consolidated Financial Statements.</w:t>
      </w:r>
    </w:p>
    <w:p>
      <w:pPr>
        <w:spacing w:after="0" w:line="161" w:lineRule="exact"/>
        <w:rPr>
          <w:rFonts w:ascii="Times New Roman" w:cs="Times New Roman" w:eastAsia="Times New Roman" w:hAnsi="Times New Roman"/>
          <w:sz w:val="18"/>
          <w:szCs w:val="18"/>
          <w:u w:val="single" w:color="auto"/>
          <w:color w:val="0000FF"/>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tbl>
      <w:tblPr>
        <w:tblLayout w:type="fixed"/>
        <w:tblInd w:w="650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r>
      <w:tr>
        <w:trPr>
          <w:trHeight w:val="228"/>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440" w:type="dxa"/>
            <w:vAlign w:val="bottom"/>
          </w:tcPr>
          <w:p>
            <w:pPr>
              <w:spacing w:after="0"/>
              <w:rPr>
                <w:sz w:val="19"/>
                <w:szCs w:val="19"/>
                <w:color w:val="auto"/>
              </w:rPr>
            </w:pPr>
          </w:p>
        </w:tc>
      </w:tr>
      <w:tr>
        <w:trPr>
          <w:trHeight w:val="48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8"/>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189"/>
        </w:trPr>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 and</w:t>
            </w: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Accounting Officer</w:t>
            </w:r>
          </w:p>
        </w:tc>
      </w:tr>
    </w:tbl>
    <w:p>
      <w:pPr>
        <w:spacing w:after="0" w:line="346" w:lineRule="exact"/>
        <w:rPr>
          <w:rFonts w:ascii="Times New Roman" w:cs="Times New Roman" w:eastAsia="Times New Roman" w:hAnsi="Times New Roman"/>
          <w:sz w:val="18"/>
          <w:szCs w:val="18"/>
          <w:u w:val="single" w:color="auto"/>
          <w:color w:val="0000FF"/>
        </w:rPr>
      </w:pPr>
    </w:p>
    <w:p>
      <w:pPr>
        <w:ind w:left="660"/>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6"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September 30, 2025,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September 30, 2025, guarantors of the Company's $400 principal 4.25% senior notes due 2026, $500 principal 5.250% senior notes due 2030 and $700 principal 5.875% senior notes due 2033:</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38" w:name="page39"/>
    <w:bookmarkEnd w:id="38"/>
    <w:p>
      <w:pPr>
        <w:ind w:left="97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10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8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80" w:hanging="324"/>
        <w:spacing w:after="0" w:line="268" w:lineRule="auto"/>
        <w:tabs>
          <w:tab w:leader="none" w:pos="8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4" w:lineRule="auto"/>
        <w:tabs>
          <w:tab w:leader="none" w:pos="11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tbl>
      <w:tblPr>
        <w:tblLayout w:type="fixed"/>
        <w:tblInd w:w="4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30, 2025</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18"/>
        </w:trPr>
        <w:tc>
          <w:tcPr>
            <w:tcW w:w="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0920"/>
          </w:cols>
          <w:pgMar w:left="320" w:top="1133" w:right="6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42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40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400" w:hanging="324"/>
        <w:spacing w:after="0" w:line="268"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400" w:hanging="324"/>
        <w:spacing w:after="0" w:line="287" w:lineRule="auto"/>
        <w:tabs>
          <w:tab w:leader="none" w:pos="11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900" w:val="left"/>
          <w:tab w:leader="none" w:pos="6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6142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Kevin C. Clothier</w:t>
      </w:r>
    </w:p>
    <w:p>
      <w:pPr>
        <w:spacing w:after="0" w:line="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 and</w:t>
      </w:r>
    </w:p>
    <w:p>
      <w:pPr>
        <w:ind w:left="6400"/>
        <w:spacing w:after="0"/>
        <w:rPr>
          <w:sz w:val="20"/>
          <w:szCs w:val="20"/>
          <w:color w:val="auto"/>
        </w:rPr>
      </w:pPr>
      <w:r>
        <w:rPr>
          <w:rFonts w:ascii="Times New Roman" w:cs="Times New Roman" w:eastAsia="Times New Roman" w:hAnsi="Times New Roman"/>
          <w:sz w:val="18"/>
          <w:szCs w:val="18"/>
          <w:color w:val="auto"/>
        </w:rPr>
        <w:t>Interim Chief Accounting Officer</w:t>
      </w:r>
    </w:p>
    <w:p>
      <w:pPr>
        <w:sectPr>
          <w:pgSz w:w="11900" w:h="16838" w:orient="portrait"/>
          <w:cols w:equalWidth="0" w:num="1">
            <w:col w:w="11240"/>
          </w:cols>
          <w:pgMar w:left="320" w:top="89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70"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1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2025 (the “Report”), each of the undersigned officers certify, pursuant to 18 U.S.C. § 1350, as adopted pursuant to § 906 of the Sarbanes-Oxley Act of 2002, that:</w:t>
      </w:r>
    </w:p>
    <w:p>
      <w:pPr>
        <w:spacing w:after="0" w:line="200" w:lineRule="exact"/>
        <w:rPr>
          <w:sz w:val="20"/>
          <w:szCs w:val="20"/>
          <w:color w:val="auto"/>
        </w:rPr>
      </w:pPr>
    </w:p>
    <w:p>
      <w:pPr>
        <w:ind w:firstLine="8"/>
        <w:spacing w:after="0" w:line="285" w:lineRule="auto"/>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68" w:lineRule="exact"/>
        <w:rPr>
          <w:rFonts w:ascii="Arial" w:cs="Arial" w:eastAsia="Arial" w:hAnsi="Arial"/>
          <w:sz w:val="22"/>
          <w:szCs w:val="22"/>
          <w:color w:val="auto"/>
        </w:rPr>
      </w:pPr>
    </w:p>
    <w:p>
      <w:pPr>
        <w:ind w:firstLine="8"/>
        <w:spacing w:after="0" w:line="272" w:lineRule="auto"/>
        <w:tabs>
          <w:tab w:leader="none" w:pos="5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October 30, 2025</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Timothy J. Donahue</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Timothy J. Donahue</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tc>
      </w:tr>
      <w:tr>
        <w:trPr>
          <w:trHeight w:val="541"/>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October 30, 2025</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C. Clothier</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Kevin C. Clothier</w:t>
            </w:r>
          </w:p>
        </w:tc>
      </w:tr>
      <w:tr>
        <w:trPr>
          <w:trHeight w:val="216"/>
        </w:trPr>
        <w:tc>
          <w:tcPr>
            <w:tcW w:w="6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4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Senior Vice President and Chief Financial Officer and Interim Chief</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Accounting Officer</w:t>
            </w:r>
          </w:p>
        </w:tc>
      </w:tr>
    </w:tbl>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1"/>
    </w:lvl>
  </w:abstractNum>
  <w:abstractNum w:abstractNumId="3">
    <w:nsid w:val="109CF92E"/>
    <w:multiLevelType w:val="hybridMultilevel"/>
    <w:lvl w:ilvl="0">
      <w:lvlJc w:val="left"/>
      <w:lvlText w:val="%1."/>
      <w:numFmt w:val="upperLetter"/>
      <w:start w:val="6"/>
    </w:lvl>
  </w:abstractNum>
  <w:abstractNum w:abstractNumId="4">
    <w:nsid w:val="DED7263"/>
    <w:multiLevelType w:val="hybridMultilevel"/>
    <w:lvl w:ilvl="0">
      <w:lvlJc w:val="left"/>
      <w:lvlText w:val="%1."/>
      <w:numFmt w:val="upperLetter"/>
      <w:start w:val="7"/>
    </w:lvl>
  </w:abstractNum>
  <w:abstractNum w:abstractNumId="5">
    <w:nsid w:val="7FDCC233"/>
    <w:multiLevelType w:val="hybridMultilevel"/>
    <w:lvl w:ilvl="0">
      <w:lvlJc w:val="left"/>
      <w:lvlText w:val="%1."/>
      <w:numFmt w:val="upperLetter"/>
      <w:start w:val="8"/>
    </w:lvl>
  </w:abstractNum>
  <w:abstractNum w:abstractNumId="6">
    <w:nsid w:val="1BEFD79F"/>
    <w:multiLevelType w:val="hybridMultilevel"/>
    <w:lvl w:ilvl="0">
      <w:lvlJc w:val="left"/>
      <w:lvlText w:val="%1."/>
      <w:numFmt w:val="upperLetter"/>
      <w:start w:val="9"/>
    </w:lvl>
  </w:abstractNum>
  <w:abstractNum w:abstractNumId="7">
    <w:nsid w:val="41A7C4C9"/>
    <w:multiLevelType w:val="hybridMultilevel"/>
    <w:lvl w:ilvl="0">
      <w:lvlJc w:val="left"/>
      <w:lvlText w:val="%1."/>
      <w:numFmt w:val="upperLetter"/>
      <w:start w:val="10"/>
    </w:lvl>
  </w:abstractNum>
  <w:abstractNum w:abstractNumId="8">
    <w:nsid w:val="6B68079A"/>
    <w:multiLevelType w:val="hybridMultilevel"/>
    <w:lvl w:ilvl="0">
      <w:lvlJc w:val="left"/>
      <w:lvlText w:val="%1."/>
      <w:numFmt w:val="upperLetter"/>
      <w:start w:val="11"/>
    </w:lvl>
  </w:abstractNum>
  <w:abstractNum w:abstractNumId="9">
    <w:nsid w:val="4E6AFB66"/>
    <w:multiLevelType w:val="hybridMultilevel"/>
    <w:lvl w:ilvl="0">
      <w:lvlJc w:val="left"/>
      <w:lvlText w:val="%1."/>
      <w:numFmt w:val="upperLetter"/>
      <w:start w:val="13"/>
    </w:lvl>
  </w:abstractNum>
  <w:abstractNum w:abstractNumId="10">
    <w:nsid w:val="25E45D32"/>
    <w:multiLevelType w:val="hybridMultilevel"/>
    <w:lvl w:ilvl="0">
      <w:lvlJc w:val="left"/>
      <w:lvlText w:val="%1."/>
      <w:numFmt w:val="upperLetter"/>
      <w:start w:val="14"/>
    </w:lvl>
  </w:abstractNum>
  <w:abstractNum w:abstractNumId="11">
    <w:nsid w:val="519B500D"/>
    <w:multiLevelType w:val="hybridMultilevel"/>
    <w:lvl w:ilvl="0">
      <w:lvlJc w:val="left"/>
      <w:lvlText w:val="%1."/>
      <w:numFmt w:val="upperLetter"/>
      <w:start w:val="15"/>
    </w:lvl>
  </w:abstractNum>
  <w:abstractNum w:abstractNumId="12">
    <w:nsid w:val="431BD7B7"/>
    <w:multiLevelType w:val="hybridMultilevel"/>
    <w:lvl w:ilvl="0">
      <w:lvlJc w:val="left"/>
      <w:lvlText w:val="%1."/>
      <w:numFmt w:val="upperLetter"/>
      <w:start w:val="17"/>
    </w:lvl>
  </w:abstractNum>
  <w:abstractNum w:abstractNumId="13">
    <w:nsid w:val="3F2DBA31"/>
    <w:multiLevelType w:val="hybridMultilevel"/>
    <w:lvl w:ilvl="0">
      <w:lvlJc w:val="left"/>
      <w:lvlText w:val="%1."/>
      <w:numFmt w:val="upperLetter"/>
      <w:start w:val="18"/>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2"/>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0" Type="http://schemas.openxmlformats.org/officeDocument/2006/relationships/hyperlink" Target="https://www.sec.gov/Archives/edgar/data/1219601/000121960105000069/ex3a2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2025-10-30T13:48:31Z</dcterms:created>
  <dcterms:modified xsi:type="dcterms:W3CDTF">2025-10-30T13:48:31Z</dcterms:modified>
</cp:coreProperties>
</file>