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Gavin Gary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President - Americas Division</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07/01/2025</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1,216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26,216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1,216 shares of Restricted Common Stock under the 2022 Stock-Based Compensation Plan. 463 time-vested restricted shares vest over a three year period as follows:</w:t>
      </w:r>
    </w:p>
    <w:p>
      <w:pPr>
        <w:spacing w:after="0" w:line="11" w:lineRule="exact"/>
        <w:rPr>
          <w:rFonts w:ascii="Times New Roman" w:cs="Times New Roman" w:eastAsia="Times New Roman" w:hAnsi="Times New Roman"/>
          <w:sz w:val="13"/>
          <w:szCs w:val="13"/>
          <w:color w:val="008000"/>
        </w:rPr>
      </w:pPr>
    </w:p>
    <w:p>
      <w:pPr>
        <w:ind w:left="40" w:right="200" w:firstLine="7"/>
        <w:spacing w:after="0" w:line="235" w:lineRule="auto"/>
        <w:tabs>
          <w:tab w:leader="none" w:pos="2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time-vested restricted shares on August 3, 2026 and 154 time-vested restricted shares on January 4, 2027 and January 3, 2028, respectively. 286 performance-based restricted shares are targeted to vest on January 3, 2028 based on the Company's Total Shareholder Return versus a defined peer group of companies, with the final number of performance-based vested shares varying from 0 to 200% of</w:t>
      </w:r>
    </w:p>
    <w:p>
      <w:pPr>
        <w:ind w:left="40" w:right="140" w:firstLine="7"/>
        <w:spacing w:after="0" w:line="250" w:lineRule="auto"/>
        <w:tabs>
          <w:tab w:leader="none" w:pos="306"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467 performance-based restricted shares are targeted to vest on January 3, 2028 based on the Return on Invested Capital achieved by the Company compared to the ROIC target, with the final number of performance-based vested shares varying from 0 to 467.</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07/03/2025</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55"/>
    </w:lvl>
  </w:abstractNum>
  <w:abstractNum w:abstractNumId="2">
    <w:nsid w:val="2AE8944A"/>
    <w:multiLevelType w:val="hybridMultilevel"/>
    <w:lvl w:ilvl="0">
      <w:lvlJc w:val="left"/>
      <w:lvlText w:val="%1."/>
      <w:numFmt w:val="decimal"/>
      <w:start w:val="28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5151"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2025-07-03T09:54:48Z</dcterms:created>
  <dcterms:modified xsi:type="dcterms:W3CDTF">2025-07-03T09:54:48Z</dcterms:modified>
</cp:coreProperties>
</file>