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2024</w:t>
      </w:r>
    </w:p>
    <w:p>
      <w:pPr>
        <w:spacing w:after="0" w:line="29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Commission File Number 001-41550</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200" w:right="4119"/>
        <w:spacing w:after="0" w:line="28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204" w:lineRule="exact"/>
        <w:rPr>
          <w:rFonts w:ascii="Times New Roman" w:cs="Times New Roman" w:eastAsia="Times New Roman" w:hAnsi="Times New Roman"/>
          <w:sz w:val="22"/>
          <w:szCs w:val="22"/>
          <w:b w:val="1"/>
          <w:bCs w:val="1"/>
          <w:color w:val="auto"/>
        </w:rPr>
      </w:pPr>
    </w:p>
    <w:p>
      <w:pPr>
        <w:ind w:left="2200" w:right="2079" w:hanging="457"/>
        <w:spacing w:after="0" w:line="287"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14025 Riveredge Drive, Suite 300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Tampa, FL 33637-2015</w:t>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80" w:type="dxa"/>
        <w:tblCellMar>
          <w:top w:w="0" w:type="dxa"/>
          <w:left w:w="0" w:type="dxa"/>
          <w:bottom w:w="0" w:type="dxa"/>
          <w:right w:w="0" w:type="dxa"/>
        </w:tblCellMar>
      </w:tblPr>
      <w:tr>
        <w:trPr>
          <w:trHeight w:val="258"/>
        </w:trPr>
        <w:tc>
          <w:tcPr>
            <w:tcW w:w="7620" w:type="dxa"/>
            <w:vAlign w:val="bottom"/>
          </w:tcPr>
          <w:p>
            <w:pPr>
              <w:spacing w:after="0"/>
              <w:rPr>
                <w:sz w:val="22"/>
                <w:szCs w:val="22"/>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3"/>
              </w:rPr>
              <w:t>Page(s)</w:t>
            </w:r>
          </w:p>
        </w:tc>
        <w:tc>
          <w:tcPr>
            <w:tcW w:w="0" w:type="dxa"/>
            <w:vAlign w:val="bottom"/>
          </w:tcPr>
          <w:p>
            <w:pPr>
              <w:spacing w:after="0"/>
              <w:rPr>
                <w:sz w:val="1"/>
                <w:szCs w:val="1"/>
                <w:color w:val="auto"/>
              </w:rPr>
            </w:pPr>
          </w:p>
        </w:tc>
      </w:tr>
      <w:tr>
        <w:trPr>
          <w:trHeight w:val="54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54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2024 and 2023</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2</w:t>
            </w:r>
          </w:p>
        </w:tc>
        <w:tc>
          <w:tcPr>
            <w:tcW w:w="0" w:type="dxa"/>
            <w:vAlign w:val="bottom"/>
          </w:tcPr>
          <w:p>
            <w:pPr>
              <w:spacing w:after="0"/>
              <w:rPr>
                <w:sz w:val="1"/>
                <w:szCs w:val="1"/>
                <w:color w:val="auto"/>
              </w:rPr>
            </w:pPr>
          </w:p>
        </w:tc>
      </w:tr>
      <w:tr>
        <w:trPr>
          <w:trHeight w:val="498"/>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w:t>
            </w:r>
          </w:p>
        </w:tc>
        <w:tc>
          <w:tcPr>
            <w:tcW w:w="1140" w:type="dxa"/>
            <w:vAlign w:val="bottom"/>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58"/>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December 31, 2024 and 2023</w:t>
            </w: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6"/>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7"/>
              </w:rPr>
              <w:t>4-9</w:t>
            </w:r>
          </w:p>
        </w:tc>
        <w:tc>
          <w:tcPr>
            <w:tcW w:w="0" w:type="dxa"/>
            <w:vAlign w:val="bottom"/>
          </w:tcPr>
          <w:p>
            <w:pPr>
              <w:spacing w:after="0"/>
              <w:rPr>
                <w:sz w:val="1"/>
                <w:szCs w:val="1"/>
                <w:color w:val="auto"/>
              </w:rPr>
            </w:pPr>
          </w:p>
        </w:tc>
      </w:tr>
      <w:tr>
        <w:trPr>
          <w:trHeight w:val="54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114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Exhibit Index</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89"/>
              </w:rPr>
              <w:t>11</w:t>
            </w:r>
          </w:p>
        </w:tc>
        <w:tc>
          <w:tcPr>
            <w:tcW w:w="0" w:type="dxa"/>
            <w:vAlign w:val="bottom"/>
          </w:tcPr>
          <w:p>
            <w:pPr>
              <w:spacing w:after="0"/>
              <w:rPr>
                <w:sz w:val="1"/>
                <w:szCs w:val="1"/>
                <w:color w:val="auto"/>
              </w:rPr>
            </w:pPr>
          </w:p>
        </w:tc>
      </w:tr>
      <w:tr>
        <w:trPr>
          <w:trHeight w:val="540"/>
        </w:trPr>
        <w:tc>
          <w:tcPr>
            <w:tcW w:w="76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Signature</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8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67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of Crown Cork &amp; Seal Company, Inc. Retirement Thrift Plan and Members of the Benefit Plans Committee: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Crown Cork &amp; Seal Company, Inc. Retirement Thrift Plan (the “Plan”) as of December 31, 2024 and 2023, and the related statements of changes in net assets available for benefits for each of the two years in the period ended December 31, 2024, and the related notes and schedule (collectively referred to as the “financial statements”). In our opinion, the financial statements present fairly, in all material respects, the net assets available for benefits of the Plan as of December 31, 2024 and 2023, and the changes in net assets available for benefits for each of the two years in the period ended December 31, 2024, in conformity with accounting principles generally accepted in the United States of America.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Crown Cork &amp; Seal Company, Inc. Retirement Thrift Plan since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78" w:right="339"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5,644,224</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8,306,654</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232,538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1,032,339</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673,431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1,030,415</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11,003,088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9,814,681</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194,768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155,109</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7,025,189</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3,807,976</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6,853,845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7,504,457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Russell 1000 Growth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2,642,125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2,363,880</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Cash Reserve Federal Money Market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187,854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167,809</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726,016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846,976</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4,695,375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5,413,046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8,382,810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7,036,012</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6,242,809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5,800,662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5,557,055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5,199,932</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3,679,785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3,144,460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5,068,226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4,407,342</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2,674,239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2,363,510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2,584,041</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2,620,217</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1,076,011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726,556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2070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49,623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27,399</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3,580,273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4,091,958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Total Bond Market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6,287,463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56,406,937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47,114,553</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Wellington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8,265,688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10,924,815</w:t>
            </w:r>
          </w:p>
        </w:tc>
      </w:tr>
      <w:tr>
        <w:trPr>
          <w:trHeight w:val="257"/>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Vanguard Windsor II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3,126,322</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2,800,495</w:t>
            </w:r>
          </w:p>
        </w:tc>
      </w:tr>
      <w:tr>
        <w:trPr>
          <w:trHeight w:val="250"/>
        </w:trPr>
        <w:tc>
          <w:tcPr>
            <w:tcW w:w="6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152,859,735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136,701,253</w:t>
            </w:r>
          </w:p>
        </w:tc>
      </w:tr>
      <w:tr>
        <w:trPr>
          <w:trHeight w:val="256"/>
        </w:trPr>
        <w:tc>
          <w:tcPr>
            <w:tcW w:w="6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18,643,886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23,549,248</w:t>
            </w:r>
          </w:p>
        </w:tc>
      </w:tr>
      <w:tr>
        <w:trPr>
          <w:trHeight w:val="25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4,154,160</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5,443,353</w:t>
            </w:r>
          </w:p>
        </w:tc>
      </w:tr>
      <w:tr>
        <w:trPr>
          <w:trHeight w:val="250"/>
        </w:trPr>
        <w:tc>
          <w:tcPr>
            <w:tcW w:w="6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175,657,781</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165,693,854</w:t>
            </w:r>
          </w:p>
        </w:tc>
      </w:tr>
      <w:tr>
        <w:trPr>
          <w:trHeight w:val="142"/>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3,670,209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3,583,864</w:t>
            </w: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649,544</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764,324</w:t>
            </w:r>
          </w:p>
        </w:tc>
      </w:tr>
      <w:tr>
        <w:trPr>
          <w:trHeight w:val="250"/>
        </w:trPr>
        <w:tc>
          <w:tcPr>
            <w:tcW w:w="6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4,319,753</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4,348,188</w:t>
            </w:r>
          </w:p>
        </w:tc>
      </w:tr>
      <w:tr>
        <w:trPr>
          <w:trHeight w:val="142"/>
        </w:trPr>
        <w:tc>
          <w:tcPr>
            <w:tcW w:w="6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56"/>
        </w:trPr>
        <w:tc>
          <w:tcPr>
            <w:tcW w:w="600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179,977,534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170,042,042</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250"/>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179,977,534</w:t>
            </w:r>
          </w:p>
        </w:tc>
        <w:tc>
          <w:tcPr>
            <w:tcW w:w="130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170,042,042</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ectPr>
          <w:pgSz w:w="11900" w:h="16838" w:orient="portrait"/>
          <w:cols w:equalWidth="0" w:num="1">
            <w:col w:w="10580"/>
          </w:cols>
          <w:pgMar w:left="580" w:top="918" w:right="7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0"/>
          </w:cols>
          <w:pgMar w:left="580" w:top="918" w:right="7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18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5,511,256</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3,942,858</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16,133,498</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19,635,366</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21,644,754</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23,578,224</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288,516</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220,556</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Employer</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2,319,834</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2,484,868</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Participant</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8,611,505</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7,946,236</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10,931,339</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10,431,104</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12,552</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25,801</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32,877,161</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34,255,685</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22,129,465</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12,228,225</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185,300</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198,781</w:t>
            </w: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deductions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17,615</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22,316,300</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12,444,621</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10,560,861</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21,811,064</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from Crown Cork &amp; Seal Company Inc. 401(k)</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2,946</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110,950</w:t>
            </w:r>
          </w:p>
        </w:tc>
        <w:tc>
          <w:tcPr>
            <w:tcW w:w="0" w:type="dxa"/>
            <w:vAlign w:val="bottom"/>
          </w:tcPr>
          <w:p>
            <w:pPr>
              <w:spacing w:after="0"/>
              <w:rPr>
                <w:sz w:val="1"/>
                <w:szCs w:val="1"/>
                <w:color w:val="auto"/>
              </w:rPr>
            </w:pPr>
          </w:p>
        </w:tc>
      </w:tr>
      <w:tr>
        <w:trPr>
          <w:trHeight w:val="252"/>
        </w:trPr>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Retirement Savings Plan</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to Crown Cork &amp; Seal Company Inc. 401(k)</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(628,315)</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(522,521)</w:t>
            </w:r>
          </w:p>
        </w:tc>
        <w:tc>
          <w:tcPr>
            <w:tcW w:w="0" w:type="dxa"/>
            <w:vAlign w:val="bottom"/>
          </w:tcPr>
          <w:p>
            <w:pPr>
              <w:spacing w:after="0"/>
              <w:rPr>
                <w:sz w:val="1"/>
                <w:szCs w:val="1"/>
                <w:color w:val="auto"/>
              </w:rPr>
            </w:pPr>
          </w:p>
        </w:tc>
      </w:tr>
      <w:tr>
        <w:trPr>
          <w:trHeight w:val="252"/>
        </w:trPr>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Retirement Savings Plan</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Beginning of year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170,042,042</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148,642,549</w:t>
            </w:r>
          </w:p>
        </w:tc>
        <w:tc>
          <w:tcPr>
            <w:tcW w:w="0" w:type="dxa"/>
            <w:vAlign w:val="bottom"/>
          </w:tcPr>
          <w:p>
            <w:pPr>
              <w:spacing w:after="0"/>
              <w:rPr>
                <w:sz w:val="1"/>
                <w:szCs w:val="1"/>
                <w:color w:val="auto"/>
              </w:rPr>
            </w:pPr>
          </w:p>
        </w:tc>
      </w:tr>
      <w:tr>
        <w:trPr>
          <w:trHeight w:val="275"/>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179,977,534</w:t>
            </w:r>
          </w:p>
        </w:tc>
        <w:tc>
          <w:tcPr>
            <w:tcW w:w="1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170,042,042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380"/>
          </w:cols>
          <w:pgMar w:left="760" w:top="91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80"/>
          </w:cols>
          <w:pgMar w:left="760" w:top="918" w:right="7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description of the Crown Cork &amp; Seal Company, Inc. Retirement Thrift Plan (the "Plan") provides only general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 for a more complete description of the Plan's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Employees are automatically enrolled on the first of the month following 30 days of service with a before-tax contribution rate of 6% unless they affirmatively elect not to participate in the Plan or elect to contribute at a different rate. The Plan is subject to the provisions of the Employee Retirement Income Security Act of 1974 (“ERISA”).</w:t>
      </w:r>
    </w:p>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 During 2024, the automatic cash out limit was increased to $7,000 in accordance with SECURE 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 allows before-tax and Roth participant contributions of 2% to 75% of eligible compensation. The Plan also allows after-tax participant contributions of 1% to 10% of eligible compensation. Catch-up contributions are permitted by the Plan. Participants direct the investment of their contributions into various investment options offered by the Plan. Company contributions, where applicable, are invested in accordance with participant investment directions. Before-tax and Roth contributions may be matched by the Company at various rates as determined by the employer company, as defined in the Plan document. In addition, certain participants receive profit sharing contributions, some of which are discretionary, from the Company at varying rates as determined by the employer company, as defined in the Plan document. Discretionary contributions in 2024 and 2023 totaled $649,544 and $764,324, respectively. Contribution amounts are subject to certain Internal Revenue Service (“IRS”) limitations.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Participants may borrow from their account a minimum of $1,000 up to a maximum of the lesser of $50,000 or 50% of their vested account balance.</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2024 and 2023 range from 4.25% to 9.50%. Principal and interest are paid ratably through monthly payroll deductions.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If the vested interest is $7,000 or less at the time of termination, a participant will be cashed out. An active employee may take an in-service withdrawal if he or she has attained age 59.5 or if other criteria are met as defined in the Plan document. All distributions are paid in either cash or Company stock at the participant’s election.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9"/>
          <w:szCs w:val="19"/>
          <w:color w:val="auto"/>
        </w:rPr>
        <w:t>When certain terminations of participation in the Plan occur, the non-vested portion of the participant’s account, as defined, represents a forfeiture. Total unallocated forfeitures, which will be used to reduce future Company contributions, were $12 and $24 at December 31, 2024</w:t>
      </w:r>
    </w:p>
    <w:p>
      <w:pPr>
        <w:spacing w:after="0"/>
        <w:rPr>
          <w:sz w:val="20"/>
          <w:szCs w:val="20"/>
          <w:color w:val="auto"/>
        </w:rPr>
      </w:pPr>
      <w:r>
        <w:rPr>
          <w:rFonts w:ascii="Times New Roman" w:cs="Times New Roman" w:eastAsia="Times New Roman" w:hAnsi="Times New Roman"/>
          <w:sz w:val="20"/>
          <w:szCs w:val="20"/>
          <w:color w:val="auto"/>
        </w:rPr>
        <w:t>and 2023, respectively. Forfeitures used to offset Company contributions in 2024 and 2023 totaled $163,606 and $105,298,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Transfers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 participant's balance may be transferred to or from the Crown Cork &amp; Seal Company, Inc. 401(k) Retirement Savings Plan due to an employee's eligibility changing as a result of a promotion or relocation.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ectPr>
          <w:pgSz w:w="11900" w:h="16838" w:orient="portrait"/>
          <w:cols w:equalWidth="0" w:num="1">
            <w:col w:w="11240"/>
          </w:cols>
          <w:pgMar w:left="320" w:top="880" w:right="3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Plan’s investments are reported at fair value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8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Recordkeeping expenses, investment advisory fees, and miscellaneous administrative fees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87"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7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41"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66"/>
        </w:trPr>
        <w:tc>
          <w:tcPr>
            <w:tcW w:w="45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9"/>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2024</w:t>
            </w:r>
          </w:p>
        </w:tc>
        <w:tc>
          <w:tcPr>
            <w:tcW w:w="1260" w:type="dxa"/>
            <w:vAlign w:val="bottom"/>
            <w:tcBorders>
              <w:bottom w:val="single" w:sz="8" w:color="auto"/>
            </w:tcBorders>
          </w:tcPr>
          <w:p>
            <w:pPr>
              <w:spacing w:after="0"/>
              <w:rPr>
                <w:sz w:val="23"/>
                <w:szCs w:val="23"/>
                <w:color w:val="auto"/>
              </w:rPr>
            </w:pPr>
          </w:p>
        </w:tc>
      </w:tr>
      <w:tr>
        <w:trPr>
          <w:trHeight w:val="254"/>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80" w:type="dxa"/>
            <w:vAlign w:val="bottom"/>
          </w:tcPr>
          <w:p>
            <w:pPr>
              <w:spacing w:after="0"/>
              <w:rPr>
                <w:sz w:val="22"/>
                <w:szCs w:val="22"/>
                <w:color w:val="auto"/>
              </w:rPr>
            </w:pPr>
          </w:p>
        </w:tc>
        <w:tc>
          <w:tcPr>
            <w:tcW w:w="12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5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152,859,735</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152,859,735</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4,154,160</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4,154,160</w:t>
            </w:r>
          </w:p>
        </w:tc>
      </w:tr>
      <w:tr>
        <w:trPr>
          <w:trHeight w:val="196"/>
        </w:trPr>
        <w:tc>
          <w:tcPr>
            <w:tcW w:w="45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16"/>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157,013,895</w:t>
            </w: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157,013,895</w:t>
            </w:r>
          </w:p>
        </w:tc>
      </w:tr>
      <w:tr>
        <w:trPr>
          <w:trHeight w:val="204"/>
        </w:trPr>
        <w:tc>
          <w:tcPr>
            <w:tcW w:w="45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5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18,643,886</w:t>
            </w:r>
          </w:p>
        </w:tc>
      </w:tr>
      <w:tr>
        <w:trPr>
          <w:trHeight w:val="257"/>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2"/>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175,657,781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66"/>
        </w:trPr>
        <w:tc>
          <w:tcPr>
            <w:tcW w:w="45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9"/>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2023</w:t>
            </w:r>
          </w:p>
        </w:tc>
        <w:tc>
          <w:tcPr>
            <w:tcW w:w="1260" w:type="dxa"/>
            <w:vAlign w:val="bottom"/>
            <w:tcBorders>
              <w:bottom w:val="single" w:sz="8" w:color="auto"/>
            </w:tcBorders>
          </w:tcPr>
          <w:p>
            <w:pPr>
              <w:spacing w:after="0"/>
              <w:rPr>
                <w:sz w:val="23"/>
                <w:szCs w:val="23"/>
                <w:color w:val="auto"/>
              </w:rPr>
            </w:pPr>
          </w:p>
        </w:tc>
      </w:tr>
      <w:tr>
        <w:trPr>
          <w:trHeight w:val="254"/>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80" w:type="dxa"/>
            <w:vAlign w:val="bottom"/>
          </w:tcPr>
          <w:p>
            <w:pPr>
              <w:spacing w:after="0"/>
              <w:rPr>
                <w:sz w:val="22"/>
                <w:szCs w:val="22"/>
                <w:color w:val="auto"/>
              </w:rPr>
            </w:pPr>
          </w:p>
        </w:tc>
        <w:tc>
          <w:tcPr>
            <w:tcW w:w="12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5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r>
      <w:tr>
        <w:trPr>
          <w:trHeight w:val="256"/>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136,701,253</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136,701,253</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5,443,353</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5,443,353</w:t>
            </w:r>
          </w:p>
        </w:tc>
      </w:tr>
      <w:tr>
        <w:trPr>
          <w:trHeight w:val="236"/>
        </w:trPr>
        <w:tc>
          <w:tcPr>
            <w:tcW w:w="45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17"/>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142,144,606</w:t>
            </w: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142,144,606</w:t>
            </w:r>
          </w:p>
        </w:tc>
      </w:tr>
      <w:tr>
        <w:trPr>
          <w:trHeight w:val="203"/>
        </w:trPr>
        <w:tc>
          <w:tcPr>
            <w:tcW w:w="45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23,549,248</w:t>
            </w:r>
          </w:p>
        </w:tc>
      </w:tr>
      <w:tr>
        <w:trPr>
          <w:trHeight w:val="256"/>
        </w:trPr>
        <w:tc>
          <w:tcPr>
            <w:tcW w:w="4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2"/>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165,693,854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980" w:hanging="324"/>
        <w:spacing w:after="0" w:line="26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amounts presented in this table are intended to permit reconciliation of the fair value hierarchy to the line items presented in the Statements of Net Assets Available for Benefits.</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2024 and 2023.</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represents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fair value of the Company's common stock fund is measured at the closing price reported on the active market on which the security held by the fund is traded.</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Vanguard Retirement Savings Trust III is a collective trust fund that is valued at the NAV of the units of the collective trust fund held by the Plan at year end times the respective unit value. The NAV, as provided by the trustee, is used as a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 The collective trust fund invests solely in the Vanguard Retirement Savings Master Trust (the “VRST Master Trust”) and is allocated net investment income based on its ownership percentage in the master trust. The underlying investments of the VRST Master Trust are primarily in a pool of investment contracts that are issued by insurance companies and commercial banks and in contracts that are backed by bond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2024 and 2023. There are no participant redemption restrictions for these investments; the redemption notice period is applicable only to the Plan.</w:t>
      </w:r>
    </w:p>
    <w:p>
      <w:pPr>
        <w:spacing w:after="0" w:line="339" w:lineRule="exact"/>
        <w:rPr>
          <w:sz w:val="20"/>
          <w:szCs w:val="20"/>
          <w:color w:val="auto"/>
        </w:rPr>
      </w:pPr>
    </w:p>
    <w:tbl>
      <w:tblPr>
        <w:tblLayout w:type="fixed"/>
        <w:tblInd w:w="240" w:type="dxa"/>
        <w:tblCellMar>
          <w:top w:w="0" w:type="dxa"/>
          <w:left w:w="0" w:type="dxa"/>
          <w:bottom w:w="0" w:type="dxa"/>
          <w:right w:w="0" w:type="dxa"/>
        </w:tblCellMar>
      </w:tblPr>
      <w:tr>
        <w:trPr>
          <w:trHeight w:val="266"/>
        </w:trPr>
        <w:tc>
          <w:tcPr>
            <w:tcW w:w="4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0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6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8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Redemption Notice</w:t>
            </w:r>
          </w:p>
        </w:tc>
        <w:tc>
          <w:tcPr>
            <w:tcW w:w="0" w:type="dxa"/>
            <w:vAlign w:val="bottom"/>
          </w:tcPr>
          <w:p>
            <w:pPr>
              <w:spacing w:after="0"/>
              <w:rPr>
                <w:sz w:val="1"/>
                <w:szCs w:val="1"/>
                <w:color w:val="auto"/>
              </w:rPr>
            </w:pPr>
          </w:p>
        </w:tc>
      </w:tr>
      <w:tr>
        <w:trPr>
          <w:trHeight w:val="256"/>
        </w:trPr>
        <w:tc>
          <w:tcPr>
            <w:tcW w:w="4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6"/>
              </w:rPr>
              <w:t>Frequency</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18,643,886</w:t>
            </w:r>
          </w:p>
        </w:tc>
        <w:tc>
          <w:tcPr>
            <w:tcW w:w="16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4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4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0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62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8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Redemption Notice</w:t>
            </w:r>
          </w:p>
        </w:tc>
        <w:tc>
          <w:tcPr>
            <w:tcW w:w="0" w:type="dxa"/>
            <w:vAlign w:val="bottom"/>
          </w:tcPr>
          <w:p>
            <w:pPr>
              <w:spacing w:after="0"/>
              <w:rPr>
                <w:sz w:val="1"/>
                <w:szCs w:val="1"/>
                <w:color w:val="auto"/>
              </w:rPr>
            </w:pPr>
          </w:p>
        </w:tc>
      </w:tr>
      <w:tr>
        <w:trPr>
          <w:trHeight w:val="256"/>
        </w:trPr>
        <w:tc>
          <w:tcPr>
            <w:tcW w:w="4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6"/>
              </w:rPr>
              <w:t>Frequency</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23,549,248</w:t>
            </w:r>
          </w:p>
        </w:tc>
        <w:tc>
          <w:tcPr>
            <w:tcW w:w="16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4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Plan assets managed by affiliates of VFTC were $153,755,573 and $139,911,303 as of December 31, 2024 and 2023, respectively. Transactions in these investments qualify as party-in-interest transactions and are exempt from the prohibited transaction rules.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participants also invest in shares of the Company’s common stock through the Crown Holdings, Inc. Stock Fund. The Company’s common stock fund held 50,238 and 59,109 shares of Crown Holdings, Inc. common stock representing 3.2% of Plan assets as of December 31, 2024 and 2023. For the years ended December 31, 2024 and 2023, the Company common stock fund had purchases of $263,911 and $363,182, respectively, and sales of $1,017,624 and $385,432, respectively. Dividend income from the Company’s common stock fund totaled $54,351 and $56,235 for the years ended December 31, 2024 and 2023, respectively. The Plan also issues loans to participants, which are secured by the balances in the respective participant accounts. Transactions in such investments and notes receivable from participants qualify as party-in-interest transactions and are exempt from the prohibited transaction rules.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034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Statements of Net Assets Available for Benefits.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31, 2024 and 2023, the Plan had investments of $75,050,823 and $70,663,801,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6626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Retirement Thrift Plan</w:t>
      </w:r>
    </w:p>
    <w:p>
      <w:pPr>
        <w:spacing w:after="0"/>
        <w:rPr>
          <w:sz w:val="20"/>
          <w:szCs w:val="20"/>
          <w:color w:val="auto"/>
        </w:rPr>
      </w:pPr>
      <w:r>
        <w:rPr>
          <w:rFonts w:ascii="Times New Roman" w:cs="Times New Roman" w:eastAsia="Times New Roman" w:hAnsi="Times New Roman"/>
          <w:sz w:val="18"/>
          <w:szCs w:val="18"/>
          <w:color w:val="auto"/>
        </w:rPr>
        <w:t>EIN 23-1526444 Plan No. 105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5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Current Value</w:t>
            </w:r>
          </w:p>
        </w:tc>
      </w:tr>
      <w:tr>
        <w:trPr>
          <w:trHeight w:val="229"/>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Baird Core Plus Bond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5,644,224</w:t>
            </w:r>
          </w:p>
        </w:tc>
      </w:tr>
      <w:tr>
        <w:trPr>
          <w:trHeight w:val="229"/>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232,538</w:t>
            </w:r>
          </w:p>
        </w:tc>
      </w:tr>
      <w:tr>
        <w:trPr>
          <w:trHeight w:val="23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DFA US Targeted Value Portfolio</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673,431</w:t>
            </w:r>
          </w:p>
        </w:tc>
      </w:tr>
      <w:tr>
        <w:trPr>
          <w:trHeight w:val="229"/>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Fidelity Small Cap Growth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11,003,088</w:t>
            </w:r>
          </w:p>
        </w:tc>
      </w:tr>
      <w:tr>
        <w:trPr>
          <w:trHeight w:val="23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 Rowe Price International Discovery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194,768</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Developed Markets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7,025,189</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International Growth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6,853,845</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Russell 1000 Growth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2,642,125</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Cash Reserve Federal Money Market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187,854</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2020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726,016</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2025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4,695,375</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2030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8,382,810</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2035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6,242,809</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2040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5,557,055</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2045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3,679,785</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2050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5,068,226</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2055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2,674,239</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2060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2,584,041</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2065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1,076,011</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2070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Income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3,580,273</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Total Bond Market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6,287,463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Total Stock Market Index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56,406,937</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Wellington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8,265,688</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Windsor II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3,126,322</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Retirement Savings Trust III</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18,643,886</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Crown Holdings, Inc. Stock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 Stock Fund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4,154,160</w:t>
            </w:r>
          </w:p>
        </w:tc>
      </w:tr>
      <w:tr>
        <w:trPr>
          <w:trHeight w:val="175"/>
        </w:trPr>
        <w:tc>
          <w:tcPr>
            <w:tcW w:w="4680" w:type="dxa"/>
            <w:vAlign w:val="bottom"/>
          </w:tcPr>
          <w:p>
            <w:pPr>
              <w:spacing w:after="0"/>
              <w:rPr>
                <w:sz w:val="15"/>
                <w:szCs w:val="15"/>
                <w:color w:val="auto"/>
              </w:rPr>
            </w:pPr>
          </w:p>
        </w:tc>
        <w:tc>
          <w:tcPr>
            <w:tcW w:w="45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Interest rates: 4.25% - 9.50%, maturing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4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through August 4, 2031</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3,670,209</w:t>
            </w:r>
          </w:p>
        </w:tc>
      </w:tr>
      <w:tr>
        <w:trPr>
          <w:trHeight w:val="248"/>
        </w:trPr>
        <w:tc>
          <w:tcPr>
            <w:tcW w:w="4680" w:type="dxa"/>
            <w:vAlign w:val="bottom"/>
            <w:tcBorders>
              <w:bottom w:val="single" w:sz="8" w:color="CCEEFF"/>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20"/>
                <w:szCs w:val="20"/>
                <w:b w:val="1"/>
                <w:bCs w:val="1"/>
                <w:color w:val="auto"/>
              </w:rPr>
              <w:t>Total (Held at End of Year)</w:t>
            </w:r>
          </w:p>
        </w:tc>
        <w:tc>
          <w:tcPr>
            <w:tcW w:w="4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179,327,990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Party-in-Interest as defined by ERISA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20"/>
          </w:cols>
          <w:pgMar w:left="740" w:top="729" w:right="7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9"/>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Retirement Thrift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Christy L. Kalaus</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w:t>
      </w:r>
      <w:r>
        <w:rPr>
          <w:rFonts w:ascii="Times New Roman" w:cs="Times New Roman" w:eastAsia="Times New Roman" w:hAnsi="Times New Roman"/>
          <w:sz w:val="22"/>
          <w:szCs w:val="22"/>
          <w:u w:val="single" w:color="auto"/>
          <w:color w:val="auto"/>
          <w:highlight w:val="white"/>
        </w:rPr>
        <w:t>e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20</w:t>
      </w:r>
      <w:r>
        <w:rPr>
          <w:rFonts w:ascii="Times New Roman" w:cs="Times New Roman" w:eastAsia="Times New Roman" w:hAnsi="Times New Roman"/>
          <w:sz w:val="22"/>
          <w:szCs w:val="22"/>
          <w:u w:val="single" w:color="auto"/>
          <w:color w:val="auto"/>
        </w:rPr>
        <w:t>25</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34"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333-230008) on Form S-8 of our report dated June 16, 2025, relating to the financial statements and supplemental schedule, appearing in this Annual Report on Form 11-K of the Crown Cork &amp; Seal Company, Inc. Retirement Thrift Plan for the year ended December 31,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16, 2025</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2025-06-16T13:42:55Z</dcterms:created>
  <dcterms:modified xsi:type="dcterms:W3CDTF">2025-06-16T13:42:55Z</dcterms:modified>
</cp:coreProperties>
</file>