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intends to offer senior unsecured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the aggregate principal amount of €500,000,000 that will be issued by Crown European Holdings S.A., a subsidiary of the Company.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will be sold in a private placement and resold by the initial purchasers to persons reasonably believed to be qualified institutional buyers pursuant to Rule 144A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together with cash on hand, to redeem the Company’s outstanding 2.875% senior notes due in February 2026 and to pay related fees and expenses.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deemed incorporated by reference in any filing under the Securities Act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w:t>
      </w:r>
    </w:p>
    <w:p>
      <w:pPr>
        <w:sectPr>
          <w:pgSz w:w="11900" w:h="16838" w:orient="portrait"/>
          <w:cols w:equalWidth="0" w:num="1">
            <w:col w:w="11020"/>
          </w:cols>
          <w:pgMar w:left="440" w:top="293" w:right="4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22,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&amp; Treasurer</w:t>
      </w:r>
    </w:p>
    <w:sectPr>
      <w:pgSz w:w="11900" w:h="16838" w:orient="portrait"/>
      <w:cols w:equalWidth="0" w:num="1">
        <w:col w:w="10560"/>
      </w:cols>
      <w:pgMar w:left="440" w:top="29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2025-09-22T06:28:06Z</dcterms:created>
  <dcterms:modified xsi:type="dcterms:W3CDTF">2025-09-22T06:28:06Z</dcterms:modified>
</cp:coreProperties>
</file>