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Crown Cork &amp; Seal Company,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wholly-owned subsidiary of Crown Holdings, Inc., a Pennsylvania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issued a notice of redemption to redeem all of the Issuer’s outstanding 7-3/8% Debentures due 2026 (the “</w:t>
      </w:r>
      <w:r>
        <w:rPr>
          <w:rFonts w:ascii="Times New Roman" w:cs="Times New Roman" w:eastAsia="Times New Roman" w:hAnsi="Times New Roman"/>
          <w:sz w:val="18"/>
          <w:szCs w:val="18"/>
          <w:u w:val="single" w:color="auto"/>
          <w:color w:val="auto"/>
        </w:rPr>
        <w:t>Debentures</w:t>
      </w:r>
      <w:r>
        <w:rPr>
          <w:rFonts w:ascii="Times New Roman" w:cs="Times New Roman" w:eastAsia="Times New Roman" w:hAnsi="Times New Roman"/>
          <w:sz w:val="18"/>
          <w:szCs w:val="18"/>
          <w:color w:val="auto"/>
        </w:rPr>
        <w:t>”) with an initial aggregate principal amount outstanding of $350 million. The Debentures will be redeemed on December 21, 2025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at the redemption price equal to the greater of (i) 100% of the principal amount of the Debentures to be redeemed and (ii) the sum of the present values of the Remaining Scheduled Payments thereon discounted to the Redemption Date on a semi-annual basis (assuming a 360-day year consisting of twelve 30-day months) at the Treasury Rate plus 15 basis points, plus in either case accrued interest on the principal amount being redeemed to the Redemption Date, calculated in accordance with Article 11 of that certain Indenture, dated as of December 17, 1996, by and among the Issuer, Crown Cork &amp; Seal Finance plc, Crown Cork &amp; Seal Finance S.A., and the Bank of New York, as trustee).</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result of the redemption, the Company and Issuer expect December 19, 2025 to be the last day on which the Debentures will be traded on the New York Stock Exchange.</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Interim Chief Accounting Officer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2025-11-24T15:52:51Z</dcterms:created>
  <dcterms:modified xsi:type="dcterms:W3CDTF">2025-11-24T15:52:51Z</dcterms:modified>
</cp:coreProperties>
</file>