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0" w:after="0"/>
        <w:jc w:val="left"/>
        <w:rPr/>
      </w:pPr>
      <w:r>
        <w:rPr>
          <w:rFonts w:ascii="Times New Roman;serif" w:hAnsi="Times New Roman;serif"/>
          <w:b/>
          <w:color w:val="000000"/>
          <w:sz w:val="16"/>
        </w:rPr>
        <w:t>(Mark One)</w:t>
      </w:r>
      <w:r>
        <w:rPr>
          <w:color w:val="000000"/>
        </w:rPr>
        <w:t xml:space="preserve"> </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 xml:space="preserve">For the fiscal year ended December 31, 2025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br/>
              <w:t>For the transition period from ___ to ___</w:t>
            </w:r>
          </w:p>
        </w:tc>
      </w:tr>
    </w:tbl>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 001-41550</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CROWN HOLDINGS,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5217" w:type="dxa"/>
        <w:jc w:val="center"/>
        <w:tblInd w:w="0" w:type="dxa"/>
        <w:tblLayout w:type="fixed"/>
        <w:tblCellMar>
          <w:top w:w="28" w:type="dxa"/>
          <w:left w:w="28" w:type="dxa"/>
          <w:bottom w:w="28" w:type="dxa"/>
          <w:right w:w="28" w:type="dxa"/>
        </w:tblCellMar>
      </w:tblPr>
      <w:tblGrid>
        <w:gridCol w:w="1034"/>
        <w:gridCol w:w="912"/>
        <w:gridCol w:w="919"/>
        <w:gridCol w:w="195"/>
        <w:gridCol w:w="195"/>
        <w:gridCol w:w="196"/>
        <w:gridCol w:w="109"/>
        <w:gridCol w:w="109"/>
        <w:gridCol w:w="109"/>
        <w:gridCol w:w="419"/>
        <w:gridCol w:w="419"/>
        <w:gridCol w:w="601"/>
      </w:tblGrid>
      <w:tr>
        <w:trPr/>
        <w:tc>
          <w:tcPr>
            <w:tcW w:w="103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Pennsylvania</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75-3099507</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14025 Riveredge Drive, Suite 300</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Tampa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FL</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33637-2015</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215-698-5100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(Title of Class)</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 xml:space="preserve">No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16"/>
        </w:rPr>
        <w:t xml:space="preserve">Indicate by check mark if the registrant is not required to file reports pursuant to Section 13 or Section 15(d)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filings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16"/>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color w:val="000000"/>
        </w:rPr>
        <w: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lineRule="auto" w:line="240" w:before="0" w:after="0"/>
        <w:jc w:val="both"/>
        <w:rPr>
          <w:color w:val="000000"/>
        </w:rPr>
      </w:pPr>
      <w:r>
        <w:rPr>
          <w:color w:val="000000"/>
        </w:rPr>
        <w:t> </w:t>
      </w:r>
    </w:p>
    <w:tbl>
      <w:tblPr>
        <w:tblW w:w="5444"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73"/>
        <w:gridCol w:w="673"/>
        <w:gridCol w:w="678"/>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6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40" w:before="0" w:after="6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40" w:before="0" w:after="6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Yes ☐    No  ☒</w:t>
      </w:r>
    </w:p>
    <w:p>
      <w:pPr>
        <w:pStyle w:val="TextBody"/>
        <w:bidi w:val="0"/>
        <w:spacing w:lineRule="auto" w:line="240" w:before="0" w:after="60"/>
        <w:jc w:val="left"/>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40" w:before="0" w:after="60"/>
        <w:jc w:val="left"/>
        <w:rPr>
          <w:rFonts w:ascii="Times New Roman;serif" w:hAnsi="Times New Roman;serif"/>
          <w:b w:val="false"/>
          <w:color w:val="000000"/>
          <w:sz w:val="16"/>
        </w:rPr>
      </w:pPr>
      <w:r>
        <w:rPr>
          <w:rFonts w:ascii="Times New Roman;serif" w:hAnsi="Times New Roman;serif"/>
          <w:b w:val="false"/>
          <w:color w:val="000000"/>
          <w:sz w:val="16"/>
        </w:rPr>
        <w:t>As of June 30, 2025, 116,393,989 shares of the Registrant’s Common Stock, excluding shares held in Treasury, were issued and outstanding, and the aggregate market value of such shares held by non-affiliates of the Registrant on such date was $11,923,400,233 based on the New York Stock Exchange closing price for such shares on that date.</w:t>
      </w:r>
    </w:p>
    <w:p>
      <w:pPr>
        <w:pStyle w:val="TextBody"/>
        <w:bidi w:val="0"/>
        <w:spacing w:lineRule="auto" w:line="240" w:before="0" w:after="0"/>
        <w:jc w:val="left"/>
        <w:rPr/>
      </w:pPr>
      <w:r>
        <w:rPr>
          <w:rFonts w:ascii="Times New Roman;serif" w:hAnsi="Times New Roman;serif"/>
          <w:b w:val="false"/>
          <w:color w:val="000000"/>
          <w:sz w:val="16"/>
        </w:rPr>
        <w:t>As of February 26, 2026, 113,225,669 shares of the Registrant’s Common Stock were issued and outstanding.</w:t>
      </w:r>
      <w:r>
        <w:rPr>
          <w:color w:val="000000"/>
        </w:rPr>
        <w:t> </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tbl>
      <w:tblPr>
        <w:tblW w:w="8995" w:type="dxa"/>
        <w:jc w:val="center"/>
        <w:tblInd w:w="0" w:type="dxa"/>
        <w:tblLayout w:type="fixed"/>
        <w:tblCellMar>
          <w:top w:w="28" w:type="dxa"/>
          <w:left w:w="28" w:type="dxa"/>
          <w:bottom w:w="28" w:type="dxa"/>
          <w:right w:w="28" w:type="dxa"/>
        </w:tblCellMar>
      </w:tblPr>
      <w:tblGrid>
        <w:gridCol w:w="2130"/>
        <w:gridCol w:w="1876"/>
        <w:gridCol w:w="1888"/>
        <w:gridCol w:w="109"/>
        <w:gridCol w:w="109"/>
        <w:gridCol w:w="109"/>
        <w:gridCol w:w="810"/>
        <w:gridCol w:w="810"/>
        <w:gridCol w:w="1154"/>
      </w:tblGrid>
      <w:tr>
        <w:trPr/>
        <w:tc>
          <w:tcPr>
            <w:tcW w:w="213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Document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Parts Into Which Incorporated</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Proxy Statement for the Annual Meeting of Shareholders to be held April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Part III to the extent described therein</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 FORM 10-K ANNUAL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56"/>
        <w:gridCol w:w="3116"/>
        <w:gridCol w:w="3159"/>
        <w:gridCol w:w="109"/>
        <w:gridCol w:w="109"/>
        <w:gridCol w:w="156"/>
      </w:tblGrid>
      <w:tr>
        <w:trPr/>
        <w:tc>
          <w:tcPr>
            <w:tcW w:w="3556"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4da77b5bf7f43519b648180bad636ba">
              <w:r>
                <w:rPr>
                  <w:rStyle w:val="InternetLink"/>
                  <w:rFonts w:ascii="Times New Roman;serif" w:hAnsi="Times New Roman;serif"/>
                  <w:b w:val="false"/>
                  <w:strike w:val="false"/>
                  <w:dstrike w:val="false"/>
                  <w:color w:val="000000"/>
                  <w:sz w:val="20"/>
                  <w:u w:val="none"/>
                  <w:effect w:val="none"/>
                </w:rPr>
                <w:t>PART I</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4da77b5bf7f43519b648180bad636ba">
              <w:r>
                <w:rPr>
                  <w:rStyle w:val="InternetLink"/>
                  <w:rFonts w:ascii="Times New Roman;serif" w:hAnsi="Times New Roman;serif"/>
                  <w:b w:val="false"/>
                  <w:strike w:val="false"/>
                  <w:dstrike w:val="false"/>
                  <w:color w:val="000000"/>
                  <w:sz w:val="20"/>
                  <w:u w:val="none"/>
                  <w:effect w:val="none"/>
                </w:rPr>
                <w:t>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0e08d7868c43d3a709174a60554b9d">
              <w:r>
                <w:rPr>
                  <w:rStyle w:val="InternetLink"/>
                  <w:rFonts w:ascii="Times New Roman;serif" w:hAnsi="Times New Roman;serif"/>
                  <w:b w:val="false"/>
                  <w:strike w:val="false"/>
                  <w:dstrike w:val="false"/>
                  <w:color w:val="000000"/>
                  <w:sz w:val="20"/>
                  <w:u w:val="none"/>
                  <w:effect w:val="none"/>
                </w:rPr>
                <w:t>ITEM 1. Business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0e08d7868c43d3a709174a60554b9d">
              <w:r>
                <w:rPr>
                  <w:rStyle w:val="InternetLink"/>
                  <w:rFonts w:ascii="Times New Roman;serif" w:hAnsi="Times New Roman;serif"/>
                  <w:b w:val="false"/>
                  <w:strike w:val="false"/>
                  <w:dstrike w:val="false"/>
                  <w:color w:val="000000"/>
                  <w:sz w:val="20"/>
                  <w:u w:val="none"/>
                  <w:effect w:val="none"/>
                </w:rPr>
                <w:t>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a199d156674ab3bc4b51d11df1c168">
              <w:r>
                <w:rPr>
                  <w:rStyle w:val="InternetLink"/>
                  <w:rFonts w:ascii="Times New Roman;serif" w:hAnsi="Times New Roman;serif"/>
                  <w:b w:val="false"/>
                  <w:strike w:val="false"/>
                  <w:dstrike w:val="false"/>
                  <w:color w:val="000000"/>
                  <w:sz w:val="20"/>
                  <w:u w:val="none"/>
                  <w:effect w:val="non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a199d156674ab3bc4b51d11df1c168">
              <w:r>
                <w:rPr>
                  <w:rStyle w:val="InternetLink"/>
                  <w:rFonts w:ascii="Times New Roman;serif" w:hAnsi="Times New Roman;serif"/>
                  <w:b w:val="false"/>
                  <w:strike w:val="false"/>
                  <w:dstrike w:val="false"/>
                  <w:color w:val="000000"/>
                  <w:sz w:val="20"/>
                  <w:u w:val="none"/>
                  <w:effect w:val="none"/>
                </w:rPr>
                <w:t>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5c82c83a3f491da30b33426230f2ac">
              <w:r>
                <w:rPr>
                  <w:rStyle w:val="InternetLink"/>
                  <w:rFonts w:ascii="Times New Roman;serif" w:hAnsi="Times New Roman;serif"/>
                  <w:b w:val="false"/>
                  <w:strike w:val="false"/>
                  <w:dstrike w:val="false"/>
                  <w:color w:val="000000"/>
                  <w:sz w:val="20"/>
                  <w:u w:val="none"/>
                  <w:effect w:val="none"/>
                </w:rPr>
                <w:t>ITEM 1B. Unresolved Staff Comments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5c82c83a3f491da30b33426230f2ac">
              <w:r>
                <w:rPr>
                  <w:rStyle w:val="InternetLink"/>
                  <w:rFonts w:ascii="Times New Roman;serif" w:hAnsi="Times New Roman;serif"/>
                  <w:b w:val="false"/>
                  <w:strike w:val="false"/>
                  <w:dstrike w:val="false"/>
                  <w:color w:val="000000"/>
                  <w:sz w:val="20"/>
                  <w:u w:val="none"/>
                  <w:effect w:val="none"/>
                </w:rPr>
                <w:t>21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d1f2228e364c6c9a87b6e3a4e618d7">
              <w:r>
                <w:rPr>
                  <w:rStyle w:val="InternetLink"/>
                  <w:rFonts w:ascii="Times New Roman;serif" w:hAnsi="Times New Roman;serif"/>
                  <w:b w:val="false"/>
                  <w:strike w:val="false"/>
                  <w:dstrike w:val="false"/>
                  <w:color w:val="000000"/>
                  <w:sz w:val="20"/>
                  <w:u w:val="none"/>
                  <w:effect w:val="none"/>
                </w:rPr>
                <w:t>ITEM 1C. Cybersecurity</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1d1f2228e364c6c9a87b6e3a4e618d7">
              <w:r>
                <w:rPr>
                  <w:rStyle w:val="InternetLink"/>
                  <w:rFonts w:ascii="Times New Roman;serif" w:hAnsi="Times New Roman;serif"/>
                  <w:b w:val="false"/>
                  <w:strike w:val="false"/>
                  <w:dstrike w:val="false"/>
                  <w:color w:val="000000"/>
                  <w:sz w:val="20"/>
                  <w:u w:val="none"/>
                  <w:effect w:val="none"/>
                </w:rPr>
                <w:t>21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f7bd71d1d4c4083818749b25ec34ad2">
              <w:r>
                <w:rPr>
                  <w:rStyle w:val="InternetLink"/>
                  <w:rFonts w:ascii="Times New Roman;serif" w:hAnsi="Times New Roman;serif"/>
                  <w:b w:val="false"/>
                  <w:strike w:val="false"/>
                  <w:dstrike w:val="false"/>
                  <w:color w:val="000000"/>
                  <w:sz w:val="20"/>
                  <w:u w:val="none"/>
                  <w:effect w:val="none"/>
                </w:rPr>
                <w:t>ITEM 2. Properties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f7bd71d1d4c4083818749b25ec34ad2">
              <w:r>
                <w:rPr>
                  <w:rStyle w:val="InternetLink"/>
                  <w:rFonts w:ascii="Times New Roman;serif" w:hAnsi="Times New Roman;serif"/>
                  <w:b w:val="false"/>
                  <w:strike w:val="false"/>
                  <w:dstrike w:val="false"/>
                  <w:color w:val="000000"/>
                  <w:sz w:val="20"/>
                  <w:u w:val="none"/>
                  <w:effect w:val="none"/>
                </w:rPr>
                <w:t>22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622867ab17049bb9f5f43a211d6426a">
              <w:r>
                <w:rPr>
                  <w:rStyle w:val="InternetLink"/>
                  <w:rFonts w:ascii="Times New Roman;serif" w:hAnsi="Times New Roman;serif"/>
                  <w:b w:val="false"/>
                  <w:strike w:val="false"/>
                  <w:dstrike w:val="false"/>
                  <w:color w:val="000000"/>
                  <w:sz w:val="20"/>
                  <w:u w:val="none"/>
                  <w:effect w:val="none"/>
                </w:rPr>
                <w:t>ITEM 3.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622867ab17049bb9f5f43a211d6426a">
              <w:r>
                <w:rPr>
                  <w:rStyle w:val="InternetLink"/>
                  <w:rFonts w:ascii="Times New Roman;serif" w:hAnsi="Times New Roman;serif"/>
                  <w:b w:val="false"/>
                  <w:strike w:val="false"/>
                  <w:dstrike w:val="false"/>
                  <w:color w:val="000000"/>
                  <w:sz w:val="20"/>
                  <w:u w:val="none"/>
                  <w:effect w:val="none"/>
                </w:rPr>
                <w:t>24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942e1b77164ef7a4c2140b28ff8261">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942e1b77164ef7a4c2140b28ff8261">
              <w:r>
                <w:rPr>
                  <w:rStyle w:val="InternetLink"/>
                  <w:rFonts w:ascii="Times New Roman;serif" w:hAnsi="Times New Roman;serif"/>
                  <w:b w:val="false"/>
                  <w:strike w:val="false"/>
                  <w:dstrike w:val="false"/>
                  <w:color w:val="000000"/>
                  <w:sz w:val="20"/>
                  <w:u w:val="none"/>
                  <w:effect w:val="none"/>
                </w:rPr>
                <w:t>24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b1f55173314c1daa665535876000ac">
              <w:r>
                <w:rPr>
                  <w:rStyle w:val="InternetLink"/>
                  <w:rFonts w:ascii="Times New Roman;serif" w:hAnsi="Times New Roman;serif"/>
                  <w:b w:val="false"/>
                  <w:strike w:val="false"/>
                  <w:dstrike w:val="false"/>
                  <w:color w:val="000000"/>
                  <w:sz w:val="20"/>
                  <w:u w:val="none"/>
                  <w:effect w:val="none"/>
                </w:rPr>
                <w:t>PART II</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b1f55173314c1daa665535876000ac">
              <w:r>
                <w:rPr>
                  <w:rStyle w:val="InternetLink"/>
                  <w:rFonts w:ascii="Times New Roman;serif" w:hAnsi="Times New Roman;serif"/>
                  <w:b w:val="false"/>
                  <w:strike w:val="false"/>
                  <w:dstrike w:val="false"/>
                  <w:color w:val="000000"/>
                  <w:sz w:val="20"/>
                  <w:u w:val="none"/>
                  <w:effect w:val="none"/>
                </w:rPr>
                <w:t>24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0ff9b2873674b84a1e44e15f18aa4d3">
              <w:r>
                <w:rPr>
                  <w:rStyle w:val="InternetLink"/>
                  <w:rFonts w:ascii="Times New Roman;serif" w:hAnsi="Times New Roman;serif"/>
                  <w:b w:val="false"/>
                  <w:strike w:val="false"/>
                  <w:dstrike w:val="false"/>
                  <w:color w:val="000000"/>
                  <w:sz w:val="20"/>
                  <w:u w:val="none"/>
                  <w:effect w:val="none"/>
                </w:rPr>
                <w:t>ITEM 5. Market for Registrant’s Common Equity, Related Stockholder Matters and Issuer Purchases of Equity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0ff9b2873674b84a1e44e15f18aa4d3">
              <w:r>
                <w:rPr>
                  <w:rStyle w:val="InternetLink"/>
                  <w:rFonts w:ascii="Times New Roman;serif" w:hAnsi="Times New Roman;serif"/>
                  <w:b w:val="false"/>
                  <w:strike w:val="false"/>
                  <w:dstrike w:val="false"/>
                  <w:color w:val="000000"/>
                  <w:sz w:val="20"/>
                  <w:u w:val="none"/>
                  <w:effect w:val="none"/>
                </w:rPr>
                <w:t>24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d0f8937e114d6aa7f5be76cf78ac00">
              <w:r>
                <w:rPr>
                  <w:rStyle w:val="InternetLink"/>
                  <w:rFonts w:ascii="Times New Roman;serif" w:hAnsi="Times New Roman;serif"/>
                  <w:b w:val="false"/>
                  <w:strike w:val="false"/>
                  <w:dstrike w:val="false"/>
                  <w:color w:val="000000"/>
                  <w:sz w:val="20"/>
                  <w:u w:val="none"/>
                  <w:effect w:val="none"/>
                </w:rPr>
                <w:t>ITEM 6. [Reserved]</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1d0f8937e114d6aa7f5be76cf78ac00">
              <w:r>
                <w:rPr>
                  <w:rStyle w:val="InternetLink"/>
                  <w:rFonts w:ascii="Times New Roman;serif" w:hAnsi="Times New Roman;serif"/>
                  <w:b w:val="false"/>
                  <w:strike w:val="false"/>
                  <w:dstrike w:val="false"/>
                  <w:color w:val="000000"/>
                  <w:sz w:val="20"/>
                  <w:u w:val="none"/>
                  <w:effect w:val="none"/>
                </w:rPr>
                <w:t>24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269dd18a044e8a6768868d057be3d">
              <w:r>
                <w:rPr>
                  <w:rStyle w:val="InternetLink"/>
                  <w:rFonts w:ascii="Times New Roman;serif" w:hAnsi="Times New Roman;serif"/>
                  <w:b w:val="false"/>
                  <w:strike w:val="false"/>
                  <w:dstrike w:val="false"/>
                  <w:color w:val="000000"/>
                  <w:sz w:val="20"/>
                  <w:u w:val="none"/>
                  <w:effect w:val="none"/>
                </w:rPr>
                <w:t>ITEM 7.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3269dd18a044e8a6768868d057be3d">
              <w:r>
                <w:rPr>
                  <w:rStyle w:val="InternetLink"/>
                  <w:rFonts w:ascii="Times New Roman;serif" w:hAnsi="Times New Roman;serif"/>
                  <w:b w:val="false"/>
                  <w:strike w:val="false"/>
                  <w:dstrike w:val="false"/>
                  <w:color w:val="000000"/>
                  <w:sz w:val="20"/>
                  <w:u w:val="none"/>
                  <w:effect w:val="none"/>
                </w:rPr>
                <w:t>26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1c3df4db140acad12841546f4762f">
              <w:r>
                <w:rPr>
                  <w:rStyle w:val="InternetLink"/>
                  <w:rFonts w:ascii="Times New Roman;serif" w:hAnsi="Times New Roman;serif"/>
                  <w:b w:val="false"/>
                  <w:strike w:val="false"/>
                  <w:dstrike w:val="false"/>
                  <w:color w:val="000000"/>
                  <w:sz w:val="20"/>
                  <w:u w:val="none"/>
                  <w:effect w:val="none"/>
                </w:rPr>
                <w:t>ITEM 7A.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e21c3df4db140acad12841546f4762f">
              <w:r>
                <w:rPr>
                  <w:rStyle w:val="InternetLink"/>
                  <w:rFonts w:ascii="Times New Roman;serif" w:hAnsi="Times New Roman;serif"/>
                  <w:b w:val="false"/>
                  <w:strike w:val="false"/>
                  <w:dstrike w:val="false"/>
                  <w:color w:val="000000"/>
                  <w:sz w:val="20"/>
                  <w:u w:val="none"/>
                  <w:effect w:val="non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5d08956e464d32a2ecf165406c0fc8">
              <w:r>
                <w:rPr>
                  <w:rStyle w:val="InternetLink"/>
                  <w:rFonts w:ascii="Times New Roman;serif" w:hAnsi="Times New Roman;serif"/>
                  <w:b w:val="false"/>
                  <w:strike w:val="false"/>
                  <w:dstrike w:val="false"/>
                  <w:color w:val="000000"/>
                  <w:sz w:val="20"/>
                  <w:u w:val="none"/>
                  <w:effect w:val="none"/>
                </w:rPr>
                <w:t>ITEM 8. Financial Statements and Supplementary Data</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5d08956e464d32a2ecf165406c0fc8">
              <w:r>
                <w:rPr>
                  <w:rStyle w:val="InternetLink"/>
                  <w:rFonts w:ascii="Times New Roman;serif" w:hAnsi="Times New Roman;serif"/>
                  <w:b w:val="false"/>
                  <w:strike w:val="false"/>
                  <w:dstrike w:val="false"/>
                  <w:color w:val="000000"/>
                  <w:sz w:val="20"/>
                  <w:u w:val="none"/>
                  <w:effect w:val="non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d2caca32fd43d880cf2df5ffbd8234">
              <w:r>
                <w:rPr>
                  <w:rStyle w:val="InternetLink"/>
                  <w:rFonts w:ascii="Times New Roman;serif" w:hAnsi="Times New Roman;serif"/>
                  <w:b w:val="false"/>
                  <w:strike w:val="false"/>
                  <w:dstrike w:val="false"/>
                  <w:color w:val="000000"/>
                  <w:sz w:val="20"/>
                  <w:u w:val="none"/>
                  <w:effect w:val="none"/>
                </w:rPr>
                <w:t>Management’s Report on Internal Control Over Financial Reporting</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7d2caca32fd43d880cf2df5ffbd8234">
              <w:r>
                <w:rPr>
                  <w:rStyle w:val="InternetLink"/>
                  <w:rFonts w:ascii="Times New Roman;serif" w:hAnsi="Times New Roman;serif"/>
                  <w:b w:val="false"/>
                  <w:strike w:val="false"/>
                  <w:dstrike w:val="false"/>
                  <w:color w:val="000000"/>
                  <w:sz w:val="20"/>
                  <w:u w:val="none"/>
                  <w:effect w:val="non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a846b134a8f411080d451261f10facf">
              <w:r>
                <w:rPr>
                  <w:rStyle w:val="InternetLink"/>
                  <w:rFonts w:ascii="Times New Roman;serif" w:hAnsi="Times New Roman;serif"/>
                  <w:b w:val="false"/>
                  <w:strike w:val="false"/>
                  <w:dstrike w:val="false"/>
                  <w:color w:val="000000"/>
                  <w:sz w:val="20"/>
                  <w:u w:val="none"/>
                  <w:effect w:val="none"/>
                </w:rPr>
                <w:t>Report of Independent Registered Public Accounting Firm</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a846b134a8f411080d451261f10facf">
              <w:r>
                <w:rPr>
                  <w:rStyle w:val="InternetLink"/>
                  <w:rFonts w:ascii="Times New Roman;serif" w:hAnsi="Times New Roman;serif"/>
                  <w:b w:val="false"/>
                  <w:strike w:val="false"/>
                  <w:dstrike w:val="false"/>
                  <w:color w:val="000000"/>
                  <w:sz w:val="20"/>
                  <w:u w:val="none"/>
                  <w:effect w:val="none"/>
                </w:rPr>
                <w:t>42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e8dcb32a4fe4155915c564457688e0e">
              <w:r>
                <w:rPr>
                  <w:rStyle w:val="InternetLink"/>
                  <w:rFonts w:ascii="Times New Roman;serif" w:hAnsi="Times New Roman;serif"/>
                  <w:b w:val="false"/>
                  <w:strike w:val="false"/>
                  <w:dstrike w:val="false"/>
                  <w:color w:val="000000"/>
                  <w:sz w:val="20"/>
                  <w:u w:val="none"/>
                  <w:effect w:val="none"/>
                </w:rPr>
                <w:t>Consolidated Statements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e8dcb32a4fe4155915c564457688e0e">
              <w:r>
                <w:rPr>
                  <w:rStyle w:val="InternetLink"/>
                  <w:rFonts w:ascii="Times New Roman;serif" w:hAnsi="Times New Roman;serif"/>
                  <w:b w:val="false"/>
                  <w:strike w:val="false"/>
                  <w:dstrike w:val="false"/>
                  <w:color w:val="000000"/>
                  <w:sz w:val="20"/>
                  <w:u w:val="none"/>
                  <w:effect w:val="none"/>
                </w:rPr>
                <w:t>44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498e261bc47bdb6e4c083b6ca68f4">
              <w:r>
                <w:rPr>
                  <w:rStyle w:val="InternetLink"/>
                  <w:rFonts w:ascii="Times New Roman;serif" w:hAnsi="Times New Roman;serif"/>
                  <w:b w:val="false"/>
                  <w:strike w:val="false"/>
                  <w:dstrike w:val="false"/>
                  <w:color w:val="000000"/>
                  <w:sz w:val="20"/>
                  <w:u w:val="none"/>
                  <w:effect w:val="none"/>
                </w:rPr>
                <w:t>Consolidated Statements of Comprehensive Income</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8498e261bc47bdb6e4c083b6ca68f4">
              <w:r>
                <w:rPr>
                  <w:rStyle w:val="InternetLink"/>
                  <w:rFonts w:ascii="Times New Roman;serif" w:hAnsi="Times New Roman;serif"/>
                  <w:b w:val="false"/>
                  <w:strike w:val="false"/>
                  <w:dstrike w:val="false"/>
                  <w:color w:val="000000"/>
                  <w:sz w:val="20"/>
                  <w:u w:val="none"/>
                  <w:effect w:val="non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82dcf7b37a04a039570d769be147286">
              <w:r>
                <w:rPr>
                  <w:rStyle w:val="InternetLink"/>
                  <w:rFonts w:ascii="Times New Roman;serif" w:hAnsi="Times New Roman;serif"/>
                  <w:b w:val="false"/>
                  <w:strike w:val="false"/>
                  <w:dstrike w:val="false"/>
                  <w:color w:val="000000"/>
                  <w:sz w:val="20"/>
                  <w:u w:val="none"/>
                  <w:effect w:val="none"/>
                </w:rPr>
                <w:t>Consolidated Balance Sheets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82dcf7b37a04a039570d769be147286">
              <w:r>
                <w:rPr>
                  <w:rStyle w:val="InternetLink"/>
                  <w:rFonts w:ascii="Times New Roman;serif" w:hAnsi="Times New Roman;serif"/>
                  <w:b w:val="false"/>
                  <w:strike w:val="false"/>
                  <w:dstrike w:val="false"/>
                  <w:color w:val="000000"/>
                  <w:sz w:val="20"/>
                  <w:u w:val="none"/>
                  <w:effect w:val="non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186eb5e8458ea1c7e806ac7071b9">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1b186eb5e8458ea1c7e806ac7071b9">
              <w:r>
                <w:rPr>
                  <w:rStyle w:val="InternetLink"/>
                  <w:rFonts w:ascii="Times New Roman;serif" w:hAnsi="Times New Roman;serif"/>
                  <w:b w:val="false"/>
                  <w:strike w:val="false"/>
                  <w:dstrike w:val="false"/>
                  <w:color w:val="000000"/>
                  <w:sz w:val="20"/>
                  <w:u w:val="none"/>
                  <w:effect w:val="non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3afebda1944bdcb472f5e8dafb105a">
              <w:r>
                <w:rPr>
                  <w:rStyle w:val="InternetLink"/>
                  <w:rFonts w:ascii="Times New Roman;serif" w:hAnsi="Times New Roman;serif"/>
                  <w:b w:val="false"/>
                  <w:strike w:val="false"/>
                  <w:dstrike w:val="false"/>
                  <w:color w:val="000000"/>
                  <w:sz w:val="20"/>
                  <w:u w:val="none"/>
                  <w:effect w:val="none"/>
                </w:rPr>
                <w:t>Consolidated Statements of Changes in Shareholders’ Equity</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3afebda1944bdcb472f5e8dafb105a">
              <w:r>
                <w:rPr>
                  <w:rStyle w:val="InternetLink"/>
                  <w:rFonts w:ascii="Times New Roman;serif" w:hAnsi="Times New Roman;serif"/>
                  <w:b w:val="false"/>
                  <w:strike w:val="false"/>
                  <w:dstrike w:val="false"/>
                  <w:color w:val="000000"/>
                  <w:sz w:val="20"/>
                  <w:u w:val="none"/>
                  <w:effect w:val="none"/>
                </w:rPr>
                <w:t>48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cee959c22b447c90beddfe1a230105">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cee959c22b447c90beddfe1a230105">
              <w:r>
                <w:rPr>
                  <w:rStyle w:val="InternetLink"/>
                  <w:rFonts w:ascii="Times New Roman;serif" w:hAnsi="Times New Roman;serif"/>
                  <w:b w:val="false"/>
                  <w:strike w:val="false"/>
                  <w:dstrike w:val="false"/>
                  <w:color w:val="000000"/>
                  <w:sz w:val="20"/>
                  <w:u w:val="none"/>
                  <w:effect w:val="none"/>
                </w:rPr>
                <w:t>49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840e834d8034b03b22b9a00bc5b3076">
              <w:r>
                <w:rPr>
                  <w:rStyle w:val="InternetLink"/>
                  <w:rFonts w:ascii="Times New Roman;serif" w:hAnsi="Times New Roman;serif"/>
                  <w:b w:val="false"/>
                  <w:strike w:val="false"/>
                  <w:dstrike w:val="false"/>
                  <w:color w:val="000000"/>
                  <w:sz w:val="20"/>
                  <w:u w:val="none"/>
                  <w:effect w:val="none"/>
                </w:rPr>
                <w:t xml:space="preserve">A. Summary of Significant Accounting Policies </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840e834d8034b03b22b9a00bc5b3076">
              <w:r>
                <w:rPr>
                  <w:rStyle w:val="InternetLink"/>
                  <w:rFonts w:ascii="Times New Roman;serif" w:hAnsi="Times New Roman;serif"/>
                  <w:b w:val="false"/>
                  <w:strike w:val="false"/>
                  <w:dstrike w:val="false"/>
                  <w:color w:val="000000"/>
                  <w:sz w:val="20"/>
                  <w:u w:val="none"/>
                  <w:effect w:val="none"/>
                </w:rPr>
                <w:t>49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ce4369ad1b4c0ea4c195af5bf687a0">
              <w:r>
                <w:rPr>
                  <w:rStyle w:val="InternetLink"/>
                  <w:rFonts w:ascii="Times New Roman;serif" w:hAnsi="Times New Roman;serif"/>
                  <w:b w:val="false"/>
                  <w:strike w:val="false"/>
                  <w:dstrike w:val="false"/>
                  <w:color w:val="000000"/>
                  <w:sz w:val="20"/>
                  <w:u w:val="none"/>
                  <w:effect w:val="none"/>
                </w:rPr>
                <w:t>B. Acquisitions and Divestitures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ce4369ad1b4c0ea4c195af5bf687a0">
              <w:r>
                <w:rPr>
                  <w:rStyle w:val="InternetLink"/>
                  <w:rFonts w:ascii="Times New Roman;serif" w:hAnsi="Times New Roman;serif"/>
                  <w:b w:val="false"/>
                  <w:strike w:val="false"/>
                  <w:dstrike w:val="false"/>
                  <w:color w:val="000000"/>
                  <w:sz w:val="20"/>
                  <w:u w:val="none"/>
                  <w:effect w:val="none"/>
                </w:rPr>
                <w:t>53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13601d6bf3b430382fa1bdb07cee965">
              <w:r>
                <w:rPr>
                  <w:rStyle w:val="InternetLink"/>
                  <w:rFonts w:ascii="Times New Roman;serif" w:hAnsi="Times New Roman;serif"/>
                  <w:b w:val="false"/>
                  <w:strike w:val="false"/>
                  <w:dstrike w:val="false"/>
                  <w:color w:val="000000"/>
                  <w:sz w:val="20"/>
                  <w:u w:val="none"/>
                  <w:effect w:val="none"/>
                </w:rPr>
                <w:t>C. Cash, Cash Equivalents, and Restricted Cash</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13601d6bf3b430382fa1bdb07cee965">
              <w:r>
                <w:rPr>
                  <w:rStyle w:val="InternetLink"/>
                  <w:rFonts w:ascii="Times New Roman;serif" w:hAnsi="Times New Roman;serif"/>
                  <w:b w:val="false"/>
                  <w:strike w:val="false"/>
                  <w:dstrike w:val="false"/>
                  <w:color w:val="000000"/>
                  <w:sz w:val="20"/>
                  <w:u w:val="none"/>
                  <w:effect w:val="none"/>
                </w:rPr>
                <w:t>53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23bdd8be8746f99a62207634a3cfaa">
              <w:r>
                <w:rPr>
                  <w:rStyle w:val="InternetLink"/>
                  <w:rFonts w:ascii="Times New Roman;serif" w:hAnsi="Times New Roman;serif"/>
                  <w:b w:val="false"/>
                  <w:strike w:val="false"/>
                  <w:dstrike w:val="false"/>
                  <w:color w:val="000000"/>
                  <w:sz w:val="20"/>
                  <w:u w:val="none"/>
                  <w:effect w:val="none"/>
                </w:rPr>
                <w:t>D. Receivables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23bdd8be8746f99a62207634a3cfaa">
              <w:r>
                <w:rPr>
                  <w:rStyle w:val="InternetLink"/>
                  <w:rFonts w:ascii="Times New Roman;serif" w:hAnsi="Times New Roman;serif"/>
                  <w:b w:val="false"/>
                  <w:strike w:val="false"/>
                  <w:dstrike w:val="false"/>
                  <w:color w:val="000000"/>
                  <w:sz w:val="20"/>
                  <w:u w:val="none"/>
                  <w:effect w:val="none"/>
                </w:rPr>
                <w:t>54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7bb5070271433d9cb353d9b1a9f35e">
              <w:r>
                <w:rPr>
                  <w:rStyle w:val="InternetLink"/>
                  <w:rFonts w:ascii="Times New Roman;serif" w:hAnsi="Times New Roman;serif"/>
                  <w:b w:val="false"/>
                  <w:strike w:val="false"/>
                  <w:dstrike w:val="false"/>
                  <w:color w:val="000000"/>
                  <w:sz w:val="20"/>
                  <w:u w:val="none"/>
                  <w:effect w:val="none"/>
                </w:rPr>
                <w:t>E. Inventories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47bb5070271433d9cb353d9b1a9f35e">
              <w:r>
                <w:rPr>
                  <w:rStyle w:val="InternetLink"/>
                  <w:rFonts w:ascii="Times New Roman;serif" w:hAnsi="Times New Roman;serif"/>
                  <w:b w:val="false"/>
                  <w:strike w:val="false"/>
                  <w:dstrike w:val="false"/>
                  <w:color w:val="000000"/>
                  <w:sz w:val="20"/>
                  <w:u w:val="none"/>
                  <w:effect w:val="none"/>
                </w:rPr>
                <w:t>54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08a52e13a2a416da69bc03c6b3a1ee9">
              <w:r>
                <w:rPr>
                  <w:rStyle w:val="InternetLink"/>
                  <w:rFonts w:ascii="Times New Roman;serif" w:hAnsi="Times New Roman;serif"/>
                  <w:b w:val="false"/>
                  <w:strike w:val="false"/>
                  <w:dstrike w:val="false"/>
                  <w:color w:val="000000"/>
                  <w:sz w:val="20"/>
                  <w:u w:val="none"/>
                  <w:effect w:val="none"/>
                </w:rPr>
                <w:t xml:space="preserve">F. Goodwill </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08a52e13a2a416da69bc03c6b3a1ee9">
              <w:r>
                <w:rPr>
                  <w:rStyle w:val="InternetLink"/>
                  <w:rFonts w:ascii="Times New Roman;serif" w:hAnsi="Times New Roman;serif"/>
                  <w:b w:val="false"/>
                  <w:strike w:val="false"/>
                  <w:dstrike w:val="false"/>
                  <w:color w:val="000000"/>
                  <w:sz w:val="20"/>
                  <w:u w:val="none"/>
                  <w:effect w:val="none"/>
                </w:rPr>
                <w:t>54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8b83797189d4989a4a2510c35ed8114">
              <w:r>
                <w:rPr>
                  <w:rStyle w:val="InternetLink"/>
                  <w:rFonts w:ascii="Times New Roman;serif" w:hAnsi="Times New Roman;serif"/>
                  <w:b w:val="false"/>
                  <w:strike w:val="false"/>
                  <w:dstrike w:val="false"/>
                  <w:color w:val="000000"/>
                  <w:sz w:val="20"/>
                  <w:u w:val="none"/>
                  <w:effect w:val="none"/>
                </w:rPr>
                <w:t>G. Intangible Assets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8b83797189d4989a4a2510c35ed8114">
              <w:r>
                <w:rPr>
                  <w:rStyle w:val="InternetLink"/>
                  <w:rFonts w:ascii="Times New Roman;serif" w:hAnsi="Times New Roman;serif"/>
                  <w:b w:val="false"/>
                  <w:strike w:val="false"/>
                  <w:dstrike w:val="false"/>
                  <w:color w:val="000000"/>
                  <w:sz w:val="20"/>
                  <w:u w:val="none"/>
                  <w:effect w:val="none"/>
                </w:rPr>
                <w:t>55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0e00a0a79974386b3a5672a0b17ea43">
              <w:r>
                <w:rPr>
                  <w:rStyle w:val="InternetLink"/>
                  <w:rFonts w:ascii="Times New Roman;serif" w:hAnsi="Times New Roman;serif"/>
                  <w:b w:val="false"/>
                  <w:strike w:val="false"/>
                  <w:dstrike w:val="false"/>
                  <w:color w:val="000000"/>
                  <w:sz w:val="20"/>
                  <w:u w:val="none"/>
                  <w:effect w:val="none"/>
                </w:rPr>
                <w:t>H. Property, Plant, and Equipment</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0e00a0a79974386b3a5672a0b17ea43">
              <w:r>
                <w:rPr>
                  <w:rStyle w:val="InternetLink"/>
                  <w:rFonts w:ascii="Times New Roman;serif" w:hAnsi="Times New Roman;serif"/>
                  <w:b w:val="false"/>
                  <w:strike w:val="false"/>
                  <w:dstrike w:val="false"/>
                  <w:color w:val="000000"/>
                  <w:sz w:val="20"/>
                  <w:u w:val="none"/>
                  <w:effect w:val="none"/>
                </w:rPr>
                <w:t>55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10eb00310d745f797fdfea3e90f5465">
              <w:r>
                <w:rPr>
                  <w:rStyle w:val="InternetLink"/>
                  <w:rFonts w:ascii="Times New Roman;serif" w:hAnsi="Times New Roman;serif"/>
                  <w:b w:val="false"/>
                  <w:strike w:val="false"/>
                  <w:dstrike w:val="false"/>
                  <w:color w:val="000000"/>
                  <w:sz w:val="20"/>
                  <w:u w:val="none"/>
                  <w:effect w:val="none"/>
                </w:rPr>
                <w:t>I. Leases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10eb00310d745f797fdfea3e90f5465">
              <w:r>
                <w:rPr>
                  <w:rStyle w:val="InternetLink"/>
                  <w:rFonts w:ascii="Times New Roman;serif" w:hAnsi="Times New Roman;serif"/>
                  <w:b w:val="false"/>
                  <w:strike w:val="false"/>
                  <w:dstrike w:val="false"/>
                  <w:color w:val="000000"/>
                  <w:sz w:val="20"/>
                  <w:u w:val="none"/>
                  <w:effect w:val="none"/>
                </w:rPr>
                <w:t>55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d037ec9ee6401088e323e47fe11eb2">
              <w:r>
                <w:rPr>
                  <w:rStyle w:val="InternetLink"/>
                  <w:rFonts w:ascii="Times New Roman;serif" w:hAnsi="Times New Roman;serif"/>
                  <w:b w:val="false"/>
                  <w:strike w:val="false"/>
                  <w:dstrike w:val="false"/>
                  <w:color w:val="000000"/>
                  <w:sz w:val="20"/>
                  <w:u w:val="none"/>
                  <w:effect w:val="none"/>
                </w:rPr>
                <w:t>J. Other Non-Current Assets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d037ec9ee6401088e323e47fe11eb2">
              <w:r>
                <w:rPr>
                  <w:rStyle w:val="InternetLink"/>
                  <w:rFonts w:ascii="Times New Roman;serif" w:hAnsi="Times New Roman;serif"/>
                  <w:b w:val="false"/>
                  <w:strike w:val="false"/>
                  <w:dstrike w:val="false"/>
                  <w:color w:val="000000"/>
                  <w:sz w:val="20"/>
                  <w:u w:val="none"/>
                  <w:effect w:val="none"/>
                </w:rPr>
                <w:t>57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64ffcf21af4367914270f4e5d65a18">
              <w:r>
                <w:rPr>
                  <w:rStyle w:val="InternetLink"/>
                  <w:rFonts w:ascii="Times New Roman;serif" w:hAnsi="Times New Roman;serif"/>
                  <w:b w:val="false"/>
                  <w:strike w:val="false"/>
                  <w:dstrike w:val="false"/>
                  <w:color w:val="000000"/>
                  <w:sz w:val="20"/>
                  <w:u w:val="none"/>
                  <w:effect w:val="none"/>
                </w:rPr>
                <w:t>K. Accrued Liabilities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464ffcf21af4367914270f4e5d65a18">
              <w:r>
                <w:rPr>
                  <w:rStyle w:val="InternetLink"/>
                  <w:rFonts w:ascii="Times New Roman;serif" w:hAnsi="Times New Roman;serif"/>
                  <w:b w:val="false"/>
                  <w:strike w:val="false"/>
                  <w:dstrike w:val="false"/>
                  <w:color w:val="000000"/>
                  <w:sz w:val="20"/>
                  <w:u w:val="none"/>
                  <w:effect w:val="none"/>
                </w:rPr>
                <w:t>57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9ba182e18b4f5cb39a0854b83eda68">
              <w:r>
                <w:rPr>
                  <w:rStyle w:val="InternetLink"/>
                  <w:rFonts w:ascii="Times New Roman;serif" w:hAnsi="Times New Roman;serif"/>
                  <w:b w:val="false"/>
                  <w:strike w:val="false"/>
                  <w:dstrike w:val="false"/>
                  <w:color w:val="000000"/>
                  <w:sz w:val="20"/>
                  <w:u w:val="none"/>
                  <w:effect w:val="none"/>
                </w:rPr>
                <w:t>L. Supplier Finance Program Obligations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9ba182e18b4f5cb39a0854b83eda68">
              <w:r>
                <w:rPr>
                  <w:rStyle w:val="InternetLink"/>
                  <w:rFonts w:ascii="Times New Roman;serif" w:hAnsi="Times New Roman;serif"/>
                  <w:b w:val="false"/>
                  <w:strike w:val="false"/>
                  <w:dstrike w:val="false"/>
                  <w:color w:val="000000"/>
                  <w:sz w:val="20"/>
                  <w:u w:val="none"/>
                  <w:effect w:val="none"/>
                </w:rPr>
                <w:t>57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c4b868fc054b87a49a38c868002278">
              <w:r>
                <w:rPr>
                  <w:rStyle w:val="InternetLink"/>
                  <w:rFonts w:ascii="Times New Roman;serif" w:hAnsi="Times New Roman;serif"/>
                  <w:b w:val="false"/>
                  <w:strike w:val="false"/>
                  <w:dstrike w:val="false"/>
                  <w:color w:val="000000"/>
                  <w:sz w:val="20"/>
                  <w:u w:val="none"/>
                  <w:effect w:val="none"/>
                </w:rPr>
                <w:t>M. Restructuring and Other</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c4b868fc054b87a49a38c868002278">
              <w:r>
                <w:rPr>
                  <w:rStyle w:val="InternetLink"/>
                  <w:rFonts w:ascii="Times New Roman;serif" w:hAnsi="Times New Roman;serif"/>
                  <w:b w:val="false"/>
                  <w:strike w:val="false"/>
                  <w:dstrike w:val="false"/>
                  <w:color w:val="000000"/>
                  <w:sz w:val="20"/>
                  <w:u w:val="none"/>
                  <w:effect w:val="none"/>
                </w:rPr>
                <w:t>58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3fa18727f124fbd94c9490bb6c57d37">
              <w:r>
                <w:rPr>
                  <w:rStyle w:val="InternetLink"/>
                  <w:rFonts w:ascii="Times New Roman;serif" w:hAnsi="Times New Roman;serif"/>
                  <w:b w:val="false"/>
                  <w:strike w:val="false"/>
                  <w:dstrike w:val="false"/>
                  <w:color w:val="000000"/>
                  <w:sz w:val="20"/>
                  <w:u w:val="none"/>
                  <w:effect w:val="none"/>
                </w:rPr>
                <w:t>N. Debt</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3fa18727f124fbd94c9490bb6c57d37">
              <w:r>
                <w:rPr>
                  <w:rStyle w:val="InternetLink"/>
                  <w:rFonts w:ascii="Times New Roman;serif" w:hAnsi="Times New Roman;serif"/>
                  <w:b w:val="false"/>
                  <w:strike w:val="false"/>
                  <w:dstrike w:val="false"/>
                  <w:color w:val="000000"/>
                  <w:sz w:val="20"/>
                  <w:u w:val="none"/>
                  <w:effect w:val="none"/>
                </w:rPr>
                <w:t>60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112fc423304d67914e90422f2be5ef">
              <w:r>
                <w:rPr>
                  <w:rStyle w:val="InternetLink"/>
                  <w:rFonts w:ascii="Times New Roman;serif" w:hAnsi="Times New Roman;serif"/>
                  <w:b w:val="false"/>
                  <w:strike w:val="false"/>
                  <w:dstrike w:val="false"/>
                  <w:color w:val="000000"/>
                  <w:sz w:val="20"/>
                  <w:u w:val="none"/>
                  <w:effect w:val="none"/>
                </w:rPr>
                <w:t>O. Derivative and Other Financial Instruments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112fc423304d67914e90422f2be5ef">
              <w:r>
                <w:rPr>
                  <w:rStyle w:val="InternetLink"/>
                  <w:rFonts w:ascii="Times New Roman;serif" w:hAnsi="Times New Roman;serif"/>
                  <w:b w:val="false"/>
                  <w:strike w:val="false"/>
                  <w:dstrike w:val="false"/>
                  <w:color w:val="000000"/>
                  <w:sz w:val="20"/>
                  <w:u w:val="none"/>
                  <w:effect w:val="none"/>
                </w:rPr>
                <w:t>61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323372b549a440cbbb947ac6bc0e631">
              <w:r>
                <w:rPr>
                  <w:rStyle w:val="InternetLink"/>
                  <w:rFonts w:ascii="Times New Roman;serif" w:hAnsi="Times New Roman;serif"/>
                  <w:b w:val="false"/>
                  <w:strike w:val="false"/>
                  <w:dstrike w:val="false"/>
                  <w:color w:val="000000"/>
                  <w:sz w:val="20"/>
                  <w:u w:val="none"/>
                  <w:effect w:val="none"/>
                </w:rPr>
                <w:t>P. Asbestos-Related Liabilities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323372b549a440cbbb947ac6bc0e631">
              <w:r>
                <w:rPr>
                  <w:rStyle w:val="InternetLink"/>
                  <w:rFonts w:ascii="Times New Roman;serif" w:hAnsi="Times New Roman;serif"/>
                  <w:b w:val="false"/>
                  <w:strike w:val="false"/>
                  <w:dstrike w:val="false"/>
                  <w:color w:val="000000"/>
                  <w:sz w:val="20"/>
                  <w:u w:val="none"/>
                  <w:effect w:val="none"/>
                </w:rPr>
                <w:t>65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e908c7a5e354da1b05395db3c5fae89">
              <w:r>
                <w:rPr>
                  <w:rStyle w:val="InternetLink"/>
                  <w:rFonts w:ascii="Times New Roman;serif" w:hAnsi="Times New Roman;serif"/>
                  <w:b w:val="false"/>
                  <w:strike w:val="false"/>
                  <w:dstrike w:val="false"/>
                  <w:color w:val="000000"/>
                  <w:sz w:val="20"/>
                  <w:u w:val="none"/>
                  <w:effect w:val="none"/>
                </w:rPr>
                <w:t>Q. Commitments and Contingent Liabilities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e908c7a5e354da1b05395db3c5fae89">
              <w:r>
                <w:rPr>
                  <w:rStyle w:val="InternetLink"/>
                  <w:rFonts w:ascii="Times New Roman;serif" w:hAnsi="Times New Roman;serif"/>
                  <w:b w:val="false"/>
                  <w:strike w:val="false"/>
                  <w:dstrike w:val="false"/>
                  <w:color w:val="000000"/>
                  <w:sz w:val="20"/>
                  <w:u w:val="none"/>
                  <w:effect w:val="none"/>
                </w:rPr>
                <w:t>67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0efa5bcdad4722af3660cc78d9ac95">
              <w:r>
                <w:rPr>
                  <w:rStyle w:val="InternetLink"/>
                  <w:rFonts w:ascii="Times New Roman;serif" w:hAnsi="Times New Roman;serif"/>
                  <w:b w:val="false"/>
                  <w:strike w:val="false"/>
                  <w:dstrike w:val="false"/>
                  <w:color w:val="000000"/>
                  <w:sz w:val="20"/>
                  <w:u w:val="none"/>
                  <w:effect w:val="none"/>
                </w:rPr>
                <w:t>R. Other Non-Current Liabilities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0efa5bcdad4722af3660cc78d9ac95">
              <w:r>
                <w:rPr>
                  <w:rStyle w:val="InternetLink"/>
                  <w:rFonts w:ascii="Times New Roman;serif" w:hAnsi="Times New Roman;serif"/>
                  <w:b w:val="false"/>
                  <w:strike w:val="false"/>
                  <w:dstrike w:val="false"/>
                  <w:color w:val="000000"/>
                  <w:sz w:val="20"/>
                  <w:u w:val="none"/>
                  <w:effect w:val="none"/>
                </w:rPr>
                <w:t>68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93f429f0ae146ef99393b57111cb0ef">
              <w:r>
                <w:rPr>
                  <w:rStyle w:val="InternetLink"/>
                  <w:rFonts w:ascii="Times New Roman;serif" w:hAnsi="Times New Roman;serif"/>
                  <w:b w:val="false"/>
                  <w:strike w:val="false"/>
                  <w:dstrike w:val="false"/>
                  <w:color w:val="000000"/>
                  <w:sz w:val="20"/>
                  <w:u w:val="none"/>
                  <w:effect w:val="none"/>
                </w:rPr>
                <w:t>S. Pension and Other Postretirement Benefits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93f429f0ae146ef99393b57111cb0ef">
              <w:r>
                <w:rPr>
                  <w:rStyle w:val="InternetLink"/>
                  <w:rFonts w:ascii="Times New Roman;serif" w:hAnsi="Times New Roman;serif"/>
                  <w:b w:val="false"/>
                  <w:strike w:val="false"/>
                  <w:dstrike w:val="false"/>
                  <w:color w:val="000000"/>
                  <w:sz w:val="20"/>
                  <w:u w:val="none"/>
                  <w:effect w:val="none"/>
                </w:rPr>
                <w:t>69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04dd3263c64cec9011eb4f11dc136f">
              <w:r>
                <w:rPr>
                  <w:rStyle w:val="InternetLink"/>
                  <w:rFonts w:ascii="Times New Roman;serif" w:hAnsi="Times New Roman;serif"/>
                  <w:b w:val="false"/>
                  <w:strike w:val="false"/>
                  <w:dstrike w:val="false"/>
                  <w:color w:val="000000"/>
                  <w:sz w:val="20"/>
                  <w:u w:val="none"/>
                  <w:effect w:val="none"/>
                </w:rPr>
                <w:t>T. Income Taxes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404dd3263c64cec9011eb4f11dc136f">
              <w:r>
                <w:rPr>
                  <w:rStyle w:val="InternetLink"/>
                  <w:rFonts w:ascii="Times New Roman;serif" w:hAnsi="Times New Roman;serif"/>
                  <w:b w:val="false"/>
                  <w:strike w:val="false"/>
                  <w:dstrike w:val="false"/>
                  <w:color w:val="000000"/>
                  <w:sz w:val="20"/>
                  <w:u w:val="none"/>
                  <w:effect w:val="none"/>
                </w:rPr>
                <w:t>77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14ae5082d4a4ffaa545f9abd03bc5f8">
              <w:r>
                <w:rPr>
                  <w:rStyle w:val="InternetLink"/>
                  <w:rFonts w:ascii="Times New Roman;serif" w:hAnsi="Times New Roman;serif"/>
                  <w:b w:val="false"/>
                  <w:strike w:val="false"/>
                  <w:dstrike w:val="false"/>
                  <w:color w:val="000000"/>
                  <w:sz w:val="20"/>
                  <w:u w:val="none"/>
                  <w:effect w:val="none"/>
                </w:rPr>
                <w:t>U. Capital Stock</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14ae5082d4a4ffaa545f9abd03bc5f8">
              <w:r>
                <w:rPr>
                  <w:rStyle w:val="InternetLink"/>
                  <w:rFonts w:ascii="Times New Roman;serif" w:hAnsi="Times New Roman;serif"/>
                  <w:b w:val="false"/>
                  <w:strike w:val="false"/>
                  <w:dstrike w:val="false"/>
                  <w:color w:val="000000"/>
                  <w:sz w:val="20"/>
                  <w:u w:val="none"/>
                  <w:effect w:val="none"/>
                </w:rPr>
                <w:t>81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2ca9870abb43f0b79ba1f50febc80d">
              <w:r>
                <w:rPr>
                  <w:rStyle w:val="InternetLink"/>
                  <w:rFonts w:ascii="Times New Roman;serif" w:hAnsi="Times New Roman;serif"/>
                  <w:b w:val="false"/>
                  <w:strike w:val="false"/>
                  <w:dstrike w:val="false"/>
                  <w:color w:val="000000"/>
                  <w:sz w:val="20"/>
                  <w:u w:val="none"/>
                  <w:effect w:val="none"/>
                </w:rPr>
                <w:t>V. Accumulated Other Comprehensive Loss Attributable to Crown Holdings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2ca9870abb43f0b79ba1f50febc80d">
              <w:r>
                <w:rPr>
                  <w:rStyle w:val="InternetLink"/>
                  <w:rFonts w:ascii="Times New Roman;serif" w:hAnsi="Times New Roman;serif"/>
                  <w:b w:val="false"/>
                  <w:strike w:val="false"/>
                  <w:dstrike w:val="false"/>
                  <w:color w:val="000000"/>
                  <w:sz w:val="20"/>
                  <w:u w:val="none"/>
                  <w:effect w:val="none"/>
                </w:rPr>
                <w:t>82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8bdd77cd534def98f575a14053f498">
              <w:r>
                <w:rPr>
                  <w:rStyle w:val="InternetLink"/>
                  <w:rFonts w:ascii="Times New Roman;serif" w:hAnsi="Times New Roman;serif"/>
                  <w:b w:val="false"/>
                  <w:strike w:val="false"/>
                  <w:dstrike w:val="false"/>
                  <w:color w:val="000000"/>
                  <w:sz w:val="20"/>
                  <w:u w:val="none"/>
                  <w:effect w:val="none"/>
                </w:rPr>
                <w:t>W. Revenue</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8bdd77cd534def98f575a14053f498">
              <w:r>
                <w:rPr>
                  <w:rStyle w:val="InternetLink"/>
                  <w:rFonts w:ascii="Times New Roman;serif" w:hAnsi="Times New Roman;serif"/>
                  <w:b w:val="false"/>
                  <w:strike w:val="false"/>
                  <w:dstrike w:val="false"/>
                  <w:color w:val="000000"/>
                  <w:sz w:val="20"/>
                  <w:u w:val="none"/>
                  <w:effect w:val="none"/>
                </w:rPr>
                <w:t>82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da3ed039a97430fb7f2298a6a2568f1">
              <w:r>
                <w:rPr>
                  <w:rStyle w:val="InternetLink"/>
                  <w:rFonts w:ascii="Times New Roman;serif" w:hAnsi="Times New Roman;serif"/>
                  <w:b w:val="false"/>
                  <w:strike w:val="false"/>
                  <w:dstrike w:val="false"/>
                  <w:color w:val="000000"/>
                  <w:sz w:val="20"/>
                  <w:u w:val="none"/>
                  <w:effect w:val="none"/>
                </w:rPr>
                <w:t>X. Stock-Based Compensation</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a3ed039a97430fb7f2298a6a2568f1">
              <w:r>
                <w:rPr>
                  <w:rStyle w:val="InternetLink"/>
                  <w:rFonts w:ascii="Times New Roman;serif" w:hAnsi="Times New Roman;serif"/>
                  <w:b w:val="false"/>
                  <w:strike w:val="false"/>
                  <w:dstrike w:val="false"/>
                  <w:color w:val="000000"/>
                  <w:sz w:val="20"/>
                  <w:u w:val="none"/>
                  <w:effect w:val="none"/>
                </w:rPr>
                <w:t>82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13aa0151ad4c93bf63032629cea218">
              <w:r>
                <w:rPr>
                  <w:rStyle w:val="InternetLink"/>
                  <w:rFonts w:ascii="Times New Roman;serif" w:hAnsi="Times New Roman;serif"/>
                  <w:b w:val="false"/>
                  <w:strike w:val="false"/>
                  <w:dstrike w:val="false"/>
                  <w:color w:val="000000"/>
                  <w:sz w:val="20"/>
                  <w:u w:val="none"/>
                  <w:effect w:val="none"/>
                </w:rPr>
                <w:t>Y. Earnings Per Share</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13aa0151ad4c93bf63032629cea218">
              <w:r>
                <w:rPr>
                  <w:rStyle w:val="InternetLink"/>
                  <w:rFonts w:ascii="Times New Roman;serif" w:hAnsi="Times New Roman;serif"/>
                  <w:b w:val="false"/>
                  <w:strike w:val="false"/>
                  <w:dstrike w:val="false"/>
                  <w:color w:val="000000"/>
                  <w:sz w:val="20"/>
                  <w:u w:val="none"/>
                  <w:effect w:val="none"/>
                </w:rPr>
                <w:t>83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4c3c33a8634e5c8ed8d84e7e073040">
              <w:r>
                <w:rPr>
                  <w:rStyle w:val="InternetLink"/>
                  <w:rFonts w:ascii="Times New Roman;serif" w:hAnsi="Times New Roman;serif"/>
                  <w:b w:val="false"/>
                  <w:strike w:val="false"/>
                  <w:dstrike w:val="false"/>
                  <w:color w:val="000000"/>
                  <w:sz w:val="20"/>
                  <w:u w:val="none"/>
                  <w:effect w:val="none"/>
                </w:rPr>
                <w:t>Z. Segment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e4c3c33a8634e5c8ed8d84e7e073040">
              <w:r>
                <w:rPr>
                  <w:rStyle w:val="InternetLink"/>
                  <w:rFonts w:ascii="Times New Roman;serif" w:hAnsi="Times New Roman;serif"/>
                  <w:b w:val="false"/>
                  <w:strike w:val="false"/>
                  <w:dstrike w:val="false"/>
                  <w:color w:val="000000"/>
                  <w:sz w:val="20"/>
                  <w:u w:val="none"/>
                  <w:effect w:val="none"/>
                </w:rPr>
                <w:t>85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88eef5125546b28da0a1f924361b7a">
              <w:r>
                <w:rPr>
                  <w:rStyle w:val="InternetLink"/>
                  <w:rFonts w:ascii="Times New Roman;serif" w:hAnsi="Times New Roman;serif"/>
                  <w:b w:val="false"/>
                  <w:strike w:val="false"/>
                  <w:dstrike w:val="false"/>
                  <w:color w:val="000000"/>
                  <w:sz w:val="20"/>
                  <w:u w:val="none"/>
                  <w:effect w:val="none"/>
                </w:rPr>
                <w:t>SCHEDULE II – Valuation and Qualifying Accounts and Reserves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88eef5125546b28da0a1f924361b7a">
              <w:r>
                <w:rPr>
                  <w:rStyle w:val="InternetLink"/>
                  <w:rFonts w:ascii="Times New Roman;serif" w:hAnsi="Times New Roman;serif"/>
                  <w:b w:val="false"/>
                  <w:strike w:val="false"/>
                  <w:dstrike w:val="false"/>
                  <w:color w:val="000000"/>
                  <w:sz w:val="20"/>
                  <w:u w:val="none"/>
                  <w:effect w:val="none"/>
                </w:rPr>
                <w:t>88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tbl>
      <w:tblPr>
        <w:tblW w:w="9461" w:type="dxa"/>
        <w:jc w:val="center"/>
        <w:tblInd w:w="0" w:type="dxa"/>
        <w:tblLayout w:type="fixed"/>
        <w:tblCellMar>
          <w:top w:w="28" w:type="dxa"/>
          <w:left w:w="28" w:type="dxa"/>
          <w:bottom w:w="28" w:type="dxa"/>
          <w:right w:w="28" w:type="dxa"/>
        </w:tblCellMar>
      </w:tblPr>
      <w:tblGrid>
        <w:gridCol w:w="3292"/>
        <w:gridCol w:w="2895"/>
        <w:gridCol w:w="2902"/>
        <w:gridCol w:w="109"/>
        <w:gridCol w:w="109"/>
        <w:gridCol w:w="154"/>
      </w:tblGrid>
      <w:tr>
        <w:trPr/>
        <w:tc>
          <w:tcPr>
            <w:tcW w:w="3292"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684e28a12a4e3b9e310cbc54efff4b">
              <w:r>
                <w:rPr>
                  <w:rStyle w:val="InternetLink"/>
                  <w:rFonts w:ascii="Times New Roman;serif" w:hAnsi="Times New Roman;serif"/>
                  <w:b w:val="false"/>
                  <w:strike w:val="false"/>
                  <w:dstrike w:val="false"/>
                  <w:color w:val="000000"/>
                  <w:sz w:val="20"/>
                  <w:u w:val="none"/>
                  <w:effect w:val="none"/>
                </w:rPr>
                <w:t>ITEM 9. Changes in and Disagreements with Accountants on Accounting and Financial Disclosure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7684e28a12a4e3b9e310cbc54efff4b">
              <w:r>
                <w:rPr>
                  <w:rStyle w:val="InternetLink"/>
                  <w:rFonts w:ascii="Times New Roman;serif" w:hAnsi="Times New Roman;serif"/>
                  <w:b w:val="false"/>
                  <w:strike w:val="false"/>
                  <w:dstrike w:val="false"/>
                  <w:color w:val="000000"/>
                  <w:sz w:val="20"/>
                  <w:u w:val="none"/>
                  <w:effect w:val="none"/>
                </w:rPr>
                <w:t>88</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c398b86d2194842b36c583b3d87b07f">
              <w:r>
                <w:rPr>
                  <w:rStyle w:val="InternetLink"/>
                  <w:rFonts w:ascii="Times New Roman;serif" w:hAnsi="Times New Roman;serif"/>
                  <w:b w:val="false"/>
                  <w:strike w:val="false"/>
                  <w:dstrike w:val="false"/>
                  <w:color w:val="000000"/>
                  <w:sz w:val="20"/>
                  <w:u w:val="none"/>
                  <w:effect w:val="none"/>
                </w:rPr>
                <w:t>ITEM 9A.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c398b86d2194842b36c583b3d87b07f">
              <w:r>
                <w:rPr>
                  <w:rStyle w:val="InternetLink"/>
                  <w:rFonts w:ascii="Times New Roman;serif" w:hAnsi="Times New Roman;serif"/>
                  <w:b w:val="false"/>
                  <w:strike w:val="false"/>
                  <w:dstrike w:val="false"/>
                  <w:color w:val="000000"/>
                  <w:sz w:val="20"/>
                  <w:u w:val="none"/>
                  <w:effect w:val="none"/>
                </w:rPr>
                <w:t>88</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7b5e9b214554afeab54e46104a13abe">
              <w:r>
                <w:rPr>
                  <w:rStyle w:val="InternetLink"/>
                  <w:rFonts w:ascii="Times New Roman;serif" w:hAnsi="Times New Roman;serif"/>
                  <w:b w:val="false"/>
                  <w:strike w:val="false"/>
                  <w:dstrike w:val="false"/>
                  <w:color w:val="000000"/>
                  <w:sz w:val="20"/>
                  <w:u w:val="none"/>
                  <w:effect w:val="none"/>
                </w:rPr>
                <w:t>ITEM 9B.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7b5e9b214554afeab54e46104a13abe">
              <w:r>
                <w:rPr>
                  <w:rStyle w:val="InternetLink"/>
                  <w:rFonts w:ascii="Times New Roman;serif" w:hAnsi="Times New Roman;serif"/>
                  <w:b w:val="false"/>
                  <w:strike w:val="false"/>
                  <w:dstrike w:val="false"/>
                  <w:color w:val="000000"/>
                  <w:sz w:val="20"/>
                  <w:u w:val="none"/>
                  <w:effect w:val="none"/>
                </w:rPr>
                <w:t>88</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338633cb3534bdab6a1df8a4d720a80">
              <w:r>
                <w:rPr>
                  <w:rStyle w:val="InternetLink"/>
                  <w:rFonts w:ascii="Times New Roman;serif" w:hAnsi="Times New Roman;serif"/>
                  <w:b w:val="false"/>
                  <w:strike w:val="false"/>
                  <w:dstrike w:val="false"/>
                  <w:color w:val="000000"/>
                  <w:sz w:val="20"/>
                  <w:u w:val="none"/>
                  <w:effect w:val="none"/>
                </w:rPr>
                <w:t>ITEM 9C. Disclosure Regarding Foreign Jurisdictions that Prevent Inspections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338633cb3534bdab6a1df8a4d720a80">
              <w:r>
                <w:rPr>
                  <w:rStyle w:val="InternetLink"/>
                  <w:rFonts w:ascii="Times New Roman;serif" w:hAnsi="Times New Roman;serif"/>
                  <w:b w:val="false"/>
                  <w:strike w:val="false"/>
                  <w:dstrike w:val="false"/>
                  <w:color w:val="000000"/>
                  <w:sz w:val="20"/>
                  <w:u w:val="none"/>
                  <w:effect w:val="none"/>
                </w:rPr>
                <w:t>89</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1128d6cfad4544a475a544f1abd59f">
              <w:r>
                <w:rPr>
                  <w:rStyle w:val="InternetLink"/>
                  <w:rFonts w:ascii="Times New Roman;serif" w:hAnsi="Times New Roman;serif"/>
                  <w:b w:val="false"/>
                  <w:strike w:val="false"/>
                  <w:dstrike w:val="false"/>
                  <w:color w:val="000000"/>
                  <w:sz w:val="20"/>
                  <w:u w:val="none"/>
                  <w:effect w:val="none"/>
                </w:rPr>
                <w:t>PART III</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128d6cfad4544a475a544f1abd59f">
              <w:r>
                <w:rPr>
                  <w:rStyle w:val="InternetLink"/>
                  <w:rFonts w:ascii="Times New Roman;serif" w:hAnsi="Times New Roman;serif"/>
                  <w:b w:val="false"/>
                  <w:strike w:val="false"/>
                  <w:dstrike w:val="false"/>
                  <w:color w:val="000000"/>
                  <w:sz w:val="20"/>
                  <w:u w:val="none"/>
                  <w:effect w:val="none"/>
                </w:rPr>
                <w:t>89</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97b28c89c54c5d9f1044fa3e08b2ec">
              <w:r>
                <w:rPr>
                  <w:rStyle w:val="InternetLink"/>
                  <w:rFonts w:ascii="Times New Roman;serif" w:hAnsi="Times New Roman;serif"/>
                  <w:b w:val="false"/>
                  <w:strike w:val="false"/>
                  <w:dstrike w:val="false"/>
                  <w:color w:val="000000"/>
                  <w:sz w:val="20"/>
                  <w:u w:val="none"/>
                  <w:effect w:val="none"/>
                </w:rPr>
                <w:t>ITEM 10. Directors, Executive Officers and 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97b28c89c54c5d9f1044fa3e08b2ec">
              <w:r>
                <w:rPr>
                  <w:rStyle w:val="InternetLink"/>
                  <w:rFonts w:ascii="Times New Roman;serif" w:hAnsi="Times New Roman;serif"/>
                  <w:b w:val="false"/>
                  <w:strike w:val="false"/>
                  <w:dstrike w:val="false"/>
                  <w:color w:val="000000"/>
                  <w:sz w:val="20"/>
                  <w:u w:val="none"/>
                  <w:effect w:val="none"/>
                </w:rPr>
                <w:t>89</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0a1aae6b504739a16c04696d432f4e">
              <w:r>
                <w:rPr>
                  <w:rStyle w:val="InternetLink"/>
                  <w:rFonts w:ascii="Times New Roman;serif" w:hAnsi="Times New Roman;serif"/>
                  <w:b w:val="false"/>
                  <w:strike w:val="false"/>
                  <w:dstrike w:val="false"/>
                  <w:color w:val="000000"/>
                  <w:sz w:val="20"/>
                  <w:u w:val="none"/>
                  <w:effect w:val="none"/>
                </w:rPr>
                <w:t>ITEM 11. 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0a1aae6b504739a16c04696d432f4e">
              <w:r>
                <w:rPr>
                  <w:rStyle w:val="InternetLink"/>
                  <w:rFonts w:ascii="Times New Roman;serif" w:hAnsi="Times New Roman;serif"/>
                  <w:b w:val="false"/>
                  <w:strike w:val="false"/>
                  <w:dstrike w:val="false"/>
                  <w:color w:val="000000"/>
                  <w:sz w:val="20"/>
                  <w:u w:val="none"/>
                  <w:effect w:val="none"/>
                </w:rPr>
                <w:t>89</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d77d722e474782b2a34af7d3c8fc36">
              <w:r>
                <w:rPr>
                  <w:rStyle w:val="InternetLink"/>
                  <w:rFonts w:ascii="Times New Roman;serif" w:hAnsi="Times New Roman;serif"/>
                  <w:b w:val="false"/>
                  <w:strike w:val="false"/>
                  <w:dstrike w:val="false"/>
                  <w:color w:val="000000"/>
                  <w:sz w:val="20"/>
                  <w:u w:val="none"/>
                  <w:effect w:val="none"/>
                </w:rPr>
                <w:t>ITEM 12. Security Ownership of Certain Beneficial Owners and Management and Related Stockholder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ed77d722e474782b2a34af7d3c8fc36">
              <w:r>
                <w:rPr>
                  <w:rStyle w:val="InternetLink"/>
                  <w:rFonts w:ascii="Times New Roman;serif" w:hAnsi="Times New Roman;serif"/>
                  <w:b w:val="false"/>
                  <w:strike w:val="false"/>
                  <w:dstrike w:val="false"/>
                  <w:color w:val="000000"/>
                  <w:sz w:val="20"/>
                  <w:u w:val="none"/>
                  <w:effect w:val="none"/>
                </w:rPr>
                <w:t>90</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2aae6ae13f40c4893c2fb49142390b">
              <w:r>
                <w:rPr>
                  <w:rStyle w:val="InternetLink"/>
                  <w:rFonts w:ascii="Times New Roman;serif" w:hAnsi="Times New Roman;serif"/>
                  <w:b w:val="false"/>
                  <w:strike w:val="false"/>
                  <w:dstrike w:val="false"/>
                  <w:color w:val="000000"/>
                  <w:sz w:val="20"/>
                  <w:u w:val="none"/>
                  <w:effect w:val="none"/>
                </w:rPr>
                <w:t xml:space="preserve">ITEM 13. Certain Relationships and Related Transactions, and Director Independence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2aae6ae13f40c4893c2fb49142390b">
              <w:r>
                <w:rPr>
                  <w:rStyle w:val="InternetLink"/>
                  <w:rFonts w:ascii="Times New Roman;serif" w:hAnsi="Times New Roman;serif"/>
                  <w:b w:val="false"/>
                  <w:strike w:val="false"/>
                  <w:dstrike w:val="false"/>
                  <w:color w:val="000000"/>
                  <w:sz w:val="20"/>
                  <w:u w:val="none"/>
                  <w:effect w:val="none"/>
                </w:rPr>
                <w:t>90</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9883ab613649ef94721fe5bc1d3d0c">
              <w:r>
                <w:rPr>
                  <w:rStyle w:val="InternetLink"/>
                  <w:rFonts w:ascii="Times New Roman;serif" w:hAnsi="Times New Roman;serif"/>
                  <w:b w:val="false"/>
                  <w:strike w:val="false"/>
                  <w:dstrike w:val="false"/>
                  <w:color w:val="000000"/>
                  <w:sz w:val="20"/>
                  <w:u w:val="none"/>
                  <w:effect w:val="none"/>
                </w:rPr>
                <w:t>ITEM 14. Principal Accounting Fees and Services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9883ab613649ef94721fe5bc1d3d0c">
              <w:r>
                <w:rPr>
                  <w:rStyle w:val="InternetLink"/>
                  <w:rFonts w:ascii="Times New Roman;serif" w:hAnsi="Times New Roman;serif"/>
                  <w:b w:val="false"/>
                  <w:strike w:val="false"/>
                  <w:dstrike w:val="false"/>
                  <w:color w:val="000000"/>
                  <w:sz w:val="20"/>
                  <w:u w:val="none"/>
                  <w:effect w:val="none"/>
                </w:rPr>
                <w:t>90</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5b9ad00adc0424a85f26512085b89c8">
              <w:r>
                <w:rPr>
                  <w:rStyle w:val="InternetLink"/>
                  <w:rFonts w:ascii="Times New Roman;serif" w:hAnsi="Times New Roman;serif"/>
                  <w:b w:val="false"/>
                  <w:strike w:val="false"/>
                  <w:dstrike w:val="false"/>
                  <w:color w:val="000000"/>
                  <w:sz w:val="20"/>
                  <w:u w:val="none"/>
                  <w:effect w:val="none"/>
                </w:rPr>
                <w:t>PART IV</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5b9ad00adc0424a85f26512085b89c8">
              <w:r>
                <w:rPr>
                  <w:rStyle w:val="InternetLink"/>
                  <w:rFonts w:ascii="Times New Roman;serif" w:hAnsi="Times New Roman;serif"/>
                  <w:b w:val="false"/>
                  <w:strike w:val="false"/>
                  <w:dstrike w:val="false"/>
                  <w:color w:val="000000"/>
                  <w:sz w:val="20"/>
                  <w:u w:val="none"/>
                  <w:effect w:val="none"/>
                </w:rPr>
                <w:t>91</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8db99dfad44b23a25b0620c8827869">
              <w:r>
                <w:rPr>
                  <w:rStyle w:val="InternetLink"/>
                  <w:rFonts w:ascii="Times New Roman;serif" w:hAnsi="Times New Roman;serif"/>
                  <w:b w:val="false"/>
                  <w:strike w:val="false"/>
                  <w:dstrike w:val="false"/>
                  <w:color w:val="000000"/>
                  <w:sz w:val="20"/>
                  <w:u w:val="none"/>
                  <w:effect w:val="none"/>
                </w:rPr>
                <w:t>ITEM 15. Exhibits and Financial Statement Schedules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8db99dfad44b23a25b0620c8827869">
              <w:r>
                <w:rPr>
                  <w:rStyle w:val="InternetLink"/>
                  <w:rFonts w:ascii="Times New Roman;serif" w:hAnsi="Times New Roman;serif"/>
                  <w:b w:val="false"/>
                  <w:strike w:val="false"/>
                  <w:dstrike w:val="false"/>
                  <w:color w:val="000000"/>
                  <w:sz w:val="20"/>
                  <w:u w:val="none"/>
                  <w:effect w:val="none"/>
                </w:rPr>
                <w:t>91</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855d2a182904ae6a8c47ea60774dae8">
              <w:r>
                <w:rPr>
                  <w:rStyle w:val="InternetLink"/>
                  <w:rFonts w:ascii="Times New Roman;serif" w:hAnsi="Times New Roman;serif"/>
                  <w:b w:val="false"/>
                  <w:strike w:val="false"/>
                  <w:dstrike w:val="false"/>
                  <w:color w:val="000000"/>
                  <w:sz w:val="20"/>
                  <w:u w:val="none"/>
                  <w:effect w:val="none"/>
                </w:rPr>
                <w:t>ITEM 16. Form 10-K Summary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855d2a182904ae6a8c47ea60774dae8">
              <w:r>
                <w:rPr>
                  <w:rStyle w:val="InternetLink"/>
                  <w:rFonts w:ascii="Times New Roman;serif" w:hAnsi="Times New Roman;serif"/>
                  <w:b w:val="false"/>
                  <w:strike w:val="false"/>
                  <w:dstrike w:val="false"/>
                  <w:color w:val="000000"/>
                  <w:sz w:val="20"/>
                  <w:u w:val="none"/>
                  <w:effect w:val="none"/>
                </w:rPr>
                <w:t>98</w:t>
              </w:r>
            </w:hyperlink>
          </w:p>
        </w:tc>
      </w:tr>
      <w:tr>
        <w:trPr/>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7776ba0f544a28be4e3725f368c9f7">
              <w:r>
                <w:rPr>
                  <w:rStyle w:val="InternetLink"/>
                  <w:rFonts w:ascii="Times New Roman;serif" w:hAnsi="Times New Roman;serif"/>
                  <w:b w:val="false"/>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f7776ba0f544a28be4e3725f368c9f7">
              <w:r>
                <w:rPr>
                  <w:rStyle w:val="InternetLink"/>
                  <w:rFonts w:ascii="Times New Roman;serif" w:hAnsi="Times New Roman;serif"/>
                  <w:b w:val="false"/>
                  <w:strike w:val="false"/>
                  <w:dstrike w:val="false"/>
                  <w:color w:val="000000"/>
                  <w:sz w:val="20"/>
                  <w:u w:val="none"/>
                  <w:effect w:val="none"/>
                </w:rPr>
                <w:t>99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0" w:name="ib4da77b5bf7f43519b648180bad636ba"/>
      <w:bookmarkEnd w:id="0"/>
      <w:r>
        <w:rPr>
          <w:rFonts w:ascii="Times New Roman;serif" w:hAnsi="Times New Roman;serif"/>
          <w:b/>
          <w:color w:val="000000"/>
          <w:sz w:val="20"/>
        </w:rPr>
        <w:t>PART I</w:t>
      </w:r>
    </w:p>
    <w:p>
      <w:pPr>
        <w:pStyle w:val="TextBody"/>
        <w:bidi w:val="0"/>
        <w:spacing w:lineRule="auto" w:line="288" w:before="0" w:after="0"/>
        <w:ind w:left="0" w:right="0" w:hanging="810"/>
        <w:jc w:val="both"/>
        <w:rPr>
          <w:rFonts w:ascii="Times New Roman;serif" w:hAnsi="Times New Roman;serif"/>
          <w:b w:val="false"/>
          <w:color w:val="000000"/>
          <w:sz w:val="20"/>
          <w:u w:val="single"/>
        </w:rPr>
      </w:pPr>
      <w:bookmarkStart w:id="1" w:name="ica0e08d7868c43d3a709174a60554b9d"/>
      <w:bookmarkEnd w:id="1"/>
      <w:r>
        <w:rPr>
          <w:rFonts w:ascii="Times New Roman;serif" w:hAnsi="Times New Roman;serif"/>
          <w:b w:val="false"/>
          <w:color w:val="000000"/>
          <w:sz w:val="20"/>
          <w:u w:val="single"/>
        </w:rPr>
        <w:t>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Crown Holdings, Inc. (the "Company" or the "Registrant") (where the context requires, the "Company" shall include reference to the Company and its consolidated subsidiary companies) is a Pennsylvania corporation.</w:t>
      </w:r>
    </w:p>
    <w:p>
      <w:pPr>
        <w:pStyle w:val="TextBody"/>
        <w:bidi w:val="0"/>
        <w:spacing w:before="0" w:after="0"/>
        <w:jc w:val="both"/>
        <w:rPr/>
      </w:pPr>
      <w:r>
        <w:rPr/>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founded in 1892 and is a leading global diversified packaging business that manufactures metal cans and ends (aluminum and steel) for the beverage, food, and aerosol industries and a wide range of transit packaging products and solutions from multiple substrates including steel, paper, and plastic. The Company’s transit packaging products include automation and equipment technologies, protective packaging solutions, and steel and plastic consumables which are sold into the metals, food and beverage, construction, agricultural, corrugated, and general industries.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At December 31, 2025, the Comp</w:t>
      </w:r>
      <w:r>
        <w:rPr>
          <w:rFonts w:ascii="Times New Roman;serif" w:hAnsi="Times New Roman;serif"/>
          <w:b w:val="false"/>
          <w:color w:val="000000"/>
          <w:sz w:val="20"/>
          <w:shd w:fill="FFFFFF" w:val="clear"/>
        </w:rPr>
        <w:t xml:space="preserve">any operated </w:t>
      </w:r>
      <w:r>
        <w:rPr>
          <w:rFonts w:ascii="Times New Roman;serif" w:hAnsi="Times New Roman;serif"/>
          <w:b w:val="false"/>
          <w:color w:val="000000"/>
          <w:sz w:val="20"/>
        </w:rPr>
        <w:t>179</w:t>
      </w:r>
      <w:r>
        <w:rPr>
          <w:color w:val="000000"/>
          <w:shd w:fill="FFFFFF" w:val="clear"/>
        </w:rPr>
        <w:t xml:space="preserve"> </w:t>
      </w:r>
      <w:r>
        <w:rPr>
          <w:rFonts w:ascii="Times New Roman;serif" w:hAnsi="Times New Roman;serif"/>
          <w:b w:val="false"/>
          <w:color w:val="000000"/>
          <w:sz w:val="20"/>
          <w:shd w:fill="FFFFFF" w:val="clear"/>
        </w:rPr>
        <w:t xml:space="preserve">plants along with sales and service facilities throughout </w:t>
      </w:r>
      <w:r>
        <w:rPr>
          <w:rFonts w:ascii="Times New Roman;serif" w:hAnsi="Times New Roman;serif"/>
          <w:b w:val="false"/>
          <w:color w:val="000000"/>
          <w:sz w:val="20"/>
        </w:rPr>
        <w:t>39</w:t>
      </w:r>
      <w:r>
        <w:rPr>
          <w:color w:val="000000"/>
          <w:shd w:fill="FFFFFF" w:val="clear"/>
        </w:rPr>
        <w:t xml:space="preserve"> </w:t>
      </w:r>
      <w:r>
        <w:rPr>
          <w:rFonts w:ascii="Times New Roman;serif" w:hAnsi="Times New Roman;serif"/>
          <w:b w:val="false"/>
          <w:color w:val="000000"/>
          <w:sz w:val="20"/>
          <w:shd w:fill="FFFFFF" w:val="clear"/>
        </w:rPr>
        <w:t>countries an</w:t>
      </w:r>
      <w:r>
        <w:rPr>
          <w:rFonts w:ascii="Times New Roman;serif" w:hAnsi="Times New Roman;serif"/>
          <w:b w:val="false"/>
          <w:color w:val="000000"/>
          <w:sz w:val="20"/>
        </w:rPr>
        <w:t>d</w:t>
      </w:r>
      <w:r>
        <w:rPr>
          <w:color w:val="000000"/>
          <w:shd w:fill="FFFFFF" w:val="clear"/>
        </w:rPr>
        <w:t xml:space="preserve"> </w:t>
      </w:r>
      <w:r>
        <w:rPr>
          <w:rFonts w:ascii="Times New Roman;serif" w:hAnsi="Times New Roman;serif"/>
          <w:b w:val="false"/>
          <w:color w:val="000000"/>
          <w:sz w:val="20"/>
          <w:shd w:fill="FFFFFF" w:val="clear"/>
        </w:rPr>
        <w:t xml:space="preserve">had approximately 23,000 employees.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consolidated net sales for the Company were </w:t>
      </w:r>
      <w:r>
        <w:rPr>
          <w:rFonts w:ascii="Times New Roman;serif" w:hAnsi="Times New Roman;serif"/>
          <w:b w:val="false"/>
          <w:color w:val="000000"/>
          <w:sz w:val="20"/>
        </w:rPr>
        <w:t>$12.4</w:t>
      </w:r>
      <w:r>
        <w:rPr>
          <w:color w:val="000000"/>
          <w:shd w:fill="FFFFFF" w:val="clear"/>
        </w:rPr>
        <w:t xml:space="preserve"> </w:t>
      </w:r>
      <w:r>
        <w:rPr>
          <w:rFonts w:ascii="Times New Roman;serif" w:hAnsi="Times New Roman;serif"/>
          <w:b w:val="false"/>
          <w:color w:val="000000"/>
          <w:sz w:val="20"/>
          <w:shd w:fill="FFFFFF" w:val="clear"/>
        </w:rPr>
        <w:t>billion with 61% deri</w:t>
      </w:r>
      <w:r>
        <w:rPr>
          <w:rFonts w:ascii="Times New Roman;serif" w:hAnsi="Times New Roman;serif"/>
          <w:b w:val="false"/>
          <w:color w:val="000000"/>
          <w:sz w:val="20"/>
        </w:rPr>
        <w:t xml:space="preserve">ved from operations outside the United States ("U.S."). </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color w:val="000000"/>
          <w:sz w:val="20"/>
        </w:rPr>
        <w:t>Approximately 73% of</w:t>
      </w:r>
      <w:r>
        <w:rPr>
          <w:color w:val="000000"/>
          <w:shd w:fill="FFFFFF" w:val="clear"/>
        </w:rPr>
        <w:t xml:space="preserve"> </w:t>
      </w:r>
      <w:r>
        <w:rPr>
          <w:rFonts w:ascii="Times New Roman;serif" w:hAnsi="Times New Roman;serif"/>
          <w:b w:val="false"/>
          <w:color w:val="000000"/>
          <w:sz w:val="20"/>
          <w:shd w:fill="FFFFFF" w:val="clear"/>
        </w:rPr>
        <w:t>th</w:t>
      </w:r>
      <w:r>
        <w:rPr>
          <w:rFonts w:ascii="Times New Roman;serif" w:hAnsi="Times New Roman;serif"/>
          <w:b w:val="false"/>
          <w:color w:val="000000"/>
          <w:sz w:val="20"/>
        </w:rPr>
        <w:t xml:space="preserve">e Company’s consolidated net sales were derived from the Company’s global beverage can business. Over the last several years, the Company has deployed capital to expand production capacity in its global beverage can operations to support growing customer demand in both the alcoholic and non-alcoholic drink categories serving local, regional and global customers. The beverage can continues to disproportionately be the package of choice for new beverage product introductions. The Company continues to drive innovation by increasing its ability to offer multiple specialty can sizes, including slim and sleek cans, to help customers differentiate their products. It also continues to deliver new printing and decorating capabilities, as well as services that aid customers throughout the entire production cycle, from consultation and development to line implementation and quality assurance.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is guided by commitments to its stakeholders and its own goals to foster a resilient business with longevity, which requires an emphasis on financial performance and sustainability. The Company’s </w:t>
      </w:r>
      <w:r>
        <w:rPr>
          <w:rFonts w:ascii="Times New Roman;serif" w:hAnsi="Times New Roman;serif"/>
          <w:b/>
          <w:color w:val="000000"/>
          <w:sz w:val="20"/>
        </w:rPr>
        <w:t>Twenty</w:t>
      </w:r>
      <w:r>
        <w:rPr>
          <w:rFonts w:ascii="Times New Roman;serif" w:hAnsi="Times New Roman;serif"/>
          <w:b w:val="false"/>
          <w:color w:val="000000"/>
          <w:sz w:val="20"/>
        </w:rPr>
        <w:t>by</w:t>
      </w:r>
      <w:r>
        <w:rPr>
          <w:rFonts w:ascii="Times New Roman;serif" w:hAnsi="Times New Roman;serif"/>
          <w:b/>
          <w:color w:val="000000"/>
          <w:sz w:val="20"/>
        </w:rPr>
        <w:t>30</w:t>
      </w:r>
      <w:r>
        <w:rPr>
          <w:rFonts w:ascii="Times New Roman;serif" w:hAnsi="Times New Roman;serif"/>
          <w:b/>
          <w:color w:val="000000"/>
          <w:sz w:val="13"/>
        </w:rPr>
        <w:t>TM</w:t>
      </w:r>
      <w:r>
        <w:rPr>
          <w:color w:val="000000"/>
        </w:rPr>
        <w:t xml:space="preserve"> </w:t>
      </w:r>
      <w:r>
        <w:rPr>
          <w:rFonts w:ascii="Times New Roman;serif" w:hAnsi="Times New Roman;serif"/>
          <w:b w:val="false"/>
          <w:color w:val="000000"/>
          <w:sz w:val="20"/>
        </w:rPr>
        <w:t>program, which is a comprehensive sustainability strategy that outlines twenty measurable goals to be achieved by 2030, has accelerated critical initiatives and progress around carbon footprint management and efficient use of resources, among other issues.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leverage the inherent eco-friendly benefits of its primary product, metal packaging, to advance toward its targets. Both aluminum and steel cans are infinitely recyclable. Aluminum beverage cans remain the world’s most recycled beverage packaging, exemplify sustainability and are a strong contributor to the circular economy. The Company is working in conjunction with industry partners to drive higher recycling rates and increase recycled content to ensure infinitely recycled metal packaging is available for generations of future use. Additionally, Transit Packaging uses recycled materials in its paper, cardboard, and strapping products.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REPORTABLE SEGMENTS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business is generally organized by product line and geography. The reportable segments are: Americas Beverage, European Beverage, Asia Pacific, and Transit Packaging. Operations are managed regionally to best serve our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AMERICAS BEVERAGE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Americas Beverage segment manufactures infinitely recyclable aluminum beverage cans and ends, glass bottles, steel crowns and aluminum caps. Manufacturing facilities are located in the U.S., Brazil, Canada, Colombia, and Mexico. Americas Beverage had net sales in 2025 of $5.6 billion and segment income (as defined under </w:t>
      </w:r>
      <w:hyperlink w:anchor="i52f6ed3525d042f787f54b954ed2f9f2_157">
        <w:r>
          <w:rPr>
            <w:rStyle w:val="InternetLink"/>
            <w:rFonts w:ascii="Times New Roman;serif" w:hAnsi="Times New Roman;serif"/>
            <w:b w:val="false"/>
            <w:color w:val="0000FF"/>
            <w:sz w:val="20"/>
            <w:u w:val="single"/>
          </w:rPr>
          <w:t>Note Z</w:t>
        </w:r>
      </w:hyperlink>
      <w:r>
        <w:rPr>
          <w:color w:val="000000"/>
        </w:rPr>
        <w:t xml:space="preserve"> </w:t>
      </w:r>
      <w:r>
        <w:rPr>
          <w:rFonts w:ascii="Times New Roman;serif" w:hAnsi="Times New Roman;serif"/>
          <w:b w:val="false"/>
          <w:color w:val="000000"/>
          <w:sz w:val="20"/>
        </w:rPr>
        <w:t>to the consolidated financial statements) of $1,030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EUROPEAN BEVERAGE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European Beverage segment manufactures infinitely recyclable aluminum beverage cans and ends in Europe, the Middle East, and North Africa. European Beverage had net sales in 2025 of $2.3 billion and segment income (as defined under </w:t>
      </w:r>
      <w:hyperlink w:anchor="i52f6ed3525d042f787f54b954ed2f9f2_157">
        <w:r>
          <w:rPr>
            <w:rStyle w:val="InternetLink"/>
            <w:rFonts w:ascii="Times New Roman;serif" w:hAnsi="Times New Roman;serif"/>
            <w:b w:val="false"/>
            <w:color w:val="0000FF"/>
            <w:sz w:val="20"/>
            <w:u w:val="single"/>
          </w:rPr>
          <w:t>Note Z</w:t>
        </w:r>
      </w:hyperlink>
      <w:r>
        <w:rPr>
          <w:color w:val="000000"/>
        </w:rPr>
        <w:t xml:space="preserve"> </w:t>
      </w:r>
      <w:r>
        <w:rPr>
          <w:rFonts w:ascii="Times New Roman;serif" w:hAnsi="Times New Roman;serif"/>
          <w:b w:val="false"/>
          <w:color w:val="000000"/>
          <w:sz w:val="20"/>
        </w:rPr>
        <w:t>to the consolidated financial statements) of $334 million.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ASIA PACIFIC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Asia Pacific segment manufactures infinitely recyclable beverage cans and ends, food cans, and specialty packaging in Cambodia, China, Indonesia, Malaysia, Myanmar, Thailand, and Vietnam. In February 2026, the Company sold the Myanmar beverage can plant. The sale is not expected to have a material impact on the Company’s results of operations or cash flows.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Asia Pacific segment had net sales in 2025 of $1.1 billion and segment income (as defined under </w:t>
      </w:r>
      <w:hyperlink w:anchor="i52f6ed3525d042f787f54b954ed2f9f2_157">
        <w:r>
          <w:rPr>
            <w:rStyle w:val="InternetLink"/>
            <w:rFonts w:ascii="Times New Roman;serif" w:hAnsi="Times New Roman;serif"/>
            <w:b w:val="false"/>
            <w:color w:val="0000FF"/>
            <w:sz w:val="20"/>
            <w:u w:val="single"/>
          </w:rPr>
          <w:t>Note Z</w:t>
        </w:r>
      </w:hyperlink>
      <w:r>
        <w:rPr>
          <w:color w:val="000000"/>
        </w:rPr>
        <w:t xml:space="preserve"> </w:t>
      </w:r>
      <w:r>
        <w:rPr>
          <w:rFonts w:ascii="Times New Roman;serif" w:hAnsi="Times New Roman;serif"/>
          <w:b w:val="false"/>
          <w:color w:val="000000"/>
          <w:sz w:val="20"/>
        </w:rPr>
        <w:t>to the consolidated financial statements) of $183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TRANSIT PACKAGING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 The automation and equipment business along with our product offering allow the Company to offer a comprehensive solution to pack, wrap, strap, secure and store products all over the world.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Transit Packaging segment had net sales in 2025 of $2.0 billion and segment income (as defined under </w:t>
      </w:r>
      <w:hyperlink w:anchor="i52f6ed3525d042f787f54b954ed2f9f2_157">
        <w:r>
          <w:rPr>
            <w:rStyle w:val="InternetLink"/>
            <w:rFonts w:ascii="Times New Roman;serif" w:hAnsi="Times New Roman;serif"/>
            <w:b w:val="false"/>
            <w:color w:val="0000FF"/>
            <w:sz w:val="20"/>
            <w:u w:val="single"/>
          </w:rPr>
          <w:t>Note Z</w:t>
        </w:r>
      </w:hyperlink>
      <w:r>
        <w:rPr>
          <w:color w:val="000000"/>
        </w:rPr>
        <w:t xml:space="preserve"> </w:t>
      </w:r>
      <w:r>
        <w:rPr>
          <w:rFonts w:ascii="Times New Roman;serif" w:hAnsi="Times New Roman;serif"/>
          <w:b w:val="false"/>
          <w:color w:val="000000"/>
          <w:sz w:val="20"/>
        </w:rPr>
        <w:t>to the consolidated financial statements) of $258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other segments ("Other") include the Company’s North America tinplate businesses: food can, aerosol can, and closures, and beverage tooling and equipment operations in the U.S. and the United Kingdom ("U.K."). The Company manufactures a variety of food and aerosol cans and ends and closures in assorted shapes and sizes. The Company’s customers include manufacturers of food, including pet food, personal care, household, and industrial products.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Additional financial information concerning the Company’s reportable segments is set forth within “Management’s Discussion and Analysis of Financial Condition and Results of Operations” of this Annual Report and under </w:t>
      </w:r>
      <w:hyperlink w:anchor="i52f6ed3525d042f787f54b954ed2f9f2_157">
        <w:r>
          <w:rPr>
            <w:rStyle w:val="InternetLink"/>
            <w:rFonts w:ascii="Times New Roman;serif" w:hAnsi="Times New Roman;serif"/>
            <w:b w:val="false"/>
            <w:color w:val="0000FF"/>
            <w:sz w:val="20"/>
            <w:u w:val="single"/>
          </w:rPr>
          <w:t>Note Z</w:t>
        </w:r>
      </w:hyperlink>
      <w:r>
        <w:rPr>
          <w:color w:val="000000"/>
        </w:rPr>
        <w:t xml:space="preserve"> </w:t>
      </w:r>
      <w:r>
        <w:rPr>
          <w:rFonts w:ascii="Times New Roman;serif" w:hAnsi="Times New Roman;serif"/>
          <w:b w:val="false"/>
          <w:color w:val="000000"/>
          <w:sz w:val="20"/>
        </w:rPr>
        <w:t>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SALES AND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marketers qualify suppliers on the basis of their ability to provide quality service, innovation, and technologies in a cost-effective manner. With its global reach, the Company primarily markets and sells products to customers through its own sales and marketing staff. In some instances, contracts with customers are centrally negotiated, but products are ordered through and distributed directly by the Company’s local facilities. The Company’s facilities are generally located in proximity to their respective major customers. The Company works closely with customers in order to develop new business and to extend the duration of existing contracts.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Many customers provide the Company with quarterly or annual estimates of product requirements along with related quantities pursuant to which periodic commitments are given. Such estimates assist the Company in managing production and controlling the use of working capital. The Company schedules its production to meet customer requirements. Because the production time for the Company’s rigid packaging products is short, any backlog of customer orders in relation to overall sales is not significant. The standard backlog in Transit Packaging’s automation, equipment and tools business is typically not significant, however, supply chain constraints may increase the backlog from time to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COMPETITION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Most of the Company’s packaging products for consumer goods are sold in highly competitive markets, primarily based on price, quality, service, and performance. The Company competes with other packaging manufacturers as well as with fillers, food processors and packers, some of whom manufacture containers for their own use and for sale to others. The Company’s competitors include, but are not limited to, Ardagh Metal Packaging, Ball Corporation, Baosteel Packaging, Can-Pack S.A., Metal Container Corporation, Silgan Holdings Inc., Sonoco, and Trivium Packaging.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Transit Packaging also faces substantial competition from many regional and local competitors of various sizes in the manufacture, distribution and sale of its products. Transit Packaging differentiates itself from the competition by leveraging its global scale, broad product portfolio and established brand reputation. Transit Packaging products compete, to some extent, with various other packaging materials, including other products made of paper, plastics, wood, and various types of metal.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largest beverage can customers consist of many of the leading manufacturers and marketers of packaged consumer products in the world, including Anheuser-Busch InBev, Coca-Cola, Heineken, Keurig Dr Pepper, Molson Coors, Pepsi-Cola, and Refresco, among others. In addition to sales to Coca-Cola and Pepsi-Cola, the Company also supplies independent licensees of Coca-Cola and Pepsi-Cola. Consolidation trends among beverage marketers have led to a concentrated customer base. The Company’s top ten global customers represented in the aggregate approximately 48% of its 2025 consolidated net sales.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the years ended December 31, 2025, 2024 and 2023, one customer accounted for approximately 12%, 12%, and 11%, respectively, of the Company’s consolidated net sales, and another customer accounted for approximately 11%, 12%, and 12%, respective</w:t>
      </w:r>
      <w:r>
        <w:rPr>
          <w:rFonts w:ascii="Times New Roman;serif" w:hAnsi="Times New Roman;serif"/>
          <w:b w:val="false"/>
          <w:color w:val="000000"/>
          <w:sz w:val="20"/>
          <w:shd w:fill="FFFFFF" w:val="clear"/>
        </w:rPr>
        <w:t>ly, of the Company's consolid</w:t>
      </w:r>
      <w:r>
        <w:rPr>
          <w:rFonts w:ascii="Times New Roman;serif" w:hAnsi="Times New Roman;serif"/>
          <w:b w:val="false"/>
          <w:color w:val="000000"/>
          <w:sz w:val="20"/>
        </w:rPr>
        <w:t>ated net sales. These customers are global beverage companies served by the Company’s beverage operations in the Americas, Europe, and Asia.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reportable segment, with the exception of Transit Packaging, has major customers and the loss of one or more of these major customers could have a material adverse effect on an individual segment or the Company as a whole.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MATERIALS AND SUPPLIERS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various raw materials, primarily aluminum and steel, in its manufacturing operations. Transit Packaging also uses materials derived from crude oil and natural gas, such as polyethylene and polypropylene. In general, these raw materials are purchased in highly competitive, price-sensitive markets, which have historically exhibited price and demand cyclicality. These and other materials used in the manufacturing process have historically been available in adequate supply from multiple 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agreements for what it considers adequate supplies of raw materials. However, sufficient quantities may not be available in the future due to, among other things, shortages due to excessive demand, production disruption at suppliers (such as machine breakdowns and delays in start-up), force majeure events (such as fire or weather events), transportation issues, or government-imposed import restrictions. From time to time, some of the raw materials have been in short supply but, to date, these shortages have not had a significant impact on the Company’s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consumption of aluminum and steel represented 47% and 8%, respectively, of consolidated cost of products sold, excluding depreciation and amortization. Due to the significance of these raw materials to the overall cost of products sold, raw material efficiency is a critical cost component of the products manufactured. Supplier consolidations, changes in ownership, government regulations including tariffs, trade restrictions or retaliatory trade measures, political unrest and increased demand for raw materials in the packaging and other industries, among other risk factors, could cause uncertainty as to the availability of and the level of prices at which the Company might be able to source such raw materials in the future. Moreover, the prices of aluminum and steel can be subject to significant volatility. The Company’s raw material supply contracts vary as to terms and duration, with aluminum contracts typically multi-year in duration with fluctuating prices based on aluminum ingot and regional premium costs and steel contracts typically one year in duration with fixed prices or set repricing dates.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generally attempts to mitigate its aluminum and steel price risk by matching its purchase obligations with its sales agreements; however, there can be no assurance that the Company will be able to fully mitigate that risk. The Company also uses commodity and foreign currency forwards in an attempt to manage its exposure to aluminum price volatility.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 Company will be able to fully recover from its customers the impact of aluminum and steel price increases, government-imposed tariffs, or that the use of derivative instruments will effectively manage the Company’s exposure to price volatility. In addition, if the Company were unable to purchase aluminum and steel for a significant period of time, its operations would be disrupted, and if the Company were unable to fully recover the higher cost of aluminum and steel, its financial results may be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continuing global supply and demand pressures, other commodity-related costs affecting the Company’s business may increase as well, including petroleum-based products, energy, and transportation costs. The Company attempts to increase prices on its products accordingly in order to recover these costs. Certain of the Company’s sales contracts contain non-metal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pass-through provisions that include annual selling price adjustments based on a producer price index. In certain years the referenced index may be negative, requiring the Company to reduce its selling price while its actual costs may have increased.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response to the volatility of raw material prices, ongoing productivity and cost reduction efforts in recent years have focused on improving raw material cost management. The Company’s manufacturing facilities are dependent, in varying degrees, upon the availability of water and processed energy, such as natural gas and electricity. Certain of these may become difficult or impossible to obtain on acceptable terms due to external factors, which could increase the Company’s costs or interrupt its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addition to mitigating risks around pricing, the Company maintains its commitment to upholding and evolving standards for ethics and compliance as it sources materials. Regular engagement with suppliers is ongoing to manage materials and the impact on environments and communities. The Company strives to ensure partners meet standards for responsible supply as noted in the formal Code of Business Conduct and Ethics. Through the </w:t>
      </w:r>
      <w:r>
        <w:rPr>
          <w:rFonts w:ascii="Times New Roman;serif" w:hAnsi="Times New Roman;serif"/>
          <w:b/>
          <w:color w:val="000000"/>
          <w:sz w:val="20"/>
        </w:rPr>
        <w:t>Twenty</w:t>
      </w:r>
      <w:r>
        <w:rPr>
          <w:rFonts w:ascii="Times New Roman;serif" w:hAnsi="Times New Roman;serif"/>
          <w:b w:val="false"/>
          <w:color w:val="000000"/>
          <w:sz w:val="20"/>
        </w:rPr>
        <w:t>by</w:t>
      </w:r>
      <w:r>
        <w:rPr>
          <w:rFonts w:ascii="Times New Roman;serif" w:hAnsi="Times New Roman;serif"/>
          <w:b/>
          <w:color w:val="000000"/>
          <w:sz w:val="20"/>
        </w:rPr>
        <w:t>30</w:t>
      </w:r>
      <w:r>
        <w:rPr>
          <w:color w:val="000000"/>
        </w:rPr>
        <w:t xml:space="preserve"> </w:t>
      </w:r>
      <w:r>
        <w:rPr>
          <w:rFonts w:ascii="Times New Roman;serif" w:hAnsi="Times New Roman;serif"/>
          <w:b w:val="false"/>
          <w:color w:val="000000"/>
          <w:sz w:val="20"/>
        </w:rPr>
        <w:t>program, the Company has committed to sourcing standards that by 2030 or sooner require 100% of core raw materials and service suppliers, by spend, to be assessed and comply with Crown Responsible and Ethical Sourcing policies and requirements.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SUSTAINABILITY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Sustainability remains a core focus of the Company’s business strategy and commitments. The Company recognizes the role of corporate social responsibility and the impact of sustainability performance on economic opportunity and stakeholder relationships, including customers and employees. As a major manufacturer with operations worldwide, the Company can significantly impact industry progress by supporting important sustainability initiatives and adopting practices that create change both within the organization and within partner relationships.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2020, Crown established its comprehensive </w:t>
      </w:r>
      <w:r>
        <w:rPr>
          <w:rFonts w:ascii="Times New Roman;serif" w:hAnsi="Times New Roman;serif"/>
          <w:b/>
          <w:color w:val="000000"/>
          <w:sz w:val="20"/>
        </w:rPr>
        <w:t>Twenty</w:t>
      </w:r>
      <w:r>
        <w:rPr>
          <w:rFonts w:ascii="Times New Roman;serif" w:hAnsi="Times New Roman;serif"/>
          <w:b w:val="false"/>
          <w:color w:val="000000"/>
          <w:sz w:val="20"/>
        </w:rPr>
        <w:t>by</w:t>
      </w:r>
      <w:r>
        <w:rPr>
          <w:rFonts w:ascii="Times New Roman;serif" w:hAnsi="Times New Roman;serif"/>
          <w:b/>
          <w:color w:val="000000"/>
          <w:sz w:val="20"/>
        </w:rPr>
        <w:t>30</w:t>
      </w:r>
      <w:r>
        <w:rPr>
          <w:color w:val="000000"/>
        </w:rPr>
        <w:t xml:space="preserve"> </w:t>
      </w:r>
      <w:r>
        <w:rPr>
          <w:rFonts w:ascii="Times New Roman;serif" w:hAnsi="Times New Roman;serif"/>
          <w:b w:val="false"/>
          <w:color w:val="000000"/>
          <w:sz w:val="20"/>
        </w:rPr>
        <w:t xml:space="preserve">program, setting 20 measurable goals to be reached by 2030 or sooner. These objectives encompass all aspects of sustainability and reflect areas considered material to the Company’s business as well as areas where it can create notable impact. Structured within five core program pillars of Climate Action, Resource Efficiency, Optimum Circularity, Working Together and Never Compromise, these initiatives include efforts such as making operational improvements in energy, water and waste and elevating our focus on material use efficiency, recycling, responsible and ethical sourcing and food contact and safety.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Corporate Environmental Sustainability Policy; a Human Rights Policy; a Responsible and Ethical Sourcing Policy; a Conflict Minerals Policy; and an Environmental, Health and Safety Policy. These policies serve as guidelines for all employees to adhere to as the Company works to advance its sustainability strategy.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Across </w:t>
      </w:r>
      <w:r>
        <w:rPr>
          <w:rFonts w:ascii="Times New Roman;serif" w:hAnsi="Times New Roman;serif"/>
          <w:b/>
          <w:color w:val="000000"/>
          <w:sz w:val="20"/>
        </w:rPr>
        <w:t>Twenty</w:t>
      </w:r>
      <w:r>
        <w:rPr>
          <w:rFonts w:ascii="Times New Roman;serif" w:hAnsi="Times New Roman;serif"/>
          <w:b w:val="false"/>
          <w:color w:val="000000"/>
          <w:sz w:val="20"/>
        </w:rPr>
        <w:t>by</w:t>
      </w:r>
      <w:r>
        <w:rPr>
          <w:rFonts w:ascii="Times New Roman;serif" w:hAnsi="Times New Roman;serif"/>
          <w:b/>
          <w:color w:val="000000"/>
          <w:sz w:val="20"/>
        </w:rPr>
        <w:t xml:space="preserve">30 </w:t>
      </w:r>
      <w:r>
        <w:rPr>
          <w:rFonts w:ascii="Times New Roman;serif" w:hAnsi="Times New Roman;serif"/>
          <w:b w:val="false"/>
          <w:color w:val="000000"/>
          <w:sz w:val="20"/>
        </w:rPr>
        <w:t xml:space="preserve">program pillars, the Company works toward continuous improvement in product design and manufacturing practices to provide the best outcome for the environment, communities, employees, and consumers, both now and in the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Aluminum and steel contribute to these improvements as, by nature, they are infinitely recyclable without loss of properties. This means they can be used repeatedly to form new consumer packaging with no degradation in performance, quality or safety. Recycling these metals offers significant savings in energy and water consumption, as well as carbon dioxide emissions. As such, the Company is collaborating with industry partners to improve consumer recycling rates and increasing the use of recycled content. In addition, the Company is making strides in its energy and water usage on a global level, working to implement more renewable energy, minimize water usage and execute water replenishment programs.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made the following efforts in 2025 to be a more proactive sustainability leader: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updated near-term and new net-zero targets have been officially validated by the Science Based Targets initiative ("SBTi"), formalizing the ambition to reach net-zero greenhouse gas emissions across the value chain by 2050.</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commissioned additional water replenishment projects to replenish water used in high water stress regions, including Brazil, Greece and Mexico.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Socially, the Company is continuing to elevate its commitments to community engagement through volunteer opportunities and a charitable giving program, which donates to various non-profit organizations across the regions in which it operates. Within its own workforce, the Company is prioritizing employee welfare and striving to more regularly engage its professionals to foster a more connected global team dedicated to individual and collective improvement as an organization.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Crown remains a leader in the Containers and Packaging industry as indicated by Sustainalytics, ISS, and MSCI ESG risk ratings. The Company continues to rank in line with or above average compared to peers in the industry with a low-risk rating from Sustainalytics, Prime status from ISS Corporate Rating, and another year ranked AA from MSCI. These assessments measure the Company’s ESG risk exposure, management, and transparency, with high scores signaling strong performance and future resilience.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its collective efforts, the Company has been honored as one of Forbes’ Net Zero Leaders for 2025, a recognition that reflects the commitment and hard work of the global team driving meaningful, consistent progress toward the Company’s sustainability goals.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ENVIRONMENTAL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Company’s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packaging industry and may require additional capital investment. Anticipated future restrictions in some jurisdictions on the use of certain coatings may require the Company to employ additional control equipment or process modifications. There can be no assurance that current or future environmental laws or liabilities will not have a material effect on the Company’s consolidated financial condition, liquidity or results of operations. Discussion of the Company’s environmental matters is contained within “Management’s Discussion and Analysis of Financial Condition and Results of Operations” of this Annual Report under the caption “Environmental Matters,” and under </w:t>
      </w:r>
      <w:hyperlink w:anchor="i52f6ed3525d042f787f54b954ed2f9f2_130">
        <w:r>
          <w:rPr>
            <w:rStyle w:val="InternetLink"/>
            <w:rFonts w:ascii="Times New Roman;serif" w:hAnsi="Times New Roman;serif"/>
            <w:b w:val="false"/>
            <w:color w:val="0000FF"/>
            <w:sz w:val="20"/>
            <w:u w:val="single"/>
          </w:rPr>
          <w:t>Note Q</w:t>
        </w:r>
      </w:hyperlink>
      <w:r>
        <w:rPr>
          <w:color w:val="000000"/>
        </w:rPr>
        <w:t xml:space="preserve"> </w:t>
      </w:r>
      <w:r>
        <w:rPr>
          <w:rFonts w:ascii="Times New Roman;serif" w:hAnsi="Times New Roman;serif"/>
          <w:b w:val="false"/>
          <w:color w:val="000000"/>
          <w:sz w:val="20"/>
        </w:rPr>
        <w:t>to the consolidated financial statements.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HUMAN CAPITAL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 had approximately 23,000 employees worldwide, with approximately 6,000 employed by the Americas Beverage segment, 4,000 employed by the European Beverage segment, 3,500 employed by the Asia Pacific segment, 7,000 employed by the Transit Packaging segment, and 2,500 employed by other business units.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 significant portion of the Company’s workforce is unionized. Collective bargaining agreements with varying terms and expiration dates cover approximately 10,500 employees. The Company did not experien</w:t>
      </w:r>
      <w:r>
        <w:rPr>
          <w:rFonts w:ascii="Times New Roman;serif" w:hAnsi="Times New Roman;serif"/>
          <w:b w:val="false"/>
          <w:color w:val="000000"/>
          <w:sz w:val="20"/>
          <w:shd w:fill="FFFFFF" w:val="clear"/>
        </w:rPr>
        <w:t xml:space="preserve">ce any significant union-initiated work stoppages during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fiscal year and believes that its employee relations remain good. The Company does not expect that renegotiation of any collective bargaining agreements expiring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will have a material adverse effect on its consolidated results of operations, financial position, or cash flow.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believes that its employees are essential to achieving its business objectives and growth strategy. Attracting, developing, and retaining a skilled and engaged workforce globally is crucial to the success of all business </w:t>
      </w:r>
      <w:r>
        <w:rPr>
          <w:rFonts w:ascii="Times New Roman;serif" w:hAnsi="Times New Roman;serif"/>
          <w:b w:val="false"/>
          <w:color w:val="000000"/>
          <w:sz w:val="20"/>
          <w:shd w:fill="FFFFFF" w:val="clear"/>
        </w:rPr>
        <w:t>activities. To that end, the Company has cultivated a senior management team with extensive industry expertise and</w:t>
      </w:r>
      <w:r>
        <w:rPr>
          <w:color w:val="000000"/>
        </w:rPr>
        <w:t xml:space="preserve"> </w:t>
      </w:r>
      <w:r>
        <w:rPr>
          <w:rFonts w:ascii="Times New Roman;serif" w:hAnsi="Times New Roman;serif"/>
          <w:b w:val="false"/>
          <w:color w:val="000000"/>
          <w:sz w:val="20"/>
        </w:rPr>
        <w:t xml:space="preserve">complementary </w:t>
      </w:r>
      <w:r>
        <w:rPr>
          <w:rFonts w:ascii="Times New Roman;serif" w:hAnsi="Times New Roman;serif"/>
          <w:b w:val="false"/>
          <w:color w:val="000000"/>
          <w:sz w:val="20"/>
          <w:shd w:fill="FFFFFF" w:val="clear"/>
        </w:rPr>
        <w:t>s</w:t>
      </w:r>
      <w:r>
        <w:rPr>
          <w:rFonts w:ascii="Times New Roman;serif" w:hAnsi="Times New Roman;serif"/>
          <w:b w:val="false"/>
          <w:color w:val="000000"/>
          <w:sz w:val="20"/>
        </w:rPr>
        <w:t>kill sets and has consistently re</w:t>
        <w:noBreakHyphen/>
        <w:t xml:space="preserve">invested in resources needed to effectively staff and efficiently support its operations. As for executive, corporate, and plant roles worldwide, the Company continues to hire talented professionals with material, design, and manufacturing expertise who can build and sustain strong customer relationships. To support retention, the Company aims to provide competitive, market-based compensation and offers professional development opportunities that both contribute to the Company’s success and help employees maximize their potential. The Company is committed to maintaining a positive and inclusive work environment that prioritizes employee safety, fosters belonging, and supports fulfilling career pathways.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supports the well-being of its employees and their families through a variety of physical, mental, and health programs, as well as rigorous on-the-job safety initiatives. These programs differ by region but include Company-sponsored or subsidized medical insurance beyond government provisions, annual medical, cancer, and audiometry screenings, and voluntary health fairs. The Company also offers employee mental health assistance programs. The Company’s total safety culture provides the foundation for health and safety initiatives across the organization and empowers employees to proactively support their own safety and that of their colleagues, with a focus on reducing incidents, injuries, and near misses.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Company recognizes that an inclusive work environment and long-term career opportunities are essential to sustaining business success. Through the "Working Together" pillar of its </w:t>
      </w:r>
      <w:r>
        <w:rPr>
          <w:rFonts w:ascii="Times New Roman;serif" w:hAnsi="Times New Roman;serif"/>
          <w:b/>
          <w:color w:val="000000"/>
          <w:sz w:val="20"/>
        </w:rPr>
        <w:t>Twenty</w:t>
      </w:r>
      <w:r>
        <w:rPr>
          <w:rFonts w:ascii="Times New Roman;serif" w:hAnsi="Times New Roman;serif"/>
          <w:b w:val="false"/>
          <w:color w:val="000000"/>
          <w:sz w:val="20"/>
        </w:rPr>
        <w:t>by</w:t>
      </w:r>
      <w:r>
        <w:rPr>
          <w:rFonts w:ascii="Times New Roman;serif" w:hAnsi="Times New Roman;serif"/>
          <w:b/>
          <w:color w:val="000000"/>
          <w:sz w:val="20"/>
        </w:rPr>
        <w:t>30</w:t>
      </w:r>
      <w:r>
        <w:rPr>
          <w:color w:val="000000"/>
        </w:rPr>
        <w:t xml:space="preserve"> </w:t>
      </w:r>
      <w:r>
        <w:rPr>
          <w:rFonts w:ascii="Times New Roman;serif" w:hAnsi="Times New Roman;serif"/>
          <w:b w:val="false"/>
          <w:color w:val="000000"/>
          <w:sz w:val="20"/>
        </w:rPr>
        <w:t xml:space="preserve">program, the Company prioritizes employment engagement and growth opportunities across all roles. These programs include specialized training programs and wide exposure across the organization, support both employee development and new talent attraction as the Company grows. The Company values a workforce with diverse backgrounds, experiences, and perspectives and is committed to building a pipeline of talents. Recruitment programs currently include an accelerated manufacturing program, first focused on engineering skills, which provides assignments across various businesses and countries to encourage a flexible mindset and to develop a broad range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capabilities. This program provides an opportunity for diverse candidates to progress quickly into higher-level roles that match their interests, skills, and long-term goals. In addition, the Company also continues to advance gender and cultural diversity, including among leadership roles.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Looking ahead, the Company is committed to being recognized by current employees and prospective hires as a "great place to work," offering a workplace grounded in safety, fulfillment, and growth. Achieving this reputation requires that employees feel heard, supported, and valued. To ensure the Company evolves in the way it empowers employees, the Company has implemented a global employee engagement survey that gathers meaningful feedback and consistently drives the creation of local action plans that directly address improvement areas. The Company places a high importance on skills management and lifelong learning opportunities that benefit both the individual employee and the broader organization. The Company provides a variety of educational opportunities, including a mix of mandatory and voluntary trainings that occur in classrooms, online, and on the job. The Company also recognizes the importance of multifunctional teams and as such, management development includes international exposure and cross-divisional activity to promote common approaches and shared values. While talent development programs vary by region, offerings include leadership, lean manufacturing operations, and employee performance management trainings.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updating its Human Rights policy based on the latest legal developments, the Company has developed a comprehensive Human Rights training program translated into the predominant local languages used within the organization. This program is designed to strengthen employees’ understanding, awareness, and commitment to human rights principles within the 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written Code of Business Conduct and Ethics (the "Code") outlining policies related to anti-corruption, fair trade, protection of confidential information, and environmental, health, and safety matters. The Code also emphasizes the Company’s commitment to ensuring that all employees are treated with respect and dignity and can work in an environment free from all forms of unlawful employment discrimination. The Company’s compliance teams are responsible for implementing these policies. The Company’s compliance program allows employees to confidentially report suspected violations of Company policies, including anonymously when allowed by local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RESEARCH AND 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global Research, Development &amp; Engineering ("RD&amp;E") Center for packaging products for consumer goods is located in Wantage, U.K. The Company utilizes its centralized corporate RD&amp;E capabilities to advance and deliver technologies for the Company’s worldwide packaging activities that (1) promote development of value-added metal packaging systems for its customers, (2) design cost-efficient manufacturing processes, systems and materials and material-efficient container designs that further the sustainability of metal packaging, (3) provide continuous quality and/or production efficiency improvements in its manufacturing facilities, (4) advance customer and supplier relationships, and (5) provide value-added engineering services and technical support. These capabilities facilitate (1) the identification of new and/or expanded market opportunities by working directly with customers to develop new packaging products or enhance existing packaging products through the application of new technologies that better differentiate customers’ products in the retail environment (for example, the creation of new packaging shapes, novel decoration methods, or the addition of digital content through unique codes) and/or the incorporation of consumer-valued features (for example, improved openability and/or ease of use) and (2) the reduction of manufacturing costs by reducing the material content of the Company’s products (while retaining necessary performance characteristics), reducing spoilage, and increasing operating efficiencies in manufacturing facilities. The corporate RD&amp;E Center is also applying technical expertise to advance product design and manufacturing capabilities for the Company’s beverage equipment operations and its Transit Packaging segment, supplementing the group’s existing product developments.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substantial portfolio of patents and other intellectual property ("IP") in the field of metal packaging systems. As a result, the Company has licensed IP in geographic regions where the Company has a limited market presence today. Existing technologies such as Interchangeable SuperEnd® beverage ends have been licensed in Australia, New Zealand, Saudi Arabia, China, Thailand, and Africa to provide customers with global access to Crown’s brand building innovations. In addition to package components, the Company maintains a legacy of innovation that features numerous industry-firsts, including launching new interactive inks, decorative and shaping techniques, new package sizes and styles and new canmaking technologies. Examples include the Company’s Accents™ variable printing technology, which facilitates up to 24 different beverage can designs in a single run, and its Quantum™ debossing technology, which implements unique textures on food cans that replace can wall beading with proprietary debossed patterns, such as hexagonal or oval arrays, to prevent counterfeiting and reduce material usage by up to 13%. The RD&amp;E team has also expanded efforts to advance innovations through strategic partnerships with suppliers and through the use of Open Innovation to access new technologies. These efforts are aimed at enhancing the Company’s products for our customers by developing improved coatings with enhanced barriers, and new decoration technologies.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Transit Packaging is also well known throughout its markets for its ability to drive product innovation and leadership in new technologies. Transit Packaging focuses on market driven innovation and has a long history of creating product and service solutions that solve problems and create value for its customers. Transit Packaging has grown its global patent portfolio to nearly 380 U.S. issued patents or pending patent applications and approximately 1,050 foreign issued patents or pending patent applications. The portfolio broadly covers approximately 365 customized technologies and spans diverse business platforms, as well as the different countries in which it operates.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spent $33 million in 2025, $32 million in 2024, and $33 million in 2023 in its RD&amp;E activities.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WORKING CAPITAL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historically uses cash during the first nine months of the year to finance seasonal working capital needs. Beverage products are generally consumed in greater amounts during the warmer months and the food packaging business is somewhat seasonal with the first quarter tending to be the slowest period as the autumn packaging period in the Northern Hemisphere has ended and new crops are not yet planted. The Company’s working capital requirements are funded by cash flows from operations, revolving credit facilities and receivables securitization and factoring programs.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Further information relating to the Company’s liquidity and capital resources is set forth within “Management’s Discussion and Analysis of Financial Condition and Results of Operations” of this Annual Report under the caption “Liquidity” and under </w:t>
      </w:r>
      <w:hyperlink w:anchor="i52f6ed3525d042f787f54b954ed2f9f2_121">
        <w:r>
          <w:rPr>
            <w:rStyle w:val="InternetLink"/>
            <w:rFonts w:ascii="Times New Roman;serif" w:hAnsi="Times New Roman;serif"/>
            <w:b w:val="false"/>
            <w:color w:val="0000FF"/>
            <w:sz w:val="20"/>
            <w:u w:val="single"/>
          </w:rPr>
          <w:t>Note N</w:t>
        </w:r>
      </w:hyperlink>
      <w:r>
        <w:rPr>
          <w:color w:val="000000"/>
        </w:rPr>
        <w:t xml:space="preserve"> </w:t>
      </w:r>
      <w:r>
        <w:rPr>
          <w:rFonts w:ascii="Times New Roman;serif" w:hAnsi="Times New Roman;serif"/>
          <w:b w:val="false"/>
          <w:color w:val="000000"/>
          <w:sz w:val="20"/>
        </w:rPr>
        <w:t>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AVAILABLE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Company’s website address is </w:t>
      </w:r>
      <w:r>
        <w:rPr>
          <w:rFonts w:ascii="Times New Roman;serif" w:hAnsi="Times New Roman;serif"/>
          <w:b w:val="false"/>
          <w:color w:val="000000"/>
          <w:sz w:val="20"/>
          <w:u w:val="single"/>
        </w:rPr>
        <w:t>www.crowncork.com</w:t>
      </w:r>
      <w:r>
        <w:rPr>
          <w:rFonts w:ascii="Times New Roman;serif" w:hAnsi="Times New Roman;serif"/>
          <w:b w:val="false"/>
          <w:color w:val="000000"/>
          <w:sz w:val="20"/>
        </w:rPr>
        <w:t xml:space="preserve">. Information on the Company’s website is not incorporated by reference in this Annual Report on Form 10-K. The Company’s Annual Report on Form 10-K, Quarterly Reports on Form 10-Q, Current Reports on Form 8-K and all amendments to those reports filed by the Company with the U.S. Securities and Exchange Commission pursuant to sections 13(a) and 15(d) of the Securities Exchange Act of 1934, as amended, are accessible free of charge through the Company’s website as soon as reasonably practicable after the documents are filed with, or otherwise furnished to, the U.S. Securities and Exchange Commission ("SEC"). The SEC maintains a website that contains reports, proxy and information statements, and other information regarding issuers, including the Company, that file electronically with the SEC. The public can obtain any documents that the Company files with the SEC at </w:t>
      </w:r>
      <w:r>
        <w:rPr>
          <w:rFonts w:ascii="Times New Roman;serif" w:hAnsi="Times New Roman;serif"/>
          <w:b w:val="false"/>
          <w:color w:val="000000"/>
          <w:sz w:val="20"/>
          <w:u w:val="single"/>
        </w:rPr>
        <w:t>http://www.sec.gov</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Sustainability Report, Code of Business Conduct and Ethics, its Corporate Governance Guidelines, and the charters of its Audit, Compensation and Nominating and Corporate Governance committees are available on the Company’s website. These documents are also available in print to any shareholder who requests them. Amendments to and waivers of the Code of Business Conduct and Ethics requiring disclosure under applicable SEC rules will be disclosed on the Company’s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bookmarkStart w:id="2" w:name="ia9a199d156674ab3bc4b51d11df1c168"/>
      <w:bookmarkEnd w:id="2"/>
      <w:r>
        <w:rPr>
          <w:rFonts w:ascii="Times New Roman;serif" w:hAnsi="Times New Roman;serif"/>
          <w:b w:val="false"/>
          <w:color w:val="000000"/>
          <w:sz w:val="20"/>
          <w:u w:val="single"/>
        </w:rPr>
        <w:t>ITEM 1A. Risk Factors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factors discussed elsewhere in this Annual Report and in "Management’s Discussion and Analysis of Financial Condition and Results of Operations," the following are some of the important factors that could materially and adversely affect the Company’s business, financial condition and results of operations.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the Company’s Business and Industry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Company’s profits will decline if the price of raw materials or energy rises and it cannot increase the price of its products, and the Company’s financial results could be adversely affected if the Company was not able to obtain sufficient quantities of raw materials.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various raw materials, such as aluminum, steel, tin, and materials derived from crude oil and natural gas, such as polyethylene and polypropylene resin, and also water, natural gas, electricity, and other processed energy, in its manufacturing activities. Sufficient quantities of these raw materials may not be available in the future or may be available only at increased prices. In 2025, consumption of aluminum and steel represented 47% and 8% of the Company’s consolidated cost of products sold, excluding depreciation and amortization. The Company’s raw material supply contracts vary as to terms and duration, with aluminum contracts typically multi-year in duration with fluctuating prices based on aluminum ingot costs and steel contracts typically one year in duration with fixed prices. The availability of various raw materials and their prices depend on global and local supply and demand forces, governmental regulations and trade policies (including tariffs and duties), level of production, resource availability, transportation, and other factors, including disruptions caused by accident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natural disasters such as floods and earthquakes, and pandemics.</w:t>
      </w:r>
      <w:r>
        <w:rPr>
          <w:color w:val="000000"/>
          <w:shd w:fill="FFFFFF" w:val="clear"/>
        </w:rPr>
        <w:t xml:space="preserve"> </w:t>
      </w:r>
      <w:r>
        <w:rPr>
          <w:rFonts w:ascii="Times New Roman;serif" w:hAnsi="Times New Roman;serif"/>
          <w:b w:val="false"/>
          <w:color w:val="000000"/>
          <w:sz w:val="20"/>
          <w:shd w:fill="FFFFFF" w:val="clear"/>
        </w:rPr>
        <w:t>The U.S. has signaled its intention to change U.S. trade policy, including potentially renegotiating or terminating existing trade agreements and leveraging tariffs. In February 2025, the U.S. imposed additional tariffs on aluminum and steel as well as on imports from China and announced and subsequently paused implementation of tariffs from Canada and Mexico. In April 2025, the U.S. imposed additional tariffs on imports from a broad range of companies and materials. These additional tariffs, as well as potential retaliation by another government against such tariffs or policies could significantly affect the price of steel, aluminum, and other raw materials used by the Company, which may adversely affect the Company’s profits and financial results. The scope, timing, and duration of tariffs on imports and exports and any retaliatory measures on U.S. goods remain uncertain and could impact the Company’s business. On February 20, 2026, the Supreme Court of the United States ruled that many tariffs imposed by the current administration were unlawful. The scope, timing and practical effect of this decision including whether and how such tariffs may be modified, refunded, replaced or otherwise addressed through new measures and its impact on tariffs, duties and broader trade relations remain uncertain, and could be material to our business,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recent years the consolidation of steel suppliers, shortage of raw materials affecting the production of steel and the increased global demand for steel, have contributed to an overall tighter supply for steel, resulting in increased steel prices and, in some cases, special surcharges and allocated cut backs of products by steel suppliers. Moreover, future steel supply contracts may provide for prices that fluctuate or adjust rather than provide a fixed price during a one-year period. As a result of continuing global supply and demand pressures, other commodity-related costs affecting the Company’s business may increase as well, including natural gas, electricity and freight-related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prices of certain raw materials used by the Company, such as aluminum, steel, and energy, have historically been subject to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volatility. The Company continues to manage the challenges of supply chain disruptions and fluctuating costs for raw materials and energy. While certain, but not all, of the Company’s contracts pass through raw material costs to customers, the Company may be unable to increase its prices to offset increases in raw material costs without suffering reductions in unit volume, revenue and operating income. The Company also uses commodity forward contracts to manage its exposure to these raw material costs. The ability to mitigate inflationary risks through these measures varies by region and the impact on the results of the Company’s segments for the year-ended December 31, 2025 is discussed, as applicable in "Management’s Discussion and Analysis of Financial Condition and Results of Operations -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any price increases may take effect after related cost increases, reducing operating income in the near term. Significant increases in raw material costs may increase the Company’s working capital requirements, which may increase the Company’s average outstanding indebtedness and interest expense and may exceed the amounts available under the Company’s senior secured credit facilities and other sources of liquidity. In addition, the Company hedges raw material costs on behalf of certain customers and may suffer losses if such customers are unable to satisfy their purchase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is unable to purchase aluminum, steel, resins or other raw materials for a significant period of time, the Company’s operations would be disrupted and any such disruption may adversely affect the Company’s financial results. If customers believe that the Company’s competitors have greater access to raw materials, perceived certainty of supply at the Company’s competitors may put the Company at a competitive disadvantage with respect to pricing and product volumes. The financial stability of the Company’s suppliers can also impact the continuity of the Company’s supply chain. The Company’s suppliers may face higher prices due to inflation or increased tariffs. If one or more of the Company’s suppliers encounter financial hardships, delivery setbacks, or other performance-related difficulties, the Company may be unable to fulfill its obligations to customers. Furthermore, if any of the raw materials critical to the Company’s manufacturing become unavailable to the Company’s suppliers, or are only accessible at significantly higher costs, including due to increased tariffs or trade restrictions, or are affected by quality problems or defects, the Company’s ability to deliver certain products on schedule or within budget could be compromised.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Company’s principal markets may be subject to overcapacity and intense competition, which could reduce the Company’s net sales and net income.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Beverage and food cans are standardized products, allowing for relatively little differentiation among competitors. This could lead to overcapacity and price competition among beverage and food can producers if capacity growth outpaced the growth in demand for beverage and food cans and overall manufacturing capacity exceeded demand. These market conditions could reduce product prices and contribute to declining revenue and net income. Competitive pricing pressures, overcapacity, the failure to develop new product designs and technologies for products, as well as other factors, such as consolidation among the Company’s competitors, could cause the Company to lose existing business or opportunities to generate new business and could result in decreased cash flow and net income.</w:t>
      </w:r>
      <w:r>
        <w:rPr>
          <w:color w:val="000000"/>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 is subject to competition from substitute products and decreases in demand for its products, which could result in lower profits and reduced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substantial competition from producers of alternative packaging made from glass, paper, flexible materials and plastic. The Company’s sales depend heavily on the volumes of sales by the Company’s customers in the beverage and food markets. Changes in preferences for products and packaging by consumers of beverage cans and prepackaged food cans significantly influence the Company’s sales. Changes in packaging by the Company’s customers may require the Company to re-tool manufacturing operations, which could require material expenditures. In addition, a decrease in the costs of, or a further increase in consumer demand for, alternative packaging could result in lower profits and reduced cash flows for the Company.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the Company may be unable to maintain its gross margin at past levels if it is not able to achieve high capacity utilization rates for its production equipment. In periods of low worldwide demand for its products or in situations where industry expansion creates excess capacity, the Company experiences relatively low capacity utilization rates in its operations, which can lead to reduced margins and can have an adverse effect on the Company’s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Company’s business results depend on its ability to understand its customers’ specific preferences and requirements, and to develop, manufacture and market products that meet customer demand.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ability to develop new product offerings for a diverse group of global customers with differing preferences, while maintaining functionality and spurring innovation, is critical to its success. This requires a thorough understanding of the Company’s existing and potential customers on a global basis, particularly in developing markets and areas, such as the Middle East, South America, Eastern Europe, and Asia. Failure to deliver quality products that meet customer needs ahead of competitors could have a significant adverse effect on the Company’s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Loss of third-party transportation providers upon whom the Company depends or increases in fuel prices could increase the Company’s costs or cause a disruption in the Company’s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the Company’s costs and disrupt the Company’s operations and its ability to service customers on a timely basis or cost-effective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Company’s business is seasonal and weather conditions could reduce the Company’s net sales.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manufactures metal and glass packaging primarily for the beverage and food can market. Its sales can be affected by weather conditions. Due principally to the seasonal nature of the soft drink, brewing, iced tea, and other beverage industries, in which demand is stronger during the summer months, sales of the Company’s products are expected to vary by quarter and by region. Unseasonably cool weather can reduce consumer demand for certain beverages packaged in the Company’s containers. In addition, poor weather conditions that reduce crop yields of packaged foods can decrease customer demand for its food containers.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 has a significant amount of goodwill that, if impaired in the future, would result in lower reported net income and a reduction of its net worth.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Impairment of the Company’s goodwill would require a write down of goodwill, which would reduce the Company’s net income in the period of any such write down. At December 31, 2025, the carrying value of the Company’s goodwill was $3.2 billion. The Company is required to evaluate goodwill reflected on its balance sheet at least annually or when circumstances indicate a potential impairment. If it determines that the goodwill is impaired, the Company would be required to write off a portion or all of the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significant portion of the Company’s workforce is unionized and labor disruptions could increase the Company’s costs and prevent the Company from supplying its customers.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the Company’s workforce is unionized, and a prolonged work stoppage or strike at any facility with unionized employees could increase costs and prevent the Company from supplying its customers. In addition,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expiration of existing collective bargaining agreements, the Company may not reach new agreements without union or works council action in certain jurisdictions, and any such new agreements may not be on terms satisfactory to the Company. If the Company is unable to negotiate acceptable collective bargaining agreements, it may become subject to union-initiated work stoppages, including strikes. Moreover, additional groups of currently non-unionized employees may seek union or works council representation in the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Failure by the Company’s joint venture partners to observe their obligations could adversely affect the business and operations of the joint ventures and, in turn, the business and operations of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the Company’s operations, including certain beverage can operations in Asia, the Middle East, and South America, is conducted through joint ventures. The Company participates in these ventures with third parties. In the event that the Company’s joint venture partners do not observe their obligations or are unable to commit additional capital to the joint ventures, it is possible that the affected joint venture would not be able to operate in accordance with its business plans or that the Company would have to increase its level of commitment to the joint venture.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loss of the Company’s intellectual property rights may negatively impact its ability to compete.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is unable to maintain the proprietary nature of its technologies, its competitors may use its technologies to compete with it. The Company has a number of patents covering various aspects of its products, including its SuperEnd® beverage can end, whose primary patent expired in 2016 and Ideal™ product line. The Company’s patents may not withstand challenge in litigation, and patents do not ensure that competitors will not develop competing products or infringe upon the Company’s patents. Moreover, the costs of litigation to defend the Company’s patents could be substantial and may outweigh the benefits of enforcing its rights under its patents. The Company markets its products internationally, and the patent laws of foreign countries may offer less protection than the patent laws of the U.S. Not all of the Company’s domestic patents have been registered in other countries. The Company also relies on trade secrets, know-how and other unpatented proprietary technology, and others may independently develop the same or similar technology or otherwise obtain access to the Company’s unpatented technology. In addition, the Company has from time to time received letters from third parties suggesting that it may be infringing on their intellectual property rights, and third parties may bring infringement suits against the Company, which could result in the Company needing to seek licenses from these third parties or refraining altogether from use of the claimed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Business interruptions at the Company’s facilities could adversely impact the Company’s operations and financial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depend heavily on the uninterrupted performance of our manufacturing facilities. Any significant disruption, whether due to natural disasters (such as earthquakes, fires, floods, or hurricanes), equipment failures, power outages, labor disputes, cyberattacks, supply chain breakdowns, or public health crises could materially impair our ability to produce and deliver products on schedule. Such events could lead to increased costs from repairs, lost production, or contractual penalties, as well as damage to customer relationships if we fail to meet demand. We carry insurance for certain interruptions, but coverage may not extend to all scenarios, may involve significant deductibles, or may be insufficient to offset losses.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Risks Relating to the Company’s International Operations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The Company’s international operations, which generated appr</w:t>
      </w:r>
      <w:r>
        <w:rPr>
          <w:rFonts w:ascii="Times New Roman;serif" w:hAnsi="Times New Roman;serif"/>
          <w:b/>
          <w:i/>
          <w:color w:val="000000"/>
          <w:sz w:val="20"/>
          <w:shd w:fill="FFFFFF" w:val="clear"/>
        </w:rPr>
        <w:t xml:space="preserve">oximately 61% of its </w:t>
      </w:r>
      <w:r>
        <w:rPr>
          <w:rFonts w:ascii="Times New Roman;serif" w:hAnsi="Times New Roman;serif"/>
          <w:b/>
          <w:i/>
          <w:color w:val="000000"/>
          <w:sz w:val="20"/>
        </w:rPr>
        <w:t xml:space="preserve">consolidated net sales in 2025, are subject to various risks that may lead to decreases in its financial results, particularly in the case of the Company’s operations in emerging markets.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an international company, and the risks associated with operating in non-U.S. jurisdictions, and with operating and seeking to expand business in a number of different regions and countries generally, expose the Company to potentially conflicting cultural practices, business practices and legal and regulatory requirements and may have a negative impact on the Company’s liquidity and net income. The Company’s international operations generated approximately 61% of its consolidated net sales in the year ended 2025 and 63% of its consolidated net sales in the years ended 2024 and 2023. In addition, the Company’s business strategy includes continued expansion of international activities, including within developing markets and areas, such as the Middle East, South America, Eastern Europe, and Asia, that may pose political and economic volatility and instability, greater vulnerability to infrastructure and labor disruptions and differing local customer product preferences and requirements than the Company’s other markets. The Company’s expansion efforts may also use capital and other resources of the Company that could be invested in other areas. Further, if a downturn in economic conditions ultimately leads to a significant devaluation of a foreign currency such as the euro, the value of any financial assets that are denominated in that currency may be reduced when translated to U.S. dollars for financial reporting purposes. Any of these conditions could ultimately harm the Company’s overall business, prospects, operating results, financial condition,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markets are a focus of the Company’s international growth strategy, and the Company’s success in developing market share and operating profitably in these markets is critical to the Company’s growth. The developing nature of these markets and the nature of the Company’s international operations generally are subject to various risks, including: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foreign governments’ restrictive trade policies;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conflicting regulation (including with respect to product labelling, privacy, data protection and advanced technologies) and policy changes by foreign agencies or governments;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duties, taxes, or government royalties, including the imposition or increase of withholding and other taxes on remittances and other payments by non-U.S. subsidiaries;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customs, import/export control and other trade compliance regulations;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foreign exchange rate risks and exchange controls;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difficulty in collecting international accounts receivable and potentially longer payment cycles;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increased costs in maintaining international manufacturing and marketing efforts;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non-tariff barriers and higher duty rates;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associated with expatriating or repatriating cash generated or held abroad in a tax-efficient manner;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changes in tax laws and regulations;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difficulties in enforcing contractual obligations and intellectual property rights and difficulties in protecting intellectual property or sensitive commercial and operations data or information technology systems generally;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national and regional labor strikes and work stoppages;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geographic, language, and cultural differences between personnel in different areas of the world;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high social benefit costs for labor, including costs associated with restructurings;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civil unrest or political, social, legal, and economic instability;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product boycotts, including with respect to the products of the Company’s multi-national customers;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customer, supplier, and investor concerns regarding operations in areas such as the Middle East;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taking of property by nationalization or expropriation without fair compensation;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imposition of limitations on conversions of foreign currencies into dollars or payment of dividends and other payments by non-U.S. subsidiaries;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hyperinflation and currency devaluation in any country where such currency devaluation could affect the amount of cash generated by operations in that country and thereby affect the Company’s ability to satisfy its obligations;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geographical concentration of the Company’s factories and operations and regional shifts in its customer base;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war (such as the ongoing military conflict between Russia and Ukraine, the Israel - Hamas conflict, other hostilities in the Middle-East, the Thailand - Cambodia border conflict, and potential conflicts in Venezuela), civil disturbance (such as cartel-related violence in Mexico), global or regional catastrophic events, natural disasters, and acts of terrorism;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epidemics, pandemics, and other disease outbreaks and health crises;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complexity of managing global operations;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applicable anti-corruption, anti-bribery laws and anti-money laundering laws and sanctions; and continuing legal, political, and economic uncertainty.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emerging geographic markets become more important to the Company, its competitors are also seeking to expand their production capacities and sales in these same markets, which may lead to industry overcapacity that could adversely affect pricing, volumes and financial results in such markets. Although the Company is taking measures to adapt to these changing circumstances, the Company’s reputation and/or business results could be negatively affected should these efforts prove unsuccessful. Furthermore, the continuing and accelerating globalization of businesses in emerging markets and elsewhere could significantly change the dynamics of the Company’s competition, customer base and product offerings, which could adversely affect the Company’s financial position.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 is subject to the effects of fluctuations in foreign exchange rates, which may reduce its net sales and cash flow.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fluctuations in foreign currencies as a significant portion of its consolidated net sales, costs, assets and liabilities, are denominated in currencies other than the U.S. dollar. The Company’s international operations generated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approximately </w:t>
      </w:r>
      <w:r>
        <w:rPr>
          <w:rFonts w:ascii="Times New Roman;serif" w:hAnsi="Times New Roman;serif"/>
          <w:b w:val="false"/>
          <w:color w:val="000000"/>
          <w:sz w:val="20"/>
          <w:shd w:fill="FFFFFF" w:val="clear"/>
        </w:rPr>
        <w:t>61%</w:t>
      </w:r>
      <w:r>
        <w:rPr>
          <w:color w:val="000000"/>
        </w:rPr>
        <w:t xml:space="preserve"> </w:t>
      </w:r>
      <w:r>
        <w:rPr>
          <w:rFonts w:ascii="Times New Roman;serif" w:hAnsi="Times New Roman;serif"/>
          <w:b w:val="false"/>
          <w:color w:val="000000"/>
          <w:sz w:val="20"/>
        </w:rPr>
        <w:t>of its consolidated net sales in the year ended 2025 and 63% of its consolidated net sales in the years ended 2024 and 2023. In certain countries, government capital and currency controls restrict the Company’s ability to access U.S. dollars and remit earnings from the Company’s operations in those countries, leaving the Company exposed to long-term currency fluctuations. Worldwide foreign currency exposures impact the Company’s cash flows and financial results. Based on anticipated and committed foreign currency cash inflows and outflows, significant strengthening or weakening of the U.S. dollar relative to other currencies could materially impact the Company’s expected net cash flows. Volatility in exchange rates may increase the costs of the Company’s products, impair the purchasing power of its customers in different markets, result in significant competitive benefit to certain of its competitors who</w:t>
      </w:r>
      <w:r>
        <w:rPr>
          <w:color w:val="000000"/>
          <w:shd w:fill="FFFFFF" w:val="clear"/>
        </w:rPr>
        <w:t xml:space="preserve"> </w:t>
      </w:r>
      <w:r>
        <w:rPr>
          <w:rFonts w:ascii="Times New Roman;serif" w:hAnsi="Times New Roman;serif"/>
          <w:b w:val="false"/>
          <w:color w:val="000000"/>
          <w:sz w:val="20"/>
          <w:shd w:fill="FFFFFF" w:val="clear"/>
        </w:rPr>
        <w:t>incur a material part of their costs in other currencies than it does, increase its hedging costs, and limit its ability to hedge exchange rate exposure. Although the Company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 In its consolidated financial statements, the Company translates local currency financial results into U.S. dollars based on average exchange rates prevailing during a reporting period. During times of a strengthening U.S. dollar, its reported international revenue and earnings will be reduced because the local curren</w:t>
      </w:r>
      <w:r>
        <w:rPr>
          <w:rFonts w:ascii="Times New Roman;serif" w:hAnsi="Times New Roman;serif"/>
          <w:b w:val="false"/>
          <w:color w:val="000000"/>
          <w:sz w:val="20"/>
        </w:rPr>
        <w:t>cy will translate into fewer U.S. dollars. Conversely, a weakening U.S. dollar will effectively increase the dollar-equivalent of the Company’s expenses and liabilities denominated in foreign currencies. See “Management’s Discussion and Analysis of Financial Condition and Results of Operations-Liquidity and Capital Resources-Market Risk” and "Quantitative and Qualitative Disclosure about Market Risk" in this Annual Report.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the year ended 2025, the Company was primarily impacted by changes in the Mexican peso, the euro, and the Thai baht. For the year-ended December 31, 2025, a 10% movement in the average foreign exchange rates used to translate income and expense items during the year would h</w:t>
      </w:r>
      <w:r>
        <w:rPr>
          <w:rFonts w:ascii="Times New Roman;serif" w:hAnsi="Times New Roman;serif"/>
          <w:b w:val="false"/>
          <w:color w:val="000000"/>
          <w:sz w:val="20"/>
          <w:shd w:fill="FFFFFF" w:val="clear"/>
        </w:rPr>
        <w:t>ave decreased net</w:t>
      </w:r>
      <w:r>
        <w:rPr>
          <w:color w:val="000000"/>
        </w:rPr>
        <w:t xml:space="preserve"> </w:t>
      </w:r>
      <w:r>
        <w:rPr>
          <w:rFonts w:ascii="Times New Roman;serif" w:hAnsi="Times New Roman;serif"/>
          <w:b w:val="false"/>
          <w:color w:val="000000"/>
          <w:sz w:val="20"/>
        </w:rPr>
        <w:t>income by approximately $</w:t>
      </w:r>
      <w:r>
        <w:rPr>
          <w:rFonts w:ascii="Times New Roman;serif" w:hAnsi="Times New Roman;serif"/>
          <w:b w:val="false"/>
          <w:color w:val="000000"/>
          <w:sz w:val="20"/>
          <w:shd w:fill="FFFFFF" w:val="clear"/>
        </w:rPr>
        <w:t>20 mil</w:t>
      </w:r>
      <w:r>
        <w:rPr>
          <w:rFonts w:ascii="Times New Roman;serif" w:hAnsi="Times New Roman;serif"/>
          <w:b w:val="false"/>
          <w:color w:val="000000"/>
          <w:sz w:val="20"/>
        </w:rPr>
        <w:t xml:space="preserve">lion.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the Company’s Indebtedness and Liquidity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indebtedness of the Company could prevent it from fulfilling its obligations under its debt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outstanding indebtedness. As a result of the Company’s indebtedness, a significant portion of the Company’s cash flow will be required to pay interest and principal on its outstanding indebtedness, and the Company may not generate sufficient cash flow from operations, or have future borrowings available under its senior secured credit facilities, to enable it to repay its indebtedness or to fund other liquidity needs. As of December 31, 2025, the Company and its subsidiaries had approximately $6 billion of indebtedness, excluding unamortized discounts and debt issuance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current sources of liquidity include a securitization facility with a program limit up to a maximum of $800 million that expires in July 2027 and securitization facilities with program limits of $230 million and $180 million that expire in November 2027. Additional sources of the Company’s liquidity include borrowings under its $1,650 million revolving credit facilities that mature in August 2027.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Company’s indebtedness includes its $400 million 4.25% senior notes due in September 2026; its €500 million ($587 million at December 31, 2025) 5.00% senior notes due in May 2028; its €500 million ($587 million at December 31, 2025) 4.75% senior notes due in March 2029; its €600 million ($705 million at December 31, 2025) 4.50% senior notes due in January 2030; its $500 million 5.25% senior notes due in April 2030; its €500 million ($587 million at December 31, 2025) 3.75% senior notes due in September 2031; its $700 million 5.875% senior notes due June 2033; its $40 million 7.50% senior notes due in December 2096; and its $54 million of other indebtedness in various currencies due at various dates through 2027. </w:t>
      </w:r>
      <w:r>
        <w:rPr>
          <w:rFonts w:ascii="Times New Roman;serif" w:hAnsi="Times New Roman;serif"/>
          <w:b w:val="false"/>
          <w:color w:val="000000"/>
          <w:sz w:val="20"/>
          <w:shd w:fill="FFFFFF" w:val="clear"/>
        </w:rPr>
        <w:t>In addition, the Company’s term loan facilities mature</w:t>
      </w:r>
      <w:r>
        <w:rPr>
          <w:color w:val="000000"/>
        </w:rPr>
        <w:t xml:space="preserve"> </w:t>
      </w:r>
      <w:r>
        <w:rPr>
          <w:rFonts w:ascii="Times New Roman;serif" w:hAnsi="Times New Roman;serif"/>
          <w:b w:val="false"/>
          <w:color w:val="000000"/>
          <w:sz w:val="20"/>
        </w:rPr>
        <w:t>as follows: $32 million in 2026 and $1,730 million in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indebtedness of the Company could: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the Company’s vulnerability to general adverse economic and industry conditions, including rising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restrict the Company from making strategic acquisitions or exploiting business opportunities, including any planned expansion in emerging markets;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limit the Company’s ability to make capital expenditures both domestically and internationally in order to grow the Company’s business or maintain manufacturing plants in good working order and repair;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limit, along with the financial and other restrictive covenants under the Company’s debt agreements, the Company’s ability to obtain additional financing, dispose of assets, or pay cash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require the Company to dedicate a substantial portion of its cash flow from operations to service its indebtedness, thereby reducing the availability of its cash flow to fund future working capital, capital expenditures, research and development expenditures, and other general corporate requirements;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require the Company to sell assets used in its business; </w:t>
      </w:r>
      <w:r>
        <w:rPr>
          <w:color w:val="000000"/>
        </w:rPr>
        <w: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limit the Company’s ability to refinance its existing indebtedness, particularly during periods of adverse credit market conditions when refinancing indebtedness may not be available under interest rates and other terms acceptable to the Company or at all;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increase the Company’s cost of borrowing;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limit the Company’s flexibility in planning for, or reacting to, changes in its business and the industry in which it operates;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place the Company at a competitive disadvantage compared to its competitors that have less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its financial condition, operating results, and liquidity deteriorate, the Company’s creditors may restrict its ability to obtain future financing and its suppliers could require prepayment or cash on delivery rather than extend credit, which could further diminish the Company’s ability to generate cash flows from operations sufficient to service its debt obligations. In addition, the Company’s ability to make payments on and refinance its debt and to fund its operations will depend on the Company’s ability to generate cash in the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Some of the Company’s indebtedness is subject to floating interest rates, which would result in the Company’s interest expense increasing if interest rates rise.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approximately $1.8 billion of the Company’s $6 billion of total indebtedness and $1.3 billion of securitization and factoring programs were subject to floating interest rates. Changes in economic conditions could result in higher interest rates, thereby increasing the Company’s interest expense and reducing funds available for operations or other purposes. While the U.S. Federal Reserve issued three interest rate cuts in 2025, interest rates in certain key markets remained elevated. The Company’s annual interest expense was $398 million, $452 million, and $436 million for 2025, 2024, and 2023, respectively. Based on the amount of variable rate debt outstanding and securitization and factoring at December 31, 2025, a 0.25% increase in variable interest rates would increase its annual interest expense by approximately $8 million before tax. Accordingly, the Company may experience economic losses and a negative impact on earnings as a result of interest rate fluctuation. The actual effect of a 0.25% increase in these floating interest rates could be more than $8 million as the Company’s average borrowings on its variable rate debt and securitization and factoring may be higher during the year than the amount at December 31, 2025. Although the Company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this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Restrictive covenants in the debt agreements governing the Company’s current or future indebtedness could restrict the Company’s operating flexibility.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indentures and agreements governing the Company’s senior secured credit facilities and outstanding notes contain affirmative and negative covenants that limit the ability of the Company and its subsidiaries to take certain actions. These restrictions may limit the Company’s ability to operate its business and may prohibit or limit its ability to enhance its operations or take advantage of potential business opportunities as they arise. The Company’s senior secured credit facilities require the Company to maintain specified financial ratios and satisfy other financial conditions. The agreements or indentures governing the Company’s senior secured credit facilities and certain of its outstanding notes restrict, among other things, the ability of the Company and the ability of all or substantially all of its subsidiaries to: </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incur additional debt;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pay dividends or make other distributions, repurchase capital stock, repurchase subordinated debt and make certain investments or loans;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create liens and engage in sale and leaseback transactions;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create restrictions on the payment of dividends and other amounts to the Company from subsidiaries;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make loans, investments and capital expenditures;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change accounting treatment and reporting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enter into agreements restricting the ability of a subsidiary to pay dividends to, make or repay loans to, transfer property to, or guarantee indebtedness of, the Company or any of its subsidiaries;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sell or acquire assets, enter into leaseback transactions and merge or consolidate with or into other companies;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engage in transactions with affiliates. </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indentures and agreements governing the Company’s senior secured credit facilities and certain of its outstanding notes limit, among other things, the ability of the Company to enter into certain transactions, such as mergers, consolidations, joint ventures, asset sales, sale and leaseback transactions, and the pledging of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breach of any of these covenants by the Company or the failure by the Company to maintain any of these ratios or meet any of these conditions could result in a default under any or all of such indebtedness. If a default occurs under any such indebtedness, all of the outstanding obligations thereunder could become immediately due and payable, which could result in a default under the Company’s other outstanding debt and could lead to an acceleration of obligations related to the Company’s senior secured credit facilities, outstanding notes and other outstanding debt. The ability of the Company to comply with these covenants and the covenants in agreements it may enter into in the future can be affected by events beyond its control and, therefore, it may be unable to satisfy its obligations under its debt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Notwithstanding the Company’s current indebtedness levels and restrictive covenants, the Company may still be able to incur substantial additional debt or make certain restricted payments, which could exacerbate the risks described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be able to incur additional debt in the future, including in connection with acquisitions or joint ventures. Although the Company’s senior secured credit facilities and indentures governing certain of its outstanding notes contain restrictions on the Company’s ability to incur indebtedness, those restrictions are subject to a number of exceptions, and, under certain circumstances, indebtedness incurred in compliance with these restrictions could be substantial. The Company may also consider investments in joint ventures or acquisitions or increased capital expenditures, which may increase the Company’s indebtedness. Moreover, although the Company’s senior secured credit facilities and indentures governing certain of its outstanding notes contain restrictions on the Company’s ability to make restricted payments, including the declaration and payment of dividends and the repurchase of the Company’s common stock, the Company is able to make such restricted payments under certain circumstances which may increase indebtedness. Adding new debt to current debt levels or making otherwise restricted payments could intensify the related risks that the Company and its subsidiaries now face.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Company’s senior secured credit facilities provide that certain change of control events constitute an event of default. In the event of a change of control, the Company may not be able to satisfy all of its obligations under the senior secured credit facilities or other indebtedness.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not have sufficient assets or be able to obtain sufficient third-party financing on favorable terms to satisfy all of its obligations under the Company’s senior secured credit facilities or other indebtedness in the event of a change of control. The Company’s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the Company. In addition, the indentures governing certain of the Company’s outstanding notes require that the Company offer to repurchase the notes at an offer price of 101% of principal upon certain change of control repurchase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 is subject to certain restrictions that may limit its ability to make payments on its debt out of the cash reserves shown on the Company’s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ability of the Company’s subsidiaries and joint ventures to pay dividends, make distributions, provide loans or make other payments to the Company may be restricted by applicable state and foreign laws, potentially adverse tax consequences and their agreements, including agreements governing their debt. In addition, the equity interests of the Company’s joint venture partners or other shareholders in the Company’s non-wholly owned subsidiaries in any dividend or other distribution made by these entities would need to be satisfied on a proportionate basis with the Company. As a result, the Company may not be able to access a portion of its cash flow to service the Company’s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 has pension plan obligations worldwide and unfunded postretirement obligations, which could reduce its cash flow and negatively impact its results of operations and its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sponsors various pension plans worldwide, with the largest funded plans in the U.S. and Canada. In 2025, 2024, and 2023, the Company contributed $13 million, $122 million, and $19 million, respectively, to its pension plans. Pension expense was $27 million and is expected to be $33 million in 2026, using foreign currency exchange rates in effect at December 31, 2025. A 0.50% change in the 2026 expected rate of return assumptions would change 2026 pension expense by approximately $2 million. A 0.50% change in the discount rates assumptions as of December 31, 2025 would change 2026 pension expense by approximately $4 million. The Company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the Company’s cash available to pay its outstanding obligations and its net income and increase the Company’s outstanding indebtedness.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on current assumptions, the Company expects to make pension contributions of $28 million in 2026, $19 million in 2027, $65 million in 2028, $48 million in 2029, and $40 million in 2030. Future changes in the factors used to determine pension contributions, including investment performance of plan assets, could have a significant impact on the Company’s future contributions and its cash flow available for debt reduction, capital expenditures, or other purposes.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difference between pension plan obligations and assets, or the funded status of the plans, significantly affects the net periodic benefit costs of the Company’s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the Company’s future pension plan funding requirements and could have a negative impact on the Company’s results of operations and profitability. See </w:t>
      </w:r>
      <w:hyperlink w:anchor="i52f6ed3525d042f787f54b954ed2f9f2_136">
        <w:r>
          <w:rPr>
            <w:rStyle w:val="InternetLink"/>
            <w:rFonts w:ascii="Times New Roman;serif" w:hAnsi="Times New Roman;serif"/>
            <w:b w:val="false"/>
            <w:color w:val="0000FF"/>
            <w:sz w:val="20"/>
            <w:u w:val="single"/>
          </w:rPr>
          <w:t>Note S</w:t>
        </w:r>
      </w:hyperlink>
      <w:r>
        <w:rPr>
          <w:color w:val="000000"/>
        </w:rPr>
        <w:t xml:space="preserve"> </w:t>
      </w:r>
      <w:r>
        <w:rPr>
          <w:rFonts w:ascii="Times New Roman;serif" w:hAnsi="Times New Roman;serif"/>
          <w:b w:val="false"/>
          <w:color w:val="000000"/>
          <w:sz w:val="20"/>
        </w:rPr>
        <w:t xml:space="preserve">to the Company’s audited consolidated financial statements in this Annual Report. As long as the Company continues to maintain its various pension plans, the Company will continue to incur additional pension obligations. The Company’s pension plan assets consist primarily of common stocks and fixed income securities and also include alternative investments such as interests in private equity and hedge funds. If the performance of plan assets does not meet the Company’s assumptions or discount rates decline, the underfunding of the pension plans may increase and the Company may have to contribute additional funds to the pension plans, and the Company’s pension expense may increase. In addition, certain of the Company’s pension and postretirement plans are unfunded.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the Company will incur a liability to the PBGC that may be equal to the entire amount of the underfunding, which under certain circumstances may be senior to the Company’s outstanding notes. In addition, as of December 31, 2025, the unfunded accumulated postretirement benefit obligation, as calculated in accordance with U.S. generally accepted accounting principles, for retiree medical benefits was approximately $103 million, based on assumptions set forth under </w:t>
      </w:r>
      <w:hyperlink w:anchor="i52f6ed3525d042f787f54b954ed2f9f2_136">
        <w:r>
          <w:rPr>
            <w:rStyle w:val="InternetLink"/>
            <w:rFonts w:ascii="Times New Roman;serif" w:hAnsi="Times New Roman;serif"/>
            <w:b w:val="false"/>
            <w:color w:val="0000FF"/>
            <w:sz w:val="20"/>
            <w:u w:val="single"/>
          </w:rPr>
          <w:t>Note S</w:t>
        </w:r>
      </w:hyperlink>
      <w:r>
        <w:rPr>
          <w:color w:val="000000"/>
        </w:rPr>
        <w:t xml:space="preserve"> </w:t>
      </w:r>
      <w:r>
        <w:rPr>
          <w:rFonts w:ascii="Times New Roman;serif" w:hAnsi="Times New Roman;serif"/>
          <w:b w:val="false"/>
          <w:color w:val="000000"/>
          <w:sz w:val="20"/>
        </w:rPr>
        <w:t>to the Company’s audited consolidated financial statements in this Annual Report.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Litigation and Regulatory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 is subject to litigation risks which could negatively impact its operations and net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the Company’s cash flow and negatively impact its financial condition.” The Company is currently unable to determine the total expense or possible loss, if any, that may ultimately be incurred in the resolution of such legal proceedings. Regardless of the ultimate outcome of such legal proceedings, they could result in significant diversion of time by the Company’s management. The results of the Company’s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Commission was unjustified. In October 2024, the General Court of the EU issued a judgment dismissing the Company’s appeal. In December 2024, the Company appealed the General Court’s judgment to the European Court of Justice. There can be no assurance regarding the outcome of such appeal.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October 7, 2021, the French </w:t>
      </w:r>
      <w:r>
        <w:rPr>
          <w:rFonts w:ascii="Times New Roman;serif" w:hAnsi="Times New Roman;serif"/>
          <w:b w:val="false"/>
          <w:i/>
          <w:color w:val="000000"/>
          <w:sz w:val="20"/>
          <w:shd w:fill="FFFFFF" w:val="clear"/>
        </w:rPr>
        <w:t>Autorité de la concurrence</w:t>
      </w:r>
      <w:r>
        <w:rPr>
          <w:color w:val="000000"/>
          <w:shd w:fill="FFFFFF" w:val="clear"/>
        </w:rPr>
        <w:t xml:space="preserve"> </w:t>
      </w:r>
      <w:r>
        <w:rPr>
          <w:rFonts w:ascii="Times New Roman;serif" w:hAnsi="Times New Roman;serif"/>
          <w:b w:val="false"/>
          <w:color w:val="000000"/>
          <w:sz w:val="20"/>
          <w:shd w:fill="FFFFFF" w:val="clear"/>
        </w:rPr>
        <w:t xml:space="preserve">(the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has appealed the decision of the FCA, however there can be no assurance regarding the outcome of such appeal.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Pending and future asbestos litigation and payments to settle asbestos-related claims could reduce the Company’s cash flow and negatively impact its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Crown Cork &amp; Seal Company, Inc. (Crown Cork), a wholly-owned subsidiary of the Company, is one of many defendants in a substantial number of lawsuits filed throughout the U.S. by persons alleging bodily injury as a result of exposure to asbestos. In 1963, Crown Cork acquired a subsidiary that had two operating businesses, one of which is alleged to have manufactured asbestos-containing insulation products. Crown Cork believes that the business ceased manufacturing such products in 1963.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December 31, 2025, Crown Cork’s accrual for pending and future asbestos-related claims and related legal costs was $177 million, including $125 million for unasserted claims. The Company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hyperlink w:anchor="i52f6ed3525d042f787f54b954ed2f9f2_127">
        <w:r>
          <w:rPr>
            <w:rStyle w:val="InternetLink"/>
            <w:rFonts w:ascii="Times New Roman;serif" w:hAnsi="Times New Roman;serif"/>
            <w:b w:val="false"/>
            <w:color w:val="0000FF"/>
            <w:sz w:val="20"/>
            <w:u w:val="single"/>
          </w:rPr>
          <w:t>Note P</w:t>
        </w:r>
      </w:hyperlink>
      <w:r>
        <w:rPr>
          <w:color w:val="000000"/>
        </w:rPr>
        <w:t xml:space="preserve"> </w:t>
      </w:r>
      <w:r>
        <w:rPr>
          <w:rFonts w:ascii="Times New Roman;serif" w:hAnsi="Times New Roman;serif"/>
          <w:b w:val="false"/>
          <w:color w:val="000000"/>
          <w:sz w:val="20"/>
        </w:rPr>
        <w:t xml:space="preserve">to the Company’s audited consolidated financial statements included in this Annual Report, including Texas and Pennsylvania statutes, are expected to have a highly favorable impact on Crown Cork’s ability to settle or defend against asbestos-related claims in those states and other states where Pennsylvania law may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Crown Cork received approximately 1,300 new claims, settled or dismissed approximately 700 claims, and had approximately 59,900 claims outstanding at the end of the period. Of the Company’s outstanding claims, approximately 18,000 claims relate to claimants alleging first exposure to asbestos after 1964 and approximately 41,900 relate to claimants alleging first exposure to asbestos before or during 1964, of which approximately 13,000 were filed in Texas, 1,300 were filed in Pennsylvania, 6,000 were filed in other states that have enacted asbestos legislation, and 21,600 were filed in other states. Due to the passage of time, the Company considers it unlikely that the plaintiffs in these cases will pursue further action. The exclusion of these inactive claims had no effect on the calculation of the Company’s accrual as the claims were filed in states where the Company’s liability is limited by statute. The Company devotes significant time and expense to defend against these various claims, complaints and proceedings, and there can be no assurance that the expenses or distractions from operating the Company’s business arising from these defenses will not increase materially.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Crown Cork made cash payments of $19 million, $15 million, and $17 million in 2025, 2024, and 2023, respectively, to settle asbestos claims and pay related legal and defense costs. These payments and any such future payments will reduce the cash flow available to Crown Cork for its business operations and debt payments.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the Company’s cash flow and impair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ability to satisfy its obligations. Further information regarding Crown’s Cork’s asbestos-related liabilities is presented within “Management’s Discussion and Analysis of Financial Condition and Results of Operations” under the headings, “Provision for Asbestos” and “Critical Accounting Policies and Estimates” and under </w:t>
      </w:r>
      <w:hyperlink w:anchor="i52f6ed3525d042f787f54b954ed2f9f2_127">
        <w:r>
          <w:rPr>
            <w:rStyle w:val="InternetLink"/>
            <w:rFonts w:ascii="Times New Roman;serif" w:hAnsi="Times New Roman;serif"/>
            <w:b w:val="false"/>
            <w:color w:val="0000FF"/>
            <w:sz w:val="20"/>
            <w:u w:val="single"/>
          </w:rPr>
          <w:t>Note P</w:t>
        </w:r>
      </w:hyperlink>
      <w:r>
        <w:rPr>
          <w:color w:val="000000"/>
        </w:rPr>
        <w:t xml:space="preserve"> </w:t>
      </w:r>
      <w:r>
        <w:rPr>
          <w:rFonts w:ascii="Times New Roman;serif" w:hAnsi="Times New Roman;serif"/>
          <w:b w:val="false"/>
          <w:color w:val="000000"/>
          <w:sz w:val="20"/>
        </w:rPr>
        <w:t>to the Company’s audited consolidated financial statements included in this Annual Report.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Company is subject to costs and liabilities related to stringent environmental and health and safety standards.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Laws and regulations relating to environmental protection and health and safety may increase the Company’s costs of operating and reduce its profitability. The Company’s operations are subject to numerous U.S. federal and state and non-U.S. laws and regulations governing the protection of the environment, including those relating to operating permits, treatment, storage and disposal of waste, the use of chemicals in the Company’s products and manufacturing process, discharges into water, emissions into the atmosphere, remediation of soil and groundwater contamination and protection of employee health and safety. Future regulations may impose stricter environmental or employee safety requirements affecting the Company’s operations or may impose additional requirements regarding consumer health and safety, such as potential restrictions on the use of bisphenol-A, a starting material used to produce internal and external coatings for some food, beverage, and aerosol containers and metal closures. The EU and Canada have banned the use of bisphenol-A in baby bottles, and the U.S. Environmental Protection Agency ("EPA") has considered adding bisphenol-A, which it has described as a potential reproductive, developmental, and systemic toxicant, to the chemical concern list and using its Design for the Environment program to encourage reductions in bisphenol-A manufacturing and use. Certain other nations, including Denmark, Belgium, the Netherlands, Canada, and France, have implemented or considered implementing legislation restricting the use of bisphenol-A, including imposing product labeling requirements or restrictions on the importation and placement in the market of packaging and utensils containing bisphenol-A, and the European Food Safety Authority has recommended that the tolerable daily intake of bisphenol-A be lowered. Domestic and international, federal, state, municipal or other regulatory authorities could further restrict or prohibit the use of bisphenol-A in the future. In addition, public reports, litigation, and other allegations regarding the potential health hazards of bisphenol-A could contribute to a perceived safety risk about the Company’s products and adversely impact sales or otherwise disrupt the Company’s business. While the Company is exploring various alternatives to the use of bisphenol-A and conversion to alternatives is underway in some applications, there can be no assurance the Company will be completely successful in its efforts or that the alternatives will not be more costly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Also, for example, future restrictions in some jurisdictions on air emissions of volatile organic compounds and the use of certain paint and lacquering ingredients may require the Company to employ additional control equipment or process modifications. The Company’s operations and properties, both in the U.S. and abroad, must comply with these laws and regulations. In addition, a number of governmental authorities in the U.S.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the Company operates, the potential impact of both climate change and climate change regulation is uncertain.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Climate change and evolving laws, regulations and market trends in response to climate change could adversely affect the business and operations of the Company.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incur significant costs and experience operational disruptions as a result of increases in the frequency, severity or duration of severe weather events caused by climate change (including thunderstorms, hurricanes, blizzards, wildfires, flooding, typhoons, and tornados), and may incur additional costs to prepare for, respond to and mitigate the effects of climate change. Furthermore, in the event that severe weather events, temperature shifts, or coastline changes resulting from climate change adversely impact crop yields for fruits and vegetables, our customers’ demand for our products may be reduced due to customers’ inability to make products that require packaging in the first instance. The Company is not able to accurately predict the materiality of any potential losses or costs associated with the effects of climate change. The impact of climate change may also vary by geographic location and other circumstances, including weather patterns and any impact to natural resources such as water.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 number of governmental authorities both in the U.S. and abroad also have enacted, or are considering, legal requirements relating to environmental conservation and sustainability, energy efficiency deforestation, greenhouse gas emissions, climate change and product stewardship, including</w:t>
      </w:r>
      <w:r>
        <w:rPr>
          <w:color w:val="000000"/>
          <w:shd w:fill="FFFFFF" w:val="clear"/>
        </w:rPr>
        <w:t xml:space="preserve"> </w:t>
      </w:r>
      <w:r>
        <w:rPr>
          <w:rFonts w:ascii="Times New Roman;serif" w:hAnsi="Times New Roman;serif"/>
          <w:b w:val="false"/>
          <w:color w:val="000000"/>
          <w:sz w:val="20"/>
          <w:shd w:fill="FFFFFF" w:val="clear"/>
        </w:rPr>
        <w:t xml:space="preserve">mandating recycling, the use of recycled materials and/or limitations on certain kinds of packaging materials such as plastics. In addition, some companies with packaging needs have responded to such developments, and/or </w:t>
      </w:r>
      <w:r>
        <w:rPr>
          <w:rFonts w:ascii="Times New Roman;serif" w:hAnsi="Times New Roman;serif"/>
          <w:b w:val="false"/>
          <w:color w:val="000000"/>
          <w:sz w:val="20"/>
        </w:rPr>
        <w:t>to perceived environmental concerns of consumers, by using containers made in whole or in part of recycled materials. Such developments may reduce the demand for some of the Company’s products, and/or increase its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Company may experience significant negative effects to its business as a result of new federal, state or local taxes, increases to current taxes or other governmental regulations specifically targeted to decrease the consumption of certain types of beverages.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Public health and government officials have become increasingly concerned about the health consequences associated with over-consumption of certain types of beverages, such as sugar-sweetened beverages and including those sold by certain of the Company’s significant customers. Possible new federal, state, or local taxes, increases to current taxes or other governmental regulations specifically targeted to decrease the consumption of these beverages may significantly reduce demand for the beverages of the Company’s customers, which could in turn affect demand of the Company’s customers for the Company’s products. For example, taxes on certain sugar-sweetened beverages and/or energy drinks have been enacted in France, the U.K., Poland, Portugal, Hungary, India, and Saudi Arabia. Some state and local governments are also considering similar taxes, and several U.S. cities, including in California, Pennsylvania, and Colorado, have enacted taxes on certain sugar-sweetened beverages. The imposition of such taxes may decrease the demand for certain soft drinks and beverages that the Company’s customers produce, which may cause the Company’s customers to respond by decreasing their purchases from the Company. Consumer tax legislation and future attempts to tax sugar-sweetened or energy drinks by other jurisdictions could reduce the demand for the Company’s products and materially adversely affect the Company’s business and financial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President of the United States signed and enacted tax legislation into law through a reconciliation bill titled 'An Act to provide for reconciliation pursuant to title II of H. Con. Res. 14,' commonly referred to as the "One Big Beautiful Bill Act" (the "OBBBA"). The OBBBA makes permanent key elements of the Tax Cuts and Jobs Act, including 100% bonus depreciation, domestic research cost expensing, and the business interest expense limitation. The legislation has multiple effective dates, with certain provisions effective in 2025 and others implemented through 2027. The Company continues to review the OBBBA tax provisions to assess impacts to the Company’s consolidated financial statements, effective tax rate, and cash tax obligations. The ultimate impact of this legislation on the Company’s financial results remains uncertain and could be material.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Demand for the Company’s products could be affected by changes in laws and regulations applicable to food and beverages and changes in consumer preferences.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manufactures and sells metal and glass packaging primarily for the beverage and food can market. As a result, many of the Company’s products come into direct contact with beverages and food. Accordingly, the Company’s products must comply with various laws and regulations for beverages and food applicable to its customers. Changes in such laws and regulations, such as the sugary-drink taxes discussed above, could negatively impact customers’ demand for the Company’s products as they comply with such changes and/or require the Company to make changes to its products. Such changes to the Company’s products could include modifications to the coatings and compounds that the Company uses, possibly resulting in the incurrence of additional costs. Additionally, because many of the Company’s products are used to package consumer goods, the Company is subject to a variety of risks that could influence consumer behavior and negatively impact demand for the Company’s products, including changes in consumer preferences driven by various health-related concerns and perceptions.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in accounting standards, taxation requirements and other law could negatively affect the Company’s financial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New accounting standards or pronouncements that may become applicable to the Company from time to time, or changes in the interpretation of existing standards and pronouncements, could have a significant effect on the Company’s reported results for the affected periods. The Company is also subject to income tax in the numerous jurisdictions in which the Company operates. Increases in income tax rates or other changes to tax laws could reduce the Company’s after-tax income from affected jurisdictions or otherwise affect the Company’s tax liability.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Company’s products are subject to import and excise duties and/or sales or value-added taxes in many jurisdictions in which it operates. Increases in indirect taxes could affect the Company’s products’ affordability and therefore reduce demand for its products.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loss of a major customer and/or customer consolidation could reduce the Company’s net sales and profitability.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 Company’s largest customers have acquired companies with similar or complementary product lines. This consolidation has increased the concentration of the Company’s business with its largest customers. In many cases, such consolidation has been accompanied by pressure from customers for lower prices, reflecting the increase in the total volume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 purchased or the elimination of a price differential between the acquiring customer and the company acquired. Increased pricing pressures from the Company’s customers may reduce the Company’s net sales and net income. In addition, customer concentration could expose the Company to increased credit risk if large customers were unable to fulfill their payment obligations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sales are to companies that have leading market positions in the sale of beverages, packaged food and household products to consumers. The loss of any major customers, a reduction in the purchasing levels of these customers or an adverse change in the terms of supply agreements with these customers could reduce the Company’s net sales and net income. A continued consolidation of the Company’s customers could exacerbate any such loss. In addition, the Company’s relationship with several of its customers, particularly in Transit Packaging, is noncontractual, and as a result its customers may unilaterally reduce their purchases of its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Company may not be able to manage its anticipated growth, and it may experience constraints or inefficiencies caused by unanticipated acceleration and deceleration of customer demand.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Unanticipated acceleration and deceleration of customer demand for the Company’s products may result in constraints or inefficiencies related to the Company’s manufacturing, sales force, implementation resources and administrative infrastructure, particularly in emerging markets where the Company is seeking to expand production. Such constraints or inefficiencies may adversely affect the Company as a result of delays, lost potential product sales or loss of current or potential customers due to their dissatisfaction. Similarly, over-expansion, including as a result of overcapacity due to expansion by the Company’s competitors, or investments in anticipation of growth that does not materialize, or develops more slowly than the Company expects, could harm the Company’s financial results and result in overcapacity.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manage the Company’s anticipated future growth effectively, the Company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The Company’s growth requires significant capital expenditures and may divert financial resources from other projects, such as the development of new products or enhancements of existing products or reduction of the Company’s outstanding indebtedness. If the Company’s management is unable to effectively manage the Company’s growth, its expenses may increase more than expected, its revenue could grow more slowly than expected and it may not be able to achieve its research and development and production goals, any of which could have a material effect on its business, operating results or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Acquisitions, dispositions or investments that the Company is considering, has pursued or may pursue could be unsuccessful, consume significant resources and require the incurrence of additional indebtedness.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completed and may consider acquisitions and investments that complement its existing business or dispositions of portions of its existing business. The actual or potential acquisitions, dispositions and investments, such as the Company’s divestiture of its European Tinplate business in August 2021, involve or may involve significant cash expenditures, debt incurrence (including the incurrence of additional indebtedness under the Company’s senior secured revolving credit facilities or other secured or unsecured debt), operating losses and expenses and the diversion of management’s attention that could have a material effect on the Company’s financial condition and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if the Company incurs additional debt in order to finance an acquisition, the Company’s liquidity and financial stability could be impaired as a result of using a significant portion of available cash or borrowing capacity. Moreover, the Company may face an increase in interest expense or financial leverage if additional debt is incurred to finance an acquisition, which may, among other things, adversely affect the Company’s various financial ratios and the Company’s compliance with the conditions of its existing indebtedness. In addition, such additional indebtedness may be incurred under the Company’s senior secured credit facilities or otherwise secured by liens on the Company’s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Acquisitions and dispositions involve numerous other risks, including: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diversion of management time and attention;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failures to identify material problems and liabilities of acquisition targets or to obtain sufficient indemnification rights to fully offset possible liabilities related to the acquired businesses;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integrating the operations, technologies and personnel of the acquired businesses;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inefficiencies and complexities that may arise due to unfamiliarity with new assets, businesses or markets;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disruptions to the Company’s ongoing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inaccurate estimates of fair value made in the accounting for acquisitions and amortization of acquired intangible assets which would reduce future reported earnings;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inability to obtain required financing for the new acquisition or investment opportunities and the Company’s existing business;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need or obligation to divest portions of an acquired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challenges associated with successfully bifurcating operations that involve both remaining and departing personnel in divestiture transactions;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challenges associated with operating in new geographic regions or discontinued operations in legacy regions;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in achieving anticipated cost savings, synergies, business opportunities and growth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potential loss of key employees, contractual relationships, suppliers or customers of the acquired businesses or of the Company;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inability to obtain required anti-trust and other regulatory approvals.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the Company pursues an acquisition or disposition that causes it to incur unexpected costs or that fails to generate expected returns, the Company’s financial position, results of operations and cash flows may be adversely affected, and the Company’s ability to service its indebtedness may be negatively impacted.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the Company fails to retain key management and personnel, the Company may be unable to implement its business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Members of the Company’s senior management have extensive industry experience, and it might be difficult to find new personnel with comparable experience. Because the Company’s business is highly specialized, the Company believes that it would also be difficult to replace its key technical personnel. The Company believes that its future success depends, in large part, on its experienced senior management team. Losing the services of key members of its management team could limit the Company’s ability to implement its business plan. In addition, under the Company’s unfunded Senior Executive Retirement Plan certain members of senior management are entitled to lump sum payments upon retirement or other termination of employment and a lump sum death benefit of five times the annual retirement benefit, which could result in unexpected increased costs to the Company for a particular period.</w:t>
      </w:r>
    </w:p>
    <w:p>
      <w:pPr>
        <w:pStyle w:val="TextBody"/>
        <w:bidi w:val="0"/>
        <w:spacing w:before="0" w:after="0"/>
        <w:jc w:val="both"/>
        <w:rPr/>
      </w:pPr>
      <w:r>
        <w:rPr/>
      </w:r>
    </w:p>
    <w:p>
      <w:pPr>
        <w:pStyle w:val="TextBody"/>
        <w:bidi w:val="0"/>
        <w:spacing w:lineRule="auto" w:line="259" w:before="0" w:after="0"/>
        <w:jc w:val="both"/>
        <w:rPr>
          <w:rFonts w:ascii="Times New Roman;serif" w:hAnsi="Times New Roman;serif"/>
          <w:b/>
          <w:i/>
          <w:color w:val="000000"/>
          <w:sz w:val="20"/>
        </w:rPr>
      </w:pPr>
      <w:r>
        <w:rPr>
          <w:rFonts w:ascii="Times New Roman;serif" w:hAnsi="Times New Roman;serif"/>
          <w:b/>
          <w:i/>
          <w:color w:val="000000"/>
          <w:sz w:val="20"/>
        </w:rPr>
        <w:t>The Company relies on its information technology, and potential cyber-attack, data breach or other failure or disruption of its information technology could disrupt its operations and adversely affect its results of operations.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business increasingly relies on the successful and uninterrupted functioning of its information technology systems to process, transmit, and store electronic information. A significant portion of the communication between the Company’s personnel around the world, customers, and suppliers depends on information technology. As with all large systems, the Company’s information technology systems may be susceptible to damage, disruptions, or shutdowns due to failures during the process of upgrading or replacing software, databases or components thereof, power outages, hardware failures, telecommunication failures, user errors, or catastrophic events. In addition, cybersecurity related risks including security breaches and cyber-attacks such as computer viruses, denial-of-service attacks, malicious code (including ransomware), social-engineering attacks (including phishing attacks), or other information security breaches could result in unauthorized disclosure or misappropriation of the Company’s confidential information. These threats also may be further enhanced in frequency or effectiveness through threat actors’ use of new technologies like artificial intelligence, machine learning, and quantum computing.</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increasing complexity and sophistication of techniques used by bad actors to obtain unauthorized access to or disable information technology systems, and the fact that cyber-attacks are being made by groups and individuals with a wide range of expertise and motives, it is increasingly difficult to anticipate and defend against cyber-attacks.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concentration of processes in shared services centers means that any disruption could impact a large portion of the Company’s business within the operating zones served by the affected service center. If the Company does not allocate, and effectively manage, the resources necessary to build, sustain and protect the proper technology infrastructure, the Company could be subject to transaction errors, processing inefficiencies, loss of customers, business disruptions, the loss of or damage to intellectual or physical property through security breach, and reputational harm, as well as potential litigation, civil liability and fines under various laws and regulatory regimes of jurisdictions in which the Company does business. While the Company has security measures in place designed to protect the integrity of customer information and prevent data loss, misappropriation, and other security breaches, the Company’s information technology systems could nevertheless be penetrated by outside parties intent on extracting information, corrupting information or disrupting business processes (including for purposes of ransom demands or other forms of blackmail), particularly if the Company’s information security training and compliance programs prove to be inadequate. In addition, if the Company’s information technology systems suffer severe damage, disruption,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shutdown and the Company’s business continuity plans do not effectively resolve the issues in a timely manner, the Company may lose customers and suppliers and revenue and profits as a result of its inability to timely manufacture, distribute, invoice and collect payments from its customers, and could experience delays in reporting its financial results, including with respect to the Company’s operations in emerging markets. Furthermore, if the Company is unable to prevent security breaches, it may suffer financial and reputational damage because of lost or misappropriated confidential information belonging to the Company or to its customers or suppliers, and it may suffer indirect economic loss if its existing insurance policies and coverage related to information security risks prove to be insufficient. Failure or disruption of the Company’s information technology systems, or the back-up systems, for any reason could disrupt the Company’s operations and negatively impact the Company’s cash flows or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Company’s reliance on third-party cloud infrastructure and its use of artificial intelligence technologies create operational, security, and compliance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reliance on cloud-based systems owned by third parties creates particular risks. Because the Company does not control the underlying infrastructure, the Company depends on the security and reliability of third-party providers, and any outage, misconfiguration, or loss of data could compromise the integrity of the Company’s and the Company’s customers’ operations. New technologies, such as artificial intelligence and quantum computing, may present new technological risks or vulnerabilities that could compromise the Company’s systems and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Artificial intelligence technologies have rapidly developed, and the Company’s business may be adversely affected if the Company cannot successfully integrate the technology into its internal business processes, products, and services in a timely, cost-effective, compliant, and responsible manner. If the data used to train artificial intelligence solutions or the content, analyses, or recommendations that machine learning applications assist in producing is deemed to be inaccurate, incomplete, biased, or questionable, the Company’s brand and reputation may be harmed, and the Company may be subject to legal liability claims. Such risks could result in significant costs, operational disruptions, regulatory penalties, litigation, reputational damage, and material adverse effects on the Company’s business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Sentiment towards climate change, sustainability and other ESG matters could adversely affect the Company’s business, financial condition or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has announced sustainability goals for its next phase of Sustainability as part of its </w:t>
      </w:r>
      <w:r>
        <w:rPr>
          <w:rFonts w:ascii="Times New Roman;serif" w:hAnsi="Times New Roman;serif"/>
          <w:b/>
          <w:color w:val="000000"/>
          <w:sz w:val="20"/>
        </w:rPr>
        <w:t>Twenty</w:t>
      </w:r>
      <w:r>
        <w:rPr>
          <w:rFonts w:ascii="Times New Roman;serif" w:hAnsi="Times New Roman;serif"/>
          <w:b w:val="false"/>
          <w:color w:val="000000"/>
          <w:sz w:val="20"/>
        </w:rPr>
        <w:t>by</w:t>
      </w:r>
      <w:r>
        <w:rPr>
          <w:rFonts w:ascii="Times New Roman;serif" w:hAnsi="Times New Roman;serif"/>
          <w:b/>
          <w:color w:val="000000"/>
          <w:sz w:val="20"/>
        </w:rPr>
        <w:t>30</w:t>
      </w:r>
      <w:r>
        <w:rPr>
          <w:color w:val="000000"/>
        </w:rPr>
        <w:t xml:space="preserve"> </w:t>
      </w:r>
      <w:r>
        <w:rPr>
          <w:rFonts w:ascii="Times New Roman;serif" w:hAnsi="Times New Roman;serif"/>
          <w:b w:val="false"/>
          <w:color w:val="000000"/>
          <w:sz w:val="20"/>
        </w:rPr>
        <w:t xml:space="preserve">program. Execution of this program and the achievements of the Company’s sustainability goals is subject to risk and uncertainties, many of which are out of the Company’s control. Failure to achieve these sustainability goals within the currently projected costs and expected timeframes could damage the Company’s reputation, customer and investor relationships, or ability to access capital on favorable terms, particularly given investors’ increased focus on ESG matters in recent years, and in turn could adversely affect the Company’s business, financial condition or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the Company fails to maintain an effective system of internal control, the Company may not be able to accurately report financial results or prevent fraud.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internal controls are necessary to provide reliable financial reports and to assist in the effective prevention of fraud. Any inability to provide reliable financial reports or prevent fraud could harm the Company’s business. The Company must annually evaluate its internal procedures to satisfy the requirements of Section 404 of the Sarbanes-Oxley Act of 2002, which requires management and auditors to assess the effectiveness of internal controls. If the Company fails to remedy or maintain the adequacy of its internal controls, as such standards are modified, supplemented or amended from time to time, the Company could be subject to regulatory scrutiny, civil or criminal penalties, or shareholder litigation.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bookmarkStart w:id="3" w:name="i365c82c83a3f491da30b33426230f2ac"/>
      <w:bookmarkEnd w:id="3"/>
      <w:r>
        <w:rPr>
          <w:rFonts w:ascii="Times New Roman;serif" w:hAnsi="Times New Roman;serif"/>
          <w:b w:val="false"/>
          <w:color w:val="000000"/>
          <w:sz w:val="20"/>
          <w:u w:val="single"/>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unresolved written comments that were received from the SEC staff 180 days or more before the end of the Company’s fiscal year relating to its periodic or current reports under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bookmarkStart w:id="4" w:name="i01d1f2228e364c6c9a87b6e3a4e618d7"/>
      <w:bookmarkEnd w:id="4"/>
      <w:r>
        <w:rPr>
          <w:rFonts w:ascii="Times New Roman;serif" w:hAnsi="Times New Roman;serif"/>
          <w:b w:val="false"/>
          <w:color w:val="000000"/>
          <w:sz w:val="20"/>
          <w:u w:val="single"/>
        </w:rPr>
        <w:t>ITEM 1C. Cybersecurity</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Risk Management &amp; Strategy</w:t>
      </w:r>
    </w:p>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is integrated into the Company’s overall risk management program. The Company has established a cyber risk management program that identifies and manages risks to our information assets that could be affected by a cyberattack.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Company leverages both internal and external threat detection and response capabilities, combined with a people-centric approach to employee awareness and engagement. The Company considers risks related to people, processes, and technology including those associated with our third-party service providers and allocates resources to maintain and enhance our cybersecurity measures.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engages external third-party security assessment vendors, both on a recurring basis and as needed, to perform realistic adversarial threat attacks (penetration testing) on our internal and external environments leveraging the International Organization for Standardization (ISO) cybersecurity frameworks. These third-party experts provide impartial, objective, and strategic evaluations of our cybersecurity posture, identifying critical vulnerabilities and recommending improvements.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Although, through the date of this filing, we are not aware of any cybersecurity incidents that have materially impacted the Company, we cannot eliminate all risks from cybersecurity threats. We describe whether and how risks related to cybersecurity threats are reasonably likely to materially affect us, including our business strategy, results of operations, or financial condition, in Item 1A of this Annual Report on Form 10-K.</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Cybersecurity Governance</w:t>
      </w:r>
    </w:p>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Company senior leadership has top-level responsibility for management of information security risk. The Company has established a dedicated, globally focused cybersecurity team led by its Chief Information Security Officer (CISO), who brings over 20 years of experience in the field of cybersecurity and IT operations. The CISO is responsible for overseeing the entire global cybersecurity program, which encompasses cyber risk management, operations, strategic planning, and compliance with cybersecurity policies and regulations. Crown’s cybersecurity team maintains collaboration with other cross functional teams to assess and manage cybersecurity risks. This approach enables the Company to align cybersecurity efforts with broader business objectives and respond to emerging threats. Additionally, Crown’s Board of Directors, along with the Crown Chief Executive Officer, Chief Operating Officer, Chief Financial Officer, and General Counsel oversee the identification, assessment, and management of cybersecurity risks.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case of a cyber incident with significant or material impact, the CISO would escalate to senior leadership and depending upon the severity and scope of any cyber incident, the Company will invoke its Corporate Crisis management plan.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 regular reporting schedule, the CISO provides updates on cybersecurity risk and mitigation efforts to senior leadership, Board of Directors, and members of the Audit Committee. The Audit Committee, which is tasked with oversight of certain risk issues, including information security risk, receives two to four reports annually from the Company’s senior leadership, including the CISO, that includes an information security dashboard and discussion of emerging risks and trends. The Audit Committee then briefs the Board of Directors on these matters. </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
        <w:jc w:val="left"/>
        <w:rPr>
          <w:rFonts w:ascii="Times New Roman;serif" w:hAnsi="Times New Roman;serif"/>
          <w:b w:val="false"/>
          <w:color w:val="000000"/>
          <w:sz w:val="20"/>
          <w:u w:val="single"/>
        </w:rPr>
      </w:pPr>
      <w:bookmarkStart w:id="5" w:name="icf7bd71d1d4c4083818749b25ec34ad2"/>
      <w:bookmarkEnd w:id="5"/>
      <w:r>
        <w:rPr>
          <w:rFonts w:ascii="Times New Roman;serif" w:hAnsi="Times New Roman;serif"/>
          <w:b w:val="false"/>
          <w:color w:val="000000"/>
          <w:sz w:val="20"/>
          <w:u w:val="single"/>
        </w:rPr>
        <w:t>ITEM 2. Properties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operated 179 facilities in 39 countries. The principal manufacturing facilities at December 31, 2025 are listed below and are grouped by segment. The Company’s manufacturing and support facilities are designed according to the requirements of the products to be manufactured. Therefore, the type of construction may vary from plant to plant. Warehouse space is generally provided at each of the manufacturing locations, although the Company also leases outside warehouses. The Company leased 54 of its manufacturing facilities at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Ongoing productivity improvements and cost reduction efforts in recent years have focused on upgrading and modernizing facilities to reduce costs, improve efficiency and productivity. The Company has also opened new facilities to meet increases in market demand for its products. These actions reflect the Company’s continued commitment to align manufacturing facilities to maintain its competitive position in its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Utilization of any particular facility varies based upon product demand. While it is not possible to measure with any degree of certainty or uniformity the productive capacity of these facilities, management believes that, if necessary, production can be increased at several existing facilities through the addition of personnel, capital equipment and, in some facilities, square footage available for production. In addition, the Company may from time to time acquire additional facilities or dispose of existing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Americas, Transit Packaging, and Corporate headquarters are in Tampa, Florida. Its European headquarters is in Baar, Switzerland and its Asia Pacific headquarters is in Singapore. The Company maintains a research facility in Wantage, England.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80"/>
        <w:gridCol w:w="495"/>
        <w:gridCol w:w="498"/>
        <w:gridCol w:w="563"/>
        <w:gridCol w:w="523"/>
        <w:gridCol w:w="525"/>
        <w:gridCol w:w="690"/>
        <w:gridCol w:w="622"/>
        <w:gridCol w:w="625"/>
        <w:gridCol w:w="524"/>
        <w:gridCol w:w="524"/>
        <w:gridCol w:w="489"/>
        <w:gridCol w:w="632"/>
        <w:gridCol w:w="617"/>
        <w:gridCol w:w="578"/>
        <w:gridCol w:w="527"/>
        <w:gridCol w:w="502"/>
        <w:gridCol w:w="691"/>
      </w:tblGrid>
      <w:tr>
        <w:trPr/>
        <w:tc>
          <w:tcPr>
            <w:tcW w:w="58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Americas Beverage</w:t>
            </w:r>
          </w:p>
        </w:tc>
        <w:tc>
          <w:tcPr>
            <w:tcW w:w="16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European Beverage</w:t>
            </w:r>
          </w:p>
        </w:tc>
        <w:tc>
          <w:tcPr>
            <w:tcW w:w="19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 Pacific</w:t>
            </w:r>
          </w:p>
        </w:tc>
        <w:tc>
          <w:tcPr>
            <w:tcW w:w="336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 Packaging</w:t>
            </w:r>
          </w:p>
        </w:tc>
        <w:tc>
          <w:tcPr>
            <w:tcW w:w="17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5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Kankakee, IL</w:t>
            </w:r>
          </w:p>
        </w:tc>
        <w:tc>
          <w:tcPr>
            <w:tcW w:w="16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Custines, France</w:t>
            </w:r>
          </w:p>
        </w:tc>
        <w:tc>
          <w:tcPr>
            <w:tcW w:w="19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Phnom Penh, Cambodia (2)</w:t>
            </w:r>
          </w:p>
        </w:tc>
        <w:tc>
          <w:tcPr>
            <w:tcW w:w="15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Benton, AR</w:t>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Toluca, Mexico</w:t>
            </w:r>
          </w:p>
        </w:tc>
        <w:tc>
          <w:tcPr>
            <w:tcW w:w="17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Norwalk, CT (T)</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Bowling Green, KY</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Saarlouis, Germany</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Hangzhou, China</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 Point, CA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Virton, Belgium</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Dubuque, IA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Mankato, MN</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Korinthos, Greece</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Heshan, China</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Bridgeview, IL</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Kardjali, Bulgaria</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Alsip, IL (A)</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Mesquite, NV</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Parma, Italy</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Huizhou, China (S)</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Brighton, MI</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Noerresundby, Denmark</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Belcamp, MD (S)</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Nichols, NY</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Amman, Jordan</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Qingdao Shangdong, China (S)</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Cleveland, OH</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Soenderborg, Denmark</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Faribault, MN (A)</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OH</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Dammam, Saudi Arabia</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Shanghai, China (S)</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Danville, VA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Liljendal, Finland</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Owatonna, MN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Cheraw, SC</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Jeddah, Saudi Arabia</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Tianjin, China (S)</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Darlington, SC</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Masku, Finland</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Massillon, OH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Conroe, TX</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Kosice, Slovakia</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Ziyang, China</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Dixmoor, IL</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Castelsarrasin, France</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Mill Park, OH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Bend, TX</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Agoncillo, Spain</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Karawang, Indonesia</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Douglasville, GA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Fontaine les Luxeuil,</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Connellsville, PA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Martinsville, VA </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Sevilla, Spain</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Bangi, Malaysia</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Providence, RI (2)</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France</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Hanover, PA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Winchester, VA</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Valencia, Spain</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Yangon, Myanmar</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Eden, NC</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Manneville sur Risle,</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Effingham, SC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Olympia, WA</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 Agba, Tunisia</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Singapore (S)</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Elkhart, IN</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France</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Trevose, PA (T)</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 Crosse, WI</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Izmit, Turkey</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Bangpoo, Thailand (F)</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Florence, KY</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Dinslaken, Germany</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Spartanburg, SC (A)</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Worland, WY</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Osmaniye, Turkey</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Hat Yai, Thailand (F)</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Fordyce, AR</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Goldkronach, Germany</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Chippewa Falls, WI (T)</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Cabreuva, Brazil</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Dubai, UAE</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Nakhon Pathom, Thailand (F)</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Forest, VA (2)</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Hilden, Germany</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Oshkosh, WI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Teresina, Brazil</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Botcherby, U.K.</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 Khae, Thailand (2)</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Gary, IN</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Nurnberg, Germany</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Kingston, Jamaica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Estancia, Brazil</w:t>
            </w:r>
          </w:p>
        </w:tc>
        <w:tc>
          <w:tcPr>
            <w:tcW w:w="16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Peterborough, U.K.</w:t>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Samrong, Thailand (F)</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Greer, SC</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Weischlitz, Germany</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Barbados, West Indies (F)</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Manaus, Brazil</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Songkhla, Thailand (F)</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Hazleton, PA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Gorey, Ireland</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Shipley, U.K. (T)</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Ponta Grossa, Brazil</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Danang, Vietnam</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Kankakee, IL (2)</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Waterford, Ireland</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Wortley, U.K.</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Rio Verde, Brazil</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Dong Nai, Vietnam (2)</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LaGrange, GA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Nairobi, Kenya</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Wisbech, U.K.</w:t>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Uberaba, Brazil</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Hanoi, Vietnam</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Latta, SC</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Heerlen, Netherlands</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Calgary, Canada</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Vung Tau, Vietnam</w:t>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Loveland, OH</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Nuenen, Netherlands</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Ontario, Canada</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Macon, GA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Zwijndrecht, Netherlands</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Santafe de Bogota,</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Martinsville, VA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Petrovany, Slovakia</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Colombia</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Monroe, LA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Burseryd, Sweden</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Acayucan, Mexico</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Newark, NJ</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Hjo, Sweden</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Chihuahua, Mexico</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Orange, TX</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Dietikon, Switzerland (2)</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Ensenada, Mexico</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Phoenix, AZ</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Merenschwand, Switzerland</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Guadalajara, Mexico</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Roselle, IL</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Torbali, Turkey</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Monterrey, Mexico (2)</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Salisbury, NC</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Dudley, U.K</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Orizaba, Mexico</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Antonio, TX</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Kurri Kurri, Australia</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Toluca, Mexico</w:t>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Sheridan, AR</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Bangalore, India (3)</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Canaan, PA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Bengaluru, India</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Stockton, CA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Dahej, India</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 Chester, OH</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Rudrapur, India</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Woodland, WA</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Rudraram, India </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Cabreuva, Brazil</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Silvassa, India</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Halton Hills, Canada </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Pohang, South Korea</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Amatlan de los Reyes,</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Sriracha, Thailand (2)</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Mexico</w:t>
            </w:r>
          </w:p>
        </w:tc>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Qingdao Shandong, China </w:t>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Cienega de Flores,</w:t>
            </w:r>
          </w:p>
        </w:tc>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Mexico</w:t>
            </w:r>
          </w:p>
        </w:tc>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All properties above, with the exception of Transit Packaging, are beverage facilities unless otherwise indicated by the following:</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 Aerosol</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 Food and closure</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P: Promotional packaging</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 Specialty packaging</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 Tooling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u w:val="single"/>
        </w:rPr>
      </w:pPr>
      <w:bookmarkStart w:id="6" w:name="i9622867ab17049bb9f5f43a211d6426a"/>
      <w:bookmarkEnd w:id="6"/>
      <w:r>
        <w:rPr>
          <w:rFonts w:ascii="Times New Roman;serif" w:hAnsi="Times New Roman;serif"/>
          <w:b w:val="false"/>
          <w:color w:val="000000"/>
          <w:sz w:val="20"/>
          <w:u w:val="single"/>
        </w:rPr>
        <w:t>ITEM 3.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 At December 31, 2025, the accrual for pending and future asbestos claims and related legal costs that are probable and estimable was $177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been identified by the EPA as a potentially responsible party (along with others, in most cases) at a number of sites.</w:t>
      </w:r>
    </w:p>
    <w:p>
      <w:pPr>
        <w:pStyle w:val="TextBody"/>
        <w:bidi w:val="0"/>
        <w:spacing w:lineRule="auto" w:line="288" w:before="180" w:after="283"/>
        <w:jc w:val="both"/>
        <w:rPr/>
      </w:pPr>
      <w:r>
        <w:rPr>
          <w:rFonts w:ascii="Times New Roman;serif" w:hAnsi="Times New Roman;serif"/>
          <w:b w:val="false"/>
          <w:color w:val="000000"/>
          <w:sz w:val="20"/>
        </w:rPr>
        <w:t xml:space="preserve">Further information on these matters and other legal proceedings is presented within “Management’s Discussion and Analysis of Financial Condition and Results of Operations” under the captions “Provision for Asbestos” and “Environmental Matters,” within the risk factor titled "The Company is subject to litigation risks which could negatively impact its operations and net income" and under </w:t>
      </w:r>
      <w:hyperlink w:anchor="i52f6ed3525d042f787f54b954ed2f9f2_127">
        <w:r>
          <w:rPr>
            <w:rStyle w:val="InternetLink"/>
            <w:rFonts w:ascii="Times New Roman;serif" w:hAnsi="Times New Roman;serif"/>
            <w:b w:val="false"/>
            <w:color w:val="0000FF"/>
            <w:sz w:val="20"/>
            <w:u w:val="single"/>
          </w:rPr>
          <w:t>Note P</w:t>
        </w:r>
      </w:hyperlink>
      <w:r>
        <w:rPr>
          <w:color w:val="000000"/>
        </w:rPr>
        <w:t xml:space="preserve"> </w:t>
      </w:r>
      <w:r>
        <w:rPr>
          <w:rFonts w:ascii="Times New Roman;serif" w:hAnsi="Times New Roman;serif"/>
          <w:b w:val="false"/>
          <w:color w:val="000000"/>
          <w:sz w:val="20"/>
        </w:rPr>
        <w:t xml:space="preserve">and </w:t>
      </w:r>
      <w:hyperlink w:anchor="i52f6ed3525d042f787f54b954ed2f9f2_130">
        <w:r>
          <w:rPr>
            <w:rStyle w:val="InternetLink"/>
            <w:rFonts w:ascii="Times New Roman;serif" w:hAnsi="Times New Roman;serif"/>
            <w:b w:val="false"/>
            <w:color w:val="0000FF"/>
            <w:sz w:val="20"/>
            <w:u w:val="single"/>
          </w:rPr>
          <w:t>Note Q</w:t>
        </w:r>
      </w:hyperlink>
      <w:r>
        <w:rPr>
          <w:color w:val="000000"/>
        </w:rPr>
        <w:t xml:space="preserve"> </w:t>
      </w:r>
      <w:r>
        <w:rPr>
          <w:rFonts w:ascii="Times New Roman;serif" w:hAnsi="Times New Roman;serif"/>
          <w:b w:val="false"/>
          <w:color w:val="000000"/>
          <w:sz w:val="20"/>
        </w:rPr>
        <w:t>to the consolidated financial statements.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bookmarkStart w:id="7" w:name="ib3942e1b77164ef7a4c2140b28ff8261"/>
      <w:bookmarkEnd w:id="7"/>
      <w:r>
        <w:rPr>
          <w:rFonts w:ascii="Times New Roman;serif" w:hAnsi="Times New Roman;serif"/>
          <w:b w:val="false"/>
          <w:color w:val="000000"/>
          <w:sz w:val="20"/>
          <w:u w:val="single"/>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INFORMATION ABOUT OUR EXECUTIVE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concerning the principal executive officers of the Company, including their ages and positions, is set forth in “Directors, Executive Officers and Corporate Governance” of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bookmarkStart w:id="8" w:name="i89b1f55173314c1daa665535876000ac"/>
      <w:bookmarkEnd w:id="8"/>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bookmarkStart w:id="9" w:name="i20ff9b2873674b84a1e44e15f18aa4d3"/>
      <w:bookmarkEnd w:id="9"/>
      <w:r>
        <w:rPr>
          <w:rFonts w:ascii="Times New Roman;serif" w:hAnsi="Times New Roman;serif"/>
          <w:b w:val="false"/>
          <w:color w:val="000000"/>
          <w:sz w:val="20"/>
          <w:u w:val="single"/>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Registrant’s common stock is listed on the New York Stock Exchange under ticker symbol CC</w:t>
      </w:r>
      <w:r>
        <w:rPr>
          <w:rFonts w:ascii="Times New Roman;serif" w:hAnsi="Times New Roman;serif"/>
          <w:b w:val="false"/>
          <w:color w:val="000000"/>
          <w:sz w:val="20"/>
          <w:shd w:fill="FFFFFF" w:val="clear"/>
        </w:rPr>
        <w:t xml:space="preserve">K. On </w:t>
      </w:r>
      <w:r>
        <w:rPr>
          <w:rFonts w:ascii="Times New Roman;serif" w:hAnsi="Times New Roman;serif"/>
          <w:b w:val="false"/>
          <w:color w:val="000000"/>
          <w:sz w:val="20"/>
        </w:rPr>
        <w:t>February 26, 2026</w:t>
      </w:r>
      <w:r>
        <w:rPr>
          <w:color w:val="000000"/>
          <w:shd w:fill="FFFFFF" w:val="clear"/>
        </w:rPr>
        <w:t xml:space="preserve"> </w:t>
      </w:r>
      <w:r>
        <w:rPr>
          <w:rFonts w:ascii="Times New Roman;serif" w:hAnsi="Times New Roman;serif"/>
          <w:b w:val="false"/>
          <w:color w:val="000000"/>
          <w:sz w:val="20"/>
          <w:shd w:fill="FFFFFF" w:val="clear"/>
        </w:rPr>
        <w:t>there were 3,132 registered shareholders of the Registrant’s common stock, including 839 participants in the Company’s Employee Stock Purchase Plan. Details regarding the Company’s policy as to payment of cash dividends and repurchase</w:t>
      </w:r>
      <w:r>
        <w:rPr>
          <w:color w:val="000000"/>
        </w:rPr>
        <w:t xml:space="preserve"> </w:t>
      </w:r>
      <w:r>
        <w:rPr>
          <w:rFonts w:ascii="Times New Roman;serif" w:hAnsi="Times New Roman;serif"/>
          <w:b w:val="false"/>
          <w:color w:val="000000"/>
          <w:sz w:val="20"/>
        </w:rPr>
        <w:t xml:space="preserve">of shares are set forth under </w:t>
      </w:r>
      <w:hyperlink w:anchor="i52f6ed3525d042f787f54b954ed2f9f2_142">
        <w:r>
          <w:rPr>
            <w:rStyle w:val="InternetLink"/>
            <w:rFonts w:ascii="Times New Roman;serif" w:hAnsi="Times New Roman;serif"/>
            <w:b w:val="false"/>
            <w:color w:val="0000FF"/>
            <w:sz w:val="20"/>
            <w:u w:val="single"/>
          </w:rPr>
          <w:t>Note U</w:t>
        </w:r>
      </w:hyperlink>
      <w:r>
        <w:rPr>
          <w:color w:val="000000"/>
        </w:rPr>
        <w:t xml:space="preserve"> </w:t>
      </w:r>
      <w:r>
        <w:rPr>
          <w:rFonts w:ascii="Times New Roman;serif" w:hAnsi="Times New Roman;serif"/>
          <w:b w:val="false"/>
          <w:color w:val="000000"/>
          <w:sz w:val="20"/>
        </w:rPr>
        <w:t>to the consolidated financial statements included in this Annual Report. Information with respect to shares of common stock that may be issued under the Company’s equity compensation plans is set forth in “Security Ownership of Certain Beneficial Owners and Management and Related Stockholder Matters,” of this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Issuer Purchases of Equity Securities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following table provides information about the Company’s purchases of equity securities during the three months ending December 31, 2025. The table exclude</w:t>
      </w:r>
      <w:r>
        <w:rPr>
          <w:rFonts w:ascii="Times New Roman;serif" w:hAnsi="Times New Roman;serif"/>
          <w:b w:val="false"/>
          <w:color w:val="000000"/>
          <w:sz w:val="20"/>
          <w:shd w:fill="FFFFFF" w:val="clear"/>
        </w:rPr>
        <w:t xml:space="preserve">s 188 of </w:t>
      </w:r>
      <w:r>
        <w:rPr>
          <w:rFonts w:ascii="Times New Roman;serif" w:hAnsi="Times New Roman;serif"/>
          <w:b w:val="false"/>
          <w:color w:val="000000"/>
          <w:sz w:val="20"/>
        </w:rPr>
        <w:t xml:space="preserve">the Company’s shares surrendered to cover taxes on the vesting of restricted stock. </w:t>
      </w:r>
    </w:p>
    <w:tbl>
      <w:tblPr>
        <w:tblW w:w="10205" w:type="dxa"/>
        <w:jc w:val="left"/>
        <w:tblInd w:w="0" w:type="dxa"/>
        <w:tblLayout w:type="fixed"/>
        <w:tblCellMar>
          <w:top w:w="28" w:type="dxa"/>
          <w:left w:w="28" w:type="dxa"/>
          <w:bottom w:w="28" w:type="dxa"/>
          <w:right w:w="28" w:type="dxa"/>
        </w:tblCellMar>
      </w:tblPr>
      <w:tblGrid>
        <w:gridCol w:w="347"/>
        <w:gridCol w:w="306"/>
        <w:gridCol w:w="308"/>
        <w:gridCol w:w="721"/>
        <w:gridCol w:w="437"/>
        <w:gridCol w:w="439"/>
        <w:gridCol w:w="109"/>
        <w:gridCol w:w="109"/>
        <w:gridCol w:w="109"/>
        <w:gridCol w:w="250"/>
        <w:gridCol w:w="855"/>
        <w:gridCol w:w="129"/>
        <w:gridCol w:w="109"/>
        <w:gridCol w:w="109"/>
        <w:gridCol w:w="109"/>
        <w:gridCol w:w="933"/>
        <w:gridCol w:w="689"/>
        <w:gridCol w:w="691"/>
        <w:gridCol w:w="109"/>
        <w:gridCol w:w="109"/>
        <w:gridCol w:w="109"/>
        <w:gridCol w:w="668"/>
        <w:gridCol w:w="1954"/>
        <w:gridCol w:w="497"/>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number of shares purchased as part of publicly announced programs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 purchased under the programs as of the end of the period (millions of dollars)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363,174 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363,174 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591,268 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591,268 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974,752 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974,752 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1,929,194 </w:t>
            </w:r>
          </w:p>
        </w:tc>
        <w:tc>
          <w:tcPr>
            <w:tcW w:w="4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1,929,194 </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In July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hanging="810"/>
        <w:jc w:val="both"/>
        <w:rPr>
          <w:rFonts w:ascii="Times New Roman;serif" w:hAnsi="Times New Roman;serif"/>
          <w:b w:val="false"/>
          <w:color w:val="000000"/>
          <w:sz w:val="20"/>
          <w:u w:val="single"/>
        </w:rPr>
      </w:pPr>
      <w:bookmarkStart w:id="10" w:name="if1d0f8937e114d6aa7f5be76cf78ac00"/>
      <w:bookmarkEnd w:id="10"/>
      <w:r>
        <w:rPr>
          <w:rFonts w:ascii="Times New Roman;serif" w:hAnsi="Times New Roman;serif"/>
          <w:b w:val="false"/>
          <w:color w:val="000000"/>
          <w:sz w:val="20"/>
          <w:u w:val="single"/>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COMPARATIVE STOCK PERFORMANCE </w:t>
      </w:r>
      <w:r>
        <w:rPr>
          <w:rFonts w:ascii="Times New Roman;serif" w:hAnsi="Times New Roman;serif"/>
          <w:b w:val="false"/>
          <w:color w:val="000000"/>
          <w:sz w:val="20"/>
        </w:rPr>
        <w:t xml:space="preserve">(a)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Comparison of Five-Year Cumulative Total Return (b)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Crown Holdings, S&amp;P 500 Index, Dow Jones U.S. Containers &amp; Packaging Index (c)</w:t>
      </w:r>
    </w:p>
    <w:p>
      <w:pPr>
        <w:pStyle w:val="TextBody"/>
        <w:bidi w:val="0"/>
        <w:spacing w:before="0" w:after="0"/>
        <w:jc w:val="center"/>
        <w:rPr/>
      </w:pPr>
      <w:r>
        <w:rPr/>
        <w:drawing>
          <wp:inline distT="0" distB="0" distL="0" distR="0">
            <wp:extent cx="6515100" cy="3086100"/>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6515100" cy="3086100"/>
                    </a:xfrm>
                    <a:prstGeom prst="rect">
                      <a:avLst/>
                    </a:prstGeom>
                  </pic:spPr>
                </pic:pic>
              </a:graphicData>
            </a:graphic>
          </wp:inline>
        </w:drawing>
      </w:r>
      <w:bookmarkStart w:id="11" w:name="i-1"/>
      <w:bookmarkEnd w:id="11"/>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77"/>
        <w:gridCol w:w="1205"/>
        <w:gridCol w:w="1214"/>
        <w:gridCol w:w="109"/>
        <w:gridCol w:w="109"/>
        <w:gridCol w:w="10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466"/>
        <w:gridCol w:w="155"/>
      </w:tblGrid>
      <w:tr>
        <w:trPr/>
        <w:tc>
          <w:tcPr>
            <w:tcW w:w="137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 Jones U.S. Containers &amp; Packaging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(a)The preceding Comparative Stock Performance Graph is not deemed filed with the SEC and shall not be incorporated by reference in any of the Company’s filings under the Security Act of 1933 or the Securities Exchange Act of 1934, whether made before or after the date hereof and irrespective of any general incorporation language in any such filing.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(b)Assumes that the value of the investment in Crown Holdings common stock and each index was $100 on December 31, 2020 and that all dividends were reinvested.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Industry index is weighted by market capitalization and, as of December 31, 2025, was composed of Crown Holdings, Amcor, AptarGroup, Avery Dennison, Ball, Berry Global, Graphic Packaging, International Paper, Packaging Corp. of America, Sealed Air, Silgan, Smurfit Westrock, and Sonoco.</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bookmarkStart w:id="12" w:name="ia33269dd18a044e8a6768868d057be3d"/>
      <w:bookmarkEnd w:id="12"/>
      <w:r>
        <w:rPr>
          <w:rFonts w:ascii="Times New Roman;serif" w:hAnsi="Times New Roman;serif"/>
          <w:b w:val="false"/>
          <w:color w:val="000000"/>
          <w:sz w:val="20"/>
          <w:u w:val="single"/>
          <w:shd w:fill="FFFFFF" w:val="clear"/>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millions, except per share, average settlement cost per asbestos claim, employee, shareholder, and statistical data)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INTRODUCTION</w:t>
      </w:r>
    </w:p>
    <w:p>
      <w:pPr>
        <w:pStyle w:val="TextBody"/>
        <w:bidi w:val="0"/>
        <w:spacing w:before="0" w:after="0"/>
        <w:jc w:val="left"/>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The following discussion summarizes the significant factors affecting the results of operations and financial condition of Crown Holdings, Inc. (the "Company") as of and during the two-year period ended December 31, 2025. This discussion should be read in conjunction with the consolidated financial statements included in</w:t>
      </w:r>
      <w:r>
        <w:rPr>
          <w:color w:val="000000"/>
          <w:shd w:fill="FFFFFF" w:val="clear"/>
        </w:rPr>
        <w:t xml:space="preserve"> </w:t>
      </w:r>
      <w:r>
        <w:rPr>
          <w:rFonts w:ascii="Times New Roman;serif" w:hAnsi="Times New Roman;serif"/>
          <w:b w:val="false"/>
          <w:color w:val="000000"/>
          <w:sz w:val="20"/>
          <w:shd w:fill="FFFFFF" w:val="clear"/>
        </w:rPr>
        <w:t>this Annual Report. For a discussion of the year ended December 31, 2024 compared to the year ended December 31, 2023, please read "Management’s Discussion and Analysis of Financial Condition and Results of Operations" in Part II, Item 7 of the Company’s Annual Report on Form 10-K for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BUSINESS STRATEGY AND TRENDS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strategy is to maximize long-term shareholder value by pursuing profitable growth opportunities while returning cash to shareholders through dividends and share repurchases. </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Global industry demand for beverage cans has been growing in recent years in North America, Brazil, and Europe. Growth has been driven by new product introductions, customer and consumer focus on the sustainability benefits of aluminum, and population and GDP growth in many markets. To meet such demand, the Company made long-term investments of at least</w:t>
      </w:r>
      <w:r>
        <w:rPr>
          <w:color w:val="000000"/>
          <w:shd w:fill="FFFFFF" w:val="clear"/>
        </w:rPr>
        <w:t xml:space="preserve"> </w:t>
      </w:r>
      <w:r>
        <w:rPr>
          <w:rFonts w:ascii="Times New Roman;serif" w:hAnsi="Times New Roman;serif"/>
          <w:b w:val="false"/>
          <w:color w:val="000000"/>
          <w:sz w:val="20"/>
          <w:shd w:fill="FFFFFF" w:val="clear"/>
        </w:rPr>
        <w:t xml:space="preserve">$2,000 for new manufacturing facilities and additional production lines in existing facilities since 2019. Capital spending to support our growth objectives is estimated at $550 in 2026 and includes capacity expansion and facility upgrades in Brazil, Greece, and Spain.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strategy is anchored by strong cash flow generation and a healthy balance sheet with a long-term net leverage target of 2.5x adjusted EBITDA (a non-GAAP measure). The Company believes it has the flexibility and resources to fund growth, repay debt and return excess cash flow to shareholders. On July 25, 2024, the Company’s Board of Directors authorized the repurchase of an aggregate amount of $2,000 of the Company’s common stock through the end of 2027. As of December 31, 2025, the Company had approximately $1,300 remaining that may yet be purchased under the program.</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 xml:space="preserve">The Company continues to actively elevate its commitment to sustainability, which is a core focus of the Company. In 2020, the Company introduced </w:t>
      </w:r>
      <w:r>
        <w:rPr>
          <w:rFonts w:ascii="Times New Roman;serif" w:hAnsi="Times New Roman;serif"/>
          <w:b/>
          <w:color w:val="000000"/>
          <w:sz w:val="20"/>
          <w:shd w:fill="FFFFFF" w:val="clear"/>
        </w:rPr>
        <w:t>Twenty</w:t>
      </w:r>
      <w:r>
        <w:rPr>
          <w:rFonts w:ascii="Times New Roman;serif" w:hAnsi="Times New Roman;serif"/>
          <w:b w:val="false"/>
          <w:color w:val="000000"/>
          <w:sz w:val="20"/>
          <w:shd w:fill="FFFFFF" w:val="clear"/>
        </w:rPr>
        <w:t>by</w:t>
      </w:r>
      <w:r>
        <w:rPr>
          <w:rFonts w:ascii="Times New Roman;serif" w:hAnsi="Times New Roman;serif"/>
          <w:b/>
          <w:color w:val="000000"/>
          <w:sz w:val="20"/>
          <w:shd w:fill="FFFFFF" w:val="clear"/>
        </w:rPr>
        <w:t>30</w:t>
      </w:r>
      <w:r>
        <w:rPr>
          <w:rFonts w:ascii="Times New Roman;serif" w:hAnsi="Times New Roman;serif"/>
          <w:b w:val="false"/>
          <w:color w:val="000000"/>
          <w:sz w:val="20"/>
          <w:shd w:fill="FFFFFF" w:val="clear"/>
        </w:rPr>
        <w:t xml:space="preserve">, a robust program that outlines twenty measurable, science based, environmental, social and governance goals to be completed by 2030. The Company was honored as one of Forbes’ Net Zero Leaders for 2025, a recognition that reflects the commitment and hard work of the global organization, driving meaningful and consistent progress toward the Company’s sustainability goals.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date the war between Russia and Ukraine and the conflicts in the Middle East, and southeast Asia have not had a direct material impact on the Company’s business, financial condition, or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continues to actively manage the challenges of supply chain disruptions, foreign exchange, interest rate fluctuations, and inflationary pressures, including increasing costs for raw materials, energy, and transportation. Additionally, tariffs, retaliatory trade measures, and further trade restrictions could result in higher raw material costs.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under the heading "Results of Operations" below.</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RESULTS OF OPERATIONS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foreign currency translation impacts referred to in the discussion below were primarily due to changes in the Mexican peso in the Company’s Americas Beverage segment, the euro in the Company’s European Beverage segment, and the Thai baht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Asia Pacific segment. The Company’s Transit Packaging segment is a global business and the foreign currency translation impacts referred to in the discussion below are primarily related to the euro, the Indian rupee, the Swedish krona, and the Mexican peso. The Company calculates the impact of foreign currency translation by dividing current year U.S. dollar results by the current year average foreign exchange rates and then multiplying those amounts by the applicable prior year average exchange rates.</w:t>
      </w:r>
    </w:p>
    <w:p>
      <w:pPr>
        <w:pStyle w:val="TextBody"/>
        <w:bidi w:val="0"/>
        <w:spacing w:before="0" w:after="0"/>
        <w:jc w:val="both"/>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u w:val="single"/>
          <w:shd w:fill="FFFFFF" w:val="clear"/>
        </w:rPr>
        <w:t>NET SALES AND SEGMENT INCOME</w:t>
      </w:r>
      <w:r>
        <w:rPr>
          <w:color w:val="000000"/>
          <w:shd w:fill="FFFFFF" w:val="clear"/>
        </w:rPr>
        <w:t>    </w:t>
      </w:r>
    </w:p>
    <w:tbl>
      <w:tblPr>
        <w:tblW w:w="2991" w:type="dxa"/>
        <w:jc w:val="left"/>
        <w:tblInd w:w="0" w:type="dxa"/>
        <w:tblLayout w:type="fixed"/>
        <w:tblCellMar>
          <w:top w:w="28" w:type="dxa"/>
          <w:left w:w="28" w:type="dxa"/>
          <w:bottom w:w="28" w:type="dxa"/>
          <w:right w:w="28" w:type="dxa"/>
        </w:tblCellMar>
      </w:tblPr>
      <w:tblGrid>
        <w:gridCol w:w="304"/>
        <w:gridCol w:w="266"/>
        <w:gridCol w:w="269"/>
        <w:gridCol w:w="259"/>
        <w:gridCol w:w="259"/>
        <w:gridCol w:w="263"/>
        <w:gridCol w:w="109"/>
        <w:gridCol w:w="109"/>
        <w:gridCol w:w="109"/>
        <w:gridCol w:w="259"/>
        <w:gridCol w:w="259"/>
        <w:gridCol w:w="263"/>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Year ended December 31, 2025 compared to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increased primarily due to $507 from the pass-through of higher aluminum, steel, and other commodity costs, higher volumes in European Beverage and Other, and favorable foreign currency translation of $84, partially offset by lower volumes in Asia Pacific and Transit Packaging.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Americas Beverage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Americas Beverage segment manufactures aluminum beverage cans and ends, steel crowns, glass bottles, and aluminum closures and supplies a variety of customers from its operations in the U.S., Brazil, Canada, Colombia, and Mexico.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packaging. In May 2025, the Company announced it will add a new high-speed production line to its beverage can plant in Ponta Grossa, Brazil. The line is expected to commence commercial production in late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and segment income in the Americas Beverage segment were as follows: </w:t>
      </w:r>
    </w:p>
    <w:tbl>
      <w:tblPr>
        <w:tblW w:w="3931" w:type="dxa"/>
        <w:jc w:val="left"/>
        <w:tblInd w:w="0" w:type="dxa"/>
        <w:tblLayout w:type="fixed"/>
        <w:tblCellMar>
          <w:top w:w="28" w:type="dxa"/>
          <w:left w:w="28" w:type="dxa"/>
          <w:bottom w:w="28" w:type="dxa"/>
          <w:right w:w="28" w:type="dxa"/>
        </w:tblCellMar>
      </w:tblPr>
      <w:tblGrid>
        <w:gridCol w:w="532"/>
        <w:gridCol w:w="466"/>
        <w:gridCol w:w="471"/>
        <w:gridCol w:w="211"/>
        <w:gridCol w:w="616"/>
        <w:gridCol w:w="109"/>
        <w:gridCol w:w="109"/>
        <w:gridCol w:w="109"/>
        <w:gridCol w:w="109"/>
        <w:gridCol w:w="211"/>
        <w:gridCol w:w="616"/>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Year ended December 31, 2025 compared to 2024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increased primarily due to $405 from the pass-through of higher aluminum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Segment income increased primarily due to continued operational improvements and improved customer mix.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European Beverage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European Beverage segment manufactures aluminum beverage cans and ends and supplies a variety of customers from its operations throughout Europe, the Middle East and North Africa. In recent years, the European beverage can market has been growing due to consumer focus on sustainability benefits of aluminum and a market shift to cans versus other packaging formats. To meet volume requirements, the Company announced plans to add additional line capacity in Korinthos, Greece and Agoncillo, Spain.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and segment income in the European Beverage segment were as follows: </w:t>
      </w:r>
    </w:p>
    <w:tbl>
      <w:tblPr>
        <w:tblW w:w="3931" w:type="dxa"/>
        <w:jc w:val="left"/>
        <w:tblInd w:w="0" w:type="dxa"/>
        <w:tblLayout w:type="fixed"/>
        <w:tblCellMar>
          <w:top w:w="28" w:type="dxa"/>
          <w:left w:w="28" w:type="dxa"/>
          <w:bottom w:w="28" w:type="dxa"/>
          <w:right w:w="28" w:type="dxa"/>
        </w:tblCellMar>
      </w:tblPr>
      <w:tblGrid>
        <w:gridCol w:w="532"/>
        <w:gridCol w:w="466"/>
        <w:gridCol w:w="471"/>
        <w:gridCol w:w="211"/>
        <w:gridCol w:w="616"/>
        <w:gridCol w:w="109"/>
        <w:gridCol w:w="109"/>
        <w:gridCol w:w="109"/>
        <w:gridCol w:w="109"/>
        <w:gridCol w:w="211"/>
        <w:gridCol w:w="616"/>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Year ended December 31, 2025 compared to 2024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increased primarily due to 10% higher beverage can volumes, favorable foreign currency translation of $63 and $38 from the pass-through of higher aluminum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Segment income increased primarily due to higher volumes.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Asia Pacific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Asia Pacific segment consists of beverage can operations in Cambodia, China, Indonesia, Malaysia, Myanmar,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 In recent years, the Asia Pacific beverage can market has experienced some softness as the region struggles with the effects of higher inflation and interest rates. In 2024, the Company announced the closure of its beverage can facility in Sihanoukville, Cambodia.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Yangon, Myanmar beverage can plant was temporarily idled in 2022 and has operated at limited capacity since 2023 due to currency restrictions, which resulted in the inability to source U.S. dollars required to procure U.S. dollar raw materials. In the third quarter of 2025, the Company recorded an asset impairment charge of $30 due to economic conditions and the impact to the Company’s business in Myanmar. In February 2026, the Company sold the Myanmar beverage can plant. The sale is not expected to have a material impact on the Company’s results of operations or cash flows.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and segment income in the Asia Pacific segment were as follows: </w:t>
      </w:r>
    </w:p>
    <w:tbl>
      <w:tblPr>
        <w:tblW w:w="3931" w:type="dxa"/>
        <w:jc w:val="left"/>
        <w:tblInd w:w="0" w:type="dxa"/>
        <w:tblLayout w:type="fixed"/>
        <w:tblCellMar>
          <w:top w:w="28" w:type="dxa"/>
          <w:left w:w="28" w:type="dxa"/>
          <w:bottom w:w="28" w:type="dxa"/>
          <w:right w:w="28" w:type="dxa"/>
        </w:tblCellMar>
      </w:tblPr>
      <w:tblGrid>
        <w:gridCol w:w="532"/>
        <w:gridCol w:w="466"/>
        <w:gridCol w:w="471"/>
        <w:gridCol w:w="211"/>
        <w:gridCol w:w="616"/>
        <w:gridCol w:w="109"/>
        <w:gridCol w:w="109"/>
        <w:gridCol w:w="109"/>
        <w:gridCol w:w="109"/>
        <w:gridCol w:w="211"/>
        <w:gridCol w:w="616"/>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Year ended December 31, 2025 compared to 2024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and segment income decreased primarily due to 10% lower beverage can volumes. The decrease in net sales was partially offset by $36 from the pass-through of higher aluminum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Transit Packaging</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segment may be subject to direct and indirect effects from tariffs which may slow consumer and industrial activity, the impact of which cannot be reasonably predicted. The Company will continue to monitor these conditions, including potential actions to mitigate their impact. This economic uncertainty could affect projected future financial performance and may require a quantitative goodwill impairment test in the future to determine if an impairment charge is necessary.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and segment income in the Transit Packaging segment were as follows: </w:t>
      </w:r>
    </w:p>
    <w:tbl>
      <w:tblPr>
        <w:tblW w:w="3931" w:type="dxa"/>
        <w:jc w:val="left"/>
        <w:tblInd w:w="0" w:type="dxa"/>
        <w:tblLayout w:type="fixed"/>
        <w:tblCellMar>
          <w:top w:w="28" w:type="dxa"/>
          <w:left w:w="28" w:type="dxa"/>
          <w:bottom w:w="28" w:type="dxa"/>
          <w:right w:w="28" w:type="dxa"/>
        </w:tblCellMar>
      </w:tblPr>
      <w:tblGrid>
        <w:gridCol w:w="532"/>
        <w:gridCol w:w="466"/>
        <w:gridCol w:w="471"/>
        <w:gridCol w:w="211"/>
        <w:gridCol w:w="616"/>
        <w:gridCol w:w="109"/>
        <w:gridCol w:w="109"/>
        <w:gridCol w:w="109"/>
        <w:gridCol w:w="109"/>
        <w:gridCol w:w="211"/>
        <w:gridCol w:w="616"/>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Year ended December 31, 2025 compared to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decreased primarily due to $47 of lower equipment volume and $35 lower material costs.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Segment income decreased primarily due to unfavorable product mix, driven by lower equipment volumes, partially offset by improved cost performance of $21.</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Other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Other includes the Company’s North America tinplate businesses: food can, aerosol can, and closures, and beverage tooling and equipment operations in the U.S. and U.K.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and segment income in Other were as follows: </w:t>
      </w:r>
    </w:p>
    <w:tbl>
      <w:tblPr>
        <w:tblW w:w="3931" w:type="dxa"/>
        <w:jc w:val="left"/>
        <w:tblInd w:w="0" w:type="dxa"/>
        <w:tblLayout w:type="fixed"/>
        <w:tblCellMar>
          <w:top w:w="28" w:type="dxa"/>
          <w:left w:w="28" w:type="dxa"/>
          <w:bottom w:w="28" w:type="dxa"/>
          <w:right w:w="28" w:type="dxa"/>
        </w:tblCellMar>
      </w:tblPr>
      <w:tblGrid>
        <w:gridCol w:w="532"/>
        <w:gridCol w:w="466"/>
        <w:gridCol w:w="471"/>
        <w:gridCol w:w="211"/>
        <w:gridCol w:w="616"/>
        <w:gridCol w:w="109"/>
        <w:gridCol w:w="109"/>
        <w:gridCol w:w="109"/>
        <w:gridCol w:w="109"/>
        <w:gridCol w:w="211"/>
        <w:gridCol w:w="616"/>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Year ended December 31, 2025 compared to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increased primarily due to 5% higher North America food can volumes and $63 from the pass-through of higher tinplate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Segment income increased primarily due to increased profitability in the Company’s North America tinplate business; due to $22 from higher volumes and improved customer mix, $12 lower costs from continued operational improvements, as well as higher sales in the Company’s beverage can equipment operations.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Corporate and unallocated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Corporate and unallocated items include corporate and administrative costs, research and development, and unallocated items such as stock-based compensation and insurance costs.</w:t>
      </w:r>
    </w:p>
    <w:p>
      <w:pPr>
        <w:pStyle w:val="TextBody"/>
        <w:bidi w:val="0"/>
        <w:spacing w:before="0" w:after="0"/>
        <w:jc w:val="left"/>
        <w:rPr/>
      </w:pPr>
      <w:r>
        <w:rPr/>
      </w:r>
    </w:p>
    <w:tbl>
      <w:tblPr>
        <w:tblW w:w="4592" w:type="dxa"/>
        <w:jc w:val="left"/>
        <w:tblInd w:w="0" w:type="dxa"/>
        <w:tblLayout w:type="fixed"/>
        <w:tblCellMar>
          <w:top w:w="28" w:type="dxa"/>
          <w:left w:w="28" w:type="dxa"/>
          <w:bottom w:w="28" w:type="dxa"/>
          <w:right w:w="28" w:type="dxa"/>
        </w:tblCellMar>
      </w:tblPr>
      <w:tblGrid>
        <w:gridCol w:w="825"/>
        <w:gridCol w:w="725"/>
        <w:gridCol w:w="730"/>
        <w:gridCol w:w="211"/>
        <w:gridCol w:w="541"/>
        <w:gridCol w:w="109"/>
        <w:gridCol w:w="109"/>
        <w:gridCol w:w="109"/>
        <w:gridCol w:w="109"/>
        <w:gridCol w:w="211"/>
        <w:gridCol w:w="541"/>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Corporate and unallocated costs were relatively flat as</w:t>
      </w:r>
      <w:r>
        <w:rPr>
          <w:color w:val="000000"/>
          <w:shd w:fill="FFFFFF" w:val="clear"/>
        </w:rPr>
        <w:t xml:space="preserve"> </w:t>
      </w:r>
      <w:r>
        <w:rPr>
          <w:rFonts w:ascii="Times New Roman;serif" w:hAnsi="Times New Roman;serif"/>
          <w:b w:val="false"/>
          <w:color w:val="000000"/>
          <w:sz w:val="20"/>
          <w:shd w:fill="FFFFFF" w:val="clear"/>
        </w:rPr>
        <w:t>lower insurance costs were offset by higher employee compensation costs, including stock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RESTRUCTURING AND OTHER, NET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In 2025, the $83 charge from restructuring and other, net primarily included asset impairments in the Asia Pacific segment and severance and other exit costs in the Transit Packaging segment. See</w:t>
      </w:r>
      <w:r>
        <w:rPr>
          <w:color w:val="000000"/>
          <w:shd w:fill="FFFFFF" w:val="clear"/>
        </w:rPr>
        <w:t xml:space="preserve"> </w:t>
      </w:r>
      <w:hyperlink w:anchor="i52f6ed3525d042f787f54b954ed2f9f2_118">
        <w:r>
          <w:rPr>
            <w:rStyle w:val="InternetLink"/>
            <w:rFonts w:ascii="Times New Roman;serif" w:hAnsi="Times New Roman;serif"/>
            <w:b w:val="false"/>
            <w:color w:val="0000FF"/>
            <w:sz w:val="20"/>
            <w:u w:val="single"/>
            <w:shd w:fill="FFFFFF" w:val="clear"/>
          </w:rPr>
          <w:t>Note M</w:t>
        </w:r>
      </w:hyperlink>
      <w:r>
        <w:rPr>
          <w:color w:val="000000"/>
          <w:shd w:fill="FFFFFF" w:val="clear"/>
        </w:rPr>
        <w:t xml:space="preserve"> </w:t>
      </w:r>
      <w:r>
        <w:rPr>
          <w:rFonts w:ascii="Times New Roman;serif" w:hAnsi="Times New Roman;serif"/>
          <w:b w:val="false"/>
          <w:color w:val="000000"/>
          <w:sz w:val="20"/>
          <w:shd w:fill="FFFFFF" w:val="clear"/>
        </w:rPr>
        <w:t>for additional information.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In 2024, the $75 charge from restructuring and other, net primarily included asset impairments in the Asia Pacific segment and severance and other exit costs related to current and prior year restructuring actions. See</w:t>
      </w:r>
      <w:r>
        <w:rPr>
          <w:color w:val="000000"/>
          <w:shd w:fill="FFFFFF" w:val="clear"/>
        </w:rPr>
        <w:t xml:space="preserve"> </w:t>
      </w:r>
      <w:hyperlink w:anchor="i52f6ed3525d042f787f54b954ed2f9f2_118">
        <w:r>
          <w:rPr>
            <w:rStyle w:val="InternetLink"/>
            <w:rFonts w:ascii="Times New Roman;serif" w:hAnsi="Times New Roman;serif"/>
            <w:b w:val="false"/>
            <w:color w:val="0000FF"/>
            <w:sz w:val="20"/>
            <w:u w:val="single"/>
            <w:shd w:fill="FFFFFF" w:val="clear"/>
          </w:rPr>
          <w:t>Note M</w:t>
        </w:r>
      </w:hyperlink>
      <w:r>
        <w:rPr>
          <w:color w:val="000000"/>
          <w:shd w:fill="FFFFFF" w:val="clear"/>
        </w:rPr>
        <w:t xml:space="preserve"> </w:t>
      </w:r>
      <w:r>
        <w:rPr>
          <w:rFonts w:ascii="Times New Roman;serif" w:hAnsi="Times New Roman;serif"/>
          <w:b w:val="false"/>
          <w:color w:val="000000"/>
          <w:sz w:val="20"/>
          <w:shd w:fill="FFFFFF" w:val="clear"/>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continues to identify cost reduction initiatives in its businesses and it is possible that the Company may record additional restructuring charges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OTHER PENSION AND POSTRETIREMENT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2024, other pension and postretirement expense included settlement charges of $513 related to the transfer of portions of the Company’s Canadian and primary U.S. defined benefit pension liabilities through the purchase of group annuity insurance contracts. See </w:t>
      </w:r>
      <w:hyperlink w:anchor="i52f6ed3525d042f787f54b954ed2f9f2_136">
        <w:r>
          <w:rPr>
            <w:rStyle w:val="InternetLink"/>
            <w:rFonts w:ascii="Times New Roman;serif" w:hAnsi="Times New Roman;serif"/>
            <w:b w:val="false"/>
            <w:color w:val="0000FF"/>
            <w:sz w:val="20"/>
            <w:u w:val="single"/>
            <w:shd w:fill="FFFFFF" w:val="clear"/>
          </w:rPr>
          <w:t>Note S</w:t>
        </w:r>
      </w:hyperlink>
      <w:r>
        <w:rPr>
          <w:color w:val="000000"/>
          <w:shd w:fill="FFFFFF" w:val="clear"/>
        </w:rPr>
        <w:t xml:space="preserve"> </w:t>
      </w:r>
      <w:r>
        <w:rPr>
          <w:rFonts w:ascii="Times New Roman;serif" w:hAnsi="Times New Roman;serif"/>
          <w:b w:val="false"/>
          <w:color w:val="000000"/>
          <w:sz w:val="20"/>
          <w:shd w:fill="FFFFFF" w:val="clear"/>
        </w:rPr>
        <w:t>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GAIN ON SALE OF EQUITY METHOD INVESTMENT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2024, the Company recorded a gain of $275 in conjunction with the sale of Eviosys, a European tinplate equity method investment. See </w:t>
      </w:r>
      <w:hyperlink w:anchor="i52f6ed3525d042f787f54b954ed2f9f2_85">
        <w:r>
          <w:rPr>
            <w:rStyle w:val="InternetLink"/>
            <w:rFonts w:ascii="Times New Roman;serif" w:hAnsi="Times New Roman;serif"/>
            <w:b w:val="false"/>
            <w:color w:val="0000FF"/>
            <w:sz w:val="20"/>
            <w:u w:val="single"/>
            <w:shd w:fill="FFFFFF" w:val="clear"/>
          </w:rPr>
          <w:t>Note B</w:t>
        </w:r>
      </w:hyperlink>
      <w:r>
        <w:rPr>
          <w:color w:val="000000"/>
          <w:shd w:fill="FFFFFF" w:val="clear"/>
        </w:rPr>
        <w:t xml:space="preserve"> </w:t>
      </w:r>
      <w:r>
        <w:rPr>
          <w:rFonts w:ascii="Times New Roman;serif" w:hAnsi="Times New Roman;serif"/>
          <w:b w:val="false"/>
          <w:color w:val="000000"/>
          <w:sz w:val="20"/>
          <w:shd w:fill="FFFFFF" w:val="clear"/>
        </w:rPr>
        <w:t xml:space="preserve">for more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INTEREST EXPENSE AND 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decreased from $452 in 2024 to $398 in 2025 and interest income decreased from $82 in 2024 to $55 in 2025 primarily due to lower borrowings, cash balances, and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cross-currency swaps with aggregate notional values of $875 that mature in February 2026. These swaps reduced interest expense by $25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TAXES ON INCOME</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effective income tax rates were as follows: </w:t>
      </w:r>
    </w:p>
    <w:tbl>
      <w:tblPr>
        <w:tblW w:w="5020" w:type="dxa"/>
        <w:jc w:val="left"/>
        <w:tblInd w:w="0" w:type="dxa"/>
        <w:tblLayout w:type="fixed"/>
        <w:tblCellMar>
          <w:top w:w="28" w:type="dxa"/>
          <w:left w:w="28" w:type="dxa"/>
          <w:bottom w:w="28" w:type="dxa"/>
          <w:right w:w="28" w:type="dxa"/>
        </w:tblCellMar>
      </w:tblPr>
      <w:tblGrid>
        <w:gridCol w:w="863"/>
        <w:gridCol w:w="757"/>
        <w:gridCol w:w="764"/>
        <w:gridCol w:w="211"/>
        <w:gridCol w:w="616"/>
        <w:gridCol w:w="271"/>
        <w:gridCol w:w="109"/>
        <w:gridCol w:w="109"/>
        <w:gridCol w:w="109"/>
        <w:gridCol w:w="211"/>
        <w:gridCol w:w="466"/>
        <w:gridCol w:w="271"/>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4, 2025, the U.S. government enacted tax reform, commonly referred to as the One Big Beautiful Bill Act ("OBBBA"). OBBBA did not have a material impact on the Company’s financial results for 2025 and it is not expected to have a material impact on its financial results for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January 1, 2024, various jurisdictions in which the Company operates have enacted the Pillar II directive which establishes a global minimum corporate tax rate of 15% initiated by the Organisation for Economic Co-operation and Development ("OECD"). Pillar II did not have a material impact on its financial results for 2025 and is not expected to have a material impact on its financial results for 2026, including its annual estimated tax rate or liquidity, based on currently enacted tax laws. However, the Company continues to monitor developments across its jurisdictions, including any additional guidance issued by the OECD.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OPERATING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provided by operating activities increased from $1,192 in 2024 to $1,530 primarily due to higher income from operations and lower pension contributions.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Receivables increased from $1,656 at December 31, 2024 to $1,768 at December 31, 2025 primarily due to higher raw material costs and foreign currency translation. Days sales outstanding for trade receivables, excluding the impact of unbilled receivables, was 32 at December 31, 2024 compared to 29</w:t>
      </w:r>
      <w:r>
        <w:rPr>
          <w:color w:val="000000"/>
          <w:shd w:fill="FFFFFF" w:val="clear"/>
        </w:rPr>
        <w:t xml:space="preserve"> </w:t>
      </w:r>
      <w:r>
        <w:rPr>
          <w:rFonts w:ascii="Times New Roman;serif" w:hAnsi="Times New Roman;serif"/>
          <w:b w:val="false"/>
          <w:color w:val="000000"/>
          <w:sz w:val="20"/>
          <w:shd w:fill="FFFFFF" w:val="clear"/>
        </w:rPr>
        <w:t>at December 31, 2025.</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Inventories increased from $1,440 at December 31, 2024 to $1,577 at December 31, 2025 primarily due to higher raw material costs and foreign currency translation. Inventory turnover decreased from 59</w:t>
      </w:r>
      <w:r>
        <w:rPr>
          <w:color w:val="000000"/>
          <w:shd w:fill="FFFFFF" w:val="clear"/>
        </w:rPr>
        <w:t xml:space="preserve"> </w:t>
      </w:r>
      <w:r>
        <w:rPr>
          <w:rFonts w:ascii="Times New Roman;serif" w:hAnsi="Times New Roman;serif"/>
          <w:b w:val="false"/>
          <w:color w:val="000000"/>
          <w:sz w:val="20"/>
          <w:shd w:fill="FFFFFF" w:val="clear"/>
        </w:rPr>
        <w:t>days at December 31, 2024</w:t>
      </w:r>
      <w:r>
        <w:rPr>
          <w:color w:val="000000"/>
          <w:shd w:fill="FFFFFF" w:val="clear"/>
        </w:rPr>
        <w:t xml:space="preserve"> </w:t>
      </w:r>
      <w:r>
        <w:rPr>
          <w:rFonts w:ascii="Times New Roman;serif" w:hAnsi="Times New Roman;serif"/>
          <w:b w:val="false"/>
          <w:color w:val="000000"/>
          <w:sz w:val="20"/>
          <w:shd w:fill="FFFFFF" w:val="clear"/>
        </w:rPr>
        <w:t>to 55</w:t>
      </w:r>
      <w:r>
        <w:rPr>
          <w:color w:val="000000"/>
          <w:shd w:fill="FFFFFF" w:val="clear"/>
        </w:rPr>
        <w:t xml:space="preserve"> </w:t>
      </w:r>
      <w:r>
        <w:rPr>
          <w:rFonts w:ascii="Times New Roman;serif" w:hAnsi="Times New Roman;serif"/>
          <w:b w:val="false"/>
          <w:color w:val="000000"/>
          <w:sz w:val="20"/>
          <w:shd w:fill="FFFFFF" w:val="clear"/>
        </w:rPr>
        <w:t>days at December 31, 2025.</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Accounts payable increased from $2,425 at December 31, 2024 to $2,643 at December 31, 2025</w:t>
      </w:r>
      <w:r>
        <w:rPr>
          <w:color w:val="000000"/>
          <w:shd w:fill="FFFFFF" w:val="clear"/>
        </w:rPr>
        <w:t xml:space="preserve"> </w:t>
      </w:r>
      <w:r>
        <w:rPr>
          <w:rFonts w:ascii="Times New Roman;serif" w:hAnsi="Times New Roman;serif"/>
          <w:b w:val="false"/>
          <w:color w:val="000000"/>
          <w:sz w:val="20"/>
          <w:shd w:fill="FFFFFF" w:val="clear"/>
        </w:rPr>
        <w:t>primarily due to the same underlying factors that contributed to higher receivables, including higher raw materials costs and foreign currency translation. Days outstanding for trade payables increased from 91</w:t>
      </w:r>
      <w:r>
        <w:rPr>
          <w:color w:val="000000"/>
          <w:shd w:fill="FFFFFF" w:val="clear"/>
        </w:rPr>
        <w:t xml:space="preserve"> </w:t>
      </w:r>
      <w:r>
        <w:rPr>
          <w:rFonts w:ascii="Times New Roman;serif" w:hAnsi="Times New Roman;serif"/>
          <w:b w:val="false"/>
          <w:color w:val="000000"/>
          <w:sz w:val="20"/>
          <w:shd w:fill="FFFFFF" w:val="clear"/>
        </w:rPr>
        <w:t>days at December 31, 2024</w:t>
      </w:r>
      <w:r>
        <w:rPr>
          <w:color w:val="000000"/>
          <w:shd w:fill="FFFFFF" w:val="clear"/>
        </w:rPr>
        <w:t xml:space="preserve"> </w:t>
      </w:r>
      <w:r>
        <w:rPr>
          <w:rFonts w:ascii="Times New Roman;serif" w:hAnsi="Times New Roman;serif"/>
          <w:b w:val="false"/>
          <w:color w:val="000000"/>
          <w:sz w:val="20"/>
          <w:shd w:fill="FFFFFF" w:val="clear"/>
        </w:rPr>
        <w:t>to 96</w:t>
      </w:r>
      <w:r>
        <w:rPr>
          <w:color w:val="000000"/>
          <w:shd w:fill="FFFFFF" w:val="clear"/>
        </w:rPr>
        <w:t xml:space="preserve"> </w:t>
      </w:r>
      <w:r>
        <w:rPr>
          <w:rFonts w:ascii="Times New Roman;serif" w:hAnsi="Times New Roman;serif"/>
          <w:b w:val="false"/>
          <w:color w:val="000000"/>
          <w:sz w:val="20"/>
          <w:shd w:fill="FFFFFF" w:val="clear"/>
        </w:rPr>
        <w:t>days at December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INVESTING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used for investing activities increased from $12 in 2024 to $320 in 2025 primarily due to the $338 proceeds received in 2024 from the sale of the Eviosys equity method investment.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currently expects capital expenditures in 2026 to be approximately $550.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December 31, 2025, the Company had approximately $224 of capital commitments primarily related to its Americas Beverage segment. The Company expects to fund these commitments primarily through cash generated from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FINANCING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Financing activities used cash of $1,526 in 2024 and $1,361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May 2025, the Company issued $700 principal amount of 5.875% senior unsecured notes due 2033 and used the proceeds together with cash on hand to redeem the $875 principal amount of 4.75% senior unsecured notes due February 2026. In October 2025, the Company issued €500 principal amount of 3.75% senior unsecured notes due 2031 and used the proceeds to redeem the €500 principal amount of 2.875% senior unsecured notes due February 2026. In December 2025,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redeemed the $350 principal amount of 7.375% senior unsecured notes due December 2026. During 2025, the Company also repurchased $505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August 2024, the Company issued €600 principal amount of 4.50% senior unsecured notes due 2030 and used the proceeds to pay down the €600 principal amount of 2.625% senior unsecured notes due September 2024. Additionally, in December 2024, the Company redeemed the €600 principal amount of 3.375% senior unsecured notes due May 2025 and $400 principal amount of the U.S. dollar term loan facility. During 2024, the Company also repurchased $217 of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LIQUIDITY</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As of December 31, 2025, $533</w:t>
      </w:r>
      <w:r>
        <w:rPr>
          <w:color w:val="000000"/>
          <w:shd w:fill="FFFFFF" w:val="clear"/>
        </w:rPr>
        <w:t xml:space="preserve"> </w:t>
      </w:r>
      <w:r>
        <w:rPr>
          <w:rFonts w:ascii="Times New Roman;serif" w:hAnsi="Times New Roman;serif"/>
          <w:b w:val="false"/>
          <w:color w:val="000000"/>
          <w:sz w:val="20"/>
          <w:shd w:fill="FFFFFF" w:val="clear"/>
        </w:rPr>
        <w:t>of the Company’s $764</w:t>
      </w:r>
      <w:r>
        <w:rPr>
          <w:color w:val="000000"/>
          <w:shd w:fill="FFFFFF" w:val="clear"/>
        </w:rPr>
        <w:t xml:space="preserve"> </w:t>
      </w:r>
      <w:r>
        <w:rPr>
          <w:rFonts w:ascii="Times New Roman;serif" w:hAnsi="Times New Roman;serif"/>
          <w:b w:val="false"/>
          <w:color w:val="000000"/>
          <w:sz w:val="20"/>
          <w:shd w:fill="FFFFFF" w:val="clear"/>
        </w:rPr>
        <w:t>in cash and cash equivalents was located outside the U.S. The Company is not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$244</w:t>
      </w:r>
      <w:r>
        <w:rPr>
          <w:color w:val="000000"/>
          <w:shd w:fill="FFFFFF" w:val="clear"/>
        </w:rPr>
        <w:t xml:space="preserve"> </w:t>
      </w:r>
      <w:r>
        <w:rPr>
          <w:rFonts w:ascii="Times New Roman;serif" w:hAnsi="Times New Roman;serif"/>
          <w:b w:val="false"/>
          <w:color w:val="000000"/>
          <w:sz w:val="20"/>
          <w:shd w:fill="FFFFFF" w:val="clear"/>
        </w:rPr>
        <w:t xml:space="preserve">was held by subsidiaries for which earnings are considered indefinitely reinvested. </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The Company’s revolving credit agreements provide capacity of $1,650, and as of December 31, 2025, the Company had available capacity of $1,629. The Company could have borrowed this amount at December 31, 2025</w:t>
      </w:r>
      <w:r>
        <w:rPr>
          <w:color w:val="000000"/>
          <w:shd w:fill="FFFFFF" w:val="clear"/>
        </w:rPr>
        <w:t xml:space="preserve"> </w:t>
      </w:r>
      <w:r>
        <w:rPr>
          <w:rFonts w:ascii="Times New Roman;serif" w:hAnsi="Times New Roman;serif"/>
          <w:b w:val="false"/>
          <w:color w:val="000000"/>
          <w:sz w:val="20"/>
          <w:shd w:fill="FFFFFF" w:val="clear"/>
        </w:rPr>
        <w:t xml:space="preserve">and still have been in compliance with its leverage ratio covenant.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2.4 to 1.0 at December 31, 2025</w:t>
      </w:r>
      <w:r>
        <w:rPr>
          <w:color w:val="000000"/>
          <w:shd w:fill="FFFFFF" w:val="clear"/>
        </w:rPr>
        <w:t xml:space="preserve"> </w:t>
      </w:r>
      <w:r>
        <w:rPr>
          <w:rFonts w:ascii="Times New Roman;serif" w:hAnsi="Times New Roman;serif"/>
          <w:b w:val="false"/>
          <w:color w:val="000000"/>
          <w:sz w:val="20"/>
          <w:shd w:fill="FFFFFF" w:val="clear"/>
        </w:rPr>
        <w:t>was in compliance with the covenant requiring a ratio no greater than 4.50</w:t>
      </w:r>
      <w:r>
        <w:rPr>
          <w:color w:val="000000"/>
          <w:shd w:fill="FFFFFF" w:val="clear"/>
        </w:rPr>
        <w:t xml:space="preserve"> </w:t>
      </w:r>
      <w:r>
        <w:rPr>
          <w:rFonts w:ascii="Times New Roman;serif" w:hAnsi="Times New Roman;serif"/>
          <w:b w:val="false"/>
          <w:color w:val="000000"/>
          <w:sz w:val="20"/>
          <w:shd w:fill="FFFFFF" w:val="clear"/>
        </w:rPr>
        <w:t xml:space="preserve">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current sources of liquidity also include a securitization facility with a program limit up to a maximum of $800 that expires in July 2027 and securitization facilities with program limits of $230 and $180 that expire in November 2027. The Company accounts for transfers under these facilities as either sales or secured borrowings based on whether it has transferred control over the factored receivables as further discussed in </w:t>
      </w:r>
      <w:hyperlink w:anchor="i52f6ed3525d042f787f54b954ed2f9f2_91">
        <w:r>
          <w:rPr>
            <w:rStyle w:val="InternetLink"/>
            <w:rFonts w:ascii="Times New Roman;serif" w:hAnsi="Times New Roman;serif"/>
            <w:b w:val="false"/>
            <w:color w:val="0000FF"/>
            <w:sz w:val="20"/>
            <w:u w:val="single"/>
            <w:shd w:fill="FFFFFF" w:val="clear"/>
          </w:rPr>
          <w:t>Note D</w:t>
        </w:r>
      </w:hyperlink>
      <w:r>
        <w:rPr>
          <w:color w:val="000000"/>
          <w:shd w:fill="FFFFFF" w:val="clear"/>
        </w:rPr>
        <w:t xml:space="preserve"> </w:t>
      </w:r>
      <w:r>
        <w:rPr>
          <w:rFonts w:ascii="Times New Roman;serif" w:hAnsi="Times New Roman;serif"/>
          <w:b w:val="false"/>
          <w:color w:val="000000"/>
          <w:sz w:val="20"/>
          <w:shd w:fill="FFFFFF" w:val="clear"/>
        </w:rPr>
        <w:t>to the consolidated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has managed its various pension plan liabilities through opportunistic purchases of annuity insurance contracts for portions of outstanding defined pension obligations using plan assets. For further information on the group annuity insurance contracts purchased in 2024 to transfer portions of the Company’s Canadian and primary U.S. defined benefit pension liabilities refer to </w:t>
      </w:r>
      <w:hyperlink w:anchor="i52f6ed3525d042f787f54b954ed2f9f2_136">
        <w:r>
          <w:rPr>
            <w:rStyle w:val="InternetLink"/>
            <w:rFonts w:ascii="Times New Roman;serif" w:hAnsi="Times New Roman;serif"/>
            <w:b w:val="false"/>
            <w:color w:val="3051F2"/>
            <w:sz w:val="20"/>
            <w:u w:val="single"/>
            <w:shd w:fill="FFFFFF" w:val="clear"/>
          </w:rPr>
          <w:t>N</w:t>
        </w:r>
      </w:hyperlink>
      <w:hyperlink w:anchor="i52f6ed3525d042f787f54b954ed2f9f2_136">
        <w:r>
          <w:rPr>
            <w:rStyle w:val="InternetLink"/>
            <w:rFonts w:ascii="Times New Roman;serif" w:hAnsi="Times New Roman;serif"/>
            <w:b w:val="false"/>
            <w:color w:val="0000FF"/>
            <w:sz w:val="20"/>
            <w:u w:val="single"/>
            <w:shd w:fill="FFFFFF" w:val="clear"/>
          </w:rPr>
          <w:t>ote 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payments required for purchase obligations and projected pension contributions in effect at December 31, 2025, are summarized in the following table: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36"/>
        <w:gridCol w:w="437"/>
        <w:gridCol w:w="44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721"/>
        <w:gridCol w:w="155"/>
      </w:tblGrid>
      <w:tr>
        <w:trPr/>
        <w:tc>
          <w:tcPr>
            <w:tcW w:w="6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Payments Due by Period</w:t>
            </w:r>
          </w:p>
        </w:tc>
      </w:tr>
      <w:tr>
        <w:trPr/>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 &amp;</w:t>
              <w:br/>
              <w:t>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pension contributions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All amounts due in foreign currencies are translated at exchange rates as of December 31, 2025.</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(1) These purchase commitments specify significant terms, including fixed or minimum quantities to be purchased; fixed, minimum or variable pricing </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provisions; and the approximate timing of transactions.</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(2) Pension projections require the use of numerous estimates and assumptions such as discount rates, rates of return on plan assets, compensation increases, </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health care cost increases, mortality and employee turnover and therefore projected contributions have been provided for only five years.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Long term debt obligations, including fixed and variable rate debt, are further discussed in </w:t>
      </w:r>
      <w:hyperlink w:anchor="i52f6ed3525d042f787f54b954ed2f9f2_121">
        <w:r>
          <w:rPr>
            <w:rStyle w:val="InternetLink"/>
            <w:rFonts w:ascii="Times New Roman;serif" w:hAnsi="Times New Roman;serif"/>
            <w:b w:val="false"/>
            <w:color w:val="0000FF"/>
            <w:sz w:val="20"/>
            <w:u w:val="single"/>
            <w:shd w:fill="FFFFFF" w:val="clear"/>
          </w:rPr>
          <w:t>Note N</w:t>
        </w:r>
      </w:hyperlink>
      <w:r>
        <w:rPr>
          <w:rFonts w:ascii="Times New Roman;serif" w:hAnsi="Times New Roman;serif"/>
          <w:b w:val="false"/>
          <w:color w:val="000000"/>
          <w:sz w:val="20"/>
          <w:shd w:fill="FFFFFF" w:val="clear"/>
        </w:rPr>
        <w:t>. The Company currently expects interest payments on debt and</w:t>
      </w:r>
      <w:r>
        <w:rPr>
          <w:color w:val="000000"/>
          <w:shd w:fill="FFFFFF" w:val="clear"/>
        </w:rPr>
        <w:t xml:space="preserve"> </w:t>
      </w:r>
      <w:r>
        <w:rPr>
          <w:rFonts w:ascii="Times New Roman;serif" w:hAnsi="Times New Roman;serif"/>
          <w:b w:val="false"/>
          <w:color w:val="000000"/>
          <w:sz w:val="20"/>
          <w:shd w:fill="FFFFFF" w:val="clear"/>
        </w:rPr>
        <w:t xml:space="preserve">securitization and factoring in 2026 to be approximately $330. This estimate is based on projected interest rates as of December 31, 2025, long-term debt balances, average borrowings under the revolving credit facility and securitization and factoring estimates.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also has certain guarantees and indemnification agreements that could require the payment of cash upon the occurrence of certain events. The guarantees and agreements are further discussed under </w:t>
      </w:r>
      <w:hyperlink w:anchor="i52f6ed3525d042f787f54b954ed2f9f2_130">
        <w:r>
          <w:rPr>
            <w:rStyle w:val="InternetLink"/>
            <w:rFonts w:ascii="Times New Roman;serif" w:hAnsi="Times New Roman;serif"/>
            <w:b w:val="false"/>
            <w:color w:val="0000FF"/>
            <w:sz w:val="20"/>
            <w:u w:val="single"/>
            <w:shd w:fill="FFFFFF" w:val="clear"/>
          </w:rPr>
          <w:t>Note Q</w:t>
        </w:r>
      </w:hyperlink>
      <w:r>
        <w:rPr>
          <w:color w:val="000000"/>
          <w:shd w:fill="FFFFFF" w:val="clear"/>
        </w:rPr>
        <w:t xml:space="preserve"> </w:t>
      </w:r>
      <w:r>
        <w:rPr>
          <w:rFonts w:ascii="Times New Roman;serif" w:hAnsi="Times New Roman;serif"/>
          <w:b w:val="false"/>
          <w:color w:val="000000"/>
          <w:sz w:val="20"/>
          <w:shd w:fill="FFFFFF" w:val="clear"/>
        </w:rPr>
        <w:t xml:space="preserve">to the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Supplemental Guarantor Financial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U.S., except in the case of the Company’s outstanding 7.50% senior notes due 2096 issued by Crown Cork &amp; Seal Company, Inc., which are fully and unconditionally guaranteed by Crown Holdings, Inc. (the "Parent"). No other subsidiary guarantees the debt and the guarantees are made on a joint and several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senior notes and guarantees are senior unsecured obligations of the issuers and the guarantors, and are:</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effectively subordinated to all existing and future secured indebtedness of the issuers and the guarantors to the extent of the value of the assets securing such indebtedness, including any borrowings under the Company’s senior secured credit facilities, to the extent of the value of the assets securing such indebtedness;</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structurally subordinated to all indebtedness of the Company’s non-guarantor subsidiaries, which include all of the Company’s foreign subsidiaries and any U.S. subsidiaries that are neither obligors nor guarantors of the Company’s senior secured credit facilities;</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ranked equal in right of payment to any existing or future senior indebtedness of the issuers and the guarantors; and</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ranked senior in right of payment to all existing and future subordinated indebtedness of the issuers and the guarantors.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guarantee of a guarantor is limited to an amount not to exceed the maximum amount that can be guaranteed that will not (after giving effect to all other contingent and fixed liabilities of such guarantor and after giving effect to any collections from, rights to receive contribution from or payments made by or on behalf of all other guarantors in respect of the obligations of such other guarantors under their respective guarantees of the guaranteed obligations) render the guarantee, as it relates to such guarantor, voidable under applicable law relating to fraudulent conveyances or fraudulent transfers.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guarantee of a guarantor other than the Parent will be unconditionally released and discharged upon any of the following:</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any transfer (including, without limitation, by way of consolidation or merger) by the Parent or any subsidiary of the Parent to any person or entity that is not the Parent or a subsidiary of the Parent of (1) all of the equity interests of, or all or substantially all of the properties and assets of, such guarantor; or (2) equity interests of such guarantor or any issuance by such guarantor of its equity interests, such that such guarantor ceases to be a subsidiary of the Parent; provided that such guarantor is also released from all of its obligations in respect of indebtedness under the Company’s senior secured credit facilities;</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release of such guarantor from all obligations of such guarantor in respect of indebtedness under the Company’s senior secured credit facilities, except to the extent such guarantor is otherwise required to provide a guarantee; or</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upon the contemporaneous release or discharge of all guarantees by such guarantor which would have required such guarantor to provide a guarantee under the applicable indenture.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Crown Cork Obligor Group</w:t>
      </w:r>
    </w:p>
    <w:tbl>
      <w:tblPr>
        <w:tblW w:w="6404" w:type="dxa"/>
        <w:jc w:val="left"/>
        <w:tblInd w:w="0" w:type="dxa"/>
        <w:tblLayout w:type="fixed"/>
        <w:tblCellMar>
          <w:top w:w="28" w:type="dxa"/>
          <w:left w:w="28" w:type="dxa"/>
          <w:bottom w:w="28" w:type="dxa"/>
          <w:right w:w="28" w:type="dxa"/>
        </w:tblCellMar>
      </w:tblPr>
      <w:tblGrid>
        <w:gridCol w:w="1344"/>
        <w:gridCol w:w="1173"/>
        <w:gridCol w:w="1188"/>
        <w:gridCol w:w="109"/>
        <w:gridCol w:w="109"/>
        <w:gridCol w:w="840"/>
        <w:gridCol w:w="840"/>
        <w:gridCol w:w="211"/>
        <w:gridCol w:w="109"/>
        <w:gridCol w:w="109"/>
        <w:gridCol w:w="109"/>
        <w:gridCol w:w="109"/>
        <w:gridCol w:w="154"/>
      </w:tblGrid>
      <w:tr>
        <w:trPr/>
        <w:tc>
          <w:tcPr>
            <w:tcW w:w="134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801" w:type="dxa"/>
            <w:gridSpan w:val="6"/>
            <w:tcBorders/>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4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4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4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attributable to Crown Holdings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4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Includes $65 of expense related to intercompany interest with non-guarantor subsidiaries.</w:t>
      </w:r>
    </w:p>
    <w:p>
      <w:pPr>
        <w:pStyle w:val="TextBody"/>
        <w:bidi w:val="0"/>
        <w:spacing w:before="0" w:after="0"/>
        <w:jc w:val="left"/>
        <w:rPr/>
      </w:pPr>
      <w:r>
        <w:rPr/>
      </w:r>
    </w:p>
    <w:tbl>
      <w:tblPr>
        <w:tblW w:w="4154" w:type="dxa"/>
        <w:jc w:val="left"/>
        <w:tblInd w:w="0" w:type="dxa"/>
        <w:tblLayout w:type="fixed"/>
        <w:tblCellMar>
          <w:top w:w="28" w:type="dxa"/>
          <w:left w:w="28" w:type="dxa"/>
          <w:bottom w:w="28" w:type="dxa"/>
          <w:right w:w="28" w:type="dxa"/>
        </w:tblCellMar>
      </w:tblPr>
      <w:tblGrid>
        <w:gridCol w:w="721"/>
        <w:gridCol w:w="634"/>
        <w:gridCol w:w="639"/>
        <w:gridCol w:w="467"/>
        <w:gridCol w:w="242"/>
        <w:gridCol w:w="242"/>
        <w:gridCol w:w="242"/>
        <w:gridCol w:w="242"/>
        <w:gridCol w:w="244"/>
        <w:gridCol w:w="109"/>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43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3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liabilities</w:t>
            </w:r>
            <w:r>
              <w:rPr>
                <w:rFonts w:ascii="Times New Roman;serif" w:hAnsi="Times New Roman;serif"/>
                <w:b w:val="false"/>
                <w:color w:val="000000"/>
                <w:sz w:val="13"/>
              </w:rPr>
              <w:t>1</w:t>
            </w:r>
          </w:p>
        </w:tc>
        <w:tc>
          <w:tcPr>
            <w:tcW w:w="143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Includes payables of $6,954 due to non-guarantor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Crown Americas Obligor Group</w:t>
      </w:r>
    </w:p>
    <w:tbl>
      <w:tblPr>
        <w:tblW w:w="6583" w:type="dxa"/>
        <w:jc w:val="left"/>
        <w:tblInd w:w="0" w:type="dxa"/>
        <w:tblLayout w:type="fixed"/>
        <w:tblCellMar>
          <w:top w:w="28" w:type="dxa"/>
          <w:left w:w="28" w:type="dxa"/>
          <w:bottom w:w="28" w:type="dxa"/>
          <w:right w:w="28" w:type="dxa"/>
        </w:tblCellMar>
      </w:tblPr>
      <w:tblGrid>
        <w:gridCol w:w="1342"/>
        <w:gridCol w:w="1176"/>
        <w:gridCol w:w="1186"/>
        <w:gridCol w:w="109"/>
        <w:gridCol w:w="109"/>
        <w:gridCol w:w="840"/>
        <w:gridCol w:w="840"/>
        <w:gridCol w:w="211"/>
        <w:gridCol w:w="154"/>
        <w:gridCol w:w="154"/>
        <w:gridCol w:w="154"/>
        <w:gridCol w:w="154"/>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981"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2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operations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2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from continuing operations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2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attributable to Crown Holdings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2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Includes $436 of sales to non-guarantor subsidiaries</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 Includes $44 of gross profit related to sales to non-guarantor subsidiaries</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 Includes $9 of expense related to intercompany interest and technology royalties with non-guarantor subsidiaries</w:t>
      </w:r>
    </w:p>
    <w:p>
      <w:pPr>
        <w:pStyle w:val="TextBody"/>
        <w:bidi w:val="0"/>
        <w:spacing w:before="0" w:after="0"/>
        <w:jc w:val="left"/>
        <w:rPr/>
      </w:pPr>
      <w:r>
        <w:rPr/>
      </w:r>
    </w:p>
    <w:p>
      <w:pPr>
        <w:pStyle w:val="TextBody"/>
        <w:bidi w:val="0"/>
        <w:spacing w:before="0" w:after="0"/>
        <w:jc w:val="left"/>
        <w:rPr/>
      </w:pPr>
      <w:r>
        <w:rPr/>
      </w:r>
    </w:p>
    <w:tbl>
      <w:tblPr>
        <w:tblW w:w="4154" w:type="dxa"/>
        <w:jc w:val="left"/>
        <w:tblInd w:w="0" w:type="dxa"/>
        <w:tblLayout w:type="fixed"/>
        <w:tblCellMar>
          <w:top w:w="28" w:type="dxa"/>
          <w:left w:w="28" w:type="dxa"/>
          <w:bottom w:w="28" w:type="dxa"/>
          <w:right w:w="28" w:type="dxa"/>
        </w:tblCellMar>
      </w:tblPr>
      <w:tblGrid>
        <w:gridCol w:w="721"/>
        <w:gridCol w:w="633"/>
        <w:gridCol w:w="640"/>
        <w:gridCol w:w="467"/>
        <w:gridCol w:w="242"/>
        <w:gridCol w:w="242"/>
        <w:gridCol w:w="242"/>
        <w:gridCol w:w="242"/>
        <w:gridCol w:w="244"/>
        <w:gridCol w:w="109"/>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assets</w:t>
            </w:r>
            <w:r>
              <w:rPr>
                <w:rFonts w:ascii="Times New Roman;serif" w:hAnsi="Times New Roman;serif"/>
                <w:b w:val="false"/>
                <w:color w:val="000000"/>
                <w:sz w:val="13"/>
              </w:rPr>
              <w:t>1</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assets</w:t>
            </w:r>
            <w:r>
              <w:rPr>
                <w:rFonts w:ascii="Times New Roman;serif" w:hAnsi="Times New Roman;serif"/>
                <w:b w:val="false"/>
                <w:color w:val="000000"/>
                <w:sz w:val="13"/>
              </w:rPr>
              <w:t>2</w:t>
            </w:r>
          </w:p>
        </w:tc>
        <w:tc>
          <w:tcPr>
            <w:tcW w:w="143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liabilities</w:t>
            </w:r>
            <w:r>
              <w:rPr>
                <w:rFonts w:ascii="Times New Roman;serif" w:hAnsi="Times New Roman;serif"/>
                <w:b w:val="false"/>
                <w:color w:val="000000"/>
                <w:sz w:val="13"/>
              </w:rPr>
              <w:t>3</w:t>
            </w:r>
          </w:p>
        </w:tc>
        <w:tc>
          <w:tcPr>
            <w:tcW w:w="143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liabilities</w:t>
            </w:r>
            <w:r>
              <w:rPr>
                <w:rFonts w:ascii="Times New Roman;serif" w:hAnsi="Times New Roman;serif"/>
                <w:b w:val="false"/>
                <w:color w:val="000000"/>
                <w:sz w:val="13"/>
              </w:rPr>
              <w:t>4</w:t>
            </w:r>
          </w:p>
        </w:tc>
        <w:tc>
          <w:tcPr>
            <w:tcW w:w="143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Includes receivables of $39 due from non-guarantor subsidiaries</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 Includes receivables of $111 due from non-guarantor subsidiaries</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 Includes payables of $25 due to non-guarantor subsidiaries</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 Includes payables of $951 due to non-guarantor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senior notes are structurally subordinated to all indebtedness of the Company’s non-guarantor subsidiaries. The non-guarantors are separate and distinct legal entities and have no obligation, contingent or otherwise, to pay any amounts due pursuant to the senior notes, or to make any funds available therefore, whether by dividends, loans, distributions, or other payments. Any right that the Company or the guarantors have to receive any assets of any of the non-guarantors upon the liquidation or reorganization of any non-guarantor, and the consequent rights of holders of senior notes to realize proceeds from the sale of any of a non-guarantor’s assets, would be effectively subordinated to the claims of such non-guarantor’s creditors, including trade creditors and holders of preferred equity interests, if any, of such non-guarantor. Accordingly, in the event of a bankruptcy, liquidation or reorganization of any of the non-guarantors, the non-guarantors will pay the holders of their debts, holders of preferred equity interests, if any, and their trade creditors before they will be able to distribute any of their assets to the Company or any of the guarantors.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U.S. federal bankruptcy laws or comparable provisions of state fraudulent transfer laws, the issuance of the senior note guarantees by the guarantors could be voided, or claims in respect of such obligations could be subordinated to all of their other debts and other liabilities, if, among other things, at the time the guarantors issued the related senior note guarantees, the Company or the applicable guarantor intended to hinder, delay or defraud any present or future creditor, or received less than reasonably equivalent value or fair consideration for the incurrence of such indebtedness and either:</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was insolvent or rendered insolvent by reason of such incurrence; </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was engaged in a business or transaction for which the Company’s or such guarantor’s remaining assets constituted unreasonably small capital; or</w:t>
      </w:r>
    </w:p>
    <w:p>
      <w:pPr>
        <w:pStyle w:val="TextBody"/>
        <w:bidi w:val="0"/>
        <w:spacing w:lineRule="auto" w:line="28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intended to incur, or believed that it would incur, debts beyond its ability to pay such debts as they mature.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guarantee provided by a guarantor includes a provision intended to limit the guarantor’s liability to the maximum amount that it could incur without causing the incurrence of obligations under its guarantee to be a fraudulent transfer or conveyance. This provision may not be effective to protect those guarantees from being avoided under fraudulent transfer or conveyance law, or it may reduce that guarantor’s obligation to an amount that effectively makes its guarantee worthless, and we cannot predict whether a court will ultimately find it to be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the Company is subject to risk from adverse fluctuations in foreign exchange rates, interest rates and commodity prices. The Company manages these risks through a program that includes the use of derivative financial instruments, primarily swaps and forwards. Counterparties to these contracts are major financial institutions. These instruments are viewed as risk management tools, involve little complexity, and are not used for trading or speculative purposes. The extent to which the Company uses such instruments is dependent upon its access to them in the financial markets and its use of other methods, such as netting exposures for foreign exchange risk and establishing sales arrangements that permit the pass-through to customers of changes in commodity prices and foreign exchange rates, to effectively achieve its goal of risk reduction. The Company’s objective in managing its exposure to market risk is to limit the impact on earnings and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manages foreign currency exposures at the operating unit level. Exposures that cannot be naturally offset within an operating unit may be hedged with derivative financial instruments where possible and cost effective in the Company’s judgment. Foreign exchange contracts generally mature within twelve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table below provides information in U.S. dollars as of December 31, 2025 about the Company’s forward currency exchange contracts. The contracts primarily hedge anticipated transactions, trade payables and receivables, unrecognized firm commitments, and intercompany debt. The contracts with no amounts in the fair value column have a fair value of less than $1. The contract with no amount in the average contractual exchange rate has an exchange rate less than $.01.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tbl>
      <w:tblPr>
        <w:tblW w:w="6562" w:type="dxa"/>
        <w:jc w:val="left"/>
        <w:tblInd w:w="0" w:type="dxa"/>
        <w:tblLayout w:type="fixed"/>
        <w:tblCellMar>
          <w:top w:w="28" w:type="dxa"/>
          <w:left w:w="28" w:type="dxa"/>
          <w:bottom w:w="28" w:type="dxa"/>
          <w:right w:w="28" w:type="dxa"/>
        </w:tblCellMar>
      </w:tblPr>
      <w:tblGrid>
        <w:gridCol w:w="914"/>
        <w:gridCol w:w="804"/>
        <w:gridCol w:w="816"/>
        <w:gridCol w:w="109"/>
        <w:gridCol w:w="109"/>
        <w:gridCol w:w="109"/>
        <w:gridCol w:w="217"/>
        <w:gridCol w:w="480"/>
        <w:gridCol w:w="114"/>
        <w:gridCol w:w="109"/>
        <w:gridCol w:w="109"/>
        <w:gridCol w:w="109"/>
        <w:gridCol w:w="279"/>
        <w:gridCol w:w="537"/>
        <w:gridCol w:w="144"/>
        <w:gridCol w:w="109"/>
        <w:gridCol w:w="109"/>
        <w:gridCol w:w="109"/>
        <w:gridCol w:w="373"/>
        <w:gridCol w:w="373"/>
        <w:gridCol w:w="530"/>
      </w:tblGrid>
      <w:tr>
        <w:trPr/>
        <w:tc>
          <w:tcPr>
            <w:tcW w:w="9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Buy/Sell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w:t>
              <w:br/>
              <w:t>fair value</w:t>
              <w:br/>
              <w:t>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contractual</w:t>
              <w:br/>
              <w:t>exchange rate</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dollars/U.S.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Euro/Australian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Euro/Danish krone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Euro/Sterling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Euro/Swedish krona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Euro/Swiss franc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Euro/U.S.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dollars/U.S.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Sterling/Euro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Sterling/U.S.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Turkish lira/U.S.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dollars/Brazilian real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dollars/Euro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dollars/Mexican peso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dollars/Singapore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dollars/Thai baht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dollars/Turkish lira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dollars/Vietnamese dong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December 31, 2025, the Company had additional contracts with an aggregate notional value of $11 to purchase or sell other currencies, primarily Asian currencies, including the Chinese yuan, Indonesian rupiah, Malaysian ringgit, Singapore dollar, and Thai baht; and European currencies, including the Polish zloty and Swiss franc. The aggregate fair value of these contracts was a loss of less than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December 31, 2025, the Company had cross-currency swaps with aggregate notional values of $1,475. The swaps are designated as hedges of the Company’s net investment in a euro-based subsidiary and mature in 2026 and 2030. The fair value of these contracts at December 31, 2025 was a net loss of $60.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future payments of long-term debt obligations at December 31, 2025 include $2,865 of U.S. dollar-denominated debt, $3,053 of euro-denominated debt, and $4 of debt denominated in other currencies.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from time to time, may manage its interest rate risk associated with fluctuations in variable interest rates through interest rate swaps. The use of interest rate swaps and other methods of mitigating interest rate risk may increase overall interest expense. As of December 31, 2025, the Company had $1.8 billion principal floating interest rate debt and $1.3 billion of securitization and factoring. A change of 0.25% in these floating interest rates would change annual interest expense by approximately $8 million before tax. The actual effect of a 0.25% increase in these floating interest rates could be more than $8 million as the Company’s average borrowings on its variable rate debt and securitization and factoring may be higher during the year than the amount at December 31,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uses various raw materials, such as aluminum and steel in its manufacturing operations, which expose it to risk from adverse fluctuations in commodity prices. In 2025, consumption of aluminum and steel represented 47% and 8% of the Company’s consolidated cost of products sold, excluding depreciation and amortization. The Company primarily manages its risk to adverse commodity price fluctuations and surcharges through contracts that pass through raw material costs to customers. The Company also uses commodity forward contracts to manage its exposure to these raw material costs. The Company may, however, be unable to increase its prices to offset increases in raw material costs without suffering reductions in unit volume, revenue and operating income, and any price increases may take effect after related cost increases, reducing operating income in the near term. As of December 31, 2025, the Company had forward commodity contracts to hedge aluminum price fluctuations with a notional value of $433 and a net gain of $23. The maturities of the commodity contracts closely correlate to the anticipated purchases of those commodities.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the Company’s manufacturing facilities are dependent, to varying degrees, upon the availability of water and processed energy, such as natural gas and electricity.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See </w:t>
      </w:r>
      <w:hyperlink w:anchor="i52f6ed3525d042f787f54b954ed2f9f2_124">
        <w:r>
          <w:rPr>
            <w:rStyle w:val="InternetLink"/>
            <w:rFonts w:ascii="Times New Roman;serif" w:hAnsi="Times New Roman;serif"/>
            <w:b w:val="false"/>
            <w:color w:val="0000FF"/>
            <w:sz w:val="20"/>
            <w:u w:val="single"/>
            <w:shd w:fill="FFFFFF" w:val="clear"/>
          </w:rPr>
          <w:t>Note O</w:t>
        </w:r>
      </w:hyperlink>
      <w:r>
        <w:rPr>
          <w:color w:val="000000"/>
          <w:shd w:fill="FFFFFF" w:val="clear"/>
        </w:rPr>
        <w:t xml:space="preserve"> </w:t>
      </w:r>
      <w:r>
        <w:rPr>
          <w:rFonts w:ascii="Times New Roman;serif" w:hAnsi="Times New Roman;serif"/>
          <w:b w:val="false"/>
          <w:color w:val="000000"/>
          <w:sz w:val="20"/>
          <w:shd w:fill="FFFFFF" w:val="clear"/>
        </w:rPr>
        <w:t>to the consolidated financial statements for further information on the Company’s derivative financial instruments.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ENVIRONMENTAL MATTERS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Compliance with the Company’s Environmental Protection Policy is mandatory and the responsibility of each employee of the Company. The Company is committed to the protection of human health and the environment and is operating within the increasingly complex laws and regulations of national, state, and local environmental agencies or is taking action to achieve compliance with such laws and regulations. Environmental considerations are among the criteria by which the Company evaluates projects, products, processes, and purchases.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dedicated to a long-term environmental protection program and has initiated and implemented many pollution prevention programs with an emphasis on source reduction. The Company continues to reduce the amount of metal used in the manufacture of steel and aluminum containers through “lightweighting” programs. The Company recycles nearly 100% of scrap aluminum, steel and copper used in its manufacturing processes. Many of the Company’s programs for pollution prevention reduce operating costs and improve operating efficiencies.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potential impact on the Company’s operations of climate change and potential future climate change regulation in the jurisdictions in which the Company operates is highly uncertain. See the risk factor entitled “The Company is subject to costs and liabilities related to stringent environmental and health and safety standards” in Part I, Item 1A of this Annual Report.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See </w:t>
      </w:r>
      <w:hyperlink w:anchor="i52f6ed3525d042f787f54b954ed2f9f2_130">
        <w:r>
          <w:rPr>
            <w:rStyle w:val="InternetLink"/>
            <w:rFonts w:ascii="Times New Roman;serif" w:hAnsi="Times New Roman;serif"/>
            <w:b w:val="false"/>
            <w:color w:val="0000FF"/>
            <w:sz w:val="20"/>
            <w:u w:val="single"/>
            <w:shd w:fill="FFFFFF" w:val="clear"/>
          </w:rPr>
          <w:t>Note Q</w:t>
        </w:r>
      </w:hyperlink>
      <w:r>
        <w:rPr>
          <w:color w:val="000000"/>
          <w:shd w:fill="FFFFFF" w:val="clear"/>
        </w:rPr>
        <w:t xml:space="preserve"> </w:t>
      </w:r>
      <w:r>
        <w:rPr>
          <w:rFonts w:ascii="Times New Roman;serif" w:hAnsi="Times New Roman;serif"/>
          <w:b w:val="false"/>
          <w:color w:val="000000"/>
          <w:sz w:val="20"/>
          <w:shd w:fill="FFFFFF" w:val="clear"/>
        </w:rPr>
        <w:t>to the</w:t>
      </w:r>
      <w:r>
        <w:rPr>
          <w:color w:val="000000"/>
          <w:shd w:fill="FFFFFF" w:val="clear"/>
        </w:rPr>
        <w:t xml:space="preserve"> </w:t>
      </w:r>
      <w:r>
        <w:rPr>
          <w:rFonts w:ascii="Times New Roman;serif" w:hAnsi="Times New Roman;serif"/>
          <w:b w:val="false"/>
          <w:color w:val="000000"/>
          <w:sz w:val="20"/>
          <w:shd w:fill="FFFFFF" w:val="clear"/>
        </w:rPr>
        <w:t>consolidated financial statements for additional information on environmental matters including the Company’s accrual for environmental remediation costs.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CRITICAL ACCOUNTING POLICIES AND ESTIMATES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accompanying consolidated financial statements have been prepared in accordance with accounting principles generally accepted in the United States of America which require that management make numerous estimates and assumptions. Actual results could differ from those estimates and assumptions, impacting the reported results of operations and financial position of the Company. The Company’s significant accounting policies are more fully described under </w:t>
      </w:r>
      <w:hyperlink w:anchor="i52f6ed3525d042f787f54b954ed2f9f2_82">
        <w:r>
          <w:rPr>
            <w:rStyle w:val="InternetLink"/>
            <w:rFonts w:ascii="Times New Roman;serif" w:hAnsi="Times New Roman;serif"/>
            <w:b w:val="false"/>
            <w:color w:val="0000FF"/>
            <w:sz w:val="20"/>
            <w:u w:val="single"/>
            <w:shd w:fill="FFFFFF" w:val="clear"/>
          </w:rPr>
          <w:t>Note A</w:t>
        </w:r>
      </w:hyperlink>
      <w:r>
        <w:rPr>
          <w:color w:val="000000"/>
          <w:shd w:fill="FFFFFF" w:val="clear"/>
        </w:rPr>
        <w:t xml:space="preserve"> </w:t>
      </w:r>
      <w:r>
        <w:rPr>
          <w:rFonts w:ascii="Times New Roman;serif" w:hAnsi="Times New Roman;serif"/>
          <w:b w:val="false"/>
          <w:color w:val="000000"/>
          <w:sz w:val="20"/>
          <w:shd w:fill="FFFFFF" w:val="clear"/>
        </w:rPr>
        <w:t>to the consolidated financial statements. Certain accounting policies, however, are considered to be critical in that (i) they are most important to the depiction of the Company’s financial condition and results of operations and (ii) their application requires management’s most subjective judgment in making estimates about the effect of matters that are inherently uncertain.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Asbestos Liabilities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potential liability for asbestos cases is uncertain due to the difficulty of forecasting many factors, including the level of future claims, the rate of receipt of claims, the jurisdiction in which claims are filed, the nature of future claims (including the seriousness of alleged disease, whether claimants allege first exposure to asbestos before or during 1964 and the alleged link to Crown Cork), the terms of settlements of other defendants with asbestos-related liabilities, bankruptcy filings of other defendants (which may result in additional claims and higher settlement demands for non-bankrupt defendants) and the effect of state asbestos legislation (including the validity and applicability of the Pennsylvania legislation to non-Pennsylvania jurisdictions, where the substantial majority of the Company’s asbestos cases are filed). See </w:t>
      </w:r>
      <w:hyperlink w:anchor="i52f6ed3525d042f787f54b954ed2f9f2_127">
        <w:r>
          <w:rPr>
            <w:rStyle w:val="InternetLink"/>
            <w:rFonts w:ascii="Times New Roman;serif" w:hAnsi="Times New Roman;serif"/>
            <w:b w:val="false"/>
            <w:color w:val="0000FF"/>
            <w:sz w:val="20"/>
            <w:u w:val="single"/>
            <w:shd w:fill="FFFFFF" w:val="clear"/>
          </w:rPr>
          <w:t>Note P</w:t>
        </w:r>
      </w:hyperlink>
      <w:r>
        <w:rPr>
          <w:color w:val="000000"/>
          <w:shd w:fill="FFFFFF" w:val="clear"/>
        </w:rPr>
        <w:t xml:space="preserve"> </w:t>
      </w:r>
      <w:r>
        <w:rPr>
          <w:rFonts w:ascii="Times New Roman;serif" w:hAnsi="Times New Roman;serif"/>
          <w:b w:val="false"/>
          <w:color w:val="000000"/>
          <w:sz w:val="20"/>
          <w:shd w:fill="FFFFFF" w:val="clear"/>
        </w:rPr>
        <w:t>to the consolidated financial statements for additional information regarding the provision for asbestos-related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end of each quarter, the Company considers whether there have been any material developments that would cause it to update its asbestos accrual calculations. Absent any significant developments in the asbestos litigation environment in general or with respect to the Company specifically, the Company updates its accrual calculations in the fourth quarter of each year. The Company estimates its liability without limitation to a specified time period and provides for the estimated amounts expected to be paid related to outstanding claims, projected future claims and legal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Outstanding claims used in the accrual calculation are adjusted for factors such as claims filed in those states where the Company’s liability is limited by statute, claims alleging first exposure to asbestos after 1964 which are assumed to have no value and claims which are unlikely to ever be paid and are assumed to have a reduced or nominal value based on the length of time outstanding. Projected future claims are calculated based on actual data for the most recent five years and are adjusted to account for the expectation that a percentage of these claims will never be paid. Outstanding and projected claims are multiplied by the average settlement cost of claims for the most recent five years. As claims are not submitted or settled evenly throughout the year, it is difficult to predict at any time during the year whether the number of claims or average settlement cost over the five year period ending December 31 of such year will increase compared to the prior five 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recent years, a higher percentage of Crown Cork’s settlements have related to claims alleging serious disease (primarily mesothelioma) which are settled at higher dollar amounts. Accordingly, a higher percentage of claims projected into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relate to serious diseases and are therefore valued at higher dollar amounts. As of December 31, 2025, approximately 60% of the projected future claims in the Company’s accrual calculation relate to claims alleging serious diseases such as mesothelioma.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five year average settlement cost per claim was $15,800 in 2023, $17,700 in 2024, and $19,500 in 2025. If Crown Cork continues to settle a high percentage of claims alleging serious disease at higher dollar amounts, average settlement costs per claim are likely to increase and, if not offset by a reduction in overall claims and settlements, the Company may record additional charges in the future. A 10% change in either the average cost per claim or the number of projected claims would increase or decrease the estimated liability at December 31, 2025 by $18. A 10% increase in these two factors at the same time would increase the estimated liability at December 31, 2025 by $37. A 10% decrease in these two factors at the same time would decrease the estimated liability at December 31, 2025 by $33.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Goodwill Impairment</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performs a goodwill impairment review in the fourth quarter of each year or when facts and circumstances indicate goodwill may be impaired. In accordance with the accounting guidance, the Company may first perform a qualitative assessment on none, some, or all of its reporting units to determine whether further quantitative impairment testing is necessary. Factors that the Company may consider in its qualitative assessment include, but are not limited to, general economic conditions, changes in the markets in which the Company operates and changes in input costs that may affect revenue growth, gross margin percentages and cash flow trends over multiple periods.</w:t>
      </w:r>
    </w:p>
    <w:p>
      <w:pPr>
        <w:pStyle w:val="TextBody"/>
        <w:bidi w:val="0"/>
        <w:spacing w:lineRule="auto" w:line="288" w:before="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quantitative impairment test involves a number of assumptions and judgments, including the calculation of fair value for the Company’s identified reporting units. The Company determines the estimated fair value for each reporting unit based on an average of the estimated fair values calculated using both market and income approaches. The Company uses an average of the two methods in estimating fair value because it believes they both provide an appropriate fair value for the reporting units. The Company’s estimates of future cash flows include assumptions concerning future operating performance and economic conditions and may differ from actual future cash flows. Under the market approach, the Company utilizes significant assumptions relating to EBITDA and revenue multiples used in recent similar transactions, if any, and EBITDA and revenue multiples of similar type and size public companies. The appropriate multiple and acquisition premium is applied to the respective financial results of the reporting unit to obtain an estimated fair value. </w:t>
      </w:r>
    </w:p>
    <w:p>
      <w:pPr>
        <w:pStyle w:val="TextBody"/>
        <w:bidi w:val="0"/>
        <w:spacing w:lineRule="auto" w:line="288" w:before="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income approach, fair value is calculated as the sum of the projected discounted cash flows of the reporting unit over the next five years and the terminal value at the end of those five years. The projected cash flows generally include moderate to no growth assumptions, depending on the reporting unit, unless there has recently been a material change in the business or a material change is forecasted. The discount rate used is based on the average weighted-average cost of capital of companies in the consumer and industrial packaging industries, which information is available through various sources, adjusted for specific risk premiums for each reporting unit.</w:t>
      </w:r>
    </w:p>
    <w:p>
      <w:pPr>
        <w:pStyle w:val="TextBody"/>
        <w:bidi w:val="0"/>
        <w:spacing w:lineRule="auto" w:line="288" w:before="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completed its annual review for 2025 and determined that no adjustments to the carrying value of goodwill were necessary. Although no goodwill impairment was recorded, there can be no assurances that future goodwill impairments will not occur. </w:t>
      </w:r>
    </w:p>
    <w:p>
      <w:pPr>
        <w:pStyle w:val="TextBody"/>
        <w:bidi w:val="0"/>
        <w:spacing w:lineRule="auto" w:line="288" w:before="0" w:after="16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Long-lived Assets Impairment</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performs an impairment review of its long-lived assets, including finite-lived intangible assets and property, plant, and equipment, when facts and circumstances indicate the carrying value may not be recoverable from its undiscounted cash flows. Any impairment loss is measured by comparing the carrying amount of the asset to its fair value. The Company’s estimates of future cash flows involve assumptions concerning future operating performance, economic conditions and technological changes that may affect the future useful lives of the assets. These estimates may differ from actual cash flows or useful lives.</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Tax Valuation Allowance</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records a valuation allowance to reduce its deferred tax assets when it is more likely than not that a portion of the tax assets will not be realized. The estimate of the amount that will not be realized requires the use of assumptions concerning the Company’s future taxable income. These estimates are projected through the life of the related deferred tax assets based on assumptions that management believes are reasonable. The Company considers all sources of taxable income in estimating its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valuation allowances, including taxable income in any available carry back period; the reversal of taxable temporary differences; tax-planning strategies; and taxable income expected to be generated in the future other than from reversing temporary differences.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Should the Company change its estimate of the amount of deferred tax assets that it would be able to realize, an adjustment to the valuation allowance would result in an increase or decrease in tax expense in the period such a change in estimate was made. See </w:t>
      </w:r>
      <w:hyperlink w:anchor="i52f6ed3525d042f787f54b954ed2f9f2_139">
        <w:r>
          <w:rPr>
            <w:rStyle w:val="InternetLink"/>
            <w:rFonts w:ascii="Times New Roman;serif" w:hAnsi="Times New Roman;serif"/>
            <w:b w:val="false"/>
            <w:color w:val="0000FF"/>
            <w:sz w:val="20"/>
            <w:u w:val="single"/>
            <w:shd w:fill="FFFFFF" w:val="clear"/>
          </w:rPr>
          <w:t>Note T</w:t>
        </w:r>
      </w:hyperlink>
      <w:r>
        <w:rPr>
          <w:color w:val="000000"/>
          <w:shd w:fill="FFFFFF" w:val="clear"/>
        </w:rPr>
        <w:t xml:space="preserve"> </w:t>
      </w:r>
      <w:r>
        <w:rPr>
          <w:rFonts w:ascii="Times New Roman;serif" w:hAnsi="Times New Roman;serif"/>
          <w:b w:val="false"/>
          <w:color w:val="000000"/>
          <w:sz w:val="20"/>
          <w:shd w:fill="FFFFFF" w:val="clear"/>
        </w:rPr>
        <w:t>to the consolidated financial statements for additional information on the Company’s valuation allowances.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Pension and Postretirement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Accounting for pensions and postretirement benefit plans requires the use of estimates and assumptions regarding numerous factors, including discount rates, rates of return on plan assets, compensation increases, health care cost increases, future rates of inflation, mortality, and employee turnover. Actual results may differ from the Company’s actuarial assumptions, which may have an impact on the amount of reported expense or liability for pensions or postretirement benefits. The Company recorded pension expense of $27 in 2025 and currently projects its 2026 pension expense to be $33, using foreign currency exchange rates in effect at December 31, 2025. The Company uses the spot yield curve approach to estimate the service and interest cost components of pension and postretirement benefits expense by applying the specific spot rates along the yield curve used to determine the benefit plan obligations to relevant projected cash outflows. The expected long-term rate of return on plan assets is determined by taking into consideration expected long-term returns associated with each major asset class based on long-term historical ranges, projected future outlook of each asset class, inflation assumptions and the expected net value from active management of the assets based on actual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U.S. plan’s assumed rate of return was 7.15% in 2025. A 0.50% change in the expected rates of return would change 2026 pension expense by approximately $2.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Discount rates were selected using a method that matches projected payouts from the plans to an actuarial determined yield curve based on market observable AA bond yields in the respective plan jurisdictions and currencies. In certain jurisdictions, government securities were used along with corporate bonds to develop country-specific yield curves to the extent that the underlying markets were not deemed sufficiently developed. A 0.50% change in the discount rates from those used at December 31, 2025 would change 2026 pension expense by approximately $4 and postretirement expense by less than $1. A 0.50% change in the discount rates from those used at December 31, 2025 would have changed the pension benefit obligation by approximately $33 and the postretirement benefit obligation by approximately $4 as of December 31, 2025. See </w:t>
      </w:r>
      <w:hyperlink w:anchor="i52f6ed3525d042f787f54b954ed2f9f2_136">
        <w:r>
          <w:rPr>
            <w:rStyle w:val="InternetLink"/>
            <w:rFonts w:ascii="Times New Roman;serif" w:hAnsi="Times New Roman;serif"/>
            <w:b w:val="false"/>
            <w:color w:val="0000FF"/>
            <w:sz w:val="20"/>
            <w:u w:val="single"/>
            <w:shd w:fill="FFFFFF" w:val="clear"/>
          </w:rPr>
          <w:t>Note S</w:t>
        </w:r>
      </w:hyperlink>
      <w:r>
        <w:rPr>
          <w:color w:val="000000"/>
          <w:shd w:fill="FFFFFF" w:val="clear"/>
        </w:rPr>
        <w:t xml:space="preserve"> </w:t>
      </w:r>
      <w:r>
        <w:rPr>
          <w:rFonts w:ascii="Times New Roman;serif" w:hAnsi="Times New Roman;serif"/>
          <w:b w:val="false"/>
          <w:color w:val="000000"/>
          <w:sz w:val="20"/>
          <w:shd w:fill="FFFFFF" w:val="clear"/>
        </w:rPr>
        <w:t>to the consolidated financial statements for additional information on pension and postretirement benefit obligations and assumptions.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December 31, 2025, the Company had a pre-tax unrecognized net loss in accumulated other comprehensive income of $99 related to its pension plans and a pre-tax unrecognized net gain in accumulated other comprehensive income of $3 related to its other postretirement benefit plans. Unrecognized gains and losses arise each year primarily due to changes in discount rates, differences in actual plan asset returns compared to expected returns, and changes in actuarial assumptions such as mortality. Unrecognized gains and losses are accumulated in other comprehensive income and the portion in each plan that exceeds 10% of the greater of that plan’s assets or projected benefit obligation is amortized to income over future periods. The Company’s pension expense for the year ended December 31, 2025 included charges of $11 for the amortization of accumulated net losses, and the Company estimates charges of $10 in 2026. Amortizable losses are being recognized over either the average expected life of inactive employees or the remaining service life of active participants depending on the status of the individual plans. The weighted average amortization periods range between 6 - 13 years. An increase or decrease of 10% in the number of years used to amortize unrecognized losses in each plan would change estimated charges for 2026 by $1.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RECENT ACCOUNTING GUIDANCE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2024, the Financial Accounting Standards Board (FASB) issued a final standard on disaggregation of income statement expenses. The standard requires disclosure of more detailed information about certain costs and expenses in the notes to the financial statements. The standard is effective for fiscal years beginning after December 15, 2026 and for interim periods beginning after December 15, 2027. Early adoption is permitted. The standard is applied prospectively with an option for retrospective adoption. The Company is currently evaluating the impact that the new guidance will have on its disclosures.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2025, the FASB issued guidance to clarify and modernize the accounting for costs related to internal-use software. The guidance eliminates references to various stages of a software development project and clarifies the threshold to apply to begin capitalizing costs. The guidance is effective for fiscal years beginning after December 15, 2027, and interim periods within those fiscal years. The guidance is applied on a prospective basis with the option to apply the standard retrospectively or using a modified transition approach. Early adoption is permitted. The Company is currently evaluating the impact that the new guidance will have on its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2025, the FASB issued a final standard on improvements to hedge accounting, which introduces five targeted improvements to better align hedge accounting with entities’ risk management activities. The standard will be effective for annual reporting periods beginning after December 15, 2026, and interim periods within those annual reporting periods. Early adoption is permitted. The Company is currently evaluating the impact that the new guidance will have on its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See </w:t>
      </w:r>
      <w:hyperlink w:anchor="i52f6ed3525d042f787f54b954ed2f9f2_82">
        <w:r>
          <w:rPr>
            <w:rStyle w:val="InternetLink"/>
            <w:rFonts w:ascii="Times New Roman;serif" w:hAnsi="Times New Roman;serif"/>
            <w:b w:val="false"/>
            <w:color w:val="0000FF"/>
            <w:sz w:val="20"/>
            <w:u w:val="single"/>
            <w:shd w:fill="FFFFFF" w:val="clear"/>
          </w:rPr>
          <w:t>Note A</w:t>
        </w:r>
      </w:hyperlink>
      <w:r>
        <w:rPr>
          <w:color w:val="000000"/>
          <w:shd w:fill="FFFFFF" w:val="clear"/>
        </w:rPr>
        <w:t xml:space="preserve"> </w:t>
      </w:r>
      <w:r>
        <w:rPr>
          <w:rFonts w:ascii="Times New Roman;serif" w:hAnsi="Times New Roman;serif"/>
          <w:b w:val="false"/>
          <w:color w:val="000000"/>
          <w:sz w:val="20"/>
          <w:shd w:fill="FFFFFF" w:val="clear"/>
        </w:rPr>
        <w:t>to the consolidated financial statements for information on recently adopted accounting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FORWARD LOOKING STATEMENTS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Statements in this Annual Report, including those in “Management’s Discussion and Analysis of Financial Condition and Results of Operations,” in the discussions of the provision for asbestos under </w:t>
      </w:r>
      <w:hyperlink w:anchor="i52f6ed3525d042f787f54b954ed2f9f2_127">
        <w:r>
          <w:rPr>
            <w:rStyle w:val="InternetLink"/>
            <w:rFonts w:ascii="Times New Roman;serif" w:hAnsi="Times New Roman;serif"/>
            <w:b w:val="false"/>
            <w:color w:val="0000FF"/>
            <w:sz w:val="20"/>
            <w:u w:val="single"/>
            <w:shd w:fill="FFFFFF" w:val="clear"/>
          </w:rPr>
          <w:t>Note P</w:t>
        </w:r>
      </w:hyperlink>
      <w:r>
        <w:rPr>
          <w:color w:val="000000"/>
          <w:shd w:fill="FFFFFF" w:val="clear"/>
        </w:rPr>
        <w:t xml:space="preserve"> </w:t>
      </w:r>
      <w:r>
        <w:rPr>
          <w:rFonts w:ascii="Times New Roman;serif" w:hAnsi="Times New Roman;serif"/>
          <w:b w:val="false"/>
          <w:color w:val="000000"/>
          <w:sz w:val="20"/>
          <w:shd w:fill="FFFFFF" w:val="clear"/>
        </w:rPr>
        <w:t xml:space="preserve">and other contingencies under </w:t>
      </w:r>
      <w:hyperlink w:anchor="i52f6ed3525d042f787f54b954ed2f9f2_130">
        <w:r>
          <w:rPr>
            <w:rStyle w:val="InternetLink"/>
            <w:rFonts w:ascii="Times New Roman;serif" w:hAnsi="Times New Roman;serif"/>
            <w:b w:val="false"/>
            <w:color w:val="0000FF"/>
            <w:sz w:val="20"/>
            <w:u w:val="single"/>
            <w:shd w:fill="FFFFFF" w:val="clear"/>
          </w:rPr>
          <w:t>Note Q</w:t>
        </w:r>
      </w:hyperlink>
      <w:r>
        <w:rPr>
          <w:color w:val="000000"/>
          <w:shd w:fill="FFFFFF" w:val="clear"/>
        </w:rPr>
        <w:t xml:space="preserve"> </w:t>
      </w:r>
      <w:r>
        <w:rPr>
          <w:rFonts w:ascii="Times New Roman;serif" w:hAnsi="Times New Roman;serif"/>
          <w:b w:val="false"/>
          <w:color w:val="000000"/>
          <w:sz w:val="20"/>
          <w:shd w:fill="FFFFFF" w:val="clear"/>
        </w:rPr>
        <w:t>to the consolidated financial statements included in this Annual Report and in discussions incorporated by reference into this Annual Report (including, but not limited to, those in the section titled “Compensation Discussion and Analysis” in the Company’s Proxy Statement), which are not historical facts (including any statements concerning plans and objectives of management for future operations or economic performance, or assumptions related thereto), are “forward-looking statements,” within the meaning of the federal securities laws. In addition, the Company and its representatives may from time to time make other oral or written statements which are also “forward-looking statements.” Forward-looking statements can be identified by words, such as “believes,” “estimates,” “anticipates,” “expects” and other words of similar meaning in connection with a discussion of future operating or financial performance. These may include, among others, statements relating to (i) the Company’s plans or objectives for future operations, products or financial performance, (ii) the Company’s indebtedness and other contractual obligations, (iii) the impact of an economic downturn or growth in particular regions, (iv) anticipated uses of cash, (v) cost reduction efforts and expected savings, (vi) the Company’s policies with respect to executive compensation, (vii) the Company’s progress on sustainability and environmental matters and (viii) the expected outcome of contingencies, including with respect to asbestos-related litigation and pension and postretirement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Important factors that could cause the actual results of operations or financial condition of the Company to differ include, but are not necessarily limited to, the ability of the Company to expand successfully in international and emerging markets; the ability of the Company to repay, refinance or restructure its short and long-term indebtedness on adequate terms and to comply with the terms of its agreements relating to debt; the Company’s ability to generate significant cash to meet its obligations and invest in its business and to maintain appropriate debt levels; restrictions on the Company’s use of available cash under its debt agreements; changes or differences in U.S. or international economic or political conditions, such as inflation or fluctuations in interest or foreign exchange rates (and the effectiveness of any currency or interest rate hedges), tax rates, and applicable tax laws (including with respect to taxation of unrepatriated non-U.S. earnings or as a result of the depletion of net loss or foreign tax credit carryforwards); the impact of foreign trade laws and practices; the collectability of receivables; war or acts of terrorism that may disrupt the Company’s production or the supply or pricing of raw materials impact the financial condition of customers or adversely affect the Company’s ability to refinance or restructure its remaining indebtedness; changes in the availability and pricing of raw materials (including aluminum can sheet, steel tinplate, energy, water, inks and coatings) and the Company’s ability to pass raw material, energy and freight price increases and surcharges through to its customers or to otherwise manage these commodity pricing risks; the Company’s ability to obtain and maintain adequate pricing for its products, including the impact on the Company’s revenue, margins and market share and the ongoing impact of price increases; energy and natural resource costs; the cost and other effects of legal and administrative cases and proceedings, settlements and investigations; the outcome of asbestos-related litigation; the Company’s ability to realize deferred tax benefits; changes in the Company’s critical or other accounting policies or the assumptions underlying those policies; labor relations and workforce and social costs, including the Company’s pension and postretirement obligations and other employee or retiree costs; investment performance of the Company’s pension plans; costs and difficulties related to the acquisition of a business and integration of acquired businesses; the impact of any actual or potential dispositions, acquisitions or other strategic realignments (such as the Company’s recently completed divestiture of its European Tinplate business), which may impact the Company’s operations, financial profile, investments or levels of indebtedness; the Company’s ability to realize efficient capacity utilization and inventory levels and to innovate new designs and technologies for its products in a cost-effective manner; competitive pressures, including new product developments, industry overcapacity, or changes in competitors’ pricing for products; the Company’s ability to achieve high capacity utilization rates for its equipment; the Company’s ability to maintain, develop and capitalize on competitive technologies for the design and manufacture of products and to withstand competitive and legal challenges to the proprietary nature of such technology; the Company’s ability to protect its information technology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attacks or catastrophic failure; the strength of the Company’s cyber-security (including with respect to human vulnerabilities associated with cyber-security risks); the Company’s ability to generate sufficient production capacity; the Company’s ability to improve and expand its existing product and product lines; the impact of overcapacity on the end-markets the Company serves; loss of customers, including the loss of any significant customers; changes in consumer preferences for different packaging products; the financial condition of the Company’s vendors and customers; weather conditions, including their effect on demand for beverages and on crop yields for fruits and vegetables stored in food containers; the impact of natural disasters, including in emerging markets; changes in governmental regulations or enforcement practices, including with respect to environmental, health and safety matters and restrictions as to foreign investment or operation; the impact of increased governmental regulation on the Company and its products, including the regulation or restriction of the use of bisphenol-A; the impact of the Company’s recent initiatives to generate additional cash, including the reduction of working capital levels and capital spending; the impact of the Company’s comprehensive Board-led review of its portfolio and capital allocation/return; the ability of the Company to realize cost savings from its restructuring programs; the Company’s ability to maintain adequate sources of capital and liquidity; costs and payments to certain of the Company’s executive officers in connection with any termination of such executive officers or a change in control of the Company; the impact of existing and future legislation regarding refundable mandatory deposit laws in Europe for non-refillable beverage containers and the implementation of an effective return system; the impact of existing and future legislation regarding the taxation of sugar-sweetened beverages or energy drinks, the impact of tariffs and potential limits on steel supply in the U.S. from certain foreign countries; and changes in the Company’s strategic areas of focus, which may impact the Company’s operations, financial profile or levels of indebtedness.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Some of the factors noted above are discussed elsewhere in this Annual Report and prior Company filings with the SEC, including within Part I, Item 1A, “</w:t>
      </w:r>
      <w:hyperlink w:anchor="i52f6ed3525d042f787f54b954ed2f9f2_16">
        <w:r>
          <w:rPr>
            <w:rStyle w:val="InternetLink"/>
            <w:rFonts w:ascii="Times New Roman;serif" w:hAnsi="Times New Roman;serif"/>
            <w:b w:val="false"/>
            <w:color w:val="0000FF"/>
            <w:sz w:val="20"/>
            <w:u w:val="single"/>
            <w:shd w:fill="FFFFFF" w:val="clear"/>
          </w:rPr>
          <w:t>Risk Factors</w:t>
        </w:r>
      </w:hyperlink>
      <w:r>
        <w:rPr>
          <w:color w:val="000000"/>
          <w:shd w:fill="FFFFFF" w:val="clear"/>
        </w:rPr>
        <w:t xml:space="preserve">” </w:t>
      </w:r>
      <w:r>
        <w:rPr>
          <w:rFonts w:ascii="Times New Roman;serif" w:hAnsi="Times New Roman;serif"/>
          <w:b w:val="false"/>
          <w:color w:val="000000"/>
          <w:sz w:val="20"/>
          <w:shd w:fill="FFFFFF" w:val="clear"/>
        </w:rPr>
        <w:t>in this Annual Report. In addition, other factors have been or may be discussed from time to time in the Company’s SEC filings.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90"/>
        <w:jc w:val="left"/>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bookmarkStart w:id="13" w:name="i6e21c3df4db140acad12841546f4762f"/>
      <w:bookmarkEnd w:id="13"/>
      <w:r>
        <w:rPr>
          <w:rFonts w:ascii="Times New Roman;serif" w:hAnsi="Times New Roman;serif"/>
          <w:b w:val="false"/>
          <w:color w:val="000000"/>
          <w:sz w:val="20"/>
          <w:u w:val="single"/>
          <w:shd w:fill="FFFFFF" w:val="clear"/>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set forth within “Management’s Discussion and Analysis of Financial Condition and Results of Operations” under the captions “Market Risk” and "Forward Looking Statements" in this Annual Report is incorporated herein by reference.</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u w:val="single"/>
        </w:rPr>
      </w:pPr>
      <w:bookmarkStart w:id="14" w:name="iac5d08956e464d32a2ecf165406c0fc8"/>
      <w:bookmarkEnd w:id="14"/>
      <w:r>
        <w:rPr>
          <w:rFonts w:ascii="Times New Roman;serif" w:hAnsi="Times New Roman;serif"/>
          <w:b w:val="false"/>
          <w:color w:val="000000"/>
          <w:sz w:val="20"/>
          <w:u w:val="single"/>
        </w:rPr>
        <w:t>ITEM 8. Financial Statements and Supplementary Data</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5" w:name="i77d2caca32fd43d880cf2df5ffbd8234"/>
      <w:bookmarkEnd w:id="15"/>
      <w:r>
        <w:rPr>
          <w:rFonts w:ascii="Times New Roman;serif" w:hAnsi="Times New Roman;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Rule 13a-15(f) under the Securities Exchange Act of 1934, as amended).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the inherent limitations, a system of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Management assessed the effectiveness of the Company’s internal control over financial reporting as of December 31, 2025. In making this assessment, management used the criteria set forth by the Committee of Sponsoring Organizations of the Treadway Commission (“COSO”) in </w:t>
      </w:r>
      <w:r>
        <w:rPr>
          <w:rFonts w:ascii="Times New Roman;serif" w:hAnsi="Times New Roman;serif"/>
          <w:b w:val="false"/>
          <w:i/>
          <w:color w:val="000000"/>
          <w:sz w:val="20"/>
        </w:rPr>
        <w:t>Internal Control - Integrated Framework (2013)</w:t>
      </w:r>
      <w:r>
        <w:rPr>
          <w:rFonts w:ascii="Times New Roman;serif" w:hAnsi="Times New Roman;serif"/>
          <w:b w:val="false"/>
          <w:color w:val="000000"/>
          <w:sz w:val="20"/>
        </w:rPr>
        <w:t>. Based on its assessment, management has concluded that, as of December 31, 2025, the Company’s internal control over financial reporting was effective based on those criteria.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PricewaterhouseCoopers LLP, an independent registered public accounting firm, as stated in their report which appears herein.</w:t>
      </w:r>
    </w:p>
    <w:p>
      <w:pPr>
        <w:pStyle w:val="TextBody"/>
        <w:bidi w:val="0"/>
        <w:spacing w:before="0" w:after="0"/>
        <w:jc w:val="left"/>
        <w:rPr/>
      </w:pPr>
      <w:r>
        <w:rPr/>
      </w:r>
    </w:p>
    <w:p>
      <w:pPr>
        <w:pStyle w:val="TextBody"/>
        <w:bidi w:val="0"/>
        <w:spacing w:before="100" w:after="1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16" w:name="i9a846b134a8f411080d451261f10facf"/>
      <w:bookmarkEnd w:id="16"/>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 Crown Holdings,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We have audited the accompanying consolidated balance sheets of Crown Holdings, Inc. and its subsidiaries (the "Company") as of December 31, 2025 and 2024, and the related consolidated statements of operations, of comprehensive income, of changes in shareholders’ equity and of cash flows for each of the three years in the period ended December 31, 2025, including the related notes and schedule of valuation and qualifying accounts and reserves for each of the three years in the period ended December 31, 2025 listed in the table of contents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w:t>
      </w:r>
      <w:r>
        <w:rPr>
          <w:color w:val="000000"/>
        </w:rPr>
        <w:t xml:space="preserve"> </w:t>
      </w:r>
      <w:r>
        <w:rPr>
          <w:rFonts w:ascii="Times New Roman;serif" w:hAnsi="Times New Roman;serif"/>
          <w:b w:val="false"/>
          <w:color w:val="000000"/>
          <w:sz w:val="20"/>
        </w:rPr>
        <w:t xml:space="preserve">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 Impairment Assessment – Reporting Unit in the Transit Packaging Segment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As described in Notes A and F to the consolidated financial statements, the Company’s consolidated goodwill balance was $3.2 billion as of December 31, 2025, a portion of which relates to a reporting unit in the Transit Packaging segment. Management reviews goodwill for impairment annually in the fourth quarter of each year or when facts and circumstances indicate goodwill may be impaired. Management determines the estimated fair value of the reporting unit based on an average of the estimated fair values using an income and a market approach. The income approach utilizes significant assumptions relating to revenue and Adjusted EBITDA (defined by the Company as net customer sales, less cost of products sold excluding depreciation and amortization, less selling and administrative expenses), margin growth rates, and discount rate. Under the market approach, management utilizes significant assumptions relating to EBITDA and revenue multiples used in recent similar transactions, if any, and EBITDA and revenue multiples of similar type and size public companies. The appropriate multiple and acquisition premium is applied to the respective financial results of the reporting unit to obtain an estimated fair value.</w:t>
      </w:r>
      <w:r>
        <w:rPr>
          <w:color w:val="FF0000"/>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principal considerations for our determination that performing procedures relating to the goodwill impairment assessment of a reporting unit in the Transit Packaging segment is a critical audit matter are (i) the significant judgment by management when developing the fair value estimate of the reporting unit; (ii) a high degree of auditor judgment, subjectivity, and effort in performing procedures and evaluating management’s significant assumptions related to revenue growth rates, discount rate, EBITDA multiples, revenue multiples and acquisition premium; and (iii) the audit effort involved the use of professionals with specialized skill and knowledge.</w:t>
      </w:r>
      <w:r>
        <w:rPr>
          <w:color w:val="FF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of the valuation of a reporting unit in the Transit Packaging segment. These procedures also included, among others, (i) testing management’s process for developing the fair value estimate of the reporting unit; (ii) evaluating the appropriateness of the income and market approaches used by management; (iii) testing the completeness and accuracy of the underlying data used in the income and market approaches; and (iv) evaluating the reasonableness of the significant assumptions used by management related to revenue growth rates, discount rate, EBITDA multiples, revenue multiples and acquisition premium. Evaluating management’s assumptions related to revenue growth rates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evaluating (i) the appropriateness of the income and market approaches, and (ii) the reasonableness of the revenue growth rates, discount rate, EBITDA multiples, revenue multiples and acquisition premium assumptions.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27,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17" w:name="i9e8dcb32a4fe4155915c564457688e0e"/>
      <w:bookmarkEnd w:id="17"/>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before="0" w:after="0"/>
        <w:jc w:val="center"/>
        <w:rPr/>
      </w:pPr>
      <w:r>
        <w:rPr/>
      </w:r>
    </w:p>
    <w:tbl>
      <w:tblPr>
        <w:tblW w:w="9507" w:type="dxa"/>
        <w:jc w:val="left"/>
        <w:tblInd w:w="0" w:type="dxa"/>
        <w:tblLayout w:type="fixed"/>
        <w:tblCellMar>
          <w:top w:w="28" w:type="dxa"/>
          <w:left w:w="28" w:type="dxa"/>
          <w:bottom w:w="28" w:type="dxa"/>
          <w:right w:w="28" w:type="dxa"/>
        </w:tblCellMar>
      </w:tblPr>
      <w:tblGrid>
        <w:gridCol w:w="2056"/>
        <w:gridCol w:w="1812"/>
        <w:gridCol w:w="1817"/>
        <w:gridCol w:w="211"/>
        <w:gridCol w:w="721"/>
        <w:gridCol w:w="109"/>
        <w:gridCol w:w="109"/>
        <w:gridCol w:w="109"/>
        <w:gridCol w:w="109"/>
        <w:gridCol w:w="211"/>
        <w:gridCol w:w="721"/>
        <w:gridCol w:w="109"/>
        <w:gridCol w:w="109"/>
        <w:gridCol w:w="109"/>
        <w:gridCol w:w="109"/>
        <w:gridCol w:w="211"/>
        <w:gridCol w:w="721"/>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early extinguishments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 and equity in net earnings of affiliates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attributable to Crown Holdings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attributable to Crown Holdings: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18" w:name="i348498e261bc47bdb6e4c083b6ca68f4"/>
      <w:bookmarkEnd w:id="18"/>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9027" w:type="dxa"/>
        <w:jc w:val="center"/>
        <w:tblInd w:w="0" w:type="dxa"/>
        <w:tblLayout w:type="fixed"/>
        <w:tblCellMar>
          <w:top w:w="28" w:type="dxa"/>
          <w:left w:w="28" w:type="dxa"/>
          <w:bottom w:w="28" w:type="dxa"/>
          <w:right w:w="28" w:type="dxa"/>
        </w:tblCellMar>
      </w:tblPr>
      <w:tblGrid>
        <w:gridCol w:w="2159"/>
        <w:gridCol w:w="1903"/>
        <w:gridCol w:w="1908"/>
        <w:gridCol w:w="211"/>
        <w:gridCol w:w="466"/>
        <w:gridCol w:w="109"/>
        <w:gridCol w:w="109"/>
        <w:gridCol w:w="109"/>
        <w:gridCol w:w="109"/>
        <w:gridCol w:w="211"/>
        <w:gridCol w:w="466"/>
        <w:gridCol w:w="109"/>
        <w:gridCol w:w="109"/>
        <w:gridCol w:w="109"/>
        <w:gridCol w:w="109"/>
        <w:gridCol w:w="211"/>
        <w:gridCol w:w="466"/>
        <w:gridCol w:w="154"/>
      </w:tblGrid>
      <w:tr>
        <w:trPr/>
        <w:tc>
          <w:tcPr>
            <w:tcW w:w="215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 net of tax</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qualifying as hedges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 attributable to noncontrolling interests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qualifying as hedges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Crown Holdings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center"/>
        <w:rPr>
          <w:rFonts w:ascii="Times New Roman;serif" w:hAnsi="Times New Roman;serif"/>
          <w:b/>
          <w:color w:val="000000"/>
          <w:sz w:val="20"/>
        </w:rPr>
      </w:pPr>
      <w:bookmarkStart w:id="19" w:name="ie82dcf7b37a04a039570d769be147286"/>
      <w:bookmarkEnd w:id="19"/>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data)</w:t>
      </w:r>
    </w:p>
    <w:tbl>
      <w:tblPr>
        <w:tblW w:w="9113" w:type="dxa"/>
        <w:jc w:val="center"/>
        <w:tblInd w:w="0" w:type="dxa"/>
        <w:tblLayout w:type="fixed"/>
        <w:tblCellMar>
          <w:top w:w="28" w:type="dxa"/>
          <w:left w:w="28" w:type="dxa"/>
          <w:bottom w:w="28" w:type="dxa"/>
          <w:right w:w="28" w:type="dxa"/>
        </w:tblCellMar>
      </w:tblPr>
      <w:tblGrid>
        <w:gridCol w:w="2406"/>
        <w:gridCol w:w="2125"/>
        <w:gridCol w:w="2128"/>
        <w:gridCol w:w="211"/>
        <w:gridCol w:w="721"/>
        <w:gridCol w:w="109"/>
        <w:gridCol w:w="109"/>
        <w:gridCol w:w="109"/>
        <w:gridCol w:w="109"/>
        <w:gridCol w:w="211"/>
        <w:gridCol w:w="721"/>
        <w:gridCol w:w="154"/>
      </w:tblGrid>
      <w:tr>
        <w:trPr/>
        <w:tc>
          <w:tcPr>
            <w:tcW w:w="2406"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maturities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and pension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Commitments and contingent liabilities </w:t>
            </w:r>
            <w:hyperlink w:anchor="i52f6ed3525d042f787f54b954ed2f9f2_130">
              <w:r>
                <w:rPr>
                  <w:rStyle w:val="InternetLink"/>
                  <w:rFonts w:ascii="Times New Roman;serif" w:hAnsi="Times New Roman;serif"/>
                  <w:b w:val="false"/>
                  <w:color w:val="0000FF"/>
                  <w:sz w:val="20"/>
                  <w:u w:val="single"/>
                </w:rPr>
                <w:t>(Note Q)</w:t>
              </w:r>
            </w:hyperlink>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Preferred stock, authorized: 30,000,000; none issued </w:t>
            </w:r>
            <w:hyperlink w:anchor="i52f6ed3525d042f787f54b954ed2f9f2_142">
              <w:r>
                <w:rPr>
                  <w:rStyle w:val="InternetLink"/>
                  <w:rFonts w:ascii="Times New Roman;serif" w:hAnsi="Times New Roman;serif"/>
                  <w:b w:val="false"/>
                  <w:color w:val="0000FF"/>
                  <w:sz w:val="20"/>
                  <w:u w:val="single"/>
                </w:rPr>
                <w:t>(Note U)</w:t>
              </w:r>
            </w:hyperlink>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par value: $5.00; 500,000,000 shares authorized;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185,744,072 shares issued; 113,421,634 and 118,503,631 shares outstanding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in 2025 and 2024 (</w:t>
            </w:r>
            <w:hyperlink w:anchor="i52f6ed3525d042f787f54b954ed2f9f2_142">
              <w:r>
                <w:rPr>
                  <w:rStyle w:val="InternetLink"/>
                  <w:rFonts w:ascii="Times New Roman;serif" w:hAnsi="Times New Roman;serif"/>
                  <w:b w:val="false"/>
                  <w:color w:val="0000FF"/>
                  <w:sz w:val="20"/>
                  <w:u w:val="single"/>
                </w:rPr>
                <w:t>Note U</w:t>
              </w:r>
            </w:hyperlink>
            <w:r>
              <w:rPr>
                <w:rFonts w:ascii="Times New Roman;serif" w:hAnsi="Times New Roman;serif"/>
                <w:b w:val="false"/>
                <w:color w:val="000000"/>
                <w:sz w:val="20"/>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Holdings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center"/>
        <w:rPr>
          <w:rFonts w:ascii="Times New Roman;serif" w:hAnsi="Times New Roman;serif"/>
          <w:b/>
          <w:color w:val="000000"/>
          <w:sz w:val="20"/>
        </w:rPr>
      </w:pPr>
      <w:bookmarkStart w:id="20" w:name="i8c1b186eb5e8458ea1c7e806ac7071b9"/>
      <w:bookmarkEnd w:id="20"/>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10090" w:type="dxa"/>
        <w:jc w:val="center"/>
        <w:tblInd w:w="0" w:type="dxa"/>
        <w:tblLayout w:type="fixed"/>
        <w:tblCellMar>
          <w:top w:w="28" w:type="dxa"/>
          <w:left w:w="28" w:type="dxa"/>
          <w:bottom w:w="28" w:type="dxa"/>
          <w:right w:w="28" w:type="dxa"/>
        </w:tblCellMar>
      </w:tblPr>
      <w:tblGrid>
        <w:gridCol w:w="2434"/>
        <w:gridCol w:w="2140"/>
        <w:gridCol w:w="2146"/>
        <w:gridCol w:w="215"/>
        <w:gridCol w:w="475"/>
        <w:gridCol w:w="109"/>
        <w:gridCol w:w="109"/>
        <w:gridCol w:w="109"/>
        <w:gridCol w:w="109"/>
        <w:gridCol w:w="211"/>
        <w:gridCol w:w="616"/>
        <w:gridCol w:w="109"/>
        <w:gridCol w:w="109"/>
        <w:gridCol w:w="109"/>
        <w:gridCol w:w="109"/>
        <w:gridCol w:w="211"/>
        <w:gridCol w:w="616"/>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pPr>
            <w:r>
              <w:rPr/>
              <w:t>For the Years Ended December 31</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early extinguishments of debt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Asbestos payments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assets and liabilities: </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sale of property, plant, and equipment </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equity method investment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for investing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revolving credit facility and short-term debt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debt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short-term debt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paid to retire debt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noncontrolling interests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shareholders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for) / provided by financing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cash equivalents, and restricted cash</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January 1</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December 31</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center"/>
        <w:rPr>
          <w:rFonts w:ascii="Times New Roman;serif" w:hAnsi="Times New Roman;serif"/>
          <w:b/>
          <w:color w:val="000000"/>
          <w:sz w:val="20"/>
        </w:rPr>
      </w:pPr>
      <w:bookmarkStart w:id="21" w:name="i073afebda1944bdcb472f5e8dafb105a"/>
      <w:bookmarkEnd w:id="21"/>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10924" w:type="dxa"/>
        <w:jc w:val="left"/>
        <w:tblInd w:w="0" w:type="dxa"/>
        <w:tblLayout w:type="fixed"/>
        <w:tblCellMar>
          <w:top w:w="28" w:type="dxa"/>
          <w:left w:w="28" w:type="dxa"/>
          <w:bottom w:w="28" w:type="dxa"/>
          <w:right w:w="28" w:type="dxa"/>
        </w:tblCellMar>
      </w:tblPr>
      <w:tblGrid>
        <w:gridCol w:w="814"/>
        <w:gridCol w:w="268"/>
        <w:gridCol w:w="269"/>
        <w:gridCol w:w="211"/>
        <w:gridCol w:w="466"/>
        <w:gridCol w:w="109"/>
        <w:gridCol w:w="109"/>
        <w:gridCol w:w="109"/>
        <w:gridCol w:w="109"/>
        <w:gridCol w:w="211"/>
        <w:gridCol w:w="406"/>
        <w:gridCol w:w="109"/>
        <w:gridCol w:w="109"/>
        <w:gridCol w:w="109"/>
        <w:gridCol w:w="109"/>
        <w:gridCol w:w="211"/>
        <w:gridCol w:w="616"/>
        <w:gridCol w:w="109"/>
        <w:gridCol w:w="109"/>
        <w:gridCol w:w="109"/>
        <w:gridCol w:w="109"/>
        <w:gridCol w:w="269"/>
        <w:gridCol w:w="806"/>
        <w:gridCol w:w="141"/>
        <w:gridCol w:w="109"/>
        <w:gridCol w:w="109"/>
        <w:gridCol w:w="109"/>
        <w:gridCol w:w="211"/>
        <w:gridCol w:w="616"/>
        <w:gridCol w:w="109"/>
        <w:gridCol w:w="109"/>
        <w:gridCol w:w="109"/>
        <w:gridCol w:w="109"/>
        <w:gridCol w:w="322"/>
        <w:gridCol w:w="712"/>
        <w:gridCol w:w="167"/>
        <w:gridCol w:w="109"/>
        <w:gridCol w:w="109"/>
        <w:gridCol w:w="109"/>
        <w:gridCol w:w="250"/>
        <w:gridCol w:w="731"/>
        <w:gridCol w:w="130"/>
        <w:gridCol w:w="109"/>
        <w:gridCol w:w="109"/>
        <w:gridCol w:w="109"/>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Crown Holdings, Inc.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Crown</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noncontrolling interests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noncontrolling interests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color w:val="000000"/>
          <w:sz w:val="20"/>
        </w:rPr>
      </w:pPr>
      <w:bookmarkStart w:id="22" w:name="ic3cee959c22b447c90beddfe1a230105"/>
      <w:bookmarkEnd w:id="22"/>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share, per share, employee and statistical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23" w:name="i7840e834d8034b03b22b9a00bc5b3076"/>
      <w:bookmarkEnd w:id="23"/>
      <w:r>
        <w:rPr>
          <w:rFonts w:ascii="Times New Roman;serif" w:hAnsi="Times New Roman;serif"/>
          <w:b/>
          <w:color w:val="000000"/>
          <w:sz w:val="20"/>
        </w:rPr>
        <w:t xml:space="preserve">A. Summary of Significant Accounting Policies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Business and Principles of Consolidation</w:t>
      </w:r>
      <w:r>
        <w:rPr>
          <w:rFonts w:ascii="Times New Roman;serif" w:hAnsi="Times New Roman;serif"/>
          <w:b w:val="false"/>
          <w:color w:val="000000"/>
          <w:sz w:val="20"/>
        </w:rPr>
        <w:t>. The consolidated financial statements include the accounts of Crown Holdings, Inc. (the “Company”) and its consolidated subsidiary companies (where the context requires, the “Company” shall include reference to the Company and its consolidated subsidiary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through its subsidiaries, is a leading global, diversified packaging business that manufactures metal cans and ends (aluminum and steel) for the beverage, food and aerosol industries and a wide range of transit packaging products and solutions from multiple substrates including steel, paper, and plastic. The Company’s transit packaging products include automation and equipment technologies, protective packaging solutions and steel and plastic consumables which are sold into the metals, food and beverage, construction, agricultural, corrugated, and general industries.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statements were prepared in conformity with accounting principles generally accepted in the United States of America ("GAAP") and reflect management’s estimates and assumptions. Actual results could differ from those estimates, impacting reported results of operations and financial position. Certain prior period data has been reclassified in the consolidated financial statements and accompanying footnotes to conform to current period presentation. All intercompany accounts and transactions are eliminated in consolidation. In deciding which entities should be reported on a consolidated basis, the Company first determines whether the entity is a variable interest entity (“VIE”). If an entity is a VIE, the Company determines whether it is the primary beneficiary and therefore, should consolidate the VIE. If an entity is not a VIE, the Company consolidates those entities in which it has control, including certain subsidiaries that are not majority-owned. Certain of the Company’s agreements with noncontrolling interests contain provisions in which the Company would surrender certain decision-making rights upon a change in control of the Company. Accordingly, consolidation of these operations may no longer be appropriate subsequent to a change in control of the Company, as defined in the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companies over which the Company does not have control, but has the ability to exercise significant influence over operating and financial policies, are accounted for by the equity method. The proportionate share of the net income resulting from these investments is reported in Equity in net earnings of affiliates in the Consolidated Statements of Operations. The carrying values of the Company’s equity method investments are reported in Other non-current assets in the Consolidated Balance Sheets. Equity method investments are reported at cost and adjusted each period for the Company’s share of the investee’s income or loss and dividends paid, if any. The Company classifies distributions received from equity method investees using the cumulative earnings approach. The Company assesses investments for impairment whenever events or changes in circumstances indicate that the carrying value of an investment may not be recoverable.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Foreign Currency Translation</w:t>
      </w:r>
      <w:r>
        <w:rPr>
          <w:rFonts w:ascii="Times New Roman;serif" w:hAnsi="Times New Roman;serif"/>
          <w:b w:val="false"/>
          <w:color w:val="000000"/>
          <w:sz w:val="20"/>
        </w:rPr>
        <w:t>. For non-U.S. subsidiaries which operate in a local currency environment, assets and liabilities are translated into U.S. dollars at year-end exchange rates. Income, expense and cash flow items are translated at average exchange rates prevailing during the year.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all other assets and liabilities are translated at year-end exchange rates. Inventories charged to cost of sales, depreciation, and intangible asset amortization are remeasured at historical rates; all other income and expense items are translated at average exchange rates prevailing during the year. Gains and losses which result from remeasurement are included in earnings.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Revenue Recognition</w:t>
      </w:r>
      <w:r>
        <w:rPr>
          <w:rFonts w:ascii="Times New Roman;serif" w:hAnsi="Times New Roman;serif"/>
          <w:b w:val="false"/>
          <w:color w:val="000000"/>
          <w:sz w:val="20"/>
        </w:rPr>
        <w:t>. The majority of the Company’s revenues from metal packaging products are derived from multi-year requirement contracts with leading manufacturers and marketers of packaged consumer products for can sets, comprising a can and an end. As requirement contracts do not typically include fixed volumes, customers often purchase products pursuant to purchase orders or other communications which are short-term in nature. The can and the end are considered separate performance obligations because they are distinct and separately identifiable. Revenues from Transit Packaging are generally derived from individual purchase orders which may include multiple goods and services which are separate performance obligations because they are distinct and separately identifiable.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The timing of revenue recognition for the Company’s other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beverage ends and three-piece products, which includes food cans and ends and aerosol cans and ends, may vary as these products may be printed or customized depending upon customer preferences. Revenue that is recognized over time for the Company’s three-piece products and equipment business is generally recognized using the cost-to-cost input method as these products involve an intermediary step that results in customized work-in-process inventory. For products that follow a point in time model, revenue is generally recognized when title and risk of loss transfer.</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included in receivables, net in the Consolidated Balance Sheet with a corresponding decrease to inventory.</w:t>
      </w:r>
    </w:p>
    <w:p>
      <w:pPr>
        <w:pStyle w:val="TextBody"/>
        <w:bidi w:val="0"/>
        <w:spacing w:lineRule="auto" w:line="288" w:before="0" w:after="200"/>
        <w:jc w:val="both"/>
        <w:rPr/>
      </w:pPr>
      <w:r>
        <w:rPr>
          <w:rFonts w:ascii="Times New Roman;serif" w:hAnsi="Times New Roman;serif"/>
          <w:b w:val="false"/>
          <w:color w:val="000000"/>
          <w:sz w:val="20"/>
        </w:rPr>
        <w:t xml:space="preserve">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 </w:t>
      </w:r>
      <w:r>
        <w:rPr>
          <w:rFonts w:ascii="Times New Roman;serif" w:hAnsi="Times New Roman;serif"/>
          <w:b w:val="false"/>
          <w:color w:val="000000"/>
          <w:sz w:val="20"/>
          <w:shd w:fill="FFFFFF" w:val="clear"/>
        </w:rPr>
        <w:t xml:space="preserve">Contract assets are included in prepaid and other current assets in the Consolidated Balance Sheet.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pStyle w:val="TextBody"/>
        <w:bidi w:val="0"/>
        <w:spacing w:lineRule="auto" w:line="288" w:before="0" w:after="0"/>
        <w:jc w:val="both"/>
        <w:rPr/>
      </w:pPr>
      <w:r>
        <w:rPr>
          <w:rFonts w:ascii="Times New Roman;serif" w:hAnsi="Times New Roman;serif"/>
          <w:b/>
          <w:color w:val="000000"/>
          <w:sz w:val="20"/>
        </w:rPr>
        <w:t>Stock-Based Compensation</w:t>
      </w:r>
      <w:r>
        <w:rPr>
          <w:rFonts w:ascii="Times New Roman;serif" w:hAnsi="Times New Roman;serif"/>
          <w:b w:val="false"/>
          <w:color w:val="000000"/>
          <w:sz w:val="20"/>
        </w:rPr>
        <w:t>. For awards with a service or market condition, compensation expense is recognized over the vesting period on a straight-line basis using the grant date fair value of the award and the estimated number of awards that are expected to vest. For awards with a performance condition, the Company assesses the probability of vesting at each reporting period and adjusts compensation cost based on its probability assessment. The Company’s plans provide for stock awards which may include accelerated vesting upon retirement, disability, or death of eligible employees. The Company considers a stock-based award to be vested when the service period is no longer contingent on the employee providing future service. Accordingly, the related compensation cost is recognized immediately for awards granted to retirement-eligible individuals, or over the period from the grant date to the date that retirement eligibility is achieved if less than the stated vesting period.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Cash, Cash Equivalents, and Restricted Cash</w:t>
      </w:r>
      <w:r>
        <w:rPr>
          <w:rFonts w:ascii="Times New Roman;serif" w:hAnsi="Times New Roman;serif"/>
          <w:b w:val="false"/>
          <w:color w:val="000000"/>
          <w:sz w:val="20"/>
        </w:rPr>
        <w:t>. Cash equivalents represent highly liquid investments with maturities of three months or less from the time of purchase and are carried at cost, which approximates fair value because of the short maturity of those instruments. Outstanding checks in excess of funds on deposit are included in accounts payable. The Company generally classifies any cash that is legally restricted as to withdrawal or usage as restricted cash.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Accounts Receivable and Allowance for Credit Losses.</w:t>
      </w:r>
      <w:r>
        <w:rPr>
          <w:color w:val="000000"/>
        </w:rPr>
        <w:t xml:space="preserve"> </w:t>
      </w:r>
      <w:r>
        <w:rPr>
          <w:rFonts w:ascii="Times New Roman;serif" w:hAnsi="Times New Roman;serif"/>
          <w:b w:val="false"/>
          <w:color w:val="000000"/>
          <w:sz w:val="20"/>
        </w:rPr>
        <w:t xml:space="preserve">Trade accounts receivable are recorded at the invoiced amount and do not bear interest. The measurement of expected credit losses is based on past events, including historical experience, current conditions and forecasts that affect the collectability of accounts receivable.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Inventory Valuation</w:t>
      </w:r>
      <w:r>
        <w:rPr>
          <w:rFonts w:ascii="Times New Roman;serif" w:hAnsi="Times New Roman;serif"/>
          <w:b w:val="false"/>
          <w:color w:val="000000"/>
          <w:sz w:val="20"/>
        </w:rPr>
        <w:t>. Inventories are stated at the lower of cost or net realizable value, with cost principally determined under the first-in, first-out (“FIFO”) or average cost method.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Property, Plant, and Equipment</w:t>
      </w:r>
      <w:r>
        <w:rPr>
          <w:rFonts w:ascii="Times New Roman;serif" w:hAnsi="Times New Roman;serif"/>
          <w:b w:val="false"/>
          <w:color w:val="000000"/>
          <w:sz w:val="20"/>
        </w:rPr>
        <w:t xml:space="preserve">. Property, plant, and equipment (“PP&amp;E”) is carried at cost less accumulated depreciation and includes expenditures for new facilities and equipment and those costs which substantially increase the useful lives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capacity of existing PP&amp;E. Cost of constructed assets includes capitalized interest incurred during the construction and development period. Maintenance and repairs, including labor and material costs for planned major maintenance such as annual production line overhauls, are expensed as incurred. When PP&amp;E is retired or otherwise disposed, the net carrying amount is eliminated with any gain or loss on disposition recognized in earnings at that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Depreciation is provided on a straight-line basis over the estimated useful lives of the assets described below (in years). During the first quarter of 2024, the Company completed a review of the useful lives of its beverage machinery and equipment and buildings based on the Company’s experience with the duration over which equipment and buildings of its aluminum beverage can business can be utilized. The Company engaged a third-party appraiser to assist in this review and, as a result, effective January 1, 2024, the Company revised the estimated useful lives of its buildings up to 50 years, and machinery and equipment up to 23 years. The change in useful lives resulted in a net reduction in depreciation expense of approximately $64 or $0.40 per diluted share for the year ended December 31, 2024, respectively, as compared to the amount of depreciation expense that would have been recorded by utilizing the prior depreciable lives.</w:t>
      </w:r>
    </w:p>
    <w:tbl>
      <w:tblPr>
        <w:tblW w:w="3990" w:type="dxa"/>
        <w:jc w:val="left"/>
        <w:tblInd w:w="0" w:type="dxa"/>
        <w:tblLayout w:type="fixed"/>
        <w:tblCellMar>
          <w:top w:w="28" w:type="dxa"/>
          <w:left w:w="28" w:type="dxa"/>
          <w:bottom w:w="28" w:type="dxa"/>
          <w:right w:w="28" w:type="dxa"/>
        </w:tblCellMar>
      </w:tblPr>
      <w:tblGrid>
        <w:gridCol w:w="1168"/>
        <w:gridCol w:w="1025"/>
        <w:gridCol w:w="1031"/>
        <w:gridCol w:w="224"/>
        <w:gridCol w:w="224"/>
        <w:gridCol w:w="318"/>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building improvements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 – 50</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23</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Goodwill and Intangible Assets</w:t>
      </w:r>
      <w:r>
        <w:rPr>
          <w:rFonts w:ascii="Times New Roman;serif" w:hAnsi="Times New Roman;serif"/>
          <w:b w:val="false"/>
          <w:color w:val="000000"/>
          <w:sz w:val="20"/>
        </w:rPr>
        <w:t xml:space="preserve">. Assets and liabilities of acquired businesses are recorded under the acquisition method of accounting at their estimated fair values at the dates of acquisition. Goodwill represents costs in excess of fair values assigned to the underlying identifiable net assets of acquired businesses. Goodwill is carried at cost and reviewed for impairment annually in the fourth quarter of each year or when facts and circumstances indicate goodwill may be impaired. Goodwill is allocated to the reporting units at the time of each acquisition based on the relative fair values of the reporting units. In assessing goodwill for impairment, the Company may first assess qualitative factors to determine whether the existence of events or circumstances leads to a determination that it is more likely than not that the fair value of a reporting unit is less than its carrying amount. Further quantitative assessment may then be required. The quantitative assessment involves a number of assumptions and judgments, including the calculation of fair value for the Company’s identified reporting units. The Company determines the estimated fair value of each reporting unit based on an average of the estimated fair values using an income and a market approach. The income approach utilizes significant assumptions, including revenue and Adjusted EBITDA (a non-GAAP item defined by the Company as net customer sales, less cost of products sold excluding depreciation and amortization, less selling and administrative expenses) margin growth rates and discount rate. Under the market approach, the Company utilizes significant assumptions relating to EBITDA and revenue multiples used in recent similar transactions, if any, and EBITDA and revenue multiples of similar type and size public companies. The appropriate multiple and acquisition premium is applied to the respective financial results of the reporting unit to obtain an estimate of fair value. If the carrying value of a reporting unit exceeds its fair value, any impairment loss is measured by comparing the carrying value of the reporting unit to its fair value, not to exceed the carrying amount of goodwill.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Finite-lived intangible assets are carried at cost less accumulated amortization. Finite-lived intangibles are amortized on a straight-line basis over their estimated useful lives described below (in years). </w:t>
      </w:r>
    </w:p>
    <w:p>
      <w:pPr>
        <w:pStyle w:val="TextBody"/>
        <w:bidi w:val="0"/>
        <w:spacing w:before="0" w:after="0"/>
        <w:jc w:val="both"/>
        <w:rPr/>
      </w:pPr>
      <w:r>
        <w:rPr/>
      </w:r>
    </w:p>
    <w:tbl>
      <w:tblPr>
        <w:tblW w:w="3075" w:type="dxa"/>
        <w:jc w:val="left"/>
        <w:tblInd w:w="0" w:type="dxa"/>
        <w:tblLayout w:type="fixed"/>
        <w:tblCellMar>
          <w:top w:w="28" w:type="dxa"/>
          <w:left w:w="28" w:type="dxa"/>
          <w:bottom w:w="28" w:type="dxa"/>
          <w:right w:w="28" w:type="dxa"/>
        </w:tblCellMar>
      </w:tblPr>
      <w:tblGrid>
        <w:gridCol w:w="853"/>
        <w:gridCol w:w="750"/>
        <w:gridCol w:w="752"/>
        <w:gridCol w:w="211"/>
        <w:gridCol w:w="211"/>
        <w:gridCol w:w="298"/>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shd w:fill="CCEEFF" w:val="clear"/>
              </w:rPr>
              <w:t xml:space="preserve">10 - </w:t>
            </w:r>
            <w:r>
              <w:rPr>
                <w:rFonts w:ascii="Times New Roman;serif" w:hAnsi="Times New Roman;serif"/>
                <w:b w:val="false"/>
                <w:color w:val="000000"/>
                <w:sz w:val="20"/>
              </w:rPr>
              <w:t>18</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8 - 27</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6 - 8</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supply contracts</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Impairment or Disposal of Long-Lived Assets</w:t>
      </w:r>
      <w:r>
        <w:rPr>
          <w:rFonts w:ascii="Times New Roman;serif" w:hAnsi="Times New Roman;serif"/>
          <w:b w:val="false"/>
          <w:color w:val="000000"/>
          <w:sz w:val="20"/>
        </w:rPr>
        <w:t>. In the event that facts and circumstances indicate that the carrying value of long-lived assets, primarily PP&amp;E and finite-lived intangible assets, may be impaired, the Company performs a recoverability evaluation. If the evaluation indicates that the carrying value of an asset group is not recoverable from its undiscounted cash flows, an impairment loss is measured by comparing the carrying value of the asset to its fair value, based on discounted cash flows. Long-lived assets classified as held for sale are presented in the balance sheet at the lower of their carrying value or fair value less cost to sell.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Leases. </w:t>
      </w:r>
      <w:r>
        <w:rPr>
          <w:rFonts w:ascii="Times New Roman;serif" w:hAnsi="Times New Roman;serif"/>
          <w:b w:val="false"/>
          <w:color w:val="000000"/>
          <w:sz w:val="20"/>
        </w:rPr>
        <w:t xml:space="preserve">The Company has operating and finance leases for land and buildings related to certain manufacturing facilities, warehouses and corporate offices, vehicle fleets and certain office and manufacturing equipment. Leases with an initial term of 12 months or less are not recorded on the balance sheet. The Company’s lease terms include options to extend the lease when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 The discount rate implicit within the Company’s leases is often not determinable and therefore the Company generally uses its incremental borrowing rate based on the information available at the commencement date of the lease in determining the present value of the lease payments. The incremental borrowing rate is determined based on lease term and the currency in which lease payments are made. The Company’s leases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Taxes on Income</w:t>
      </w:r>
      <w:r>
        <w:rPr>
          <w:rFonts w:ascii="Times New Roman;serif" w:hAnsi="Times New Roman;serif"/>
          <w:b w:val="false"/>
          <w:color w:val="000000"/>
          <w:sz w:val="20"/>
        </w:rPr>
        <w:t>. The provision for income taxes is determined using the asset and liability approach. Deferred taxes represent the future expected tax consequences of differences between the financial reporting and tax bases of assets and liabilities based upon enacted tax rates and laws. The Company has made an accounting policy election to treat taxes due on future U.S. inclusions of certain intangible income of foreign subsidiaries as a current period expense when incurred.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Valuation allowances are recorded to reduce deferred tax assets when it is more likely than not that a tax benefit will not be realized. Investment tax credits are accounted for using the deferral method. Income tax-related interest and penalties are reported as income tax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Derivatives and Hedging</w:t>
      </w:r>
      <w:r>
        <w:rPr>
          <w:rFonts w:ascii="Times New Roman;serif" w:hAnsi="Times New Roman;serif"/>
          <w:b w:val="false"/>
          <w:color w:val="000000"/>
          <w:sz w:val="20"/>
        </w:rPr>
        <w:t>. All outstanding derivative financial instruments are recognized in the balance sheet at their fair values. The impact on earnings from recognizing the fair values of these instruments depends on their intended use, their hedge designation and their effectiveness in offsetting changes in the fair values of the exposures they are hedging. Changes in the fair values of instruments designated to reduce or eliminate adverse fluctuations in the fair values of recognized assets and liabilities are reported currently in earnings along with changes in the fair values of the hedged items. Changes in the effective portions of the fair values of instruments used to reduce or eliminate adverse fluctuations in cash flows of anticipated or forecasted transactions are reported in equity as a component of accumulated other comprehensive income. Amounts in accumulated other comprehensive income are reclassified to earnings when the related hedged items impact earnings or the forecasted transactions become probable of not occurring. Changes in the fair values of derivative instruments that are not designated as hedges or do not qualify for hedge accounting treatment are reported currently in earnings. Amounts reported in earnings are classified consistent with the item being hedged.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effectiveness of derivative instruments in reducing risks associated with the hedged exposures is assessed at inception and on an ongoing basis. Time value, a component of an instrument’s fair value, is excluded in assessing effectiveness for fair value hedges, except hedges of firm commitments, and included for 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Hedge accounting is discontinued prospectively when (i) the instrument is no longer effective in offsetting changes in fair value or cash flows of the underlying hedged item, (ii) the instrument expires, is sold, terminated or exercised, or (iii) designating the instrument as a hedge is no longer appropriate.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formally documents all relationships between its hedging instruments and hedged items at inception, including its risk management objective and strategy for establishing various hedge relationships. Cash flows from hedging instruments are classified in the Consolidated Statements of Cash Flows consistent with the items being hedged.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Research and Development</w:t>
      </w:r>
      <w:r>
        <w:rPr>
          <w:rFonts w:ascii="Times New Roman;serif" w:hAnsi="Times New Roman;serif"/>
          <w:b w:val="false"/>
          <w:color w:val="000000"/>
          <w:sz w:val="20"/>
        </w:rPr>
        <w:t>. Research, development, and engineering costs of $33 in 2025, $32 in 2024, and $33 in 2023, were expensed as incurred and reported in selling and administrative expense in the Consolidated Statements of Operations. Substantially all engineering and development costs are related to developing new products or designing significant improvements to existing products or processes. Costs primarily include employee salaries and benefits and facility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Recent Accounting and Reporting Pronouncements.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Adopted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w:t>
      </w:r>
      <w:r>
        <w:rPr>
          <w:color w:val="000000"/>
        </w:rPr>
        <w:t xml:space="preserve"> </w:t>
      </w:r>
      <w:r>
        <w:rPr>
          <w:rFonts w:ascii="Times New Roman;serif" w:hAnsi="Times New Roman;serif"/>
          <w:b w:val="false"/>
          <w:color w:val="000000"/>
          <w:sz w:val="20"/>
        </w:rPr>
        <w:t xml:space="preserve">15, 2024. The Company adopted the standard in its disclosures for the year ended December 31, 2025 on a prospective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2024, the Financial Accounting Standards Board issued a final standard on disaggregation of income statement expenses. The standard requires disclosure of more detailed information about certain costs and expenses in the notes to the financial statements. The standard is effective for fiscal years beginning after December 15, 2026 and for interim periods beginning after December 15, 2027. Early adoption is permitted. The standard is applied prospectively with an option for retrospective adoption. The Company is currently evaluating the impact that the new guidance will have on its disclosures.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2025, the FASB issued guidance to clarify and modernize the accounting for costs related to internal-use software. The guidance eliminates references to various stages of a software development project and clarifies the threshold to apply to begin capitalizing costs. The guidance is effective for fiscal years beginning after December 15, 2027, and interim periods within those fiscal years. The guidance is applied on a prospective basis with the option to apply the standard retrospectively or using a modified transition approach. Early adoption is permitted. The Company is currently evaluating the impact that the new guidance will have on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2025, the FASB issued a final standard on improvements to hedge accounting, which introduces five targeted improvements to better align hedge accounting with entities’ risk management activities. The standard will be effective for annual reporting periods beginning after December 15, 2026, and interim periods within those annual reporting periods. Early adoption is permitted. The Company is currently evaluating the impact that the new guidance will have on its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bookmarkStart w:id="24" w:name="i4bce4369ad1b4c0ea4c195af5bf687a0"/>
      <w:bookmarkEnd w:id="24"/>
      <w:r>
        <w:rPr>
          <w:rFonts w:ascii="Times New Roman;serif" w:hAnsi="Times New Roman;serif"/>
          <w:b/>
          <w:color w:val="000000"/>
          <w:sz w:val="20"/>
          <w:shd w:fill="FFFFFF" w:val="clear"/>
        </w:rPr>
        <w:t>B. Acquisitions and Divestitures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December 2024, KPS Capital Partners LP completed the sale of Eviosys, including the Company’s approximate 20% ownership share. The Company received pre-tax proceeds of $338 and recorded a gain of $275 in the fourth quarter of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share of Eviosys net earnings was a loss of </w:t>
      </w:r>
      <w:r>
        <w:rPr>
          <w:rFonts w:ascii="Times New Roman;serif" w:hAnsi="Times New Roman;serif"/>
          <w:b w:val="false"/>
          <w:color w:val="000000"/>
          <w:sz w:val="20"/>
        </w:rPr>
        <w:t>$3</w:t>
      </w:r>
      <w:r>
        <w:rPr>
          <w:color w:val="000000"/>
          <w:shd w:fill="FFFFFF" w:val="clear"/>
        </w:rPr>
        <w:t xml:space="preserve"> </w:t>
      </w:r>
      <w:r>
        <w:rPr>
          <w:rFonts w:ascii="Times New Roman;serif" w:hAnsi="Times New Roman;serif"/>
          <w:b w:val="false"/>
          <w:color w:val="000000"/>
          <w:sz w:val="20"/>
          <w:shd w:fill="FFFFFF" w:val="clear"/>
        </w:rPr>
        <w:t xml:space="preserve">for the year ended December 31, 2024 and income of $9 </w:t>
      </w:r>
      <w:r>
        <w:rPr>
          <w:rFonts w:ascii="Times New Roman;serif" w:hAnsi="Times New Roman;serif"/>
          <w:b w:val="false"/>
          <w:color w:val="000000"/>
          <w:sz w:val="20"/>
        </w:rPr>
        <w:t xml:space="preserve">for year ended December 31, 2023 and is reported in Equity in net earnings of affiliates in the Consolidated </w:t>
      </w:r>
      <w:r>
        <w:rPr>
          <w:rFonts w:ascii="Times New Roman;serif" w:hAnsi="Times New Roman;serif"/>
          <w:b w:val="false"/>
          <w:color w:val="000000"/>
          <w:sz w:val="20"/>
          <w:shd w:fill="FFFFFF" w:val="clear"/>
        </w:rPr>
        <w:t>Statements of Operations. The Company received distributions of $83 in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2023, the Company completed its acquisition of Helvetia Packaging AG ("Helvetia"), a beverage can and end manufacturing facility in Saarlouis, Germany for $126. The addition of Helvetia expanded the Company’s European Beverage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segment into Germany, adding capacity to serve growing demand for beverage cans.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25" w:name="i713601d6bf3b430382fa1bdb07cee965"/>
      <w:bookmarkEnd w:id="25"/>
      <w:r>
        <w:rPr>
          <w:rFonts w:ascii="Times New Roman;serif" w:hAnsi="Times New Roman;serif"/>
          <w:b/>
          <w:color w:val="000000"/>
          <w:sz w:val="20"/>
        </w:rPr>
        <w:t>C. Cash, Cash Equivalents, and Restricted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included in the Company’s Consolidated Balance Sheets and Statements of Cash Flows were as follows:</w:t>
      </w:r>
    </w:p>
    <w:tbl>
      <w:tblPr>
        <w:tblW w:w="7794" w:type="dxa"/>
        <w:jc w:val="left"/>
        <w:tblInd w:w="0" w:type="dxa"/>
        <w:tblLayout w:type="fixed"/>
        <w:tblCellMar>
          <w:top w:w="28" w:type="dxa"/>
          <w:left w:w="28" w:type="dxa"/>
          <w:bottom w:w="28" w:type="dxa"/>
          <w:right w:w="28" w:type="dxa"/>
        </w:tblCellMar>
      </w:tblPr>
      <w:tblGrid>
        <w:gridCol w:w="2064"/>
        <w:gridCol w:w="1813"/>
        <w:gridCol w:w="1823"/>
        <w:gridCol w:w="211"/>
        <w:gridCol w:w="466"/>
        <w:gridCol w:w="109"/>
        <w:gridCol w:w="109"/>
        <w:gridCol w:w="109"/>
        <w:gridCol w:w="109"/>
        <w:gridCol w:w="211"/>
        <w:gridCol w:w="616"/>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included in restricted cash primarily represent amounts required to be segregated by certain of the Company’s receivables securitization agreements.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color w:val="000000"/>
          <w:sz w:val="20"/>
        </w:rPr>
      </w:pPr>
      <w:bookmarkStart w:id="26" w:name="i0923bdd8be8746f99a62207634a3cfaa"/>
      <w:bookmarkEnd w:id="26"/>
      <w:r>
        <w:rPr>
          <w:rFonts w:ascii="Times New Roman;serif" w:hAnsi="Times New Roman;serif"/>
          <w:b/>
          <w:color w:val="000000"/>
          <w:sz w:val="20"/>
        </w:rPr>
        <w:t>D. Receivables</w:t>
      </w:r>
    </w:p>
    <w:tbl>
      <w:tblPr>
        <w:tblW w:w="4959" w:type="dxa"/>
        <w:jc w:val="left"/>
        <w:tblInd w:w="0" w:type="dxa"/>
        <w:tblLayout w:type="fixed"/>
        <w:tblCellMar>
          <w:top w:w="28" w:type="dxa"/>
          <w:left w:w="28" w:type="dxa"/>
          <w:bottom w:w="28" w:type="dxa"/>
          <w:right w:w="28" w:type="dxa"/>
        </w:tblCellMar>
      </w:tblPr>
      <w:tblGrid>
        <w:gridCol w:w="984"/>
        <w:gridCol w:w="864"/>
        <w:gridCol w:w="867"/>
        <w:gridCol w:w="211"/>
        <w:gridCol w:w="616"/>
        <w:gridCol w:w="109"/>
        <w:gridCol w:w="109"/>
        <w:gridCol w:w="109"/>
        <w:gridCol w:w="109"/>
        <w:gridCol w:w="211"/>
        <w:gridCol w:w="61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trade receivables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receivables securitization and factoring facilities in the normal course of business as part of managing its cash flows. The Company accounts for transfers under these facilities as either sales or secured borrowings based on whether it has transferred control over the factored receivables. The Company’s continuing involvement in factored receivables accounted for as sales is limited to servicing the receivables. The Company receives adequate compensation for servicing the receivables and no servicing asset or liability is recorded.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derecognized receivables of $1,290 and $1,119 related to securitization and factoring facilities accounted for as sales. The Company also has $36 of factored receivables accounted for as secured borrowings as of December 31, 2025. The Company recorded expenses of $71, $76, and $82 for the years ended December 31, 2025, 2024, and 2023 as interest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27" w:name="i947bb5070271433d9cb353d9b1a9f35e"/>
      <w:bookmarkEnd w:id="27"/>
      <w:r>
        <w:rPr>
          <w:rFonts w:ascii="Times New Roman;serif" w:hAnsi="Times New Roman;serif"/>
          <w:b/>
          <w:color w:val="000000"/>
          <w:sz w:val="20"/>
        </w:rPr>
        <w:t>E. Inventories</w:t>
      </w:r>
    </w:p>
    <w:tbl>
      <w:tblPr>
        <w:tblW w:w="4569" w:type="dxa"/>
        <w:jc w:val="left"/>
        <w:tblInd w:w="0" w:type="dxa"/>
        <w:tblLayout w:type="fixed"/>
        <w:tblCellMar>
          <w:top w:w="28" w:type="dxa"/>
          <w:left w:w="28" w:type="dxa"/>
          <w:bottom w:w="28" w:type="dxa"/>
          <w:right w:w="28" w:type="dxa"/>
        </w:tblCellMar>
      </w:tblPr>
      <w:tblGrid>
        <w:gridCol w:w="842"/>
        <w:gridCol w:w="739"/>
        <w:gridCol w:w="744"/>
        <w:gridCol w:w="211"/>
        <w:gridCol w:w="616"/>
        <w:gridCol w:w="109"/>
        <w:gridCol w:w="109"/>
        <w:gridCol w:w="109"/>
        <w:gridCol w:w="109"/>
        <w:gridCol w:w="211"/>
        <w:gridCol w:w="61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28" w:name="i208a52e13a2a416da69bc03c6b3a1ee9"/>
      <w:bookmarkEnd w:id="28"/>
      <w:r>
        <w:rPr>
          <w:rFonts w:ascii="Times New Roman;serif" w:hAnsi="Times New Roman;serif"/>
          <w:b/>
          <w:color w:val="000000"/>
          <w:sz w:val="20"/>
        </w:rPr>
        <w:t xml:space="preserve">F. Goodwill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by reportable segment for the years ended December 31, 2025 and 2024 were as follows:</w:t>
      </w:r>
    </w:p>
    <w:tbl>
      <w:tblPr>
        <w:tblW w:w="9294" w:type="dxa"/>
        <w:jc w:val="left"/>
        <w:tblInd w:w="0" w:type="dxa"/>
        <w:tblLayout w:type="fixed"/>
        <w:tblCellMar>
          <w:top w:w="28" w:type="dxa"/>
          <w:left w:w="28" w:type="dxa"/>
          <w:bottom w:w="28" w:type="dxa"/>
          <w:right w:w="28" w:type="dxa"/>
        </w:tblCellMar>
      </w:tblPr>
      <w:tblGrid>
        <w:gridCol w:w="940"/>
        <w:gridCol w:w="823"/>
        <w:gridCol w:w="831"/>
        <w:gridCol w:w="445"/>
        <w:gridCol w:w="986"/>
        <w:gridCol w:w="233"/>
        <w:gridCol w:w="453"/>
        <w:gridCol w:w="1004"/>
        <w:gridCol w:w="237"/>
        <w:gridCol w:w="354"/>
        <w:gridCol w:w="1036"/>
        <w:gridCol w:w="185"/>
        <w:gridCol w:w="211"/>
        <w:gridCol w:w="466"/>
        <w:gridCol w:w="109"/>
        <w:gridCol w:w="211"/>
        <w:gridCol w:w="61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and adjustments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 of goodwill at December 31, 2025 and 2024 was net of the following accumulated impairments:</w:t>
      </w:r>
    </w:p>
    <w:tbl>
      <w:tblPr>
        <w:tblW w:w="8693" w:type="dxa"/>
        <w:jc w:val="left"/>
        <w:tblInd w:w="0" w:type="dxa"/>
        <w:tblLayout w:type="fixed"/>
        <w:tblCellMar>
          <w:top w:w="28" w:type="dxa"/>
          <w:left w:w="28" w:type="dxa"/>
          <w:bottom w:w="28" w:type="dxa"/>
          <w:right w:w="28" w:type="dxa"/>
        </w:tblCellMar>
      </w:tblPr>
      <w:tblGrid>
        <w:gridCol w:w="815"/>
        <w:gridCol w:w="715"/>
        <w:gridCol w:w="719"/>
        <w:gridCol w:w="514"/>
        <w:gridCol w:w="881"/>
        <w:gridCol w:w="269"/>
        <w:gridCol w:w="524"/>
        <w:gridCol w:w="897"/>
        <w:gridCol w:w="273"/>
        <w:gridCol w:w="457"/>
        <w:gridCol w:w="880"/>
        <w:gridCol w:w="237"/>
        <w:gridCol w:w="211"/>
        <w:gridCol w:w="361"/>
        <w:gridCol w:w="109"/>
        <w:gridCol w:w="211"/>
        <w:gridCol w:w="46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impairments</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color w:val="000000"/>
          <w:sz w:val="20"/>
        </w:rPr>
      </w:pPr>
      <w:bookmarkStart w:id="29" w:name="i88b83797189d4989a4a2510c35ed8114"/>
      <w:bookmarkEnd w:id="29"/>
      <w:r>
        <w:rPr>
          <w:rFonts w:ascii="Times New Roman;serif" w:hAnsi="Times New Roman;serif"/>
          <w:b/>
          <w:color w:val="000000"/>
          <w:sz w:val="20"/>
        </w:rPr>
        <w:t>G.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carrying amounts and accumulated amortization of finite-lived intangible assets by major class were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0"/>
        <w:gridCol w:w="528"/>
        <w:gridCol w:w="529"/>
        <w:gridCol w:w="211"/>
        <w:gridCol w:w="616"/>
        <w:gridCol w:w="109"/>
        <w:gridCol w:w="109"/>
        <w:gridCol w:w="109"/>
        <w:gridCol w:w="109"/>
        <w:gridCol w:w="362"/>
        <w:gridCol w:w="1084"/>
        <w:gridCol w:w="188"/>
        <w:gridCol w:w="109"/>
        <w:gridCol w:w="109"/>
        <w:gridCol w:w="109"/>
        <w:gridCol w:w="211"/>
        <w:gridCol w:w="466"/>
        <w:gridCol w:w="109"/>
        <w:gridCol w:w="109"/>
        <w:gridCol w:w="109"/>
        <w:gridCol w:w="109"/>
        <w:gridCol w:w="211"/>
        <w:gridCol w:w="616"/>
        <w:gridCol w:w="109"/>
        <w:gridCol w:w="109"/>
        <w:gridCol w:w="109"/>
        <w:gridCol w:w="109"/>
        <w:gridCol w:w="362"/>
        <w:gridCol w:w="1084"/>
        <w:gridCol w:w="188"/>
        <w:gridCol w:w="109"/>
        <w:gridCol w:w="109"/>
        <w:gridCol w:w="109"/>
        <w:gridCol w:w="211"/>
        <w:gridCol w:w="616"/>
        <w:gridCol w:w="160"/>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supply contracts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 for the years ended December 31, 2025, 2024, and 2023 was $148, $151, and $163.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Annual amortization expense is estimated to be $140 for 2026, $137 for 2027, $137 for 2028, $124 for 2029, and $95 for 2030.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30" w:name="i80e00a0a79974386b3a5672a0b17ea43"/>
      <w:bookmarkEnd w:id="30"/>
      <w:r>
        <w:rPr>
          <w:rFonts w:ascii="Times New Roman;serif" w:hAnsi="Times New Roman;serif"/>
          <w:b/>
          <w:color w:val="000000"/>
          <w:sz w:val="20"/>
        </w:rPr>
        <w:t>H. Property, Plant, and Equipment</w:t>
      </w:r>
    </w:p>
    <w:tbl>
      <w:tblPr>
        <w:tblW w:w="6353" w:type="dxa"/>
        <w:jc w:val="left"/>
        <w:tblInd w:w="0" w:type="dxa"/>
        <w:tblLayout w:type="fixed"/>
        <w:tblCellMar>
          <w:top w:w="28" w:type="dxa"/>
          <w:left w:w="28" w:type="dxa"/>
          <w:bottom w:w="28" w:type="dxa"/>
          <w:right w:w="28" w:type="dxa"/>
        </w:tblCellMar>
      </w:tblPr>
      <w:tblGrid>
        <w:gridCol w:w="1488"/>
        <w:gridCol w:w="1307"/>
        <w:gridCol w:w="1314"/>
        <w:gridCol w:w="211"/>
        <w:gridCol w:w="616"/>
        <w:gridCol w:w="109"/>
        <w:gridCol w:w="109"/>
        <w:gridCol w:w="109"/>
        <w:gridCol w:w="109"/>
        <w:gridCol w:w="211"/>
        <w:gridCol w:w="61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interest related to construction in progress was $10 and $22 for the years ended December 31, 2025 and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31" w:name="ib10eb00310d745f797fdfea3e90f5465"/>
      <w:bookmarkEnd w:id="31"/>
      <w:r>
        <w:rPr>
          <w:rFonts w:ascii="Times New Roman;serif" w:hAnsi="Times New Roman;serif"/>
          <w:b/>
          <w:color w:val="000000"/>
          <w:sz w:val="20"/>
        </w:rPr>
        <w:t>I.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for the years ended December 31, 2025, 2024, and 2023 were as follows:</w:t>
      </w:r>
    </w:p>
    <w:p>
      <w:pPr>
        <w:pStyle w:val="TextBody"/>
        <w:bidi w:val="0"/>
        <w:spacing w:before="0" w:after="0"/>
        <w:jc w:val="both"/>
        <w:rPr/>
      </w:pPr>
      <w:r>
        <w:rPr/>
      </w:r>
    </w:p>
    <w:tbl>
      <w:tblPr>
        <w:tblW w:w="6042" w:type="dxa"/>
        <w:jc w:val="center"/>
        <w:tblInd w:w="0" w:type="dxa"/>
        <w:tblLayout w:type="fixed"/>
        <w:tblCellMar>
          <w:top w:w="28" w:type="dxa"/>
          <w:left w:w="28" w:type="dxa"/>
          <w:bottom w:w="28" w:type="dxa"/>
          <w:right w:w="28" w:type="dxa"/>
        </w:tblCellMar>
      </w:tblPr>
      <w:tblGrid>
        <w:gridCol w:w="1161"/>
        <w:gridCol w:w="1021"/>
        <w:gridCol w:w="1028"/>
        <w:gridCol w:w="211"/>
        <w:gridCol w:w="406"/>
        <w:gridCol w:w="109"/>
        <w:gridCol w:w="109"/>
        <w:gridCol w:w="109"/>
        <w:gridCol w:w="109"/>
        <w:gridCol w:w="211"/>
        <w:gridCol w:w="406"/>
        <w:gridCol w:w="109"/>
        <w:gridCol w:w="109"/>
        <w:gridCol w:w="109"/>
        <w:gridCol w:w="109"/>
        <w:gridCol w:w="211"/>
        <w:gridCol w:w="36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Variable operating lease cost was $5, $4, and $5 for the years ended December 31, 2025, 2024, and 2023. Interest on finance lease liabilities was less than $1 for each of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606" w:type="dxa"/>
        <w:jc w:val="left"/>
        <w:tblInd w:w="0" w:type="dxa"/>
        <w:tblLayout w:type="fixed"/>
        <w:tblCellMar>
          <w:top w:w="28" w:type="dxa"/>
          <w:left w:w="28" w:type="dxa"/>
          <w:bottom w:w="28" w:type="dxa"/>
          <w:right w:w="28" w:type="dxa"/>
        </w:tblCellMar>
      </w:tblPr>
      <w:tblGrid>
        <w:gridCol w:w="2126"/>
        <w:gridCol w:w="1864"/>
        <w:gridCol w:w="1874"/>
        <w:gridCol w:w="211"/>
        <w:gridCol w:w="361"/>
        <w:gridCol w:w="109"/>
        <w:gridCol w:w="109"/>
        <w:gridCol w:w="109"/>
        <w:gridCol w:w="109"/>
        <w:gridCol w:w="211"/>
        <w:gridCol w:w="361"/>
        <w:gridCol w:w="109"/>
        <w:gridCol w:w="109"/>
        <w:gridCol w:w="109"/>
        <w:gridCol w:w="109"/>
        <w:gridCol w:w="211"/>
        <w:gridCol w:w="36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flows from finance leases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finance leases was as follows:</w:t>
      </w:r>
    </w:p>
    <w:tbl>
      <w:tblPr>
        <w:tblW w:w="4704" w:type="dxa"/>
        <w:jc w:val="left"/>
        <w:tblInd w:w="0" w:type="dxa"/>
        <w:tblLayout w:type="fixed"/>
        <w:tblCellMar>
          <w:top w:w="28" w:type="dxa"/>
          <w:left w:w="28" w:type="dxa"/>
          <w:bottom w:w="28" w:type="dxa"/>
          <w:right w:w="28" w:type="dxa"/>
        </w:tblCellMar>
      </w:tblPr>
      <w:tblGrid>
        <w:gridCol w:w="1074"/>
        <w:gridCol w:w="946"/>
        <w:gridCol w:w="950"/>
        <w:gridCol w:w="211"/>
        <w:gridCol w:w="361"/>
        <w:gridCol w:w="109"/>
        <w:gridCol w:w="109"/>
        <w:gridCol w:w="109"/>
        <w:gridCol w:w="109"/>
        <w:gridCol w:w="211"/>
        <w:gridCol w:w="36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weighted average discount rates for each year were as follows:</w:t>
      </w:r>
    </w:p>
    <w:tbl>
      <w:tblPr>
        <w:tblW w:w="5836" w:type="dxa"/>
        <w:jc w:val="left"/>
        <w:tblInd w:w="0" w:type="dxa"/>
        <w:tblLayout w:type="fixed"/>
        <w:tblCellMar>
          <w:top w:w="28" w:type="dxa"/>
          <w:left w:w="28" w:type="dxa"/>
          <w:bottom w:w="28" w:type="dxa"/>
          <w:right w:w="28" w:type="dxa"/>
        </w:tblCellMar>
      </w:tblPr>
      <w:tblGrid>
        <w:gridCol w:w="1431"/>
        <w:gridCol w:w="1260"/>
        <w:gridCol w:w="1268"/>
        <w:gridCol w:w="203"/>
        <w:gridCol w:w="203"/>
        <w:gridCol w:w="292"/>
        <w:gridCol w:w="109"/>
        <w:gridCol w:w="109"/>
        <w:gridCol w:w="109"/>
        <w:gridCol w:w="203"/>
        <w:gridCol w:w="203"/>
        <w:gridCol w:w="292"/>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as of December 31, 2025 were as follows:</w:t>
      </w:r>
    </w:p>
    <w:tbl>
      <w:tblPr>
        <w:tblW w:w="5095" w:type="dxa"/>
        <w:jc w:val="center"/>
        <w:tblInd w:w="0" w:type="dxa"/>
        <w:tblLayout w:type="fixed"/>
        <w:tblCellMar>
          <w:top w:w="28" w:type="dxa"/>
          <w:left w:w="28" w:type="dxa"/>
          <w:bottom w:w="28" w:type="dxa"/>
          <w:right w:w="28" w:type="dxa"/>
        </w:tblCellMar>
      </w:tblPr>
      <w:tblGrid>
        <w:gridCol w:w="683"/>
        <w:gridCol w:w="599"/>
        <w:gridCol w:w="607"/>
        <w:gridCol w:w="401"/>
        <w:gridCol w:w="889"/>
        <w:gridCol w:w="209"/>
        <w:gridCol w:w="109"/>
        <w:gridCol w:w="109"/>
        <w:gridCol w:w="109"/>
        <w:gridCol w:w="468"/>
        <w:gridCol w:w="569"/>
        <w:gridCol w:w="343"/>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 Leases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payments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did not have material lease commitments that had not commenced.</w:t>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color w:val="000000"/>
          <w:sz w:val="20"/>
        </w:rPr>
      </w:pPr>
      <w:bookmarkStart w:id="32" w:name="ibcd037ec9ee6401088e323e47fe11eb2"/>
      <w:bookmarkEnd w:id="32"/>
      <w:r>
        <w:rPr>
          <w:rFonts w:ascii="Times New Roman;serif" w:hAnsi="Times New Roman;serif"/>
          <w:b/>
          <w:color w:val="000000"/>
          <w:sz w:val="20"/>
        </w:rPr>
        <w:t>J. Other Non-Current Assets</w:t>
      </w:r>
    </w:p>
    <w:tbl>
      <w:tblPr>
        <w:tblW w:w="4029" w:type="dxa"/>
        <w:jc w:val="left"/>
        <w:tblInd w:w="0" w:type="dxa"/>
        <w:tblLayout w:type="fixed"/>
        <w:tblCellMar>
          <w:top w:w="28" w:type="dxa"/>
          <w:left w:w="28" w:type="dxa"/>
          <w:bottom w:w="28" w:type="dxa"/>
          <w:right w:w="28" w:type="dxa"/>
        </w:tblCellMar>
      </w:tblPr>
      <w:tblGrid>
        <w:gridCol w:w="756"/>
        <w:gridCol w:w="663"/>
        <w:gridCol w:w="666"/>
        <w:gridCol w:w="211"/>
        <w:gridCol w:w="466"/>
        <w:gridCol w:w="109"/>
        <w:gridCol w:w="109"/>
        <w:gridCol w:w="109"/>
        <w:gridCol w:w="109"/>
        <w:gridCol w:w="211"/>
        <w:gridCol w:w="46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33" w:name="ic464ffcf21af4367914270f4e5d65a18"/>
      <w:bookmarkEnd w:id="33"/>
      <w:r>
        <w:rPr>
          <w:rFonts w:ascii="Times New Roman;serif" w:hAnsi="Times New Roman;serif"/>
          <w:b/>
          <w:color w:val="000000"/>
          <w:sz w:val="20"/>
        </w:rPr>
        <w:t>K. Accrued Liabilities</w:t>
      </w:r>
    </w:p>
    <w:tbl>
      <w:tblPr>
        <w:tblW w:w="5243" w:type="dxa"/>
        <w:jc w:val="left"/>
        <w:tblInd w:w="0" w:type="dxa"/>
        <w:tblLayout w:type="fixed"/>
        <w:tblCellMar>
          <w:top w:w="28" w:type="dxa"/>
          <w:left w:w="28" w:type="dxa"/>
          <w:bottom w:w="28" w:type="dxa"/>
          <w:right w:w="28" w:type="dxa"/>
        </w:tblCellMar>
      </w:tblPr>
      <w:tblGrid>
        <w:gridCol w:w="1141"/>
        <w:gridCol w:w="1001"/>
        <w:gridCol w:w="1007"/>
        <w:gridCol w:w="211"/>
        <w:gridCol w:w="616"/>
        <w:gridCol w:w="109"/>
        <w:gridCol w:w="109"/>
        <w:gridCol w:w="109"/>
        <w:gridCol w:w="109"/>
        <w:gridCol w:w="211"/>
        <w:gridCol w:w="46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other than on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34" w:name="i829ba182e18b4f5cb39a0854b83eda68"/>
      <w:bookmarkEnd w:id="34"/>
      <w:r>
        <w:rPr>
          <w:rFonts w:ascii="Times New Roman;serif" w:hAnsi="Times New Roman;serif"/>
          <w:b/>
          <w:color w:val="000000"/>
          <w:sz w:val="20"/>
        </w:rPr>
        <w:t>L. Supplier Finance Program Obligations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Changes in the confirmed obligations outstanding under these supplier finance programs, included in Accounts Payable for the years ended December 31, 2025 and 2024 were as follows:</w:t>
      </w:r>
    </w:p>
    <w:tbl>
      <w:tblPr>
        <w:tblW w:w="4384" w:type="dxa"/>
        <w:jc w:val="left"/>
        <w:tblInd w:w="0" w:type="dxa"/>
        <w:tblLayout w:type="fixed"/>
        <w:tblCellMar>
          <w:top w:w="28" w:type="dxa"/>
          <w:left w:w="28" w:type="dxa"/>
          <w:bottom w:w="28" w:type="dxa"/>
          <w:right w:w="28" w:type="dxa"/>
        </w:tblCellMar>
      </w:tblPr>
      <w:tblGrid>
        <w:gridCol w:w="875"/>
        <w:gridCol w:w="766"/>
        <w:gridCol w:w="773"/>
        <w:gridCol w:w="215"/>
        <w:gridCol w:w="475"/>
        <w:gridCol w:w="109"/>
        <w:gridCol w:w="109"/>
        <w:gridCol w:w="109"/>
        <w:gridCol w:w="109"/>
        <w:gridCol w:w="215"/>
        <w:gridCol w:w="475"/>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lineRule="auto" w:line="288" w:before="0" w:after="0"/>
        <w:jc w:val="left"/>
        <w:rPr>
          <w:rFonts w:ascii="Times New Roman;serif" w:hAnsi="Times New Roman;serif"/>
          <w:b/>
          <w:color w:val="000000"/>
          <w:sz w:val="20"/>
          <w:shd w:fill="FFFFFF" w:val="clear"/>
        </w:rPr>
      </w:pPr>
      <w:bookmarkStart w:id="35" w:name="i1cc4b868fc054b87a49a38c868002278"/>
      <w:bookmarkEnd w:id="35"/>
      <w:r>
        <w:rPr>
          <w:rFonts w:ascii="Times New Roman;serif" w:hAnsi="Times New Roman;serif"/>
          <w:b/>
          <w:color w:val="000000"/>
          <w:sz w:val="20"/>
          <w:shd w:fill="FFFFFF" w:val="clear"/>
        </w:rPr>
        <w:t>M. Restructuring and Other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recorded restructuring and other items as follows: </w:t>
      </w:r>
    </w:p>
    <w:tbl>
      <w:tblPr>
        <w:tblW w:w="5277" w:type="dxa"/>
        <w:jc w:val="left"/>
        <w:tblInd w:w="0" w:type="dxa"/>
        <w:tblLayout w:type="fixed"/>
        <w:tblCellMar>
          <w:top w:w="28" w:type="dxa"/>
          <w:left w:w="28" w:type="dxa"/>
          <w:bottom w:w="28" w:type="dxa"/>
          <w:right w:w="28" w:type="dxa"/>
        </w:tblCellMar>
      </w:tblPr>
      <w:tblGrid>
        <w:gridCol w:w="880"/>
        <w:gridCol w:w="774"/>
        <w:gridCol w:w="776"/>
        <w:gridCol w:w="211"/>
        <w:gridCol w:w="361"/>
        <w:gridCol w:w="109"/>
        <w:gridCol w:w="109"/>
        <w:gridCol w:w="109"/>
        <w:gridCol w:w="109"/>
        <w:gridCol w:w="211"/>
        <w:gridCol w:w="361"/>
        <w:gridCol w:w="109"/>
        <w:gridCol w:w="109"/>
        <w:gridCol w:w="109"/>
        <w:gridCol w:w="109"/>
        <w:gridCol w:w="211"/>
        <w:gridCol w:w="46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 sales and impairments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2025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year ended December 31, 2025, asset sales and impairments primarily included a $30 asset impairment charge for the Company’s beverage can plant in Myanmar, as well as impairment charges in China and end line rationalization in the Asia Pacific segment. In addition, in the first quarter of 2025 the Company recognized a gain for a sale of a building in the Transit Packaging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Restructuring primarily included headcount reductions and other exit costs in the Transit Packaging segment.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2025, the Company recorded an $11 asbestos reserve related to an unfavorable jury verdict in the state of California. See </w:t>
      </w:r>
      <w:hyperlink w:anchor="i52f6ed3525d042f787f54b954ed2f9f2_127">
        <w:r>
          <w:rPr>
            <w:rStyle w:val="InternetLink"/>
            <w:rFonts w:ascii="Times New Roman;serif" w:hAnsi="Times New Roman;serif"/>
            <w:b w:val="false"/>
            <w:color w:val="0000FF"/>
            <w:sz w:val="20"/>
            <w:u w:val="single"/>
            <w:shd w:fill="FFFFFF" w:val="clear"/>
          </w:rPr>
          <w:t>Note P</w:t>
        </w:r>
      </w:hyperlink>
      <w:r>
        <w:rPr>
          <w:color w:val="000000"/>
          <w:shd w:fill="FFFFFF" w:val="clear"/>
        </w:rPr>
        <w:t xml:space="preserve"> </w:t>
      </w:r>
      <w:r>
        <w:rPr>
          <w:rFonts w:ascii="Times New Roman;serif" w:hAnsi="Times New Roman;serif"/>
          <w:b w:val="false"/>
          <w:color w:val="000000"/>
          <w:sz w:val="20"/>
          <w:shd w:fill="FFFFFF" w:val="clear"/>
        </w:rPr>
        <w:t xml:space="preserve">for details.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 xml:space="preserve">2024 Activity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Restructuring charges of $49 primarily relate to other exit costs related to previously announced plant closures in the U.S, including the Batesville, Mississippi beverage can facility and the Decatur, Illinois aerosol plant and line consolidations and business reorganization activities in European Beverage.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third quarter of 2024, the Company closed its food can plant in La Villa, Mexico and entered into an agreement to sell equipment for $30 to be paid in three annual installments, the first of which was received in 2024. The Company recognized a gain of $22 from sale of the equipment, included in asset impairments and sales above and recorded severance and other exit costs of $6 related to the plant closure, included in restructuring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Asset impairments and sales also includes $20 for the planned closure of the Sihanoukville, Cambodia beverage can plant and $11 related to line consolidations at the Dong Nai, Vietnam beverage can plant.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 xml:space="preserve">2023 Activity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fourth quarter of 2023, the Company made the decision to close various production facilities across various segments. Asset impairments and sales primarily includes $19 for the closure of the Batesville, Mississippi beverage can plant, $8 related to a shift in capacity from beverage can plants in Ho Chi Minh City, Vietnam and Singapore to Vung Tau, Vietnam and $5 for the closure of the Decatur, Illinois aerosol plant. Asset impairments and sales also includes $19 related to line consolidation and modernization at the Dong Nai, Vietnam beverage can plant.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Restructuring included termination benefits and other exit costs of $11 related to the actions described above. In addition, termination and other exit costs of $9 and $3 were recorded in the European Beverage and Other segments, respectively, related to line consolidation and business reorganization activities, including headcount reductions in the beverage can making equipment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Other costs includes $11 related to disputes, including a fine from the French Competition Authority, and $4 of tax indemnity charges related to the European Tinplate business sold in 2021. See </w:t>
      </w:r>
      <w:hyperlink w:anchor="i52f6ed3525d042f787f54b954ed2f9f2_130">
        <w:r>
          <w:rPr>
            <w:rStyle w:val="InternetLink"/>
            <w:rFonts w:ascii="Times New Roman;serif" w:hAnsi="Times New Roman;serif"/>
            <w:b w:val="false"/>
            <w:color w:val="0000FF"/>
            <w:sz w:val="20"/>
            <w:u w:val="single"/>
            <w:shd w:fill="FFFFFF" w:val="clear"/>
          </w:rPr>
          <w:t>Note Q</w:t>
        </w:r>
      </w:hyperlink>
      <w:r>
        <w:rPr>
          <w:color w:val="000000"/>
          <w:shd w:fill="FFFFFF" w:val="clear"/>
        </w:rPr>
        <w:t xml:space="preserve"> </w:t>
      </w:r>
      <w:r>
        <w:rPr>
          <w:rFonts w:ascii="Times New Roman;serif" w:hAnsi="Times New Roman;serif"/>
          <w:b w:val="false"/>
          <w:color w:val="000000"/>
          <w:sz w:val="20"/>
          <w:shd w:fill="FFFFFF" w:val="clear"/>
        </w:rPr>
        <w:t>for more information on the French Competition Authority matter.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Crown Holdings, Inc.</w:t>
      </w:r>
    </w:p>
    <w:p>
      <w:pPr>
        <w:pStyle w:val="TextBody"/>
        <w:bidi w:val="0"/>
        <w:spacing w:lineRule="auto" w:line="288" w:before="100" w:after="1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Restructuring charges by segment were as follows: </w:t>
      </w:r>
    </w:p>
    <w:tbl>
      <w:tblPr>
        <w:tblW w:w="4887" w:type="dxa"/>
        <w:jc w:val="left"/>
        <w:tblInd w:w="0" w:type="dxa"/>
        <w:tblLayout w:type="fixed"/>
        <w:tblCellMar>
          <w:top w:w="28" w:type="dxa"/>
          <w:left w:w="28" w:type="dxa"/>
          <w:bottom w:w="28" w:type="dxa"/>
          <w:right w:w="28" w:type="dxa"/>
        </w:tblCellMar>
      </w:tblPr>
      <w:tblGrid>
        <w:gridCol w:w="620"/>
        <w:gridCol w:w="544"/>
        <w:gridCol w:w="545"/>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Restructuring charges by type were as follows:</w:t>
      </w:r>
    </w:p>
    <w:tbl>
      <w:tblPr>
        <w:tblW w:w="4557" w:type="dxa"/>
        <w:jc w:val="left"/>
        <w:tblInd w:w="0" w:type="dxa"/>
        <w:tblLayout w:type="fixed"/>
        <w:tblCellMar>
          <w:top w:w="28" w:type="dxa"/>
          <w:left w:w="28" w:type="dxa"/>
          <w:bottom w:w="28" w:type="dxa"/>
          <w:right w:w="28" w:type="dxa"/>
        </w:tblCellMar>
      </w:tblPr>
      <w:tblGrid>
        <w:gridCol w:w="658"/>
        <w:gridCol w:w="577"/>
        <w:gridCol w:w="580"/>
        <w:gridCol w:w="211"/>
        <w:gridCol w:w="361"/>
        <w:gridCol w:w="109"/>
        <w:gridCol w:w="109"/>
        <w:gridCol w:w="109"/>
        <w:gridCol w:w="109"/>
        <w:gridCol w:w="211"/>
        <w:gridCol w:w="361"/>
        <w:gridCol w:w="109"/>
        <w:gridCol w:w="109"/>
        <w:gridCol w:w="109"/>
        <w:gridCol w:w="109"/>
        <w:gridCol w:w="211"/>
        <w:gridCol w:w="361"/>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exit costs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December 31, 2024, the Company had a restructuring accrual of $13 related to the restructuring actions discussed above. During 2025, the Company made severance payments of $16 and had a restructuring accrual of $19 related to the actions referenced above. The Company expects to pay the remaining accrual amounts over the next twelve months. The Company continues to review its cost structure and may record additional restructuring charges in the future.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color w:val="000000"/>
          <w:sz w:val="20"/>
        </w:rPr>
      </w:pPr>
      <w:bookmarkStart w:id="36" w:name="i63fa18727f124fbd94c9490bb6c57d37"/>
      <w:bookmarkEnd w:id="36"/>
      <w:r>
        <w:rPr>
          <w:rFonts w:ascii="Times New Roman;serif" w:hAnsi="Times New Roman;serif"/>
          <w:b/>
          <w:color w:val="000000"/>
          <w:sz w:val="20"/>
        </w:rPr>
        <w:t>N. Debt</w:t>
      </w:r>
    </w:p>
    <w:tbl>
      <w:tblPr>
        <w:tblW w:w="10205" w:type="dxa"/>
        <w:jc w:val="left"/>
        <w:tblInd w:w="0" w:type="dxa"/>
        <w:tblLayout w:type="fixed"/>
        <w:tblCellMar>
          <w:top w:w="28" w:type="dxa"/>
          <w:left w:w="28" w:type="dxa"/>
          <w:bottom w:w="28" w:type="dxa"/>
          <w:right w:w="28" w:type="dxa"/>
        </w:tblCellMar>
      </w:tblPr>
      <w:tblGrid>
        <w:gridCol w:w="1763"/>
        <w:gridCol w:w="1525"/>
        <w:gridCol w:w="1528"/>
        <w:gridCol w:w="243"/>
        <w:gridCol w:w="711"/>
        <w:gridCol w:w="127"/>
        <w:gridCol w:w="109"/>
        <w:gridCol w:w="109"/>
        <w:gridCol w:w="109"/>
        <w:gridCol w:w="211"/>
        <w:gridCol w:w="616"/>
        <w:gridCol w:w="109"/>
        <w:gridCol w:w="109"/>
        <w:gridCol w:w="109"/>
        <w:gridCol w:w="109"/>
        <w:gridCol w:w="243"/>
        <w:gridCol w:w="711"/>
        <w:gridCol w:w="127"/>
        <w:gridCol w:w="109"/>
        <w:gridCol w:w="109"/>
        <w:gridCol w:w="109"/>
        <w:gridCol w:w="211"/>
        <w:gridCol w:w="616"/>
        <w:gridCol w:w="109"/>
        <w:gridCol w:w="109"/>
        <w:gridCol w:w="109"/>
        <w:gridCol w:w="156"/>
      </w:tblGrid>
      <w:tr>
        <w:trPr/>
        <w:tc>
          <w:tcPr>
            <w:tcW w:w="176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Short-term debt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Long-term debt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borrowings: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facilities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 due 2027</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 due 2027</w:t>
            </w:r>
            <w:r>
              <w:rPr>
                <w:rFonts w:ascii="Times New Roman;serif" w:hAnsi="Times New Roman;serif"/>
                <w:b w:val="false"/>
                <w:color w:val="000000"/>
                <w:sz w:val="13"/>
              </w:rPr>
              <w:t>1</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4.25% due 2026</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4.75% due 2026</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7.375% due 2026</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2.875% due 2026</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5.00% due 2028</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4.75% due 2029</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600 at 4.50% due 2030</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5.25% due 2030</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3.75% due 2031</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5.875% due 2033</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7.50% due 2096</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indebtedness in various currencies: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rate with rates in 2025 from 2.8% to 7.6% due through 2027</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rate with an average rate in 2025 of 3.6% due 2026</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less current maturities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€500 at December 31, 2025 and €520 at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debt, using a market approach incorporating level 2 inputs such as quoted market prices for the same or similar issues, was $6,077 at December 31, 2025 and $6,255 at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issued $700 principal amount of 5.875% senior unsecured notes due 2033 issued at par by its subsidiary Crown Americas LLC and used the proceeds, together with cash on hand, to redeem the $875 principal amount of 4.75% senior unsecured notes due February 2026. In October 2025, the Company issued €500 principal amount of 3.75% senior unsecured notes due 2031 issued at par by its subsidiary Crown European Holdings S.A. and used the proceeds, together with cash on hand, to redeem the €500 principal amount of 2.875% senior unsecured notes due February 2026. Additionally, in December 2025, the Company redeemed the $350 principal amount of 7.375% senior unsecured notes due December 2026. In connection with the early redemptions of senior notes, the Company recorded a loss from early extinguishment of debt of $15 in 2025 for premium payments.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2024, the Company issued €600 principal amount of 4.50% senior unsecured notes due 2030 issued at par by its subsidiary Crown European Holdings S.A and used the proceeds to repay the €600 principal amount of 2.625% senior unsecured notes due September 2024. Additionally, in December 2024, the Company redeemed the €600 principal amount of 3.375% senior unsecured notes due May 2025 and made an early payment of $400 towards the U.S. dollar term loan facility due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credit facilities include provisions for letters of credit up to $335 that reduce the amount of borrowing capacity otherwise available. At December 31, 2025, the Company’s available borrowing capacity under the credit facilities was $1,629 equal to the facilities’ aggregate capacity of $1,650 less $21 of outstanding letters of credit. The interest rates on the facilities can vary from SOFR or EURIBOR, with a floor of zero, plus a margin of up to 1.60%, depending on the facility, based on the Company’s leverage ratio. The revolving credit facilities and term loan facilities required the Company to maintain a leverage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ratio of no greater than 4.50 times at December 31, 2025.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 was in compliance with all covenants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U.S. dollar term loan interest rate was SOFR plus 1.10% and the Euro term loan interest rate was EURIBOR plus 1.00%.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rates were as follows:</w:t>
      </w:r>
    </w:p>
    <w:p>
      <w:pPr>
        <w:pStyle w:val="TextBody"/>
        <w:bidi w:val="0"/>
        <w:spacing w:before="0" w:after="0"/>
        <w:jc w:val="left"/>
        <w:rPr/>
      </w:pPr>
      <w:r>
        <w:rPr/>
      </w:r>
    </w:p>
    <w:tbl>
      <w:tblPr>
        <w:tblW w:w="5149" w:type="dxa"/>
        <w:jc w:val="left"/>
        <w:tblInd w:w="0" w:type="dxa"/>
        <w:tblLayout w:type="fixed"/>
        <w:tblCellMar>
          <w:top w:w="28" w:type="dxa"/>
          <w:left w:w="28" w:type="dxa"/>
          <w:bottom w:w="28" w:type="dxa"/>
          <w:right w:w="28" w:type="dxa"/>
        </w:tblCellMar>
      </w:tblPr>
      <w:tblGrid>
        <w:gridCol w:w="813"/>
        <w:gridCol w:w="717"/>
        <w:gridCol w:w="719"/>
        <w:gridCol w:w="203"/>
        <w:gridCol w:w="203"/>
        <w:gridCol w:w="292"/>
        <w:gridCol w:w="109"/>
        <w:gridCol w:w="109"/>
        <w:gridCol w:w="109"/>
        <w:gridCol w:w="203"/>
        <w:gridCol w:w="203"/>
        <w:gridCol w:w="292"/>
        <w:gridCol w:w="109"/>
        <w:gridCol w:w="109"/>
        <w:gridCol w:w="109"/>
        <w:gridCol w:w="255"/>
        <w:gridCol w:w="256"/>
        <w:gridCol w:w="339"/>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maturities of long-term debt, excluding unamortized discounts and debt issuance costs, for the five years subsequent to 2025 are $480, $1,735, $587, $587, and $1,205. Cash payments for interest during 2025, 2024, and 2023 were $372, $367, and $390.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37" w:name="iac112fc423304d67914e90422f2be5ef"/>
      <w:bookmarkEnd w:id="37"/>
      <w:r>
        <w:rPr>
          <w:rFonts w:ascii="Times New Roman;serif" w:hAnsi="Times New Roman;serif"/>
          <w:b/>
          <w:color w:val="000000"/>
          <w:sz w:val="20"/>
        </w:rPr>
        <w:t>O. Derivative and Other Financial Instruments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Fair value disclosures for financial assets and liabilities that were accounted for at fair value on a recurring basis are provided below. In addition, see </w:t>
      </w:r>
      <w:hyperlink w:anchor="i52f6ed3525d042f787f54b954ed2f9f2_121">
        <w:r>
          <w:rPr>
            <w:rStyle w:val="InternetLink"/>
            <w:rFonts w:ascii="Times New Roman;serif" w:hAnsi="Times New Roman;serif"/>
            <w:b w:val="false"/>
            <w:color w:val="0000FF"/>
            <w:sz w:val="20"/>
            <w:u w:val="single"/>
          </w:rPr>
          <w:t>Note N</w:t>
        </w:r>
      </w:hyperlink>
      <w:r>
        <w:rPr>
          <w:color w:val="000000"/>
        </w:rPr>
        <w:t xml:space="preserve"> </w:t>
      </w:r>
      <w:r>
        <w:rPr>
          <w:rFonts w:ascii="Times New Roman;serif" w:hAnsi="Times New Roman;serif"/>
          <w:b w:val="false"/>
          <w:color w:val="000000"/>
          <w:sz w:val="20"/>
        </w:rPr>
        <w:t>for fair value disclosures related to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other comprehensive income is the same as that of the underlying exposure. Contracts outstanding at December 31, 2025 mature between one and thirty-six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commodity forward contracts to hedge anticipated purchases of various commodities, primarily aluminum as well as natural gas and electricity, and these exposures are hedged by a central treasury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also use interest rate swaps to convert interest on floating rate debt to a fixed-rate.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financial information about the impact on other comprehensive income ("OCI"), accumulated other comprehensive income ("AOCI") and earnings from changes in the fair value related to derivative instruments designated as cash flow hedges.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7"/>
        <w:gridCol w:w="602"/>
        <w:gridCol w:w="606"/>
        <w:gridCol w:w="109"/>
        <w:gridCol w:w="109"/>
        <w:gridCol w:w="109"/>
        <w:gridCol w:w="298"/>
        <w:gridCol w:w="298"/>
        <w:gridCol w:w="298"/>
        <w:gridCol w:w="298"/>
        <w:gridCol w:w="578"/>
        <w:gridCol w:w="989"/>
        <w:gridCol w:w="298"/>
        <w:gridCol w:w="109"/>
        <w:gridCol w:w="109"/>
        <w:gridCol w:w="109"/>
        <w:gridCol w:w="211"/>
        <w:gridCol w:w="406"/>
        <w:gridCol w:w="109"/>
        <w:gridCol w:w="109"/>
        <w:gridCol w:w="109"/>
        <w:gridCol w:w="109"/>
        <w:gridCol w:w="1063"/>
        <w:gridCol w:w="991"/>
        <w:gridCol w:w="1412"/>
      </w:tblGrid>
      <w:tr>
        <w:trPr/>
        <w:tc>
          <w:tcPr>
            <w:tcW w:w="76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7"/>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Amount of gain / (loss) recognized in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6"/>
            <w:tcBorders/>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7"/>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6"/>
            <w:tcBorders/>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6" w:type="dxa"/>
            <w:gridSpan w:val="3"/>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7"/>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 (loss) reclassified from 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6"/>
            <w:tcBorders/>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7"/>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6"/>
            <w:tcBorders/>
          </w:tcPr>
          <w:p>
            <w:pPr>
              <w:pStyle w:val="TableContents"/>
              <w:bidi w:val="0"/>
              <w:spacing w:before="0" w:after="283"/>
              <w:jc w:val="left"/>
              <w:rPr>
                <w:sz w:val="4"/>
                <w:szCs w:val="4"/>
              </w:rPr>
            </w:pPr>
            <w:r>
              <w:rPr>
                <w:sz w:val="4"/>
                <w:szCs w:val="4"/>
              </w:rPr>
            </w:r>
          </w:p>
        </w:tc>
      </w:tr>
      <w:tr>
        <w:trPr/>
        <w:tc>
          <w:tcPr>
            <w:tcW w:w="19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Affected line item in the </w:t>
              <w:br/>
              <w:t>Statements of Operations</w:t>
            </w:r>
          </w:p>
        </w:tc>
      </w:tr>
      <w:tr>
        <w:trPr/>
        <w:tc>
          <w:tcPr>
            <w:tcW w:w="197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7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4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and equity in net earnings of affiliates </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6" w:type="dxa"/>
            <w:gridSpan w:val="3"/>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6" w:type="dxa"/>
            <w:gridSpan w:val="3"/>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6" w:type="dxa"/>
            <w:gridSpan w:val="3"/>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ending December 31, 2026, a net gain of $20 ($15, net of tax) is expected to be reclassified to earnings for commodity and foreign exchange contracts. No material amounts were reclassified during the years ended December 31, 2025 and 2024 in connection with anticipated transactions that were considered probable of not occurring.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Hedges and Contracts Not Designated as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designate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2024, the Company recorded a gain of $7 from foreign exchange contracts designated as fair value hedges. These adjustments were reported within foreign exchange 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impact on earnings from derivatives not designated as hedges.</w:t>
      </w:r>
    </w:p>
    <w:tbl>
      <w:tblPr>
        <w:tblW w:w="10205" w:type="dxa"/>
        <w:jc w:val="left"/>
        <w:tblInd w:w="0" w:type="dxa"/>
        <w:tblLayout w:type="fixed"/>
        <w:tblCellMar>
          <w:top w:w="28" w:type="dxa"/>
          <w:left w:w="28" w:type="dxa"/>
          <w:bottom w:w="28" w:type="dxa"/>
          <w:right w:w="28" w:type="dxa"/>
        </w:tblCellMar>
      </w:tblPr>
      <w:tblGrid>
        <w:gridCol w:w="786"/>
        <w:gridCol w:w="688"/>
        <w:gridCol w:w="693"/>
        <w:gridCol w:w="109"/>
        <w:gridCol w:w="109"/>
        <w:gridCol w:w="109"/>
        <w:gridCol w:w="268"/>
        <w:gridCol w:w="268"/>
        <w:gridCol w:w="268"/>
        <w:gridCol w:w="268"/>
        <w:gridCol w:w="519"/>
        <w:gridCol w:w="1046"/>
        <w:gridCol w:w="268"/>
        <w:gridCol w:w="109"/>
        <w:gridCol w:w="109"/>
        <w:gridCol w:w="109"/>
        <w:gridCol w:w="211"/>
        <w:gridCol w:w="406"/>
        <w:gridCol w:w="109"/>
        <w:gridCol w:w="109"/>
        <w:gridCol w:w="109"/>
        <w:gridCol w:w="109"/>
        <w:gridCol w:w="1049"/>
        <w:gridCol w:w="980"/>
        <w:gridCol w:w="1397"/>
      </w:tblGrid>
      <w:tr>
        <w:trPr/>
        <w:tc>
          <w:tcPr>
            <w:tcW w:w="7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 amount of gain / (loss)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6"/>
            <w:tcBorders/>
          </w:tcPr>
          <w:p>
            <w:pPr>
              <w:pStyle w:val="TableContents"/>
              <w:bidi w:val="0"/>
              <w:spacing w:before="0" w:after="283"/>
              <w:jc w:val="left"/>
              <w:rPr>
                <w:sz w:val="4"/>
                <w:szCs w:val="4"/>
              </w:rPr>
            </w:pPr>
            <w:r>
              <w:rPr>
                <w:sz w:val="4"/>
                <w:szCs w:val="4"/>
              </w:rPr>
            </w:r>
          </w:p>
        </w:tc>
      </w:tr>
      <w:tr>
        <w:trPr/>
        <w:tc>
          <w:tcPr>
            <w:tcW w:w="2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6" w:type="dxa"/>
            <w:gridSpan w:val="3"/>
            <w:tcBorders/>
            <w:vAlign w:val="center"/>
          </w:tcPr>
          <w:p>
            <w:pPr>
              <w:pStyle w:val="TableContents"/>
              <w:bidi w:val="0"/>
              <w:spacing w:before="0" w:after="283"/>
              <w:jc w:val="left"/>
              <w:rPr>
                <w:sz w:val="4"/>
                <w:szCs w:val="4"/>
              </w:rPr>
            </w:pPr>
            <w:r>
              <w:rPr>
                <w:sz w:val="4"/>
                <w:szCs w:val="4"/>
              </w:rPr>
            </w:r>
          </w:p>
        </w:tc>
      </w:tr>
      <w:tr>
        <w:trPr/>
        <w:tc>
          <w:tcPr>
            <w:tcW w:w="2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Affected line item in the </w:t>
              <w:br/>
              <w:t>Statements of Operations</w:t>
            </w:r>
          </w:p>
        </w:tc>
      </w:tr>
      <w:tr>
        <w:trPr/>
        <w:tc>
          <w:tcPr>
            <w:tcW w:w="2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products sold, excluding depreciation and amortization </w:t>
            </w:r>
          </w:p>
        </w:tc>
      </w:tr>
      <w:tr>
        <w:trPr/>
        <w:tc>
          <w:tcPr>
            <w:tcW w:w="2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6" w:type="dxa"/>
            <w:gridSpan w:val="3"/>
            <w:tcBorders/>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r>
      <w:tr>
        <w:trPr/>
        <w:tc>
          <w:tcPr>
            <w:tcW w:w="2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6" w:type="dxa"/>
            <w:gridSpan w:val="3"/>
            <w:tcBorders/>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Investment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designates certain debt and derivative instruments as net investment hedges to manage foreign currency risk relating to net investments in subsidiaries denominated in foreign currencies and reduce the variability in the functional currency equivalent cash flows.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the Company recorded a loss of $138 ($105, net of tax) and a gain of $84 ($63, net of tax) in other comprehensive income for certain debt instruments that are designated as hedges of its net investment in a euro-based subsidiary. As of December 31, 2025 and December 31, 2024, cumulative losses of $5 ($27, net of tax) and gains of $133 ($131, net of tax) were recognized in accumulated other comprehensive income related to these net investment hedges. The carrying amount of the hedging instrument was approximately €1,010 ($1,187) at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cross-currency swaps with an aggregate notional values of $1,475 designated as hedges of the Company’s net investment in a euro-based subsidiary. These swaps mature in 2026 and 2030 and reduced interest expense by $30 for the year ended December 31, 2025 and $25 for the years ended December 31, 2024 and 2023.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financial information about the impact on accumulated other comprehensive income from changes in the fair value of these derivative instruments designated as net investment hedges.</w:t>
      </w:r>
    </w:p>
    <w:tbl>
      <w:tblPr>
        <w:tblW w:w="8265" w:type="dxa"/>
        <w:jc w:val="left"/>
        <w:tblInd w:w="0" w:type="dxa"/>
        <w:tblLayout w:type="fixed"/>
        <w:tblCellMar>
          <w:top w:w="28" w:type="dxa"/>
          <w:left w:w="28" w:type="dxa"/>
          <w:bottom w:w="28" w:type="dxa"/>
          <w:right w:w="28" w:type="dxa"/>
        </w:tblCellMar>
      </w:tblPr>
      <w:tblGrid>
        <w:gridCol w:w="1468"/>
        <w:gridCol w:w="1287"/>
        <w:gridCol w:w="1295"/>
        <w:gridCol w:w="109"/>
        <w:gridCol w:w="109"/>
        <w:gridCol w:w="109"/>
        <w:gridCol w:w="409"/>
        <w:gridCol w:w="1051"/>
        <w:gridCol w:w="211"/>
        <w:gridCol w:w="211"/>
        <w:gridCol w:w="211"/>
        <w:gridCol w:w="211"/>
        <w:gridCol w:w="409"/>
        <w:gridCol w:w="701"/>
        <w:gridCol w:w="211"/>
        <w:gridCol w:w="109"/>
        <w:gridCol w:w="154"/>
      </w:tblGrid>
      <w:tr>
        <w:trPr/>
        <w:tc>
          <w:tcPr>
            <w:tcW w:w="146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 (loss) recognized in AOCI</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Gains and losses representing components excluded from the assessment of effectiveness on derivatives designated as net investment hedges are recognized in 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Gains or losses on net investment hedges remain in accumulated other comprehensive income until disposal of the underlying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Values of Derivative Financial Instruments and Valuation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and liabilities that were accounted for at fair value on a recurring basis as of December 31, 2025 and December 31, 2024, respectively. The fair value of these financial instruments were reported under Level 2 of the fair value hierarchy.</w:t>
      </w:r>
    </w:p>
    <w:tbl>
      <w:tblPr>
        <w:tblW w:w="10205" w:type="dxa"/>
        <w:jc w:val="left"/>
        <w:tblInd w:w="0" w:type="dxa"/>
        <w:tblLayout w:type="fixed"/>
        <w:tblCellMar>
          <w:top w:w="28" w:type="dxa"/>
          <w:left w:w="28" w:type="dxa"/>
          <w:bottom w:w="28" w:type="dxa"/>
          <w:right w:w="28" w:type="dxa"/>
        </w:tblCellMar>
      </w:tblPr>
      <w:tblGrid>
        <w:gridCol w:w="712"/>
        <w:gridCol w:w="389"/>
        <w:gridCol w:w="390"/>
        <w:gridCol w:w="113"/>
        <w:gridCol w:w="113"/>
        <w:gridCol w:w="113"/>
        <w:gridCol w:w="501"/>
        <w:gridCol w:w="501"/>
        <w:gridCol w:w="502"/>
        <w:gridCol w:w="109"/>
        <w:gridCol w:w="109"/>
        <w:gridCol w:w="109"/>
        <w:gridCol w:w="296"/>
        <w:gridCol w:w="507"/>
        <w:gridCol w:w="154"/>
        <w:gridCol w:w="109"/>
        <w:gridCol w:w="109"/>
        <w:gridCol w:w="109"/>
        <w:gridCol w:w="256"/>
        <w:gridCol w:w="568"/>
        <w:gridCol w:w="133"/>
        <w:gridCol w:w="109"/>
        <w:gridCol w:w="109"/>
        <w:gridCol w:w="109"/>
        <w:gridCol w:w="451"/>
        <w:gridCol w:w="451"/>
        <w:gridCol w:w="452"/>
        <w:gridCol w:w="109"/>
        <w:gridCol w:w="109"/>
        <w:gridCol w:w="109"/>
        <w:gridCol w:w="296"/>
        <w:gridCol w:w="507"/>
        <w:gridCol w:w="154"/>
        <w:gridCol w:w="109"/>
        <w:gridCol w:w="109"/>
        <w:gridCol w:w="109"/>
        <w:gridCol w:w="291"/>
        <w:gridCol w:w="497"/>
        <w:gridCol w:w="223"/>
      </w:tblGrid>
      <w:tr>
        <w:trPr/>
        <w:tc>
          <w:tcPr>
            <w:tcW w:w="71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3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cash flow</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contracts cash flow</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Offsetting of Derivative Assets and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 </w:t>
      </w:r>
    </w:p>
    <w:tbl>
      <w:tblPr>
        <w:tblW w:w="10205" w:type="dxa"/>
        <w:jc w:val="left"/>
        <w:tblInd w:w="0" w:type="dxa"/>
        <w:tblLayout w:type="fixed"/>
        <w:tblCellMar>
          <w:top w:w="28" w:type="dxa"/>
          <w:left w:w="28" w:type="dxa"/>
          <w:bottom w:w="28" w:type="dxa"/>
          <w:right w:w="28" w:type="dxa"/>
        </w:tblCellMar>
      </w:tblPr>
      <w:tblGrid>
        <w:gridCol w:w="782"/>
        <w:gridCol w:w="676"/>
        <w:gridCol w:w="680"/>
        <w:gridCol w:w="109"/>
        <w:gridCol w:w="109"/>
        <w:gridCol w:w="109"/>
        <w:gridCol w:w="837"/>
        <w:gridCol w:w="1847"/>
        <w:gridCol w:w="434"/>
        <w:gridCol w:w="109"/>
        <w:gridCol w:w="109"/>
        <w:gridCol w:w="109"/>
        <w:gridCol w:w="1083"/>
        <w:gridCol w:w="1314"/>
        <w:gridCol w:w="565"/>
        <w:gridCol w:w="109"/>
        <w:gridCol w:w="109"/>
        <w:gridCol w:w="109"/>
        <w:gridCol w:w="290"/>
        <w:gridCol w:w="497"/>
        <w:gridCol w:w="219"/>
      </w:tblGrid>
      <w:tr>
        <w:trPr/>
        <w:tc>
          <w:tcPr>
            <w:tcW w:w="78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recognized in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not offset in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amount</w:t>
            </w:r>
          </w:p>
        </w:tc>
      </w:tr>
      <w:tr>
        <w:trPr/>
        <w:tc>
          <w:tcPr>
            <w:tcW w:w="2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Notional Values of Outstanding Derivative Instruments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U.S. dollar-equivalent notional values of outstanding derivative instruments in the Consolidated Balance Sheets at December 31, 2025 and December 31, 2024 were:</w:t>
      </w:r>
    </w:p>
    <w:tbl>
      <w:tblPr>
        <w:tblW w:w="7841" w:type="dxa"/>
        <w:jc w:val="left"/>
        <w:tblInd w:w="0" w:type="dxa"/>
        <w:tblLayout w:type="fixed"/>
        <w:tblCellMar>
          <w:top w:w="28" w:type="dxa"/>
          <w:left w:w="28" w:type="dxa"/>
          <w:bottom w:w="28" w:type="dxa"/>
          <w:right w:w="28" w:type="dxa"/>
        </w:tblCellMar>
      </w:tblPr>
      <w:tblGrid>
        <w:gridCol w:w="1490"/>
        <w:gridCol w:w="1306"/>
        <w:gridCol w:w="1314"/>
        <w:gridCol w:w="449"/>
        <w:gridCol w:w="996"/>
        <w:gridCol w:w="234"/>
        <w:gridCol w:w="109"/>
        <w:gridCol w:w="109"/>
        <w:gridCol w:w="109"/>
        <w:gridCol w:w="438"/>
        <w:gridCol w:w="966"/>
        <w:gridCol w:w="321"/>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cash flow hedges:</w:t>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net investment hedges: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bookmarkStart w:id="38" w:name="ie323372b549a440cbbb947ac6bc0e631"/>
      <w:bookmarkEnd w:id="38"/>
      <w:r>
        <w:rPr>
          <w:rFonts w:ascii="Times New Roman;serif" w:hAnsi="Times New Roman;serif"/>
          <w:b/>
          <w:color w:val="000000"/>
          <w:sz w:val="20"/>
        </w:rPr>
        <w:t>P. Asbestos-Related Liabilities</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and pending claims, caps asbestos-related liabilities at the total gross value of the predecessor’s assets adjusted for inflation. Crown Cork has paid significantly more for asbestos-related claims than the total adjusted value of its predecessor’s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2010, the Texas Supreme Court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approximate claims activity for the years ended 2025, 2024, and 2023 was as follows:</w:t>
      </w:r>
    </w:p>
    <w:tbl>
      <w:tblPr>
        <w:tblW w:w="5551" w:type="dxa"/>
        <w:jc w:val="left"/>
        <w:tblInd w:w="0" w:type="dxa"/>
        <w:tblLayout w:type="fixed"/>
        <w:tblCellMar>
          <w:top w:w="28" w:type="dxa"/>
          <w:left w:w="28" w:type="dxa"/>
          <w:bottom w:w="28" w:type="dxa"/>
          <w:right w:w="28" w:type="dxa"/>
        </w:tblCellMar>
      </w:tblPr>
      <w:tblGrid>
        <w:gridCol w:w="777"/>
        <w:gridCol w:w="682"/>
        <w:gridCol w:w="686"/>
        <w:gridCol w:w="360"/>
        <w:gridCol w:w="361"/>
        <w:gridCol w:w="176"/>
        <w:gridCol w:w="109"/>
        <w:gridCol w:w="109"/>
        <w:gridCol w:w="109"/>
        <w:gridCol w:w="360"/>
        <w:gridCol w:w="361"/>
        <w:gridCol w:w="176"/>
        <w:gridCol w:w="109"/>
        <w:gridCol w:w="109"/>
        <w:gridCol w:w="109"/>
        <w:gridCol w:w="360"/>
        <w:gridCol w:w="361"/>
        <w:gridCol w:w="237"/>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claims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claims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or dismissals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claims</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the Company made cash payments of $19, $15, and $17 to settle asbestos claims and pay related legal and defense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fourth quarter of each year, the Company performs an analysis of outstanding claims and categorizes by year of exposure and state filed. As of December 31, 2025 and December 31, 2024, the Company’s outstanding claims were:</w:t>
      </w:r>
    </w:p>
    <w:tbl>
      <w:tblPr>
        <w:tblW w:w="7491" w:type="dxa"/>
        <w:jc w:val="left"/>
        <w:tblInd w:w="0" w:type="dxa"/>
        <w:tblLayout w:type="fixed"/>
        <w:tblCellMar>
          <w:top w:w="28" w:type="dxa"/>
          <w:left w:w="28" w:type="dxa"/>
          <w:bottom w:w="28" w:type="dxa"/>
          <w:right w:w="28" w:type="dxa"/>
        </w:tblCellMar>
      </w:tblPr>
      <w:tblGrid>
        <w:gridCol w:w="1919"/>
        <w:gridCol w:w="1689"/>
        <w:gridCol w:w="1701"/>
        <w:gridCol w:w="360"/>
        <w:gridCol w:w="361"/>
        <w:gridCol w:w="176"/>
        <w:gridCol w:w="109"/>
        <w:gridCol w:w="109"/>
        <w:gridCol w:w="109"/>
        <w:gridCol w:w="360"/>
        <w:gridCol w:w="361"/>
        <w:gridCol w:w="237"/>
      </w:tblGrid>
      <w:tr>
        <w:trPr/>
        <w:tc>
          <w:tcPr>
            <w:tcW w:w="191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Claimants alleging first exposure after 1964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Claimants alleging first exposure before or during 1964 filed in:</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 that have enacted asbestos legislation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outstanding</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59,300 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its settlement experience with post-1964 claims, the Company does not believe that an adverse ruling in the Texas or Pennsylvania asbestos litigation cases, or in any other state that has enacted asbestos legislation, would have a material impact on the Company with respect to such claims.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the percentage of outstanding claims related to claimants alleging serious diseases (primarily mesothelioma and other malignancies) were as follows:</w:t>
      </w:r>
    </w:p>
    <w:tbl>
      <w:tblPr>
        <w:tblW w:w="7100" w:type="dxa"/>
        <w:jc w:val="left"/>
        <w:tblInd w:w="0" w:type="dxa"/>
        <w:tblLayout w:type="fixed"/>
        <w:tblCellMar>
          <w:top w:w="28" w:type="dxa"/>
          <w:left w:w="28" w:type="dxa"/>
          <w:bottom w:w="28" w:type="dxa"/>
          <w:right w:w="28" w:type="dxa"/>
        </w:tblCellMar>
      </w:tblPr>
      <w:tblGrid>
        <w:gridCol w:w="1608"/>
        <w:gridCol w:w="1410"/>
        <w:gridCol w:w="1422"/>
        <w:gridCol w:w="180"/>
        <w:gridCol w:w="181"/>
        <w:gridCol w:w="292"/>
        <w:gridCol w:w="109"/>
        <w:gridCol w:w="109"/>
        <w:gridCol w:w="109"/>
        <w:gridCol w:w="180"/>
        <w:gridCol w:w="181"/>
        <w:gridCol w:w="292"/>
        <w:gridCol w:w="109"/>
        <w:gridCol w:w="109"/>
        <w:gridCol w:w="109"/>
        <w:gridCol w:w="180"/>
        <w:gridCol w:w="181"/>
        <w:gridCol w:w="339"/>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Pre-1965 claims in states without asbestos legislation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83% of the claims outstanding at the end of 2025 were filed by plaintiffs who do not claim a specific amount of damages or claim a minimum amount as established by court rules relating to jurisdiction; approximately 14% were filed by plaintiffs who claim damages of less than $5; approximately 3% were filed by plaintiffs who claim damages from $5 to less than $100 (29% of whom claim damages less than $25) and 14 claims were filed by plaintiffs who claim damages in excess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pPr>
      <w:r>
        <w:rPr>
          <w:rFonts w:ascii="Times New Roman;serif" w:hAnsi="Times New Roman;serif"/>
          <w:b w:val="false"/>
          <w:color w:val="000000"/>
          <w:sz w:val="20"/>
        </w:rPr>
        <w:t xml:space="preserve">$100. </w:t>
      </w:r>
      <w:r>
        <w:rPr>
          <w:rFonts w:ascii="Times New Roman;serif" w:hAnsi="Times New Roman;serif"/>
          <w:b w:val="false"/>
          <w:color w:val="000000"/>
          <w:sz w:val="20"/>
          <w:shd w:fill="FFFFFF" w:val="clear"/>
        </w:rPr>
        <w:t>In 2025, Crown Cork was party to a verdict in a mesothelioma wrongful death case tried in the Superior Court of the State of California in Los Angeles. Crown Cork’s share of the compensatory damages was $4 and punitive damages of $7. These amounts have been fully accrued as of December 31, 2025. The Company has appealed the judgment, however there can be no assurance regarding the outcome of such appeal.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accrual for pending and future asbestos-related claims and related legal costs was $177, including $125 for unasserted claims. The Company determines its accrual without limitation to a specified time period. 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shd w:fill="FFFFFF" w:val="clear"/>
        </w:rPr>
      </w:pPr>
      <w:bookmarkStart w:id="39" w:name="i9e908c7a5e354da1b05395db3c5fae89"/>
      <w:bookmarkEnd w:id="39"/>
      <w:r>
        <w:rPr>
          <w:rFonts w:ascii="Times New Roman;serif" w:hAnsi="Times New Roman;serif"/>
          <w:b/>
          <w:color w:val="000000"/>
          <w:sz w:val="20"/>
          <w:shd w:fill="FFFFFF" w:val="clear"/>
        </w:rPr>
        <w:t>Q. Commitments and Contingent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Commission was unjustified. In October 2024, the General Court of the EU issued a judgment dismissing the Company’s appeal. In December 2024, the Company appealed the General Court’s judgment to the European Court of Justice. There can be no assurance regarding the outcome of such appeal.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March 2017, U.S. Customs and Border Protection (“CBP”) at the Port of Milwaukee issued a penalty notification alleging that certain of the Company’s subsidiaries intentionally misclassified the importation of certain goods into the U.S. during the period 2004 - 2009. CBP initially assessed a penalty of $18. The Company has acknowledged to CBP that the goods were misclassified and has paid all related duties, which CBP does not dispute. The Company has asserted that the misclassification was unintentional and disputes the penalty a</w:t>
      </w:r>
      <w:r>
        <w:rPr>
          <w:rFonts w:ascii="Times New Roman;serif" w:hAnsi="Times New Roman;serif"/>
          <w:b w:val="false"/>
          <w:color w:val="000000"/>
          <w:sz w:val="20"/>
          <w:shd w:fill="FFFFFF" w:val="clear"/>
        </w:rPr>
        <w:t xml:space="preserve">ssessment by CBP. CBP has brought suit in the U.S. Court of International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seeking enforcement of the initial penalty against the Company. In September 2025, the parties executed a settlement agreement in which the Company continued to deny all claims and causes of action, and the suit was subsequently dismissed by the U.S. Court of International Trade.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October 7, 2021, the French </w:t>
      </w:r>
      <w:r>
        <w:rPr>
          <w:rFonts w:ascii="Times New Roman;serif" w:hAnsi="Times New Roman;serif"/>
          <w:b w:val="false"/>
          <w:i/>
          <w:color w:val="000000"/>
          <w:sz w:val="20"/>
          <w:shd w:fill="FFFFFF" w:val="clear"/>
        </w:rPr>
        <w:t>Autorité de la concurrence</w:t>
      </w:r>
      <w:r>
        <w:rPr>
          <w:color w:val="000000"/>
          <w:shd w:fill="FFFFFF" w:val="clear"/>
        </w:rPr>
        <w:t xml:space="preserve"> </w:t>
      </w:r>
      <w:r>
        <w:rPr>
          <w:rFonts w:ascii="Times New Roman;serif" w:hAnsi="Times New Roman;serif"/>
          <w:b w:val="false"/>
          <w:color w:val="000000"/>
          <w:sz w:val="20"/>
          <w:shd w:fill="FFFFFF" w:val="clear"/>
        </w:rPr>
        <w:t xml:space="preserve">(the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w:t>
      </w:r>
      <w:r>
        <w:rPr>
          <w:rFonts w:ascii="Times New Roman;serif" w:hAnsi="Times New Roman;serif"/>
          <w:b w:val="false"/>
          <w:color w:val="000000"/>
          <w:sz w:val="20"/>
        </w:rPr>
        <w:t>The Company has appealed the decision of the FCA, however there can be no assurance regarding the outcome of such appeal.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June 2024, the Brazilian Federal Tax Authorities issued an assessment against the Company’s Brazilian subsidiary in relation to the use of Social Integration Program (PIS) and Social Security Funding Program (COFINS) indirect tax credits arising from a favorable judicial decision received by the Company in 2019. The assessment disallowed credits of $42 taken by the Company for the years 2004 through 2015 when the PIS and COFINS indirect taxes were calculated by fixed rates and assessed interest and penalties. During the fourth quarter of 2024, the Company received an unfavorable ruling to their challenge filed at the admini</w:t>
      </w:r>
      <w:r>
        <w:rPr>
          <w:rFonts w:ascii="Times New Roman;serif" w:hAnsi="Times New Roman;serif"/>
          <w:b w:val="false"/>
          <w:color w:val="000000"/>
          <w:sz w:val="20"/>
        </w:rPr>
        <w:t>strative level. The Company does not believe that a loss for this assessment is probable and has challenged the assessment at the judicial level. There can be no assurances that the Company will be successful in contesting the assessment.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40" w:name="ib80efa5bcdad4722af3660cc78d9ac95"/>
      <w:bookmarkEnd w:id="40"/>
      <w:r>
        <w:rPr>
          <w:rFonts w:ascii="Times New Roman;serif" w:hAnsi="Times New Roman;serif"/>
          <w:b/>
          <w:color w:val="000000"/>
          <w:sz w:val="20"/>
        </w:rPr>
        <w:t>R. Other Non-Current Liabilities</w:t>
      </w:r>
    </w:p>
    <w:tbl>
      <w:tblPr>
        <w:tblW w:w="4119" w:type="dxa"/>
        <w:jc w:val="left"/>
        <w:tblInd w:w="0" w:type="dxa"/>
        <w:tblLayout w:type="fixed"/>
        <w:tblCellMar>
          <w:top w:w="28" w:type="dxa"/>
          <w:left w:w="28" w:type="dxa"/>
          <w:bottom w:w="28" w:type="dxa"/>
          <w:right w:w="28" w:type="dxa"/>
        </w:tblCellMar>
      </w:tblPr>
      <w:tblGrid>
        <w:gridCol w:w="789"/>
        <w:gridCol w:w="691"/>
        <w:gridCol w:w="695"/>
        <w:gridCol w:w="211"/>
        <w:gridCol w:w="466"/>
        <w:gridCol w:w="109"/>
        <w:gridCol w:w="109"/>
        <w:gridCol w:w="109"/>
        <w:gridCol w:w="109"/>
        <w:gridCol w:w="211"/>
        <w:gridCol w:w="466"/>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Postemployment benefits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shd w:fill="FFFFFF" w:val="clear"/>
        </w:rPr>
        <w:t xml:space="preserve">Income taxes payable includes unrecognized tax benefits as discussed in </w:t>
      </w:r>
      <w:hyperlink w:anchor="i52f6ed3525d042f787f54b954ed2f9f2_139">
        <w:r>
          <w:rPr>
            <w:rStyle w:val="InternetLink"/>
            <w:rFonts w:ascii="Times New Roman;serif" w:hAnsi="Times New Roman;serif"/>
            <w:b w:val="false"/>
            <w:color w:val="0000FF"/>
            <w:sz w:val="20"/>
            <w:u w:val="single"/>
            <w:shd w:fill="FFFFFF" w:val="clear"/>
          </w:rPr>
          <w:t>Note T</w:t>
        </w:r>
      </w:hyperlink>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41" w:name="i093f429f0ae146ef99393b57111cb0ef"/>
      <w:bookmarkEnd w:id="41"/>
      <w:r>
        <w:rPr>
          <w:rFonts w:ascii="Times New Roman;serif" w:hAnsi="Times New Roman;serif"/>
          <w:b/>
          <w:color w:val="000000"/>
          <w:sz w:val="20"/>
        </w:rPr>
        <w:t>S. Pension and Other Postretirement Benefits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Pensions.</w:t>
      </w:r>
      <w:r>
        <w:rPr>
          <w:color w:val="000000"/>
        </w:rPr>
        <w:t xml:space="preserve"> </w:t>
      </w:r>
      <w:r>
        <w:rPr>
          <w:rFonts w:ascii="Times New Roman;serif" w:hAnsi="Times New Roman;serif"/>
          <w:b w:val="false"/>
          <w:color w:val="000000"/>
          <w:sz w:val="20"/>
        </w:rPr>
        <w:t>The Company sponsors various pension plans covering certain U.S. and non-U.S. employees, and participates in certain multi-employer pension plans. The benefits under the Company plans are based primarily on years of service and either the employees’ remuneration near retirement or a fixed dollar multiple.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measurement date of December 31 was used for all plans presented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pension expense were as follows:</w:t>
      </w:r>
    </w:p>
    <w:tbl>
      <w:tblPr>
        <w:tblW w:w="6118" w:type="dxa"/>
        <w:jc w:val="left"/>
        <w:tblInd w:w="0" w:type="dxa"/>
        <w:tblLayout w:type="fixed"/>
        <w:tblCellMar>
          <w:top w:w="28" w:type="dxa"/>
          <w:left w:w="28" w:type="dxa"/>
          <w:bottom w:w="28" w:type="dxa"/>
          <w:right w:w="28" w:type="dxa"/>
        </w:tblCellMar>
      </w:tblPr>
      <w:tblGrid>
        <w:gridCol w:w="1023"/>
        <w:gridCol w:w="902"/>
        <w:gridCol w:w="910"/>
        <w:gridCol w:w="211"/>
        <w:gridCol w:w="361"/>
        <w:gridCol w:w="109"/>
        <w:gridCol w:w="109"/>
        <w:gridCol w:w="109"/>
        <w:gridCol w:w="109"/>
        <w:gridCol w:w="211"/>
        <w:gridCol w:w="466"/>
        <w:gridCol w:w="109"/>
        <w:gridCol w:w="109"/>
        <w:gridCol w:w="109"/>
        <w:gridCol w:w="109"/>
        <w:gridCol w:w="211"/>
        <w:gridCol w:w="361"/>
        <w:gridCol w:w="109"/>
        <w:gridCol w:w="109"/>
        <w:gridCol w:w="109"/>
        <w:gridCol w:w="109"/>
        <w:gridCol w:w="154"/>
      </w:tblGrid>
      <w:tr>
        <w:trPr/>
        <w:tc>
          <w:tcPr>
            <w:tcW w:w="102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 Plans</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and curtailments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93" w:type="dxa"/>
        <w:jc w:val="left"/>
        <w:tblInd w:w="0" w:type="dxa"/>
        <w:tblLayout w:type="fixed"/>
        <w:tblCellMar>
          <w:top w:w="28" w:type="dxa"/>
          <w:left w:w="28" w:type="dxa"/>
          <w:bottom w:w="28" w:type="dxa"/>
          <w:right w:w="28" w:type="dxa"/>
        </w:tblCellMar>
      </w:tblPr>
      <w:tblGrid>
        <w:gridCol w:w="1075"/>
        <w:gridCol w:w="944"/>
        <w:gridCol w:w="951"/>
        <w:gridCol w:w="211"/>
        <w:gridCol w:w="406"/>
        <w:gridCol w:w="109"/>
        <w:gridCol w:w="109"/>
        <w:gridCol w:w="109"/>
        <w:gridCol w:w="109"/>
        <w:gridCol w:w="211"/>
        <w:gridCol w:w="361"/>
        <w:gridCol w:w="109"/>
        <w:gridCol w:w="109"/>
        <w:gridCol w:w="109"/>
        <w:gridCol w:w="109"/>
        <w:gridCol w:w="211"/>
        <w:gridCol w:w="361"/>
        <w:gridCol w:w="109"/>
        <w:gridCol w:w="109"/>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Non-U.S. Plans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termination benefits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third quarter of 2024, the Company’s Canadian and primary U.S. defined benefit pension plans (the "Canadian Plan" and the "U.S. Plans", respectively) entered into transactions to transfer a significant portion of their pension liabilities through the purchase of group annuity insurance contracts for the benefit of nearly all their respective retiree and deferred vested participants. The issuers of the group annuity insurance contracts fully guarantee and are solely responsible for paying each participant’s future benefits in full. The Company used plan assets to settle $119 of Canadian Plan obligations and $740 of U.S. Plans obligations and recorded settlement charges in 2024 of $47 and $469, respectively, for the Canadian and U.S. Plans. As part of the transaction, in 2024 the Company also made a cash contribution of approximately $100 to the U.S. Plans. In addition in 2024, $35 of U.S. plan obligations were settled as a result of certain retiree and deferred vested participants electing lump-sum distributions.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pension expense of $6 in 2025, 2024, and 2023 was recognized for multi-employer plans.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projected benefit obligations, accumulated benefit obligations, plan assets and funded status of the Company’s U.S. and non-U.S. plans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tbl>
      <w:tblPr>
        <w:tblW w:w="8490" w:type="dxa"/>
        <w:jc w:val="left"/>
        <w:tblInd w:w="0" w:type="dxa"/>
        <w:tblLayout w:type="fixed"/>
        <w:tblCellMar>
          <w:top w:w="28" w:type="dxa"/>
          <w:left w:w="28" w:type="dxa"/>
          <w:bottom w:w="28" w:type="dxa"/>
          <w:right w:w="28" w:type="dxa"/>
        </w:tblCellMar>
      </w:tblPr>
      <w:tblGrid>
        <w:gridCol w:w="1482"/>
        <w:gridCol w:w="1304"/>
        <w:gridCol w:w="1309"/>
        <w:gridCol w:w="211"/>
        <w:gridCol w:w="541"/>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Non-U.S. Plans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Projected Benefit Obligations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obligations at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participants' contributions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obligations at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Plan Assets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Actual gain on plan assets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 / (withdrawals)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participants' contributions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December 31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obligations at December 31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actuarial losses for the Company’s U.S. and non-U.S. pension plans totaled $3. Actuarial gains and losses arise each year primarily due to changes in discount rates, differences in actual plan asset returns compared to expected returns, and changes in actuarial assumptions such as mortality.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U.S. pension plans with accumulated benefit obligations in excess of plan assets were as follows: </w:t>
      </w:r>
    </w:p>
    <w:tbl>
      <w:tblPr>
        <w:tblW w:w="4523" w:type="dxa"/>
        <w:jc w:val="left"/>
        <w:tblInd w:w="0" w:type="dxa"/>
        <w:tblLayout w:type="fixed"/>
        <w:tblCellMar>
          <w:top w:w="28" w:type="dxa"/>
          <w:left w:w="28" w:type="dxa"/>
          <w:bottom w:w="28" w:type="dxa"/>
          <w:right w:w="28" w:type="dxa"/>
        </w:tblCellMar>
      </w:tblPr>
      <w:tblGrid>
        <w:gridCol w:w="1011"/>
        <w:gridCol w:w="886"/>
        <w:gridCol w:w="892"/>
        <w:gridCol w:w="211"/>
        <w:gridCol w:w="361"/>
        <w:gridCol w:w="109"/>
        <w:gridCol w:w="109"/>
        <w:gridCol w:w="109"/>
        <w:gridCol w:w="109"/>
        <w:gridCol w:w="211"/>
        <w:gridCol w:w="36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U.S. pension plans with projected benefit obligations in excess of plan assets were as follows: </w:t>
      </w:r>
    </w:p>
    <w:tbl>
      <w:tblPr>
        <w:tblW w:w="4733" w:type="dxa"/>
        <w:jc w:val="left"/>
        <w:tblInd w:w="0" w:type="dxa"/>
        <w:tblLayout w:type="fixed"/>
        <w:tblCellMar>
          <w:top w:w="28" w:type="dxa"/>
          <w:left w:w="28" w:type="dxa"/>
          <w:bottom w:w="28" w:type="dxa"/>
          <w:right w:w="28" w:type="dxa"/>
        </w:tblCellMar>
      </w:tblPr>
      <w:tblGrid>
        <w:gridCol w:w="1011"/>
        <w:gridCol w:w="886"/>
        <w:gridCol w:w="892"/>
        <w:gridCol w:w="211"/>
        <w:gridCol w:w="466"/>
        <w:gridCol w:w="109"/>
        <w:gridCol w:w="109"/>
        <w:gridCol w:w="109"/>
        <w:gridCol w:w="109"/>
        <w:gridCol w:w="211"/>
        <w:gridCol w:w="46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Non-U.S. pension plans with accumulated benefit obligations in excess of plan assets were as follows:</w:t>
      </w:r>
    </w:p>
    <w:tbl>
      <w:tblPr>
        <w:tblW w:w="4733" w:type="dxa"/>
        <w:jc w:val="left"/>
        <w:tblInd w:w="0" w:type="dxa"/>
        <w:tblLayout w:type="fixed"/>
        <w:tblCellMar>
          <w:top w:w="28" w:type="dxa"/>
          <w:left w:w="28" w:type="dxa"/>
          <w:bottom w:w="28" w:type="dxa"/>
          <w:right w:w="28" w:type="dxa"/>
        </w:tblCellMar>
      </w:tblPr>
      <w:tblGrid>
        <w:gridCol w:w="1011"/>
        <w:gridCol w:w="886"/>
        <w:gridCol w:w="892"/>
        <w:gridCol w:w="211"/>
        <w:gridCol w:w="466"/>
        <w:gridCol w:w="109"/>
        <w:gridCol w:w="109"/>
        <w:gridCol w:w="109"/>
        <w:gridCol w:w="109"/>
        <w:gridCol w:w="211"/>
        <w:gridCol w:w="46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Non-U.S. pension plans with projected benefit obligations in excess of plan assets were as follows:</w:t>
      </w:r>
    </w:p>
    <w:tbl>
      <w:tblPr>
        <w:tblW w:w="4733" w:type="dxa"/>
        <w:jc w:val="left"/>
        <w:tblInd w:w="0" w:type="dxa"/>
        <w:tblLayout w:type="fixed"/>
        <w:tblCellMar>
          <w:top w:w="28" w:type="dxa"/>
          <w:left w:w="28" w:type="dxa"/>
          <w:bottom w:w="28" w:type="dxa"/>
          <w:right w:w="28" w:type="dxa"/>
        </w:tblCellMar>
      </w:tblPr>
      <w:tblGrid>
        <w:gridCol w:w="1011"/>
        <w:gridCol w:w="886"/>
        <w:gridCol w:w="892"/>
        <w:gridCol w:w="211"/>
        <w:gridCol w:w="466"/>
        <w:gridCol w:w="109"/>
        <w:gridCol w:w="109"/>
        <w:gridCol w:w="109"/>
        <w:gridCol w:w="109"/>
        <w:gridCol w:w="211"/>
        <w:gridCol w:w="46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investment strategy in its U.S. plan is designed to generate returns that are consistent with providing benefits to plan participants within the risk tolerance of the plan. Asset allocation is the primary determinant of return levels and investment risk exposure.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strategic ranges for asset allocation in the U.S. plans are as follows: </w:t>
      </w:r>
    </w:p>
    <w:tbl>
      <w:tblPr>
        <w:tblW w:w="3690" w:type="dxa"/>
        <w:jc w:val="left"/>
        <w:tblInd w:w="0" w:type="dxa"/>
        <w:tblLayout w:type="fixed"/>
        <w:tblCellMar>
          <w:top w:w="28" w:type="dxa"/>
          <w:left w:w="28" w:type="dxa"/>
          <w:bottom w:w="28" w:type="dxa"/>
          <w:right w:w="28" w:type="dxa"/>
        </w:tblCellMar>
      </w:tblPr>
      <w:tblGrid>
        <w:gridCol w:w="672"/>
        <w:gridCol w:w="592"/>
        <w:gridCol w:w="595"/>
        <w:gridCol w:w="202"/>
        <w:gridCol w:w="204"/>
        <w:gridCol w:w="271"/>
        <w:gridCol w:w="109"/>
        <w:gridCol w:w="109"/>
        <w:gridCol w:w="109"/>
        <w:gridCol w:w="254"/>
        <w:gridCol w:w="257"/>
        <w:gridCol w:w="316"/>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equities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equities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Balanced funds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the annuitization of a portion of the U.S Plans liabilities discussed above, the U.S. Plans’ asset allocation will be migrating to the above target ranges. That migration will be staged over time and allow Crown to manage liquidity requirements and minimize transaction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Pension assets are classified into three levels. Level 1 asset values are derived from quoted prices which are available in active markets as of the report date. Level 2 asset values are derived from other than quoted prices in active markets included in Level 1, which are either directly or indirectly observable as of the report date. Level 3 asset values are derived from unobservable pricing inputs that are not corroborated by market data or other objective 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1 Investments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Equity securities are valued at the latest quoted prices taken from the primary exchange on which the security trades. Mutual funds are valued at the net asset value ("NAV") of shares held at year-end.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2 Investments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Fixed income securities, including government issued debt, corporate debt, asset-backed and structured debt securities are valued using the latest bid prices or valuations based on a matrix system (which considers such factors as benchmark yields, reported trades, broker/dealer quotes, issuer spreads, two-sided markets, benchmark securities, bids, offers and other reference data including market research publications). Derivatives, which consist mainly of interest rate swaps, are valued using a discounted cash flow pricing model based on observable market data.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Level 3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Hedge funds and private equity funds are valued at the NAV at year-end. The values assigned to private equity funds are based upon assessments of each underlying investment, incorporating valuations that consider the evaluation of financing and sale transactions with third parties, expected cash flows and market-based information, including comparable transactions, and performance multiples among other factors. Real estate investments are based on third party appraisals.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Measured Using NAV per Share Practical Expedient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measured using NAV per share as a practical expedient include investment funds that invest in global equity, emerging markets and fixed income. The global equity funds invest in equity securities of various market sectors including industrial materials, consumer discretionary goods and services, financial infrastructure, technology, and health care. The emerging markets funds invest in equity markets within financial services, consumer goods and services, energy, and technology.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methods described above may produce a fair value calculation that may not be indicative of net realizable value or reflective of future fair value. Furthermore, while the Company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assessment of the significance of a particular input to the fair value measurement requires judgment and may affect the valuation of the fair value of assets and their placement within the fair value hierarchy. The levels assigned to the defined benefit plan assets as of December 31, 2025 and 2024 are summarized in the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tbl>
      <w:tblPr>
        <w:tblW w:w="8339" w:type="dxa"/>
        <w:jc w:val="left"/>
        <w:tblInd w:w="0" w:type="dxa"/>
        <w:tblLayout w:type="fixed"/>
        <w:tblCellMar>
          <w:top w:w="28" w:type="dxa"/>
          <w:left w:w="28" w:type="dxa"/>
          <w:bottom w:w="28" w:type="dxa"/>
          <w:right w:w="28" w:type="dxa"/>
        </w:tblCellMar>
      </w:tblPr>
      <w:tblGrid>
        <w:gridCol w:w="1605"/>
        <w:gridCol w:w="1407"/>
        <w:gridCol w:w="1428"/>
        <w:gridCol w:w="109"/>
        <w:gridCol w:w="109"/>
        <w:gridCol w:w="109"/>
        <w:gridCol w:w="225"/>
        <w:gridCol w:w="498"/>
        <w:gridCol w:w="118"/>
        <w:gridCol w:w="109"/>
        <w:gridCol w:w="109"/>
        <w:gridCol w:w="109"/>
        <w:gridCol w:w="334"/>
        <w:gridCol w:w="738"/>
        <w:gridCol w:w="174"/>
        <w:gridCol w:w="109"/>
        <w:gridCol w:w="109"/>
        <w:gridCol w:w="109"/>
        <w:gridCol w:w="211"/>
        <w:gridCol w:w="466"/>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 plan</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Non-U.S. plan</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large cap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large cap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 U.S.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 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issued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measured at NAV Practical Expedient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global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tbl>
      <w:tblPr>
        <w:tblW w:w="8339" w:type="dxa"/>
        <w:jc w:val="left"/>
        <w:tblInd w:w="0" w:type="dxa"/>
        <w:tblLayout w:type="fixed"/>
        <w:tblCellMar>
          <w:top w:w="28" w:type="dxa"/>
          <w:left w:w="28" w:type="dxa"/>
          <w:bottom w:w="28" w:type="dxa"/>
          <w:right w:w="28" w:type="dxa"/>
        </w:tblCellMar>
      </w:tblPr>
      <w:tblGrid>
        <w:gridCol w:w="1604"/>
        <w:gridCol w:w="1408"/>
        <w:gridCol w:w="1428"/>
        <w:gridCol w:w="109"/>
        <w:gridCol w:w="109"/>
        <w:gridCol w:w="109"/>
        <w:gridCol w:w="225"/>
        <w:gridCol w:w="498"/>
        <w:gridCol w:w="118"/>
        <w:gridCol w:w="109"/>
        <w:gridCol w:w="109"/>
        <w:gridCol w:w="109"/>
        <w:gridCol w:w="334"/>
        <w:gridCol w:w="738"/>
        <w:gridCol w:w="174"/>
        <w:gridCol w:w="109"/>
        <w:gridCol w:w="109"/>
        <w:gridCol w:w="109"/>
        <w:gridCol w:w="211"/>
        <w:gridCol w:w="466"/>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 plan</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Non-U.S. plan</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large cap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large cap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 U.S.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issued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measured at NAV Practical Expedient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global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Certain investments that are measured at fair value using the NAV per share practical expedient have not been classified in the fair value hierarchy.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the beginning and ending balances of plan assets measured using significant unobservable inputs (Level 3).</w:t>
      </w:r>
    </w:p>
    <w:tbl>
      <w:tblPr>
        <w:tblW w:w="7152" w:type="dxa"/>
        <w:jc w:val="left"/>
        <w:tblInd w:w="0" w:type="dxa"/>
        <w:tblLayout w:type="fixed"/>
        <w:tblCellMar>
          <w:top w:w="28" w:type="dxa"/>
          <w:left w:w="28" w:type="dxa"/>
          <w:bottom w:w="28" w:type="dxa"/>
          <w:right w:w="28" w:type="dxa"/>
        </w:tblCellMar>
      </w:tblPr>
      <w:tblGrid>
        <w:gridCol w:w="1324"/>
        <w:gridCol w:w="1164"/>
        <w:gridCol w:w="1172"/>
        <w:gridCol w:w="109"/>
        <w:gridCol w:w="109"/>
        <w:gridCol w:w="109"/>
        <w:gridCol w:w="109"/>
        <w:gridCol w:w="109"/>
        <w:gridCol w:w="247"/>
        <w:gridCol w:w="300"/>
        <w:gridCol w:w="129"/>
        <w:gridCol w:w="109"/>
        <w:gridCol w:w="109"/>
        <w:gridCol w:w="109"/>
        <w:gridCol w:w="211"/>
        <w:gridCol w:w="466"/>
        <w:gridCol w:w="109"/>
        <w:gridCol w:w="109"/>
        <w:gridCol w:w="109"/>
        <w:gridCol w:w="109"/>
        <w:gridCol w:w="211"/>
        <w:gridCol w:w="46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Private</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Real</w:t>
              <w:br/>
              <w:t>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returns – assets held at reporting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returns – assets sold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sales and settlements,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returns – assets held at reporting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returns – assets sold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sales and settlements,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about the pension plan assets valued using NAV as a practical expedient:</w:t>
      </w:r>
    </w:p>
    <w:tbl>
      <w:tblPr>
        <w:tblW w:w="8068" w:type="dxa"/>
        <w:jc w:val="left"/>
        <w:tblInd w:w="0" w:type="dxa"/>
        <w:tblLayout w:type="fixed"/>
        <w:tblCellMar>
          <w:top w:w="28" w:type="dxa"/>
          <w:left w:w="28" w:type="dxa"/>
          <w:bottom w:w="28" w:type="dxa"/>
          <w:right w:w="28" w:type="dxa"/>
        </w:tblCellMar>
      </w:tblPr>
      <w:tblGrid>
        <w:gridCol w:w="1016"/>
        <w:gridCol w:w="893"/>
        <w:gridCol w:w="896"/>
        <w:gridCol w:w="293"/>
        <w:gridCol w:w="501"/>
        <w:gridCol w:w="151"/>
        <w:gridCol w:w="669"/>
        <w:gridCol w:w="669"/>
        <w:gridCol w:w="671"/>
        <w:gridCol w:w="675"/>
        <w:gridCol w:w="675"/>
        <w:gridCol w:w="959"/>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Frequency</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Notice Period</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fixed income</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Monthly</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days</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global equity</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Daily </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days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fixed income</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Daily</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days</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 – global equity</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Daily</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days</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pension plan assets valued using NAV as a practical expedient do not have any unfunded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Pension assets and liabilities included in the Consolidated Balance Sheets were:</w:t>
      </w:r>
    </w:p>
    <w:tbl>
      <w:tblPr>
        <w:tblW w:w="398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211"/>
        <w:gridCol w:w="361"/>
        <w:gridCol w:w="109"/>
        <w:gridCol w:w="109"/>
        <w:gridCol w:w="109"/>
        <w:gridCol w:w="109"/>
        <w:gridCol w:w="211"/>
        <w:gridCol w:w="36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Company’s current liability at December 31, 2025, represents the expected required payments to be made for unfunded plans over the next twelve month</w:t>
      </w:r>
      <w:r>
        <w:rPr>
          <w:rFonts w:ascii="Times New Roman;serif" w:hAnsi="Times New Roman;serif"/>
          <w:b w:val="false"/>
          <w:color w:val="000000"/>
          <w:sz w:val="20"/>
          <w:shd w:fill="FFFFFF" w:val="clear"/>
        </w:rPr>
        <w:t>s. Total estimated 2026 employer contributions are $28 for the Company’s pension plans.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net loss and prior service credit for the Company’s pension plans were: </w:t>
      </w:r>
    </w:p>
    <w:tbl>
      <w:tblPr>
        <w:tblW w:w="10160" w:type="dxa"/>
        <w:jc w:val="left"/>
        <w:tblInd w:w="0" w:type="dxa"/>
        <w:tblLayout w:type="fixed"/>
        <w:tblCellMar>
          <w:top w:w="28" w:type="dxa"/>
          <w:left w:w="28" w:type="dxa"/>
          <w:bottom w:w="28" w:type="dxa"/>
          <w:right w:w="28" w:type="dxa"/>
        </w:tblCellMar>
      </w:tblPr>
      <w:tblGrid>
        <w:gridCol w:w="1319"/>
        <w:gridCol w:w="1161"/>
        <w:gridCol w:w="1165"/>
        <w:gridCol w:w="109"/>
        <w:gridCol w:w="109"/>
        <w:gridCol w:w="109"/>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241"/>
        <w:gridCol w:w="331"/>
        <w:gridCol w:w="126"/>
        <w:gridCol w:w="109"/>
        <w:gridCol w:w="109"/>
        <w:gridCol w:w="109"/>
        <w:gridCol w:w="211"/>
        <w:gridCol w:w="466"/>
        <w:gridCol w:w="109"/>
        <w:gridCol w:w="109"/>
        <w:gridCol w:w="109"/>
        <w:gridCol w:w="109"/>
        <w:gridCol w:w="211"/>
        <w:gridCol w:w="406"/>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Prior</w:t>
              <w:br/>
              <w:t>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Prior</w:t>
              <w:br/>
              <w:t>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Prior</w:t>
              <w:br/>
              <w:t>service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net periodic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(gain) /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future benefit payments as of December 31, 2025 are:</w:t>
      </w:r>
    </w:p>
    <w:p>
      <w:pPr>
        <w:pStyle w:val="TextBody"/>
        <w:bidi w:val="0"/>
        <w:spacing w:before="0" w:after="0"/>
        <w:jc w:val="left"/>
        <w:rPr/>
      </w:pPr>
      <w:r>
        <w:rPr/>
      </w:r>
    </w:p>
    <w:tbl>
      <w:tblPr>
        <w:tblW w:w="3004" w:type="dxa"/>
        <w:jc w:val="left"/>
        <w:tblInd w:w="0" w:type="dxa"/>
        <w:tblLayout w:type="fixed"/>
        <w:tblCellMar>
          <w:top w:w="28" w:type="dxa"/>
          <w:left w:w="28" w:type="dxa"/>
          <w:bottom w:w="28" w:type="dxa"/>
          <w:right w:w="28" w:type="dxa"/>
        </w:tblCellMar>
      </w:tblPr>
      <w:tblGrid>
        <w:gridCol w:w="402"/>
        <w:gridCol w:w="352"/>
        <w:gridCol w:w="356"/>
        <w:gridCol w:w="211"/>
        <w:gridCol w:w="361"/>
        <w:gridCol w:w="109"/>
        <w:gridCol w:w="109"/>
        <w:gridCol w:w="109"/>
        <w:gridCol w:w="109"/>
        <w:gridCol w:w="257"/>
        <w:gridCol w:w="440"/>
        <w:gridCol w:w="189"/>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Non-U.S.</w:t>
              <w:br/>
              <w:t>plans</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2031 - 2035</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 average actuarial assumptions used to calculate the benefit obligations at December 31 were:</w:t>
      </w:r>
    </w:p>
    <w:tbl>
      <w:tblPr>
        <w:tblW w:w="5132" w:type="dxa"/>
        <w:jc w:val="left"/>
        <w:tblInd w:w="0" w:type="dxa"/>
        <w:tblLayout w:type="fixed"/>
        <w:tblCellMar>
          <w:top w:w="28" w:type="dxa"/>
          <w:left w:w="28" w:type="dxa"/>
          <w:bottom w:w="28" w:type="dxa"/>
          <w:right w:w="28" w:type="dxa"/>
        </w:tblCellMar>
      </w:tblPr>
      <w:tblGrid>
        <w:gridCol w:w="764"/>
        <w:gridCol w:w="673"/>
        <w:gridCol w:w="573"/>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132"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 average actuarial assumptions used to calculate pension expense for each year were:</w:t>
      </w:r>
    </w:p>
    <w:tbl>
      <w:tblPr>
        <w:tblW w:w="5447" w:type="dxa"/>
        <w:jc w:val="left"/>
        <w:tblInd w:w="0" w:type="dxa"/>
        <w:tblLayout w:type="fixed"/>
        <w:tblCellMar>
          <w:top w:w="28" w:type="dxa"/>
          <w:left w:w="28" w:type="dxa"/>
          <w:bottom w:w="28" w:type="dxa"/>
          <w:right w:w="28" w:type="dxa"/>
        </w:tblCellMar>
      </w:tblPr>
      <w:tblGrid>
        <w:gridCol w:w="840"/>
        <w:gridCol w:w="740"/>
        <w:gridCol w:w="745"/>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 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rate of return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tbl>
      <w:tblPr>
        <w:tblW w:w="5447" w:type="dxa"/>
        <w:jc w:val="left"/>
        <w:tblInd w:w="0" w:type="dxa"/>
        <w:tblLayout w:type="fixed"/>
        <w:tblCellMar>
          <w:top w:w="28" w:type="dxa"/>
          <w:left w:w="28" w:type="dxa"/>
          <w:bottom w:w="28" w:type="dxa"/>
          <w:right w:w="28" w:type="dxa"/>
        </w:tblCellMar>
      </w:tblPr>
      <w:tblGrid>
        <w:gridCol w:w="842"/>
        <w:gridCol w:w="739"/>
        <w:gridCol w:w="744"/>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 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rate of return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expected long-term rate of return on plan assets is determined by taking into consideration expected long-term returns associated with each major asset class based on long-term historical ranges, inflation assumptions and the expected net value from active management of the assets based on actual results.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Other Postretirement Benefit Plans.</w:t>
      </w:r>
      <w:r>
        <w:rPr>
          <w:color w:val="000000"/>
        </w:rPr>
        <w:t xml:space="preserve"> </w:t>
      </w:r>
      <w:r>
        <w:rPr>
          <w:rFonts w:ascii="Times New Roman;serif" w:hAnsi="Times New Roman;serif"/>
          <w:b w:val="false"/>
          <w:color w:val="000000"/>
          <w:sz w:val="20"/>
        </w:rPr>
        <w:t>The Company sponsors unfunded plans to provide health care and life insurance benefits to certain retirees and survivors. Generally, the medical plans pay a stated percentage of medical expenses reduced by deductibles and other coverages. Life insurance benefits are generally provided by insurance contracts. The Company reserves the right, subject to existing agreements, to change, modify or discontinue the plans. A measurement date of December 31 was used for the plans presented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net postretirement benefits cost were as follows:</w:t>
      </w:r>
    </w:p>
    <w:tbl>
      <w:tblPr>
        <w:tblW w:w="5276" w:type="dxa"/>
        <w:jc w:val="left"/>
        <w:tblInd w:w="0" w:type="dxa"/>
        <w:tblLayout w:type="fixed"/>
        <w:tblCellMar>
          <w:top w:w="28" w:type="dxa"/>
          <w:left w:w="28" w:type="dxa"/>
          <w:bottom w:w="28" w:type="dxa"/>
          <w:right w:w="28" w:type="dxa"/>
        </w:tblCellMar>
      </w:tblPr>
      <w:tblGrid>
        <w:gridCol w:w="1033"/>
        <w:gridCol w:w="907"/>
        <w:gridCol w:w="909"/>
        <w:gridCol w:w="211"/>
        <w:gridCol w:w="256"/>
        <w:gridCol w:w="109"/>
        <w:gridCol w:w="109"/>
        <w:gridCol w:w="109"/>
        <w:gridCol w:w="109"/>
        <w:gridCol w:w="211"/>
        <w:gridCol w:w="256"/>
        <w:gridCol w:w="109"/>
        <w:gridCol w:w="109"/>
        <w:gridCol w:w="109"/>
        <w:gridCol w:w="109"/>
        <w:gridCol w:w="211"/>
        <w:gridCol w:w="25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Postretirement Benefits</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 (credit)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the benefit obligations were: </w:t>
      </w:r>
    </w:p>
    <w:tbl>
      <w:tblPr>
        <w:tblW w:w="5270" w:type="dxa"/>
        <w:jc w:val="left"/>
        <w:tblInd w:w="0" w:type="dxa"/>
        <w:tblLayout w:type="fixed"/>
        <w:tblCellMar>
          <w:top w:w="28" w:type="dxa"/>
          <w:left w:w="28" w:type="dxa"/>
          <w:bottom w:w="28" w:type="dxa"/>
          <w:right w:w="28" w:type="dxa"/>
        </w:tblCellMar>
      </w:tblPr>
      <w:tblGrid>
        <w:gridCol w:w="1087"/>
        <w:gridCol w:w="953"/>
        <w:gridCol w:w="959"/>
        <w:gridCol w:w="109"/>
        <w:gridCol w:w="109"/>
        <w:gridCol w:w="109"/>
        <w:gridCol w:w="211"/>
        <w:gridCol w:w="466"/>
        <w:gridCol w:w="109"/>
        <w:gridCol w:w="109"/>
        <w:gridCol w:w="109"/>
        <w:gridCol w:w="109"/>
        <w:gridCol w:w="211"/>
        <w:gridCol w:w="46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obligations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Actuarial (gain) /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obligations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net (gain) / loss and prior service credit for the Company’s postretirement benefit plans were:</w:t>
      </w:r>
    </w:p>
    <w:tbl>
      <w:tblPr>
        <w:tblW w:w="7171" w:type="dxa"/>
        <w:jc w:val="left"/>
        <w:tblInd w:w="0" w:type="dxa"/>
        <w:tblLayout w:type="fixed"/>
        <w:tblCellMar>
          <w:top w:w="28" w:type="dxa"/>
          <w:left w:w="28" w:type="dxa"/>
          <w:bottom w:w="28" w:type="dxa"/>
          <w:right w:w="28" w:type="dxa"/>
        </w:tblCellMar>
      </w:tblPr>
      <w:tblGrid>
        <w:gridCol w:w="874"/>
        <w:gridCol w:w="769"/>
        <w:gridCol w:w="772"/>
        <w:gridCol w:w="109"/>
        <w:gridCol w:w="109"/>
        <w:gridCol w:w="109"/>
        <w:gridCol w:w="340"/>
        <w:gridCol w:w="534"/>
        <w:gridCol w:w="175"/>
        <w:gridCol w:w="109"/>
        <w:gridCol w:w="109"/>
        <w:gridCol w:w="109"/>
        <w:gridCol w:w="109"/>
        <w:gridCol w:w="109"/>
        <w:gridCol w:w="109"/>
        <w:gridCol w:w="340"/>
        <w:gridCol w:w="534"/>
        <w:gridCol w:w="175"/>
        <w:gridCol w:w="109"/>
        <w:gridCol w:w="109"/>
        <w:gridCol w:w="109"/>
        <w:gridCol w:w="109"/>
        <w:gridCol w:w="109"/>
        <w:gridCol w:w="109"/>
        <w:gridCol w:w="211"/>
        <w:gridCol w:w="331"/>
        <w:gridCol w:w="109"/>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loss /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loss /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gain</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(gain) /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future benefit payments are as follows:</w:t>
      </w:r>
    </w:p>
    <w:tbl>
      <w:tblPr>
        <w:tblW w:w="2685" w:type="dxa"/>
        <w:jc w:val="left"/>
        <w:tblInd w:w="0" w:type="dxa"/>
        <w:tblLayout w:type="fixed"/>
        <w:tblCellMar>
          <w:top w:w="28" w:type="dxa"/>
          <w:left w:w="28" w:type="dxa"/>
          <w:bottom w:w="28" w:type="dxa"/>
          <w:right w:w="28" w:type="dxa"/>
        </w:tblCellMar>
      </w:tblPr>
      <w:tblGrid>
        <w:gridCol w:w="402"/>
        <w:gridCol w:w="352"/>
        <w:gridCol w:w="356"/>
        <w:gridCol w:w="457"/>
        <w:gridCol w:w="782"/>
        <w:gridCol w:w="336"/>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Benefit Payments</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2031 - 2035</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assumed health care cost trend rates at December 31, 2025 were as follows: </w:t>
      </w:r>
    </w:p>
    <w:tbl>
      <w:tblPr>
        <w:tblW w:w="5402" w:type="dxa"/>
        <w:jc w:val="left"/>
        <w:tblInd w:w="0" w:type="dxa"/>
        <w:tblLayout w:type="fixed"/>
        <w:tblCellMar>
          <w:top w:w="28" w:type="dxa"/>
          <w:left w:w="28" w:type="dxa"/>
          <w:bottom w:w="28" w:type="dxa"/>
          <w:right w:w="28" w:type="dxa"/>
        </w:tblCellMar>
      </w:tblPr>
      <w:tblGrid>
        <w:gridCol w:w="1697"/>
        <w:gridCol w:w="1489"/>
        <w:gridCol w:w="1494"/>
        <w:gridCol w:w="203"/>
        <w:gridCol w:w="203"/>
        <w:gridCol w:w="316"/>
      </w:tblGrid>
      <w:tr>
        <w:trPr/>
        <w:tc>
          <w:tcPr>
            <w:tcW w:w="169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care cost trend rate assumed for 2025</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that the cost trend rate gradually declines to</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that the rate reaches the rate it is assumed to remain</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Weighted average discount rates used to calculate the benefit obligations at the end of each year and the cost for each year are presented below:</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4489" w:type="dxa"/>
        <w:jc w:val="left"/>
        <w:tblInd w:w="0" w:type="dxa"/>
        <w:tblLayout w:type="fixed"/>
        <w:tblCellMar>
          <w:top w:w="28" w:type="dxa"/>
          <w:left w:w="28" w:type="dxa"/>
          <w:bottom w:w="28" w:type="dxa"/>
          <w:right w:w="28" w:type="dxa"/>
        </w:tblCellMar>
      </w:tblPr>
      <w:tblGrid>
        <w:gridCol w:w="614"/>
        <w:gridCol w:w="538"/>
        <w:gridCol w:w="542"/>
        <w:gridCol w:w="203"/>
        <w:gridCol w:w="203"/>
        <w:gridCol w:w="292"/>
        <w:gridCol w:w="109"/>
        <w:gridCol w:w="109"/>
        <w:gridCol w:w="109"/>
        <w:gridCol w:w="203"/>
        <w:gridCol w:w="203"/>
        <w:gridCol w:w="292"/>
        <w:gridCol w:w="109"/>
        <w:gridCol w:w="109"/>
        <w:gridCol w:w="109"/>
        <w:gridCol w:w="203"/>
        <w:gridCol w:w="203"/>
        <w:gridCol w:w="339"/>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Defined Contribution Benefit Plans.</w:t>
      </w:r>
      <w:r>
        <w:rPr>
          <w:color w:val="000000"/>
        </w:rPr>
        <w:t xml:space="preserve"> </w:t>
      </w:r>
      <w:r>
        <w:rPr>
          <w:rFonts w:ascii="Times New Roman;serif" w:hAnsi="Times New Roman;serif"/>
          <w:b w:val="false"/>
          <w:color w:val="000000"/>
          <w:sz w:val="20"/>
        </w:rPr>
        <w:t>The Company also sponsors defined contribution benefit plans in certain jurisdictions including the U.S. and the U.K</w:t>
      </w:r>
      <w:r>
        <w:rPr>
          <w:rFonts w:ascii="Times New Roman;serif" w:hAnsi="Times New Roman;serif"/>
          <w:b w:val="false"/>
          <w:color w:val="000000"/>
          <w:sz w:val="20"/>
          <w:shd w:fill="FFFFFF" w:val="clear"/>
        </w:rPr>
        <w:t xml:space="preserve">. The Company recognized expense of $14, $13, and $14 in 2025, 2024, and 2023 related to these plans.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color w:val="000000"/>
          <w:sz w:val="20"/>
          <w:shd w:fill="FFFFFF" w:val="clear"/>
        </w:rPr>
      </w:pPr>
      <w:bookmarkStart w:id="42" w:name="i6404dd3263c64cec9011eb4f11dc136f"/>
      <w:bookmarkEnd w:id="42"/>
      <w:r>
        <w:rPr>
          <w:rFonts w:ascii="Times New Roman;serif" w:hAnsi="Times New Roman;serif"/>
          <w:b/>
          <w:color w:val="000000"/>
          <w:sz w:val="20"/>
          <w:shd w:fill="FFFFFF" w:val="clear"/>
        </w:rPr>
        <w:t>T. Income Taxes</w:t>
      </w:r>
    </w:p>
    <w:p>
      <w:pPr>
        <w:pStyle w:val="TextBody"/>
        <w:bidi w:val="0"/>
        <w:spacing w:before="0" w:after="0"/>
        <w:ind w:left="0" w:right="0" w:hanging="720"/>
        <w:jc w:val="left"/>
        <w:rPr/>
      </w:pPr>
      <w:r>
        <w:rPr/>
      </w:r>
    </w:p>
    <w:p>
      <w:pPr>
        <w:pStyle w:val="TextBody"/>
        <w:bidi w:val="0"/>
        <w:spacing w:lineRule="auto" w:line="288" w:before="0" w:after="0"/>
        <w:jc w:val="left"/>
        <w:rPr/>
      </w:pPr>
      <w:r>
        <w:rPr>
          <w:rFonts w:ascii="Times New Roman;serif" w:hAnsi="Times New Roman;serif"/>
          <w:b w:val="false"/>
          <w:color w:val="000000"/>
          <w:sz w:val="20"/>
        </w:rPr>
        <w:t>The components of income before income taxes were as follows:</w:t>
      </w:r>
      <w:r>
        <w:rPr>
          <w:color w:val="000000"/>
        </w:rPr>
        <w:t> </w:t>
      </w:r>
    </w:p>
    <w:tbl>
      <w:tblPr>
        <w:tblW w:w="4033" w:type="dxa"/>
        <w:jc w:val="left"/>
        <w:tblInd w:w="0" w:type="dxa"/>
        <w:tblLayout w:type="fixed"/>
        <w:tblCellMar>
          <w:top w:w="28" w:type="dxa"/>
          <w:left w:w="28" w:type="dxa"/>
          <w:bottom w:w="28" w:type="dxa"/>
          <w:right w:w="28" w:type="dxa"/>
        </w:tblCellMar>
      </w:tblPr>
      <w:tblGrid>
        <w:gridCol w:w="271"/>
        <w:gridCol w:w="238"/>
        <w:gridCol w:w="242"/>
        <w:gridCol w:w="211"/>
        <w:gridCol w:w="616"/>
        <w:gridCol w:w="109"/>
        <w:gridCol w:w="109"/>
        <w:gridCol w:w="109"/>
        <w:gridCol w:w="109"/>
        <w:gridCol w:w="211"/>
        <w:gridCol w:w="541"/>
        <w:gridCol w:w="109"/>
        <w:gridCol w:w="109"/>
        <w:gridCol w:w="109"/>
        <w:gridCol w:w="109"/>
        <w:gridCol w:w="211"/>
        <w:gridCol w:w="466"/>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provision for income taxes consisted of the following:</w:t>
      </w:r>
      <w:r>
        <w:rPr>
          <w:color w:val="000000"/>
        </w:rPr>
        <w:t> </w:t>
      </w:r>
    </w:p>
    <w:tbl>
      <w:tblPr>
        <w:tblW w:w="4302" w:type="dxa"/>
        <w:jc w:val="left"/>
        <w:tblInd w:w="0" w:type="dxa"/>
        <w:tblLayout w:type="fixed"/>
        <w:tblCellMar>
          <w:top w:w="28" w:type="dxa"/>
          <w:left w:w="28" w:type="dxa"/>
          <w:bottom w:w="28" w:type="dxa"/>
          <w:right w:w="28" w:type="dxa"/>
        </w:tblCellMar>
      </w:tblPr>
      <w:tblGrid>
        <w:gridCol w:w="423"/>
        <w:gridCol w:w="372"/>
        <w:gridCol w:w="375"/>
        <w:gridCol w:w="211"/>
        <w:gridCol w:w="466"/>
        <w:gridCol w:w="109"/>
        <w:gridCol w:w="109"/>
        <w:gridCol w:w="109"/>
        <w:gridCol w:w="109"/>
        <w:gridCol w:w="211"/>
        <w:gridCol w:w="541"/>
        <w:gridCol w:w="109"/>
        <w:gridCol w:w="109"/>
        <w:gridCol w:w="109"/>
        <w:gridCol w:w="109"/>
        <w:gridCol w:w="211"/>
        <w:gridCol w:w="46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differs from the amount of income tax determined by applying the U.S. statutory federal income tax rate to pre-tax income as a result of the following items: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2"/>
        <w:gridCol w:w="2025"/>
        <w:gridCol w:w="2036"/>
        <w:gridCol w:w="363"/>
        <w:gridCol w:w="802"/>
        <w:gridCol w:w="187"/>
        <w:gridCol w:w="187"/>
        <w:gridCol w:w="187"/>
        <w:gridCol w:w="187"/>
        <w:gridCol w:w="522"/>
        <w:gridCol w:w="522"/>
        <w:gridCol w:w="745"/>
      </w:tblGrid>
      <w:tr>
        <w:trPr/>
        <w:tc>
          <w:tcPr>
            <w:tcW w:w="2442"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6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w:t>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statutory rate at 21%</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State taxes (a)</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Foreign Tax Effects</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incentives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changes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Effect of cross-border tax laws</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 net of credits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source income</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Nontaxable or nondeductible items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650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Change in unrecognized tax benefits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650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rPr/>
        <w:tc>
          <w:tcPr>
            <w:tcW w:w="6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w:t>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 The states that contribute to the majority (greater than 50%) of the effect of this category include Illinois, Minnesota, Pennsylvania, Virginia and Wisconsin. </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first quarter of 2025, the Company recognized an income tax benefit of $22, included in foreign source income above, after an internal reorganization which resulted in the release of deferred tax liabilities related to the foreign currency impact of certain intercompany debt instruments that were designated as hedges of the Company’s net investment in a euro-based subsidiary.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Company has not provided deferred taxes on earnings in certain non-U.S. subsidiaries because such earnings are indefinitely reinvested in its international operations. Upon distribution of such earnings in the form of dividends or otherwise, the Company may be subject to incremental foreign tax. It is not practicable to estimate the amount of foreign tax that might be payable.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tbl>
      <w:tblPr>
        <w:tblW w:w="5529" w:type="dxa"/>
        <w:jc w:val="left"/>
        <w:tblInd w:w="0" w:type="dxa"/>
        <w:tblLayout w:type="fixed"/>
        <w:tblCellMar>
          <w:top w:w="28" w:type="dxa"/>
          <w:left w:w="28" w:type="dxa"/>
          <w:bottom w:w="28" w:type="dxa"/>
          <w:right w:w="28" w:type="dxa"/>
        </w:tblCellMar>
      </w:tblPr>
      <w:tblGrid>
        <w:gridCol w:w="1295"/>
        <w:gridCol w:w="1143"/>
        <w:gridCol w:w="1147"/>
        <w:gridCol w:w="211"/>
        <w:gridCol w:w="466"/>
        <w:gridCol w:w="109"/>
        <w:gridCol w:w="109"/>
        <w:gridCol w:w="109"/>
        <w:gridCol w:w="109"/>
        <w:gridCol w:w="211"/>
        <w:gridCol w:w="466"/>
        <w:gridCol w:w="154"/>
      </w:tblGrid>
      <w:tr>
        <w:trPr/>
        <w:tc>
          <w:tcPr>
            <w:tcW w:w="129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statutory rate at 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foreign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taxes on foreign income, net of credits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changes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contingencies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law changes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benefits from certain incentives in Brazil which allow it to pay reduced income taxes. The incentives expire at various dates beginning in December 2026. These incentives increased net income attributable to the Company by $21 in 2025, $22 in 2024, and $20 in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2024, the Company recorded a gain of $275 related to the $338 distribution from the sale of the Eviosys equity method investment by KPS Capital Partners. The tax charge of $64 is included in U.S. taxes on foreign income, net of credits, as a portion of the distribution was taxable in the U.S. The distribution was non-taxable in Switzerland, and is shown as a reduction of taxes on foreign income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taxes paid, net of refunds, in 2025 by jurisdiction were as follows:</w:t>
      </w:r>
    </w:p>
    <w:tbl>
      <w:tblPr>
        <w:tblW w:w="3456" w:type="dxa"/>
        <w:jc w:val="left"/>
        <w:tblInd w:w="0" w:type="dxa"/>
        <w:tblLayout w:type="fixed"/>
        <w:tblCellMar>
          <w:top w:w="28" w:type="dxa"/>
          <w:left w:w="28" w:type="dxa"/>
          <w:bottom w:w="28" w:type="dxa"/>
          <w:right w:w="28" w:type="dxa"/>
        </w:tblCellMar>
      </w:tblPr>
      <w:tblGrid>
        <w:gridCol w:w="951"/>
        <w:gridCol w:w="836"/>
        <w:gridCol w:w="838"/>
        <w:gridCol w:w="211"/>
        <w:gridCol w:w="46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taxes paid, net of refunds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paid $80, $39, and $17 in Mexico, Brazil and Vietnam, respectively, in 2025, included in foreign taxes paid above. The Company paid tax</w:t>
      </w:r>
      <w:r>
        <w:rPr>
          <w:rFonts w:ascii="Times New Roman;serif" w:hAnsi="Times New Roman;serif"/>
          <w:b w:val="false"/>
          <w:color w:val="000000"/>
          <w:sz w:val="20"/>
          <w:shd w:fill="FFFFFF" w:val="clear"/>
        </w:rPr>
        <w:t>es of $398 and $262, respectively,</w:t>
      </w:r>
      <w:r>
        <w:rPr>
          <w:color w:val="000000"/>
        </w:rPr>
        <w:t xml:space="preserve"> </w:t>
      </w:r>
      <w:r>
        <w:rPr>
          <w:rFonts w:ascii="Times New Roman;serif" w:hAnsi="Times New Roman;serif"/>
          <w:b w:val="false"/>
          <w:color w:val="000000"/>
          <w:sz w:val="20"/>
        </w:rPr>
        <w:t>in 2024, and 2023.</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deferred taxes at December 31 were:</w:t>
      </w:r>
    </w:p>
    <w:tbl>
      <w:tblPr>
        <w:tblW w:w="8224" w:type="dxa"/>
        <w:jc w:val="left"/>
        <w:tblInd w:w="0" w:type="dxa"/>
        <w:tblLayout w:type="fixed"/>
        <w:tblCellMar>
          <w:top w:w="28" w:type="dxa"/>
          <w:left w:w="28" w:type="dxa"/>
          <w:bottom w:w="28" w:type="dxa"/>
          <w:right w:w="28" w:type="dxa"/>
        </w:tblCellMar>
      </w:tblPr>
      <w:tblGrid>
        <w:gridCol w:w="1351"/>
        <w:gridCol w:w="1188"/>
        <w:gridCol w:w="1195"/>
        <w:gridCol w:w="211"/>
        <w:gridCol w:w="466"/>
        <w:gridCol w:w="109"/>
        <w:gridCol w:w="109"/>
        <w:gridCol w:w="109"/>
        <w:gridCol w:w="109"/>
        <w:gridCol w:w="253"/>
        <w:gridCol w:w="560"/>
        <w:gridCol w:w="133"/>
        <w:gridCol w:w="109"/>
        <w:gridCol w:w="109"/>
        <w:gridCol w:w="109"/>
        <w:gridCol w:w="211"/>
        <w:gridCol w:w="466"/>
        <w:gridCol w:w="109"/>
        <w:gridCol w:w="109"/>
        <w:gridCol w:w="109"/>
        <w:gridCol w:w="109"/>
        <w:gridCol w:w="251"/>
        <w:gridCol w:w="555"/>
        <w:gridCol w:w="185"/>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carryforwards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Disallowed interest carryforwards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and postemployment benefits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Tax carryforwards expire as follows:</w:t>
      </w:r>
    </w:p>
    <w:tbl>
      <w:tblPr>
        <w:tblW w:w="2084" w:type="dxa"/>
        <w:jc w:val="left"/>
        <w:tblInd w:w="0" w:type="dxa"/>
        <w:tblLayout w:type="fixed"/>
        <w:tblCellMar>
          <w:top w:w="28" w:type="dxa"/>
          <w:left w:w="28" w:type="dxa"/>
          <w:bottom w:w="28" w:type="dxa"/>
          <w:right w:w="28" w:type="dxa"/>
        </w:tblCellMar>
      </w:tblPr>
      <w:tblGrid>
        <w:gridCol w:w="340"/>
        <w:gridCol w:w="300"/>
        <w:gridCol w:w="306"/>
        <w:gridCol w:w="109"/>
        <w:gridCol w:w="109"/>
        <w:gridCol w:w="109"/>
        <w:gridCol w:w="235"/>
        <w:gridCol w:w="403"/>
        <w:gridCol w:w="173"/>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Amount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Tax carryforwards expiring after 2030 include $46 of U.S. state tax loss carryforwards. The unlimited category includes $97 of French tax loss carryforwards and $27 of Luxembourg tax loss carryforwards. In addition, the Company has disallowed interest in the U.S. which can be carried forward indefinitely.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valuation allowances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include $63 related to the portion of U.S. state tax loss carryforwards that the Company does not believe are more likely than not to be utilized prior to their expiration. The Company’s ability to utilize state tax loss carryforwards is impacted by several factors including taxable income, expiration dates, limitations imposed by certain states on the amount of loss carryforwards that can be used in a given year to offset taxable income and whether the state permits the Company to file a combined return. In addition, the Company’s valuation allowances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includes $88 related to tax loss carryforwards in France.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Management’s estimate of the appropriate valuation allowance in any jurisdiction involves a number of assumptions and judgments, including the amount and timing of future taxable income. Should future results differ from management’s estimates, it is possible there could be future adjustments to the valuation allowances that would result in an increase or decrease in tax expense in the period such changes in estimates are made.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reconciliation of unrecognized tax benefits follows:</w:t>
      </w:r>
    </w:p>
    <w:tbl>
      <w:tblPr>
        <w:tblW w:w="6102" w:type="dxa"/>
        <w:jc w:val="left"/>
        <w:tblInd w:w="0" w:type="dxa"/>
        <w:tblLayout w:type="fixed"/>
        <w:tblCellMar>
          <w:top w:w="28" w:type="dxa"/>
          <w:left w:w="28" w:type="dxa"/>
          <w:bottom w:w="28" w:type="dxa"/>
          <w:right w:w="28" w:type="dxa"/>
        </w:tblCellMar>
      </w:tblPr>
      <w:tblGrid>
        <w:gridCol w:w="1216"/>
        <w:gridCol w:w="1070"/>
        <w:gridCol w:w="1074"/>
        <w:gridCol w:w="211"/>
        <w:gridCol w:w="361"/>
        <w:gridCol w:w="109"/>
        <w:gridCol w:w="109"/>
        <w:gridCol w:w="109"/>
        <w:gridCol w:w="109"/>
        <w:gridCol w:w="211"/>
        <w:gridCol w:w="361"/>
        <w:gridCol w:w="109"/>
        <w:gridCol w:w="109"/>
        <w:gridCol w:w="109"/>
        <w:gridCol w:w="109"/>
        <w:gridCol w:w="211"/>
        <w:gridCol w:w="361"/>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prior year tax positions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to prior period tax positions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statute of limitations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unrecognized tax benefits include potential liabilities related to transfer pricing, foreign withholding taxes, and non-deductibility of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total interest and penalties recorded in income tax expense was $2 in 2024 and 2023.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unrecognized tax benefits of $39, if recognized, would affect the Company’s effective tax rate.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tax years that remained subject to examination by major tax jurisdictions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were, 2010 and subsequent years for Germany; 2011 and subsequent years for Slovakia; 2013 and subsequent years for India; 2016 and subsequent years for Thailand and Vietnam; 2017 and subsequent years for Cambodia; 2019 and subsequent years for Luxembourg; 2020 and subsequent years for Mexico, Greece, and Italy; 2021 and subsequent years for Canada, Brazil, Spain, Singapore, and Turkey; 2022 and subsequent years for the U.S. and Switzerland; 2023 and subsequent years for France and Belgium; 2024 and subsequent years for the U.K. and Netherlands. In addition, tax authorities in certain jurisdictions</w:t>
      </w:r>
      <w:r>
        <w:rPr>
          <w:rFonts w:ascii="Times New Roman;serif" w:hAnsi="Times New Roman;serif"/>
          <w:b w:val="false"/>
          <w:color w:val="000000"/>
          <w:sz w:val="20"/>
        </w:rPr>
        <w:t xml:space="preserve">, including France </w:t>
      </w:r>
      <w:r>
        <w:rPr>
          <w:rFonts w:ascii="Times New Roman;serif" w:hAnsi="Times New Roman;serif"/>
          <w:b w:val="false"/>
          <w:color w:val="000000"/>
          <w:sz w:val="20"/>
          <w:shd w:fill="FFFFFF" w:val="clear"/>
        </w:rPr>
        <w:t xml:space="preserve">and the U.S., may examine earlier years when tax carryforwards that were generated in those years are subsequently utilized.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color w:val="000000"/>
          <w:sz w:val="20"/>
        </w:rPr>
      </w:pPr>
      <w:bookmarkStart w:id="43" w:name="ic14ae5082d4a4ffaa545f9abd03bc5f8"/>
      <w:bookmarkEnd w:id="43"/>
      <w:r>
        <w:rPr>
          <w:rFonts w:ascii="Times New Roman;serif" w:hAnsi="Times New Roman;serif"/>
          <w:b/>
          <w:color w:val="000000"/>
          <w:sz w:val="20"/>
        </w:rPr>
        <w:t>U. Capital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common share activity for the years ended December 31 follows (in shares):</w:t>
      </w:r>
    </w:p>
    <w:tbl>
      <w:tblPr>
        <w:tblW w:w="9658" w:type="dxa"/>
        <w:jc w:val="left"/>
        <w:tblInd w:w="0" w:type="dxa"/>
        <w:tblLayout w:type="fixed"/>
        <w:tblCellMar>
          <w:top w:w="28" w:type="dxa"/>
          <w:left w:w="28" w:type="dxa"/>
          <w:bottom w:w="28" w:type="dxa"/>
          <w:right w:w="28" w:type="dxa"/>
        </w:tblCellMar>
      </w:tblPr>
      <w:tblGrid>
        <w:gridCol w:w="1641"/>
        <w:gridCol w:w="1442"/>
        <w:gridCol w:w="1447"/>
        <w:gridCol w:w="109"/>
        <w:gridCol w:w="109"/>
        <w:gridCol w:w="109"/>
        <w:gridCol w:w="593"/>
        <w:gridCol w:w="593"/>
        <w:gridCol w:w="176"/>
        <w:gridCol w:w="109"/>
        <w:gridCol w:w="109"/>
        <w:gridCol w:w="109"/>
        <w:gridCol w:w="593"/>
        <w:gridCol w:w="593"/>
        <w:gridCol w:w="176"/>
        <w:gridCol w:w="109"/>
        <w:gridCol w:w="109"/>
        <w:gridCol w:w="109"/>
        <w:gridCol w:w="593"/>
        <w:gridCol w:w="593"/>
        <w:gridCol w:w="237"/>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118,503,631 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120,644,313 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119,945,302 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(5,373,432)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issued to employees,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820,343 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113,421,634 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118,503,631 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120,644,313 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declared and paid dividends of $1.04, $1.00 and $0.96 per share in 2025, 2024, and 2023, respectively. Additionally, on February 26, 2026, the Company’s Board of Directors declared a dividend of $0.35 per share payable on March 31, 2026, to shareholders of record as of March 17,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25, 2024, the Company’s Board of Directors authorized the repurchase of an aggregate amount of $2,000 of the Company’s common stock through the end of 2027. The new authorization supersedes the previous authorization announced in December 2021, which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uses the par value method of accounting for its stock repurchases. The excess of the fair value over par value is first charged to paid-in capital, if any, and then to retained earnings. The Company repurchased $505 of its shares during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not obligated to acquire any shares of its common stock and the share repurchase program may be suspended or terminated at any time at the Company’s discretion. Share repurchases are subject to the terms of the Company’s debt agreements, market conditions and other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has the authority to issue, at any time or from time to time, up to 30 million shares of preferred stock and has authority to fix the designations, number and voting rights, preferences, privileges, limitations, restrictions, conversion 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the Company’s common stock.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are payable when declared by the Company’s Board of Directors and in accordance with the restrictions set forth in the Company’s debt agreements. While the Company’s debt agreements impose restrictions on the Company’s ability to pay dividends and repurchase common stock, the debt agreements generally permit dividends and common stock repurchases provided that the Company is in compliance with applicable financial and other covenants and meets certain liquidity requirements.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color w:val="000000"/>
          <w:sz w:val="20"/>
        </w:rPr>
      </w:pPr>
      <w:bookmarkStart w:id="44" w:name="i6a2ca9870abb43f0b79ba1f50febc80d"/>
      <w:bookmarkEnd w:id="44"/>
      <w:r>
        <w:rPr>
          <w:rFonts w:ascii="Times New Roman;serif" w:hAnsi="Times New Roman;serif"/>
          <w:b/>
          <w:color w:val="000000"/>
          <w:sz w:val="20"/>
        </w:rPr>
        <w:t>V. Accumulated Other Comprehensive Loss Attributable to Crown Holdings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the changes in each component of accumulated other comprehensive loss for the years ended December 31, 2025 and 2024. </w:t>
      </w:r>
    </w:p>
    <w:tbl>
      <w:tblPr>
        <w:tblW w:w="10205" w:type="dxa"/>
        <w:jc w:val="left"/>
        <w:tblInd w:w="0" w:type="dxa"/>
        <w:tblLayout w:type="fixed"/>
        <w:tblCellMar>
          <w:top w:w="28" w:type="dxa"/>
          <w:left w:w="28" w:type="dxa"/>
          <w:bottom w:w="28" w:type="dxa"/>
          <w:right w:w="28" w:type="dxa"/>
        </w:tblCellMar>
      </w:tblPr>
      <w:tblGrid>
        <w:gridCol w:w="1482"/>
        <w:gridCol w:w="1110"/>
        <w:gridCol w:w="1076"/>
        <w:gridCol w:w="109"/>
        <w:gridCol w:w="109"/>
        <w:gridCol w:w="109"/>
        <w:gridCol w:w="337"/>
        <w:gridCol w:w="837"/>
        <w:gridCol w:w="174"/>
        <w:gridCol w:w="109"/>
        <w:gridCol w:w="109"/>
        <w:gridCol w:w="109"/>
        <w:gridCol w:w="363"/>
        <w:gridCol w:w="1173"/>
        <w:gridCol w:w="187"/>
        <w:gridCol w:w="109"/>
        <w:gridCol w:w="109"/>
        <w:gridCol w:w="109"/>
        <w:gridCol w:w="349"/>
        <w:gridCol w:w="597"/>
        <w:gridCol w:w="180"/>
        <w:gridCol w:w="109"/>
        <w:gridCol w:w="109"/>
        <w:gridCol w:w="109"/>
        <w:gridCol w:w="211"/>
        <w:gridCol w:w="662"/>
        <w:gridCol w:w="159"/>
      </w:tblGrid>
      <w:tr>
        <w:trPr/>
        <w:tc>
          <w:tcPr>
            <w:tcW w:w="148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See </w:t>
      </w:r>
      <w:hyperlink w:anchor="i52f6ed3525d042f787f54b954ed2f9f2_124">
        <w:r>
          <w:rPr>
            <w:rStyle w:val="InternetLink"/>
            <w:rFonts w:ascii="Times New Roman;serif" w:hAnsi="Times New Roman;serif"/>
            <w:b w:val="false"/>
            <w:color w:val="0000FF"/>
            <w:sz w:val="20"/>
            <w:u w:val="single"/>
          </w:rPr>
          <w:t>Note O</w:t>
        </w:r>
      </w:hyperlink>
      <w:r>
        <w:rPr>
          <w:color w:val="000000"/>
        </w:rPr>
        <w:t xml:space="preserve"> </w:t>
      </w:r>
      <w:r>
        <w:rPr>
          <w:rFonts w:ascii="Times New Roman;serif" w:hAnsi="Times New Roman;serif"/>
          <w:b w:val="false"/>
          <w:color w:val="000000"/>
          <w:sz w:val="20"/>
        </w:rPr>
        <w:t xml:space="preserve">and </w:t>
      </w:r>
      <w:hyperlink w:anchor="i52f6ed3525d042f787f54b954ed2f9f2_136">
        <w:r>
          <w:rPr>
            <w:rStyle w:val="InternetLink"/>
            <w:rFonts w:ascii="Times New Roman;serif" w:hAnsi="Times New Roman;serif"/>
            <w:b w:val="false"/>
            <w:color w:val="0000FF"/>
            <w:sz w:val="20"/>
            <w:u w:val="single"/>
          </w:rPr>
          <w:t>Note S</w:t>
        </w:r>
      </w:hyperlink>
      <w:r>
        <w:rPr>
          <w:color w:val="000000"/>
        </w:rPr>
        <w:t xml:space="preserve"> </w:t>
      </w:r>
      <w:r>
        <w:rPr>
          <w:rFonts w:ascii="Times New Roman;serif" w:hAnsi="Times New Roman;serif"/>
          <w:b w:val="false"/>
          <w:color w:val="000000"/>
          <w:sz w:val="20"/>
        </w:rPr>
        <w:t xml:space="preserve">for further details of amounts reclassified from accumulated other comprehensive income related to cash flow hedges and defined benefit plans.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45" w:name="i1c8bdd77cd534def98f575a14053f498"/>
      <w:bookmarkEnd w:id="45"/>
      <w:r>
        <w:rPr>
          <w:rFonts w:ascii="Times New Roman;serif" w:hAnsi="Times New Roman;serif"/>
          <w:b/>
          <w:color w:val="000000"/>
          <w:sz w:val="20"/>
        </w:rPr>
        <w:t>W. Revenue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the years ended December 31, 2025, 2024, and 2023, the </w:t>
      </w:r>
      <w:r>
        <w:rPr>
          <w:rFonts w:ascii="Times New Roman;serif" w:hAnsi="Times New Roman;serif"/>
          <w:b w:val="false"/>
          <w:color w:val="000000"/>
          <w:sz w:val="20"/>
          <w:shd w:fill="FFFFFF" w:val="clear"/>
        </w:rPr>
        <w:t>Company recognized revenue as follows:</w:t>
      </w:r>
    </w:p>
    <w:tbl>
      <w:tblPr>
        <w:tblW w:w="7031" w:type="dxa"/>
        <w:jc w:val="left"/>
        <w:tblInd w:w="0" w:type="dxa"/>
        <w:tblLayout w:type="fixed"/>
        <w:tblCellMar>
          <w:top w:w="28" w:type="dxa"/>
          <w:left w:w="28" w:type="dxa"/>
          <w:bottom w:w="28" w:type="dxa"/>
          <w:right w:w="28" w:type="dxa"/>
        </w:tblCellMar>
      </w:tblPr>
      <w:tblGrid>
        <w:gridCol w:w="1163"/>
        <w:gridCol w:w="1022"/>
        <w:gridCol w:w="1024"/>
        <w:gridCol w:w="211"/>
        <w:gridCol w:w="721"/>
        <w:gridCol w:w="109"/>
        <w:gridCol w:w="109"/>
        <w:gridCol w:w="109"/>
        <w:gridCol w:w="109"/>
        <w:gridCol w:w="211"/>
        <w:gridCol w:w="721"/>
        <w:gridCol w:w="109"/>
        <w:gridCol w:w="109"/>
        <w:gridCol w:w="109"/>
        <w:gridCol w:w="109"/>
        <w:gridCol w:w="211"/>
        <w:gridCol w:w="72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rPr>
        <w:t xml:space="preserve">See </w:t>
      </w:r>
      <w:hyperlink w:anchor="i52f6ed3525d042f787f54b954ed2f9f2_157">
        <w:r>
          <w:rPr>
            <w:rStyle w:val="InternetLink"/>
            <w:rFonts w:ascii="Times New Roman;serif" w:hAnsi="Times New Roman;serif"/>
            <w:b w:val="false"/>
            <w:color w:val="0000FF"/>
            <w:sz w:val="20"/>
            <w:u w:val="single"/>
          </w:rPr>
          <w:t>Note Z</w:t>
        </w:r>
      </w:hyperlink>
      <w:r>
        <w:rPr>
          <w:color w:val="000000"/>
        </w:rPr>
        <w:t xml:space="preserve"> </w:t>
      </w:r>
      <w:r>
        <w:rPr>
          <w:rFonts w:ascii="Times New Roman;serif" w:hAnsi="Times New Roman;serif"/>
          <w:b w:val="false"/>
          <w:color w:val="000000"/>
          <w:sz w:val="20"/>
        </w:rPr>
        <w:t xml:space="preserve">for further disaggregation of the Company’s revenue.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applied the practical expedient to exclude disclosure of remaining performance obligations as its binding orders typically have a term of one year or less.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are typically recognized for work in process related to the Company’s three-piece printed products and equipment business. Contract assets and liabilities are reported in a net position on a contract-by-contract basis. The Company had net contract assets of $30 and $9, respectively, as of December 31, 2025 and 2024 included in prepaid and other current assets. For the year ended December 31, 2025, the Company satisfied performance obligations related to contract assets at December 31, 2024 and also recorded new contract assets primarily related to work in process for the equipment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46" w:name="i5da3ed039a97430fb7f2298a6a2568f1"/>
      <w:bookmarkEnd w:id="46"/>
      <w:r>
        <w:rPr>
          <w:rFonts w:ascii="Times New Roman;serif" w:hAnsi="Times New Roman;serif"/>
          <w:b/>
          <w:color w:val="000000"/>
          <w:sz w:val="20"/>
        </w:rPr>
        <w:t>X. Stock-Based Compensation</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shareholder-approved stock-based incentive compensation plans provide for the granting of awards in the form of stock options, deferred stock, restricted stock, or stock appreciation rights (“SARs”). The awards may be subject to the achievement of certain performance goals as determined by the Compensation Committee designated by the Company’s Board of Directors. There have been no awards of SARs. In April 2022, the Company’s shareholders approved the 2022 Stock-Based Incentive Plan which allowed for a total of 2.8 million shares to be issued under future awards. At December 31, 2025, there were 3.1 million authorized shares available for future awards under the 2013 and 2022 Stock-Based Incentive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Restricted and Deferred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Annually, the Company awards shares of restricted stock to certain senior executives in the form of time-vesting restricted stock and performance-based shares. The time-vesting restricted stock vests ratably over three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performance-based share awards are subject to either a market condition or a performance condition. For awards subject to a market condition, the metric is the Company’s Total Shareholder Return (“TSR”), which includes share price appreciation and dividends paid, during the three-year term of the award measured against the TSR of a peer group of companies. For awards subject to a performance condition, the metric is the Company’s average return on invested capital over the three-year term.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performance-based shares cliff vest at the end of three years. The number of performance-based shares that will ultimately vest is based on the level of performance achieved, ranging between 0% and 200% of the shares originally awarded, and is settled in shares of common stock. Participants who terminate employment because of disability, death or, subject to Company approval, retirement, receive accelerated vesting of their service condition to the date of termination and, if approved, performance restrictions lapse on the original vesting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issues shares of time-vesting restricted stock to U.S. employees and deferred stock to non-U.S. employees which vest ratably over three to five years.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restricted and deferred stock activity follows:</w:t>
      </w:r>
    </w:p>
    <w:tbl>
      <w:tblPr>
        <w:tblW w:w="6042" w:type="dxa"/>
        <w:jc w:val="left"/>
        <w:tblInd w:w="0" w:type="dxa"/>
        <w:tblLayout w:type="fixed"/>
        <w:tblCellMar>
          <w:top w:w="28" w:type="dxa"/>
          <w:left w:w="28" w:type="dxa"/>
          <w:bottom w:w="28" w:type="dxa"/>
          <w:right w:w="28" w:type="dxa"/>
        </w:tblCellMar>
      </w:tblPr>
      <w:tblGrid>
        <w:gridCol w:w="1602"/>
        <w:gridCol w:w="1409"/>
        <w:gridCol w:w="1413"/>
        <w:gridCol w:w="488"/>
        <w:gridCol w:w="488"/>
        <w:gridCol w:w="642"/>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shares outstanding at January 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1,330,277 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Time-vesting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238,036 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155,589 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Time-vesting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(293,208)</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(30,310)</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Time-vesting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(95,899)</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(53,271)</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shares outstanding at December 31,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1,251,214 </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average grant-date fair value of restricted stock awarded in 2025, 2024, and 2023 follows:</w:t>
      </w:r>
    </w:p>
    <w:p>
      <w:pPr>
        <w:pStyle w:val="TextBody"/>
        <w:bidi w:val="0"/>
        <w:spacing w:before="0" w:after="0"/>
        <w:ind w:left="0" w:right="0" w:hanging="720"/>
        <w:jc w:val="left"/>
        <w:rPr/>
      </w:pPr>
      <w:r>
        <w:rPr/>
      </w:r>
    </w:p>
    <w:tbl>
      <w:tblPr>
        <w:tblW w:w="5158" w:type="dxa"/>
        <w:jc w:val="left"/>
        <w:tblInd w:w="0" w:type="dxa"/>
        <w:tblLayout w:type="fixed"/>
        <w:tblCellMar>
          <w:top w:w="28" w:type="dxa"/>
          <w:left w:w="28" w:type="dxa"/>
          <w:bottom w:w="28" w:type="dxa"/>
          <w:right w:w="28" w:type="dxa"/>
        </w:tblCellMar>
      </w:tblPr>
      <w:tblGrid>
        <w:gridCol w:w="597"/>
        <w:gridCol w:w="525"/>
        <w:gridCol w:w="529"/>
        <w:gridCol w:w="211"/>
        <w:gridCol w:w="616"/>
        <w:gridCol w:w="109"/>
        <w:gridCol w:w="109"/>
        <w:gridCol w:w="109"/>
        <w:gridCol w:w="109"/>
        <w:gridCol w:w="211"/>
        <w:gridCol w:w="616"/>
        <w:gridCol w:w="109"/>
        <w:gridCol w:w="109"/>
        <w:gridCol w:w="109"/>
        <w:gridCol w:w="109"/>
        <w:gridCol w:w="211"/>
        <w:gridCol w:w="61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Time-vesting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the performance-based awards that include a market condition were calculated using a Monte Carlo valuation model and the following weighted average assumptions:</w:t>
      </w:r>
    </w:p>
    <w:tbl>
      <w:tblPr>
        <w:tblW w:w="5734" w:type="dxa"/>
        <w:jc w:val="left"/>
        <w:tblInd w:w="0" w:type="dxa"/>
        <w:tblLayout w:type="fixed"/>
        <w:tblCellMar>
          <w:top w:w="28" w:type="dxa"/>
          <w:left w:w="28" w:type="dxa"/>
          <w:bottom w:w="28" w:type="dxa"/>
          <w:right w:w="28" w:type="dxa"/>
        </w:tblCellMar>
      </w:tblPr>
      <w:tblGrid>
        <w:gridCol w:w="950"/>
        <w:gridCol w:w="834"/>
        <w:gridCol w:w="840"/>
        <w:gridCol w:w="255"/>
        <w:gridCol w:w="256"/>
        <w:gridCol w:w="292"/>
        <w:gridCol w:w="109"/>
        <w:gridCol w:w="109"/>
        <w:gridCol w:w="109"/>
        <w:gridCol w:w="255"/>
        <w:gridCol w:w="256"/>
        <w:gridCol w:w="292"/>
        <w:gridCol w:w="109"/>
        <w:gridCol w:w="109"/>
        <w:gridCol w:w="109"/>
        <w:gridCol w:w="255"/>
        <w:gridCol w:w="256"/>
        <w:gridCol w:w="339"/>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unrecognized compensation cost related to outstanding restricted and deferred stock was $62. The weighted average period over which the expense is expected to be recognized is 1.8 years. The aggregate market value of the shares released on the vesting dates was $31 in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bookmarkStart w:id="47" w:name="i8313aa0151ad4c93bf63032629cea218"/>
      <w:bookmarkEnd w:id="47"/>
      <w:r>
        <w:rPr>
          <w:rFonts w:ascii="Times New Roman;serif" w:hAnsi="Times New Roman;serif"/>
          <w:b/>
          <w:color w:val="000000"/>
          <w:sz w:val="20"/>
        </w:rPr>
        <w:t>Y. Earnings Per Share</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basic and diluted earnings per share ("EPS"). Basic EPS excludes all potentially dilutive securities and is computed by dividing net income attributable to Crown Holdings by the weighted average number of common shares outstanding during the period. Diluted EPS includes the effect of restricted stock, when dilutive, as calculated under the treasury stock method.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tbl>
      <w:tblPr>
        <w:tblW w:w="10205" w:type="dxa"/>
        <w:jc w:val="left"/>
        <w:tblInd w:w="0" w:type="dxa"/>
        <w:tblLayout w:type="fixed"/>
        <w:tblCellMar>
          <w:top w:w="28" w:type="dxa"/>
          <w:left w:w="28" w:type="dxa"/>
          <w:bottom w:w="28" w:type="dxa"/>
          <w:right w:w="28" w:type="dxa"/>
        </w:tblCellMar>
      </w:tblPr>
      <w:tblGrid>
        <w:gridCol w:w="2580"/>
        <w:gridCol w:w="2210"/>
        <w:gridCol w:w="2221"/>
        <w:gridCol w:w="211"/>
        <w:gridCol w:w="511"/>
        <w:gridCol w:w="109"/>
        <w:gridCol w:w="109"/>
        <w:gridCol w:w="109"/>
        <w:gridCol w:w="109"/>
        <w:gridCol w:w="211"/>
        <w:gridCol w:w="511"/>
        <w:gridCol w:w="109"/>
        <w:gridCol w:w="109"/>
        <w:gridCol w:w="109"/>
        <w:gridCol w:w="109"/>
        <w:gridCol w:w="211"/>
        <w:gridCol w:w="511"/>
        <w:gridCol w:w="156"/>
      </w:tblGrid>
      <w:tr>
        <w:trPr/>
        <w:tc>
          <w:tcPr>
            <w:tcW w:w="258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Crown Holdings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restricted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Contingently issuable shares excluded from the computation of diluted earnings per share because the effect would have been anti-dilutive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color w:val="000000"/>
          <w:sz w:val="20"/>
        </w:rPr>
      </w:pPr>
      <w:bookmarkStart w:id="48" w:name="ice4c3c33a8634e5c8ed8d84e7e073040"/>
      <w:bookmarkEnd w:id="48"/>
      <w:r>
        <w:rPr>
          <w:rFonts w:ascii="Times New Roman;serif" w:hAnsi="Times New Roman;serif"/>
          <w:b/>
          <w:color w:val="000000"/>
          <w:sz w:val="20"/>
        </w:rPr>
        <w:t>Z. Segment Information</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business is generally organized by product line and geography. The Company has determined that it has the following reportable segments: Americas Beverage, European Beverage, Asia Pacific, and Transit Packaging. Other includes the Company’s North America tinplate businesses: food can, aerosol can, and closures, and beverage tooling and equipment operations in the U.S. and U.K.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w:t>
      </w:r>
      <w:r>
        <w:rPr>
          <w:rFonts w:ascii="Times New Roman;serif" w:hAnsi="Times New Roman;serif"/>
          <w:b w:val="false"/>
          <w:color w:val="000000"/>
          <w:sz w:val="20"/>
        </w:rPr>
        <w:t>ompany’s chief operating decision maker ("CODM") is the Chairman of the Board, President and Chief Executive Officer. Segment income is used by the CODM to allocate resources, including capital expenditures, and to evaluate operating performance against budgets and forecasts. Segment income is used to assess profitability and to support decision</w:t>
        <w:noBreakHyphen/>
        <w:t>making related to strategic initiatives and capital investments across reportable segments.</w:t>
      </w:r>
      <w:r>
        <w:rPr>
          <w:color w:val="000000"/>
          <w:shd w:fill="FFFFFF" w:val="clear"/>
        </w:rPr>
        <w:t xml:space="preserve"> </w:t>
      </w:r>
      <w:r>
        <w:rPr>
          <w:rFonts w:ascii="Times New Roman;serif" w:hAnsi="Times New Roman;serif"/>
          <w:b w:val="false"/>
          <w:color w:val="000000"/>
          <w:sz w:val="20"/>
          <w:shd w:fill="FFFFFF" w:val="clear"/>
        </w:rPr>
        <w:t>Segment income, which is not a defined term under GAAP, is defined by the Company as income from operations adjusted to exclude intangi</w:t>
      </w:r>
      <w:r>
        <w:rPr>
          <w:rFonts w:ascii="Times New Roman;serif" w:hAnsi="Times New Roman;serif"/>
          <w:b w:val="false"/>
          <w:color w:val="000000"/>
          <w:sz w:val="20"/>
        </w:rPr>
        <w:t xml:space="preserve">bles amortization charges, restructuring and other and the impact of fair value adjustments related to inventory acquired in an acquisition. Segment income includes cost of products sold, depreciation, and general selling and administrative expenses. Segment income should not be considered in isolation or as a substitute for net income data prepared in accordance with GAAP and may not be comparable to calculations of similarly titled measures by other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information about operating segments for the three years ended December 31, 2025, 2024, and 2023:</w:t>
      </w:r>
    </w:p>
    <w:p>
      <w:pPr>
        <w:pStyle w:val="TextBody"/>
        <w:bidi w:val="0"/>
        <w:spacing w:before="0" w:after="0"/>
        <w:jc w:val="both"/>
        <w:rPr/>
      </w:pPr>
      <w:r>
        <w:rPr/>
      </w:r>
    </w:p>
    <w:tbl>
      <w:tblPr>
        <w:tblW w:w="9187" w:type="dxa"/>
        <w:jc w:val="left"/>
        <w:tblInd w:w="0" w:type="dxa"/>
        <w:tblLayout w:type="fixed"/>
        <w:tblCellMar>
          <w:top w:w="28" w:type="dxa"/>
          <w:left w:w="28" w:type="dxa"/>
          <w:bottom w:w="28" w:type="dxa"/>
          <w:right w:w="28" w:type="dxa"/>
        </w:tblCellMar>
      </w:tblPr>
      <w:tblGrid>
        <w:gridCol w:w="998"/>
        <w:gridCol w:w="875"/>
        <w:gridCol w:w="886"/>
        <w:gridCol w:w="211"/>
        <w:gridCol w:w="721"/>
        <w:gridCol w:w="109"/>
        <w:gridCol w:w="109"/>
        <w:gridCol w:w="109"/>
        <w:gridCol w:w="109"/>
        <w:gridCol w:w="211"/>
        <w:gridCol w:w="466"/>
        <w:gridCol w:w="109"/>
        <w:gridCol w:w="109"/>
        <w:gridCol w:w="109"/>
        <w:gridCol w:w="109"/>
        <w:gridCol w:w="310"/>
        <w:gridCol w:w="685"/>
        <w:gridCol w:w="161"/>
        <w:gridCol w:w="109"/>
        <w:gridCol w:w="109"/>
        <w:gridCol w:w="109"/>
        <w:gridCol w:w="310"/>
        <w:gridCol w:w="685"/>
        <w:gridCol w:w="161"/>
        <w:gridCol w:w="109"/>
        <w:gridCol w:w="109"/>
        <w:gridCol w:w="109"/>
        <w:gridCol w:w="211"/>
        <w:gridCol w:w="61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2025</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182" w:type="dxa"/>
        <w:jc w:val="left"/>
        <w:tblInd w:w="0" w:type="dxa"/>
        <w:tblLayout w:type="fixed"/>
        <w:tblCellMar>
          <w:top w:w="28" w:type="dxa"/>
          <w:left w:w="28" w:type="dxa"/>
          <w:bottom w:w="28" w:type="dxa"/>
          <w:right w:w="28" w:type="dxa"/>
        </w:tblCellMar>
      </w:tblPr>
      <w:tblGrid>
        <w:gridCol w:w="998"/>
        <w:gridCol w:w="875"/>
        <w:gridCol w:w="886"/>
        <w:gridCol w:w="211"/>
        <w:gridCol w:w="721"/>
        <w:gridCol w:w="109"/>
        <w:gridCol w:w="109"/>
        <w:gridCol w:w="109"/>
        <w:gridCol w:w="109"/>
        <w:gridCol w:w="226"/>
        <w:gridCol w:w="436"/>
        <w:gridCol w:w="119"/>
        <w:gridCol w:w="109"/>
        <w:gridCol w:w="109"/>
        <w:gridCol w:w="109"/>
        <w:gridCol w:w="310"/>
        <w:gridCol w:w="685"/>
        <w:gridCol w:w="161"/>
        <w:gridCol w:w="109"/>
        <w:gridCol w:w="109"/>
        <w:gridCol w:w="109"/>
        <w:gridCol w:w="310"/>
        <w:gridCol w:w="685"/>
        <w:gridCol w:w="161"/>
        <w:gridCol w:w="109"/>
        <w:gridCol w:w="109"/>
        <w:gridCol w:w="109"/>
        <w:gridCol w:w="211"/>
        <w:gridCol w:w="61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2024</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tbl>
      <w:tblPr>
        <w:tblW w:w="9187" w:type="dxa"/>
        <w:jc w:val="left"/>
        <w:tblInd w:w="0" w:type="dxa"/>
        <w:tblLayout w:type="fixed"/>
        <w:tblCellMar>
          <w:top w:w="28" w:type="dxa"/>
          <w:left w:w="28" w:type="dxa"/>
          <w:bottom w:w="28" w:type="dxa"/>
          <w:right w:w="28" w:type="dxa"/>
        </w:tblCellMar>
      </w:tblPr>
      <w:tblGrid>
        <w:gridCol w:w="998"/>
        <w:gridCol w:w="875"/>
        <w:gridCol w:w="886"/>
        <w:gridCol w:w="211"/>
        <w:gridCol w:w="721"/>
        <w:gridCol w:w="109"/>
        <w:gridCol w:w="109"/>
        <w:gridCol w:w="109"/>
        <w:gridCol w:w="109"/>
        <w:gridCol w:w="211"/>
        <w:gridCol w:w="466"/>
        <w:gridCol w:w="109"/>
        <w:gridCol w:w="109"/>
        <w:gridCol w:w="109"/>
        <w:gridCol w:w="109"/>
        <w:gridCol w:w="310"/>
        <w:gridCol w:w="685"/>
        <w:gridCol w:w="161"/>
        <w:gridCol w:w="109"/>
        <w:gridCol w:w="109"/>
        <w:gridCol w:w="109"/>
        <w:gridCol w:w="310"/>
        <w:gridCol w:w="685"/>
        <w:gridCol w:w="161"/>
        <w:gridCol w:w="109"/>
        <w:gridCol w:w="109"/>
        <w:gridCol w:w="109"/>
        <w:gridCol w:w="211"/>
        <w:gridCol w:w="61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2023</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does not disclose total assets by segment as it is not provided to the chief operating decision maker.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sales primarily include cans, ends, and parts and equipment used in the manufacturing process.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unallocated items include corporate and administrative costs, research and development, and unallocated items such as stock-based compensation and insurance costs.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reconciliation of segment income of reportable segments to income before income taxes for the three years ended December 31, 2025, 2024, and 2023 follows:</w:t>
      </w:r>
    </w:p>
    <w:tbl>
      <w:tblPr>
        <w:tblW w:w="9012" w:type="dxa"/>
        <w:jc w:val="left"/>
        <w:tblInd w:w="0" w:type="dxa"/>
        <w:tblLayout w:type="fixed"/>
        <w:tblCellMar>
          <w:top w:w="28" w:type="dxa"/>
          <w:left w:w="28" w:type="dxa"/>
          <w:bottom w:w="28" w:type="dxa"/>
          <w:right w:w="28" w:type="dxa"/>
        </w:tblCellMar>
      </w:tblPr>
      <w:tblGrid>
        <w:gridCol w:w="1990"/>
        <w:gridCol w:w="1752"/>
        <w:gridCol w:w="1763"/>
        <w:gridCol w:w="211"/>
        <w:gridCol w:w="616"/>
        <w:gridCol w:w="109"/>
        <w:gridCol w:w="109"/>
        <w:gridCol w:w="109"/>
        <w:gridCol w:w="109"/>
        <w:gridCol w:w="211"/>
        <w:gridCol w:w="616"/>
        <w:gridCol w:w="109"/>
        <w:gridCol w:w="109"/>
        <w:gridCol w:w="109"/>
        <w:gridCol w:w="109"/>
        <w:gridCol w:w="211"/>
        <w:gridCol w:w="616"/>
        <w:gridCol w:w="154"/>
      </w:tblGrid>
      <w:tr>
        <w:trPr/>
        <w:tc>
          <w:tcPr>
            <w:tcW w:w="199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of reportable segments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early extinguishments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earnings of affiliates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2023, intercompany profit of $2 and $13 was eliminated within segment income of other.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one customer accounted for approximately 12%, 12%, and 11%, respectively, of the Company’s consolidated net sales, and another customer accounted for approximately 11%, 12%, and 12%, respectively. These customers are global beverage companies served by the Company’s beverage operations in the Americas, Europe, and Asia.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by major product were:</w:t>
      </w:r>
    </w:p>
    <w:tbl>
      <w:tblPr>
        <w:tblW w:w="6371" w:type="dxa"/>
        <w:jc w:val="left"/>
        <w:tblInd w:w="0" w:type="dxa"/>
        <w:tblLayout w:type="fixed"/>
        <w:tblCellMar>
          <w:top w:w="28" w:type="dxa"/>
          <w:left w:w="28" w:type="dxa"/>
          <w:bottom w:w="28" w:type="dxa"/>
          <w:right w:w="28" w:type="dxa"/>
        </w:tblCellMar>
      </w:tblPr>
      <w:tblGrid>
        <w:gridCol w:w="923"/>
        <w:gridCol w:w="810"/>
        <w:gridCol w:w="816"/>
        <w:gridCol w:w="211"/>
        <w:gridCol w:w="721"/>
        <w:gridCol w:w="109"/>
        <w:gridCol w:w="109"/>
        <w:gridCol w:w="109"/>
        <w:gridCol w:w="109"/>
        <w:gridCol w:w="211"/>
        <w:gridCol w:w="721"/>
        <w:gridCol w:w="109"/>
        <w:gridCol w:w="109"/>
        <w:gridCol w:w="109"/>
        <w:gridCol w:w="109"/>
        <w:gridCol w:w="211"/>
        <w:gridCol w:w="721"/>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beverage cans and ends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food cans and 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metal packaging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sales and long-lived asset information for the major countries in which the Company operates. Long-lived assets comprises property, plant, and equipment.</w:t>
      </w:r>
    </w:p>
    <w:tbl>
      <w:tblPr>
        <w:tblW w:w="7833" w:type="dxa"/>
        <w:jc w:val="left"/>
        <w:tblInd w:w="0" w:type="dxa"/>
        <w:tblLayout w:type="fixed"/>
        <w:tblCellMar>
          <w:top w:w="28" w:type="dxa"/>
          <w:left w:w="28" w:type="dxa"/>
          <w:bottom w:w="28" w:type="dxa"/>
          <w:right w:w="28" w:type="dxa"/>
        </w:tblCellMar>
      </w:tblPr>
      <w:tblGrid>
        <w:gridCol w:w="539"/>
        <w:gridCol w:w="472"/>
        <w:gridCol w:w="47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Long-Lived Assets</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center"/>
        <w:rPr>
          <w:rFonts w:ascii="Times New Roman;serif" w:hAnsi="Times New Roman;serif"/>
          <w:b w:val="false"/>
          <w:color w:val="000000"/>
          <w:sz w:val="20"/>
          <w:u w:val="single"/>
          <w:shd w:fill="FFFFFF" w:val="clear"/>
        </w:rPr>
      </w:pPr>
      <w:bookmarkStart w:id="49" w:name="iab88eef5125546b28da0a1f924361b7a"/>
      <w:bookmarkEnd w:id="49"/>
      <w:r>
        <w:rPr>
          <w:rFonts w:ascii="Times New Roman;serif" w:hAnsi="Times New Roman;serif"/>
          <w:b w:val="false"/>
          <w:color w:val="000000"/>
          <w:sz w:val="20"/>
          <w:u w:val="single"/>
          <w:shd w:fill="FFFFFF" w:val="clear"/>
        </w:rPr>
        <w:t>SCHEDULE II – Valuation and Qualifying Accounts and Reserves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001"/>
        <w:gridCol w:w="870"/>
        <w:gridCol w:w="852"/>
        <w:gridCol w:w="384"/>
        <w:gridCol w:w="384"/>
        <w:gridCol w:w="388"/>
        <w:gridCol w:w="558"/>
        <w:gridCol w:w="558"/>
        <w:gridCol w:w="560"/>
        <w:gridCol w:w="383"/>
        <w:gridCol w:w="383"/>
        <w:gridCol w:w="395"/>
        <w:gridCol w:w="379"/>
        <w:gridCol w:w="379"/>
        <w:gridCol w:w="383"/>
        <w:gridCol w:w="370"/>
        <w:gridCol w:w="370"/>
        <w:gridCol w:w="371"/>
        <w:gridCol w:w="360"/>
        <w:gridCol w:w="360"/>
        <w:gridCol w:w="517"/>
      </w:tblGrid>
      <w:tr>
        <w:trPr/>
        <w:tc>
          <w:tcPr>
            <w:tcW w:w="100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COLUMN A</w:t>
            </w:r>
          </w:p>
        </w:tc>
        <w:tc>
          <w:tcPr>
            <w:tcW w:w="11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COLUMN B</w:t>
            </w:r>
          </w:p>
        </w:tc>
        <w:tc>
          <w:tcPr>
            <w:tcW w:w="28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COLUMN C</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COLUMN D</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COLUMN E</w:t>
            </w:r>
          </w:p>
        </w:tc>
        <w:tc>
          <w:tcPr>
            <w:tcW w:w="12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COLUMN F</w:t>
            </w:r>
          </w:p>
        </w:tc>
      </w:tr>
      <w:tr>
        <w:trPr/>
        <w:tc>
          <w:tcPr>
            <w:tcW w:w="27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7"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7"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w:t>
              <w:br/>
              <w:t>beginning of</w:t>
              <w:br/>
              <w:t>period</w:t>
            </w:r>
          </w:p>
        </w:tc>
        <w:tc>
          <w:tcPr>
            <w:tcW w:w="1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Charged to costs and expense</w:t>
            </w:r>
          </w:p>
        </w:tc>
        <w:tc>
          <w:tcPr>
            <w:tcW w:w="11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Charged to</w:t>
              <w:br/>
              <w:t>other  accounts</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Deductions</w:t>
              <w:br/>
              <w:t>– write-offs</w:t>
            </w:r>
          </w:p>
        </w:tc>
        <w:tc>
          <w:tcPr>
            <w:tcW w:w="12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w:t>
              <w:br/>
              <w:t>end of period</w:t>
            </w:r>
          </w:p>
        </w:tc>
      </w:tr>
      <w:tr>
        <w:trPr/>
        <w:tc>
          <w:tcPr>
            <w:tcW w:w="2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 the year ended December 31, 2025</w:t>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deducted from assets to which they apply:</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 the year ended December 31, 2024</w:t>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deducted from assets to which they apply:</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 the year ended December 31, 2023</w:t>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deducted from assets to which they apply:</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810"/>
        <w:jc w:val="both"/>
        <w:rPr>
          <w:rFonts w:ascii="Times New Roman;serif" w:hAnsi="Times New Roman;serif"/>
          <w:b w:val="false"/>
          <w:color w:val="000000"/>
          <w:sz w:val="20"/>
          <w:u w:val="single"/>
        </w:rPr>
      </w:pPr>
      <w:bookmarkStart w:id="50" w:name="i77684e28a12a4e3b9e310cbc54efff4b"/>
      <w:bookmarkEnd w:id="50"/>
      <w:r>
        <w:rPr>
          <w:rFonts w:ascii="Times New Roman;serif" w:hAnsi="Times New Roman;serif"/>
          <w:b w:val="false"/>
          <w:color w:val="000000"/>
          <w:sz w:val="20"/>
          <w:u w:val="single"/>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None.</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bookmarkStart w:id="51" w:name="i1c398b86d2194842b36c583b3d87b07f"/>
      <w:bookmarkEnd w:id="51"/>
      <w:r>
        <w:rPr>
          <w:rFonts w:ascii="Times New Roman;serif" w:hAnsi="Times New Roman;serif"/>
          <w:b w:val="false"/>
          <w:color w:val="000000"/>
          <w:sz w:val="20"/>
          <w:u w:val="single"/>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Annual Report on Form 10-K, management, including the Company’s Chief Executive Officer and Chief Financial Officer, has evaluated the effectiveness of the design and operation of its disclosure controls and procedures. Based upon that evaluation and as of the end of the period for which this report is made, the Company’s Chief Executive Officer and Chief Financial Officer concluded that the disclosure controls and procedures were effective to ensure that information to be disclosed in reports that the Company files and submits under the Exchange Act is recorded, processed, summarized and reported within the time periods specified in the rules and terms of the Securities and Exchange Commission, and to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report on internal control over financial reporting is included in Part II, Item 8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internal control over financial reporting that occurred during the quarter ended December 31, 2025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810"/>
        <w:jc w:val="both"/>
        <w:rPr>
          <w:rFonts w:ascii="Times New Roman;serif" w:hAnsi="Times New Roman;serif"/>
          <w:b w:val="false"/>
          <w:color w:val="000000"/>
          <w:sz w:val="20"/>
          <w:u w:val="single"/>
        </w:rPr>
      </w:pPr>
      <w:bookmarkStart w:id="52" w:name="if7b5e9b214554afeab54e46104a13abe"/>
      <w:bookmarkEnd w:id="52"/>
      <w:r>
        <w:rPr>
          <w:rFonts w:ascii="Times New Roman;serif" w:hAnsi="Times New Roman;serif"/>
          <w:b w:val="false"/>
          <w:color w:val="000000"/>
          <w:sz w:val="20"/>
          <w:u w:val="single"/>
        </w:rPr>
        <w:t>ITEM 9B.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December 31, 2025,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810"/>
        <w:jc w:val="both"/>
        <w:rPr>
          <w:rFonts w:ascii="Times New Roman;serif" w:hAnsi="Times New Roman;serif"/>
          <w:b w:val="false"/>
          <w:color w:val="000000"/>
          <w:sz w:val="20"/>
          <w:u w:val="single"/>
        </w:rPr>
      </w:pPr>
      <w:bookmarkStart w:id="53" w:name="i2338633cb3534bdab6a1df8a4d720a80"/>
      <w:bookmarkEnd w:id="53"/>
      <w:r>
        <w:rPr>
          <w:rFonts w:ascii="Times New Roman;serif" w:hAnsi="Times New Roman;serif"/>
          <w:b w:val="false"/>
          <w:color w:val="000000"/>
          <w:sz w:val="20"/>
          <w:u w:val="single"/>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bookmarkStart w:id="54" w:name="i591128d6cfad4544a475a544f1abd59f"/>
      <w:bookmarkEnd w:id="54"/>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810"/>
        <w:jc w:val="both"/>
        <w:rPr>
          <w:rFonts w:ascii="Times New Roman;serif" w:hAnsi="Times New Roman;serif"/>
          <w:b w:val="false"/>
          <w:color w:val="000000"/>
          <w:sz w:val="20"/>
          <w:u w:val="single"/>
        </w:rPr>
      </w:pPr>
      <w:bookmarkStart w:id="55" w:name="i4a97b28c89c54c5d9f1044fa3e08b2ec"/>
      <w:bookmarkEnd w:id="55"/>
      <w:r>
        <w:rPr>
          <w:rFonts w:ascii="Times New Roman;serif" w:hAnsi="Times New Roman;serif"/>
          <w:b w:val="false"/>
          <w:color w:val="000000"/>
          <w:sz w:val="20"/>
          <w:u w:val="single"/>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in the Company’s Proxy Statement within the sections entitled “Election of Directors,” “Section 16(a) Beneficial Ownership Reporting Compliance” and “Corporate Governance” and is incorporated herein by reference.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information concerning the principal executive officers of the Company, including their ages and positions. </w:t>
      </w:r>
    </w:p>
    <w:tbl>
      <w:tblPr>
        <w:tblW w:w="10205" w:type="dxa"/>
        <w:jc w:val="left"/>
        <w:tblInd w:w="0" w:type="dxa"/>
        <w:tblLayout w:type="fixed"/>
        <w:tblCellMar>
          <w:top w:w="28" w:type="dxa"/>
          <w:left w:w="28" w:type="dxa"/>
          <w:bottom w:w="28" w:type="dxa"/>
          <w:right w:w="28" w:type="dxa"/>
        </w:tblCellMar>
      </w:tblPr>
      <w:tblGrid>
        <w:gridCol w:w="684"/>
        <w:gridCol w:w="601"/>
        <w:gridCol w:w="605"/>
        <w:gridCol w:w="109"/>
        <w:gridCol w:w="109"/>
        <w:gridCol w:w="109"/>
        <w:gridCol w:w="180"/>
        <w:gridCol w:w="181"/>
        <w:gridCol w:w="146"/>
        <w:gridCol w:w="109"/>
        <w:gridCol w:w="109"/>
        <w:gridCol w:w="109"/>
        <w:gridCol w:w="1875"/>
        <w:gridCol w:w="1840"/>
        <w:gridCol w:w="1865"/>
        <w:gridCol w:w="109"/>
        <w:gridCol w:w="109"/>
        <w:gridCol w:w="109"/>
        <w:gridCol w:w="364"/>
        <w:gridCol w:w="364"/>
        <w:gridCol w:w="519"/>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Assumed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Present Title</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Donahue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2016</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Clothier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and Interim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Djalma Novaes,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Gavin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 Americas Division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 Asia Pacific Division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R. Madeksza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 Transit Packaging Division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Kevin B. Garry, age 42, the Company’s Vice President and Corporate Controller, was appointed to the role of Chief Accounting Officer effective March 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Garry and any other person pursuant to which he was selected as the Chief Accounting Officer. Mr. Garry does not have any familial relationship with any director or other executive officer of the Company or any person nominated or chosen by the Company to become a director or executive officer, and there are no transactions in which Mr. Garry has an interest requiring disclosure under Item 404(a)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810"/>
        <w:jc w:val="both"/>
        <w:rPr>
          <w:rFonts w:ascii="Times New Roman;serif" w:hAnsi="Times New Roman;serif"/>
          <w:b w:val="false"/>
          <w:color w:val="000000"/>
          <w:sz w:val="20"/>
          <w:u w:val="single"/>
        </w:rPr>
      </w:pPr>
      <w:bookmarkStart w:id="56" w:name="i570a1aae6b504739a16c04696d432f4e"/>
      <w:bookmarkEnd w:id="56"/>
      <w:r>
        <w:rPr>
          <w:rFonts w:ascii="Times New Roman;serif" w:hAnsi="Times New Roman;serif"/>
          <w:b w:val="false"/>
          <w:color w:val="000000"/>
          <w:sz w:val="20"/>
          <w:u w:val="single"/>
        </w:rPr>
        <w:t>ITEM 11. 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in the Company’s Proxy Statement within the sections entitled “Executive Compensation,” “Compensation Discussion and Analysis” and “Corporate Governance”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left"/>
        <w:rPr>
          <w:rFonts w:ascii="Times New Roman;serif" w:hAnsi="Times New Roman;serif"/>
          <w:b w:val="false"/>
          <w:color w:val="000000"/>
          <w:sz w:val="20"/>
          <w:u w:val="single"/>
        </w:rPr>
      </w:pPr>
      <w:bookmarkStart w:id="57" w:name="i6ed77d722e474782b2a34af7d3c8fc36"/>
      <w:bookmarkEnd w:id="57"/>
      <w:r>
        <w:rPr>
          <w:rFonts w:ascii="Times New Roman;serif" w:hAnsi="Times New Roman;serif"/>
          <w:b w:val="false"/>
          <w:color w:val="000000"/>
          <w:sz w:val="20"/>
          <w:u w:val="single"/>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required by this Item is set forth in the Company’s Proxy Statement within the sections entitled “Proxy Statement – Meeting, April 30, 2026” and “Common Stock Ownership of Certain Beneficial Owners, Directors and Executive Officers” and is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as of December 31, 2025 with respect to shares of the Company’s Common Stock that may be issued under its equity compensation plans: </w:t>
      </w:r>
    </w:p>
    <w:tbl>
      <w:tblPr>
        <w:tblW w:w="10205" w:type="dxa"/>
        <w:jc w:val="center"/>
        <w:tblInd w:w="0" w:type="dxa"/>
        <w:tblLayout w:type="fixed"/>
        <w:tblCellMar>
          <w:top w:w="28" w:type="dxa"/>
          <w:left w:w="28" w:type="dxa"/>
          <w:bottom w:w="28" w:type="dxa"/>
          <w:right w:w="28" w:type="dxa"/>
        </w:tblCellMar>
      </w:tblPr>
      <w:tblGrid>
        <w:gridCol w:w="877"/>
        <w:gridCol w:w="770"/>
        <w:gridCol w:w="777"/>
        <w:gridCol w:w="109"/>
        <w:gridCol w:w="109"/>
        <w:gridCol w:w="109"/>
        <w:gridCol w:w="624"/>
        <w:gridCol w:w="624"/>
        <w:gridCol w:w="625"/>
        <w:gridCol w:w="196"/>
        <w:gridCol w:w="196"/>
        <w:gridCol w:w="196"/>
        <w:gridCol w:w="870"/>
        <w:gridCol w:w="870"/>
        <w:gridCol w:w="873"/>
        <w:gridCol w:w="196"/>
        <w:gridCol w:w="196"/>
        <w:gridCol w:w="196"/>
        <w:gridCol w:w="522"/>
        <w:gridCol w:w="522"/>
        <w:gridCol w:w="748"/>
      </w:tblGrid>
      <w:tr>
        <w:trPr/>
        <w:tc>
          <w:tcPr>
            <w:tcW w:w="87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Compensation Plan Information</w:t>
            </w:r>
          </w:p>
        </w:tc>
      </w:tr>
      <w:tr>
        <w:trPr/>
        <w:tc>
          <w:tcPr>
            <w:tcW w:w="2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br/>
            </w:r>
            <w:r>
              <w:rPr>
                <w:rFonts w:ascii="Times New Roman;serif" w:hAnsi="Times New Roman;serif"/>
                <w:b w:val="false"/>
                <w:color w:val="000000"/>
                <w:sz w:val="20"/>
              </w:rPr>
              <w:t>Number of Securities</w:t>
              <w:br/>
              <w:t>to be Issued Upon</w:t>
              <w:br/>
              <w:t>Exercise of Outstanding</w:t>
              <w:br/>
              <w:t>Options, Warrants</w:t>
              <w:br/>
              <w:t>and Rights</w:t>
              <w:br/>
              <w:t>(a)</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br/>
              <w:br/>
              <w:br/>
            </w:r>
            <w:r>
              <w:rPr>
                <w:rFonts w:ascii="Times New Roman;serif" w:hAnsi="Times New Roman;serif"/>
                <w:b w:val="false"/>
                <w:color w:val="000000"/>
                <w:sz w:val="20"/>
              </w:rPr>
              <w:t>Weighted average Exercise Price of</w:t>
              <w:br/>
              <w:t>Outstanding Options,</w:t>
              <w:br/>
              <w:t>Warrants and Rights</w:t>
              <w:br/>
              <w:t>(b)</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w:t>
              <w:br/>
              <w:t>Remaining Available</w:t>
              <w:br/>
              <w:t>For Future Issuance</w:t>
              <w:br/>
              <w:t>Under Equity</w:t>
              <w:br/>
              <w:t>Compensation</w:t>
              <w:br/>
              <w:t>Plans (Excluding</w:t>
              <w:br/>
              <w:t>Securities Reflected</w:t>
              <w:br/>
              <w:t>In Column (a))</w:t>
              <w:br/>
              <w:t>(c)</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Equity compensation plans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236,138</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4,206,834</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compensation plans not </w:t>
              <w:br/>
              <w: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236,138</w:t>
            </w:r>
          </w:p>
        </w:tc>
        <w:tc>
          <w:tcPr>
            <w:tcW w:w="58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8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4,206,834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    Includes the 2013 and 2022 Stock-Based Incentive Compensation Plans.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 Includes 236,138 shares of deferred stock awarded from the 2013 and 2022 Stock-Based Incentive Compensation Plans during each year from 2021 through 2025. The shares are time-vesting and will be issued up to four years from their grant date. The weighted-average exercise price in the table does not include these shares.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(3) Includes 3,344,094, 629,897, and 468,981 shares available for issuance at December 31, 2025 under the 2013 and 2022 Stock Based Incentive Compensation Plans, the Company’s Employee Stock Purchase Plan, and the Stock Compensation Plan for Non-Employee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810"/>
        <w:jc w:val="both"/>
        <w:rPr/>
      </w:pPr>
      <w:bookmarkStart w:id="58" w:name="i892aae6ae13f40c4893c2fb49142390b"/>
      <w:bookmarkEnd w:id="58"/>
      <w:r>
        <w:rPr>
          <w:rFonts w:ascii="Times New Roman;serif" w:hAnsi="Times New Roman;serif"/>
          <w:b w:val="false"/>
          <w:color w:val="000000"/>
          <w:sz w:val="20"/>
          <w:u w:val="single"/>
        </w:rPr>
        <w:t>ITEM 13. Certain Relationships and Related Transactions, and Director Independence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in the Company’s Proxy Statement within the sections entitled “Election of Directors,” “Corporate Governance” and “Executive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810"/>
        <w:jc w:val="both"/>
        <w:rPr>
          <w:rFonts w:ascii="Times New Roman;serif" w:hAnsi="Times New Roman;serif"/>
          <w:b w:val="false"/>
          <w:color w:val="000000"/>
          <w:sz w:val="20"/>
          <w:u w:val="single"/>
        </w:rPr>
      </w:pPr>
      <w:bookmarkStart w:id="59" w:name="ib99883ab613649ef94721fe5bc1d3d0c"/>
      <w:bookmarkEnd w:id="59"/>
      <w:r>
        <w:rPr>
          <w:rFonts w:ascii="Times New Roman;serif" w:hAnsi="Times New Roman;serif"/>
          <w:b w:val="false"/>
          <w:color w:val="000000"/>
          <w:sz w:val="20"/>
          <w:u w:val="single"/>
        </w:rPr>
        <w:t>ITEM 14. Principal Accounting Fees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in the Company’s Proxy Statement within the sections entitled “Principal Accounting Fees and Services”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center"/>
        <w:rPr>
          <w:rFonts w:ascii="Times New Roman;serif" w:hAnsi="Times New Roman;serif"/>
          <w:b/>
          <w:color w:val="000000"/>
          <w:sz w:val="20"/>
        </w:rPr>
      </w:pPr>
      <w:bookmarkStart w:id="60" w:name="i35b9ad00adc0424a85f26512085b89c8"/>
      <w:bookmarkEnd w:id="60"/>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61" w:name="i528db99dfad44b23a25b0620c8827869"/>
      <w:bookmarkEnd w:id="61"/>
      <w:r>
        <w:rPr>
          <w:rFonts w:ascii="Times New Roman;serif" w:hAnsi="Times New Roman;serif"/>
          <w:b w:val="false"/>
          <w:color w:val="000000"/>
          <w:sz w:val="20"/>
          <w:u w:val="single"/>
        </w:rPr>
        <w:t>ITEM 15. Exhibits and Financial Statement Schedules</w:t>
      </w:r>
      <w:r>
        <w:rPr>
          <w:color w:val="000000"/>
        </w:rPr>
        <w:t>    </w:t>
      </w:r>
    </w:p>
    <w:p>
      <w:pPr>
        <w:pStyle w:val="TextBody"/>
        <w:bidi w:val="0"/>
        <w:spacing w:before="0" w:after="0"/>
        <w:jc w:val="both"/>
        <w:rPr/>
      </w:pPr>
      <w:r>
        <w:rPr/>
      </w:r>
    </w:p>
    <w:tbl>
      <w:tblPr>
        <w:tblW w:w="4992" w:type="dxa"/>
        <w:jc w:val="left"/>
        <w:tblInd w:w="0" w:type="dxa"/>
        <w:tblLayout w:type="fixed"/>
        <w:tblCellMar>
          <w:top w:w="28" w:type="dxa"/>
          <w:left w:w="28" w:type="dxa"/>
          <w:bottom w:w="28" w:type="dxa"/>
          <w:right w:w="28" w:type="dxa"/>
        </w:tblCellMar>
      </w:tblPr>
      <w:tblGrid>
        <w:gridCol w:w="124"/>
        <w:gridCol w:w="109"/>
        <w:gridCol w:w="109"/>
        <w:gridCol w:w="1360"/>
        <w:gridCol w:w="1360"/>
        <w:gridCol w:w="1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part of this report:</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(1)All Financial Statements (see Part II, Item 8)</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Management’s Report on Internal Control Over Financial Reporting</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Report of Independent Registered Public Accounting Firm (PricewaterhouseCoopers LLP, Philadelphia, PA, </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Auditor Firm ID 238)</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years ended December 31, 2025, 2024, and 2023</w:t>
      </w:r>
    </w:p>
    <w:p>
      <w:pPr>
        <w:pStyle w:val="TextBody"/>
        <w:bidi w:val="0"/>
        <w:spacing w:before="0" w:after="0"/>
        <w:ind w:left="0" w:right="0" w:firstLine="63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years ended December 31, 2025, 2024, and 2023</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p>
      <w:pPr>
        <w:pStyle w:val="TextBody"/>
        <w:bidi w:val="0"/>
        <w:spacing w:before="0" w:after="0"/>
        <w:ind w:left="0" w:right="0" w:firstLine="63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Changes in Shareholders’ Equity for the years ended December 31, 2025, 2024, and 2023</w:t>
      </w:r>
    </w:p>
    <w:p>
      <w:pPr>
        <w:pStyle w:val="TextBody"/>
        <w:bidi w:val="0"/>
        <w:spacing w:before="0" w:after="0"/>
        <w:jc w:val="both"/>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before="100" w:after="283"/>
        <w:ind w:left="0" w:right="0" w:firstLine="63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Schedule II – Valuation and Qualifying Accounts and Reserves for the years ended December 31, 2025, 2024, and 2023</w:t>
      </w:r>
    </w:p>
    <w:p>
      <w:pPr>
        <w:pStyle w:val="TextBody"/>
        <w:bidi w:val="0"/>
        <w:spacing w:before="0" w:after="0"/>
        <w:ind w:left="0" w:right="0" w:firstLine="27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other schedules have been omitted because they are not applicable or the required information is included in the Consolidated Financial Statements.</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(3)Exhibits </w:t>
      </w:r>
    </w:p>
    <w:p>
      <w:pPr>
        <w:pStyle w:val="TextBody"/>
        <w:bidi w:val="0"/>
        <w:spacing w:before="0" w:after="0"/>
        <w:jc w:val="left"/>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3.a    </w:t>
      </w:r>
      <w:hyperlink r:id="rId3">
        <w:r>
          <w:rPr>
            <w:rStyle w:val="InternetLink"/>
            <w:rFonts w:ascii="Times New Roman;serif" w:hAnsi="Times New Roman;serif"/>
            <w:b w:val="false"/>
            <w:color w:val="0000FF"/>
            <w:sz w:val="20"/>
            <w:u w:val="single"/>
          </w:rPr>
          <w:t>Articles of Incorporation of Crown Holdings, Inc., as amended (incorporated by reference to Exhibit 3.a of the Registrant’s Annual Report on Form 10-K for the year ended December 31, 2004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3.b    </w:t>
      </w:r>
      <w:hyperlink r:id="rId4">
        <w:r>
          <w:rPr>
            <w:rStyle w:val="InternetLink"/>
          </w:rPr>
          <w:t>Amended and Restated By-Laws of Crown Holdings, Inc. (incorporated by reference to Exhibit 3.1 of the Registrant</w:t>
        </w:r>
      </w:hyperlink>
      <w:hyperlink r:id="rId5">
        <w:r>
          <w:rPr>
            <w:rStyle w:val="InternetLink"/>
          </w:rPr>
          <w:t>’</w:t>
        </w:r>
      </w:hyperlink>
      <w:hyperlink r:id="rId6">
        <w:r>
          <w:rPr>
            <w:rStyle w:val="InternetLink"/>
          </w:rPr>
          <w:t>s Current Report on Form 8-K dated December 13, 2022 (File No. 001-41550))</w:t>
        </w:r>
      </w:hyperlink>
      <w:r>
        <w:rPr>
          <w:rFonts w:ascii="Times New Roman;serif" w:hAnsi="Times New Roman;serif"/>
          <w:b w:val="false"/>
          <w:color w:val="000000"/>
          <w:sz w:val="20"/>
        </w:rPr>
        <w:t>.</w:t>
      </w:r>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 xml:space="preserve">4.a    Specimen certificate of Registrant’s Common Stock (incorporated by reference to Exhibit 4.a of the Registrant’s Annual Report on Form 10-K for the year ended December 31, 1995 (File No. 1-2227)). </w:t>
      </w:r>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 xml:space="preserve">4.b    Indenture, dated December 17, 1996, among Crown Cork &amp; Seal Company, Inc., Crown Cork &amp; Seal Finance PLC, Crown Cork &amp; Seal Finance S.A. and the Bank of New York, as trustee (incorporated by reference to Exhibit 4.1 of the Registrant’s Current Report on Form 8-K dated December 17, 1996 (File No. 1-2227)). </w:t>
      </w:r>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 xml:space="preserve">4.c    Form of the Registrant’s 7-1/2% Debentures Due 2096 (incorporated by reference to Exhibit 99.2 of the Registrant’s Current Report on Form 8-K dated December 17, 1996 (File No. 1-2227)). </w:t>
      </w:r>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 xml:space="preserve">4.d    Officers’ Certificate for 7-1/2% Debentures Due 2096 (incorporated by reference to Exhibit 99.7 of the Registrant’s Current Report on From 8-K dated December 17, 1996 (File No. 1-2227)). </w:t>
      </w:r>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 xml:space="preserve">4.e    Terms Agreement, dated December 12, 1996 (incorporated by reference to Exhibit 1.1 of the Registrant’s Current Report on Form 8-K dated December 17, 1996 (File No. 1-2227)). </w:t>
      </w:r>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 xml:space="preserve">4.f    Form of Bearer Security Depositary Agreement (incorporated by reference to Exhibit 4.2 of the Registrant’s Registration Statement on Form S-3, dated November 26, 1996, amended December 5 and 10, 1996 (File No. 333-16869)). </w:t>
      </w:r>
    </w:p>
    <w:p>
      <w:pPr>
        <w:pStyle w:val="TextBody"/>
        <w:bidi w:val="0"/>
        <w:spacing w:before="0" w:after="0"/>
        <w:ind w:left="0" w:right="0" w:hanging="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ind w:left="0" w:right="0" w:hanging="630"/>
        <w:jc w:val="both"/>
        <w:rPr/>
      </w:pPr>
      <w:r>
        <w:rPr>
          <w:rFonts w:ascii="Times New Roman;serif" w:hAnsi="Times New Roman;serif"/>
          <w:b w:val="false"/>
          <w:color w:val="000000"/>
          <w:sz w:val="20"/>
        </w:rPr>
        <w:t>4.g    </w:t>
      </w:r>
      <w:hyperlink r:id="rId7">
        <w:r>
          <w:rPr>
            <w:rStyle w:val="InternetLink"/>
            <w:rFonts w:ascii="Times New Roman;serif" w:hAnsi="Times New Roman;serif"/>
            <w:b w:val="false"/>
            <w:color w:val="0000FF"/>
            <w:sz w:val="20"/>
            <w:u w:val="single"/>
          </w:rPr>
          <w:t>Supplemental Indenture to Indenture dated December 17, 1996, dated as of February 25, 2003, between Crown Cork &amp; Seal Company, Inc., as Issuer and Guarantor, Crown Cork &amp; Seal Finance PLC, as Issuer, Crown Cork &amp; Seal Finance S.A., as Issuer, Crown Holdings, Inc., as Additional Guarantor and Bank One Trust Company, N.A., as Trustee (incorporated by reference to Exhibit 4.5 of the Registrant’s Current Report on Form 8-K dated February 26, 2003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4.h    </w:t>
      </w:r>
      <w:hyperlink r:id="rId8">
        <w:r>
          <w:rPr>
            <w:rStyle w:val="InternetLink"/>
          </w:rPr>
          <w:t>Indenture, dated as of September 15, 2016, by and among Crown European Holdings S.A., as Issuer, the Guarantors named therein, U.S. Bank National Association, as Trustee, and the other parties thereto, relating to the €600 million 2.625% Senior Notes due 2024 (incorporated by reference to Exhibit 4.1 of the Registrant</w:t>
        </w:r>
      </w:hyperlink>
      <w:hyperlink r:id="rId9">
        <w:r>
          <w:rPr>
            <w:rStyle w:val="InternetLink"/>
          </w:rPr>
          <w:t>’</w:t>
        </w:r>
      </w:hyperlink>
      <w:hyperlink r:id="rId10">
        <w:r>
          <w:rPr>
            <w:rStyle w:val="InternetLink"/>
          </w:rPr>
          <w:t>s Current Report on Form 8-K dated September 19, 2016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4.i    </w:t>
      </w:r>
      <w:hyperlink r:id="rId11">
        <w:r>
          <w:rPr>
            <w:rStyle w:val="InternetLink"/>
          </w:rPr>
          <w:t>Indenture, dated as of September 15, 2016, by and among Crown Americas LLC and Crown Americas Capital Corp. V, as Issuers, the Guarantors named therein and U.S. Bank National Association, as Trustee, relating to the $400 million 4.250% Senior Notes due 2026 (incorporated by reference to Exhibit 4.2 of the Registrant</w:t>
        </w:r>
      </w:hyperlink>
      <w:hyperlink r:id="rId12">
        <w:r>
          <w:rPr>
            <w:rStyle w:val="InternetLink"/>
          </w:rPr>
          <w:t>’</w:t>
        </w:r>
      </w:hyperlink>
      <w:hyperlink r:id="rId13">
        <w:r>
          <w:rPr>
            <w:rStyle w:val="InternetLink"/>
          </w:rPr>
          <w:t>s Current Report on Form 8-K dated September 19, 2016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4.j    </w:t>
      </w:r>
      <w:hyperlink r:id="rId14">
        <w:r>
          <w:rPr>
            <w:rStyle w:val="InternetLink"/>
          </w:rPr>
          <w:t>Amended &amp; Restated Credit Agreement, dated April 7, 2017, by and among Crown Americas LLC, Crown European Holdings S.A., Crown Metal Packaging Canada LP, each of the Subsidiary Borrowers from time to time party thereto, Crown Holdings, Inc., Crown Cork &amp; Seal Company, Inc., Crown International Holdings, Inc., each other Credit Party from time to time party thereto, Deutsche Bank AG Canada Branch, Deutsche Bank AG London Branch, Deutsche Bank AG New York Branch, and various Lenders referred to therein (incorporated by reference to Exhibit 4 of the Registrant</w:t>
        </w:r>
      </w:hyperlink>
      <w:hyperlink r:id="rId15">
        <w:r>
          <w:rPr>
            <w:rStyle w:val="InternetLink"/>
          </w:rPr>
          <w:t>’</w:t>
        </w:r>
      </w:hyperlink>
      <w:hyperlink r:id="rId16">
        <w:r>
          <w:rPr>
            <w:rStyle w:val="InternetLink"/>
          </w:rPr>
          <w:t>s Quarterly Report on Form 10-Q for the quarter ended March 31, 2017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4.k    </w:t>
      </w:r>
      <w:hyperlink r:id="rId17">
        <w:r>
          <w:rPr>
            <w:rStyle w:val="InternetLink"/>
          </w:rPr>
          <w:t>First Amendment to Amended and Restated Credit Agreement, dated as of December 28, 2017, among Crown Americas LLC, Crown European Holdings S.A., Crown Metal Packaging Canada LP, each of the Subsidiary Borrowers party thereto, Crown Holdings, Inc., Crown Cork &amp; Seal Company, Inc. and Crown International Holdings, Inc., each other Credit Party from time to time party thereto, Deutsche Bank AG New York Branch, Deutsche Bank AG, London Branch, Deutsche Bank AG, Canada Branch, and various Lenders referred to therein (incorporated by reference to Exhibit 4 of the Registrant</w:t>
        </w:r>
      </w:hyperlink>
      <w:hyperlink r:id="rId18">
        <w:r>
          <w:rPr>
            <w:rStyle w:val="InternetLink"/>
          </w:rPr>
          <w:t>’</w:t>
        </w:r>
      </w:hyperlink>
      <w:hyperlink r:id="rId19">
        <w:r>
          <w:rPr>
            <w:rStyle w:val="InternetLink"/>
          </w:rPr>
          <w:t>s Annual Report on Form 10-K for the year ended December 31, 2017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4.l    </w:t>
      </w:r>
      <w:hyperlink r:id="rId20">
        <w:r>
          <w:rPr>
            <w:rStyle w:val="InternetLink"/>
          </w:rPr>
          <w:t>Incremental Amendment No. 1, dated as of January 29, 2018, among Crown Americas LLC, Crown European Holdings S.A., Crown Metal Packaging Canada LP, each of the Subsidiary Borrowers party thereto, Crown Holdings, Inc., Crown Cork &amp; Seal Company, Inc. and Crown International Holdings, Inc., each other Credit Party from time to time party thereto, Deutsche Bank AG New York Branch, Deutsche Bank AG, London Branch, Deutsche Bank AG, Canada Branch, and various Lenders referred to therein (incorporated by reference to Exhibit 4.1 of the Registrant</w:t>
        </w:r>
      </w:hyperlink>
      <w:hyperlink r:id="rId21">
        <w:r>
          <w:rPr>
            <w:rStyle w:val="InternetLink"/>
          </w:rPr>
          <w:t>’</w:t>
        </w:r>
      </w:hyperlink>
      <w:hyperlink r:id="rId22">
        <w:r>
          <w:rPr>
            <w:rStyle w:val="InternetLink"/>
          </w:rPr>
          <w:t>s Annual Report on Form 10-K for the year ended December 31, 2017).</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4.m    </w:t>
      </w:r>
      <w:hyperlink r:id="rId23">
        <w:r>
          <w:rPr>
            <w:rStyle w:val="InternetLink"/>
          </w:rPr>
          <w:t>Second Amendment to Amended and Restated Credit Agreement, First Amendment to the U.S. Guarantee Agreement and First Amendment to U.S. Indemnity, Subrogation and Contribution Agreement, dated as of March 23, 2018, among Crown Americas LLC, Crown European Holdings S.A., Crown Metal Packaging Canada LP, each of the Subsidiary Borrowers from time to time party thereto, Crown Holdings, Inc., Crown Cork &amp; Seal Company, Inc. and Crown International Holdings, Inc., each other Credit Party from time to time party thereto, Deutsche Bank AG New York Branch, Deutsche Bank AG, London Branch, Deutsche Bank AG, Canada Branch, and various Lenders referred to therein (incorporated by reference to Exhibit 4.cc of the Registrant</w:t>
        </w:r>
      </w:hyperlink>
      <w:hyperlink r:id="rId24">
        <w:r>
          <w:rPr>
            <w:rStyle w:val="InternetLink"/>
          </w:rPr>
          <w:t>’</w:t>
        </w:r>
      </w:hyperlink>
      <w:hyperlink r:id="rId25">
        <w:r>
          <w:rPr>
            <w:rStyle w:val="InternetLink"/>
          </w:rPr>
          <w:t>s Annual Report on Form 10-K for the year ended December 31, 2018).</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4.n    </w:t>
      </w:r>
      <w:hyperlink r:id="rId26">
        <w:r>
          <w:rPr>
            <w:rStyle w:val="InternetLink"/>
          </w:rPr>
          <w:t>Incremental Amendment No. 2 and Third Amendment to Amended and Restated Credit Agreement, dated as of December 13, 2019, among Crown Americas LLC, Crown European Holdings S.A., Crown Metal Packaging Canada LP, each of the Subsidiary Borrowers from time to time party thereto, Crown Holdings, Inc., Crown Cork &amp; Seal Company, Inc., and Crown International Holdings, Inc., each other Credit Party from time to time party thereto, Deutsche Bank AG New York Branch, Deutsche Bank AG London Branch, Deutsche Bank AG, Canada Branch, and the various Lenders referred to therein (incorporated by reference to Exhibit 4.1 of the Registrant</w:t>
        </w:r>
      </w:hyperlink>
      <w:hyperlink r:id="rId27">
        <w:r>
          <w:rPr>
            <w:rStyle w:val="InternetLink"/>
          </w:rPr>
          <w:t>’</w:t>
        </w:r>
      </w:hyperlink>
      <w:hyperlink r:id="rId28">
        <w:r>
          <w:rPr>
            <w:rStyle w:val="InternetLink"/>
          </w:rPr>
          <w:t>s Current Report on Form 8-K/A dated February 28, 2020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4.o    </w:t>
      </w:r>
      <w:hyperlink r:id="rId29">
        <w:r>
          <w:rPr>
            <w:rStyle w:val="InternetLink"/>
            <w:rFonts w:ascii="Times New Roman;serif" w:hAnsi="Times New Roman;serif"/>
            <w:b w:val="false"/>
            <w:color w:val="0000FF"/>
            <w:sz w:val="20"/>
            <w:u w:val="single"/>
          </w:rPr>
          <w:t xml:space="preserve">Fourth Amendment to Amended and Restated Credit Agreement, dated as of October 4, 2021, among Crown Americas LLC, Crown European Holdings S.A., Crown Metal Packaging Canada LP, each of the Subsidiary Borrowers from time to time party thereto, Crown Holdings, Inc., Crown Cork &amp; Seal Company, Inc. and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jc w:val="both"/>
        <w:rPr/>
      </w:pPr>
      <w:hyperlink r:id="rId30">
        <w:r>
          <w:rPr>
            <w:rStyle w:val="InternetLink"/>
            <w:rFonts w:ascii="Times New Roman;serif" w:hAnsi="Times New Roman;serif"/>
            <w:b w:val="false"/>
            <w:color w:val="0000FF"/>
            <w:sz w:val="20"/>
            <w:u w:val="single"/>
          </w:rPr>
          <w:t>Crown International Holdings, Inc., each other Credit Party from time to time party thereto, Deutsche Bank AG New York Branch, Deutsche Bank AG, London Branch, Deutsche Bank AG, Canada Branch, and various Lenders referred to therein.</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4.p    </w:t>
      </w:r>
      <w:hyperlink r:id="rId31">
        <w:r>
          <w:rPr>
            <w:rStyle w:val="InternetLink"/>
            <w:rFonts w:ascii="Times New Roman;serif" w:hAnsi="Times New Roman;serif"/>
            <w:b w:val="false"/>
            <w:color w:val="0000FF"/>
            <w:sz w:val="20"/>
            <w:u w:val="single"/>
          </w:rPr>
          <w:t>Purchase Agreement, dated as of March 14, 2022, by and among Crown Holdings, Inc., Crown Americas LLC, BNP Paribas Securities Corp., Citigroup Global Markets Inc. and Mizuho Securities USA LLC, as representatives of the initial purchasers, and the Guarantors (as defined therein) (incorporated by reference to Exhibit 10.1 of the Registrant’s Current Report on Form 8-K dated March 17, 2022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4.q    </w:t>
      </w:r>
      <w:hyperlink r:id="rId32">
        <w:r>
          <w:rPr>
            <w:rStyle w:val="InternetLink"/>
            <w:rFonts w:ascii="Times New Roman;serif" w:hAnsi="Times New Roman;serif"/>
            <w:b w:val="false"/>
            <w:color w:val="0000FF"/>
            <w:sz w:val="20"/>
            <w:u w:val="single"/>
          </w:rPr>
          <w:t>Indenture, dated as of March 17, 2022, among Crown Americas LLC, as Issuer, the Guarantors named therein and U.S. Bank National Association, as Trustee, relating to the $500 million 5.25% Senior Notes due 2030 (incorporated by reference to Exhibit 4.1 of the Registrant’s Current Report on Form 8-K dated March 21, 2022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4.r    </w:t>
      </w:r>
      <w:hyperlink r:id="rId33">
        <w:r>
          <w:rPr>
            <w:rStyle w:val="InternetLink"/>
            <w:rFonts w:ascii="Times New Roman;serif" w:hAnsi="Times New Roman;serif"/>
            <w:b w:val="false"/>
            <w:color w:val="0000FF"/>
            <w:sz w:val="20"/>
            <w:u w:val="single"/>
          </w:rPr>
          <w:t>Registration Rights Agreement, dated as of March 17, 2022, by and among Crown Holdings, Inc., Crown Americas LLC, BNP Paribas Securities Corp., Citigroup Global Markets Inc. and Mizuho Securities USA LLC, as representatives of the initial purchasers, and the Guarantors (as defined therein), relating to the $500 million 5.25% Senior Notes due 2030 (incorporated by reference to Exhibit 4.2 of the Registrant’s Current Report on Form 8-K dated March 21, 2022 (File No. 000-50189)).</w:t>
        </w:r>
      </w:hyperlink>
    </w:p>
    <w:p>
      <w:pPr>
        <w:pStyle w:val="TextBody"/>
        <w:bidi w:val="0"/>
        <w:spacing w:before="0" w:after="0"/>
        <w:ind w:left="0" w:right="0" w:hanging="630"/>
        <w:jc w:val="both"/>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4.s    </w:t>
      </w:r>
      <w:hyperlink r:id="rId34">
        <w:r>
          <w:rPr>
            <w:rStyle w:val="InternetLink"/>
            <w:rFonts w:ascii="Times New Roman;serif" w:hAnsi="Times New Roman;serif"/>
            <w:b w:val="false"/>
            <w:color w:val="0000FF"/>
            <w:sz w:val="20"/>
            <w:u w:val="single"/>
          </w:rPr>
          <w:t>Incremental Amendment No. 3 and Fifth Amendment, dated August 8, 2022, to Amended and Restated Credit Agreement, dated April 7, 2017, among Crown Holdings, Inc., Crown Americas LLC, Crown European Holdings S.A., the Subsidiary Borrowers party thereto, Crown Metal Packaging Canada LP, Crown Cork &amp; Seal Company, Inc., the Parent Guarantors party thereto, the other Credit Parties party thereto, the Lenders party thereto, Deutsche Bank AG Canada Branch, Deutsche Bank AG London Branch, and Deutsche Bank AG New York Branch (incorporated by reference to Exhibit 4.z of the Registrant’s Current Report on Form 8-K dated August 11, 2022 (File No. 000-50189)).</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4.t    </w:t>
      </w:r>
      <w:hyperlink r:id="rId35">
        <w:r>
          <w:rPr>
            <w:rStyle w:val="InternetLink"/>
          </w:rPr>
          <w:t>Purchase Agreement, dated as of May 9, 2023, by and among Crown Holdings, Inc., Crown European Holdings S.A., BNP Paribas, as representative of the Initial Purchasers named in Schedule I thereto, and the Guarantors (as defined therein) (incorporated by reference to Exhibit 10.1 of the Registrant</w:t>
        </w:r>
      </w:hyperlink>
      <w:hyperlink r:id="rId36">
        <w:r>
          <w:rPr>
            <w:rStyle w:val="InternetLink"/>
          </w:rPr>
          <w:t>’</w:t>
        </w:r>
      </w:hyperlink>
      <w:hyperlink r:id="rId37">
        <w:r>
          <w:rPr>
            <w:rStyle w:val="InternetLink"/>
          </w:rPr>
          <w:t>s Current Report on Form 8-K dated May 11, 2023 (File No. 000-50189)).</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4.u    </w:t>
      </w:r>
      <w:hyperlink r:id="rId38">
        <w:r>
          <w:rPr>
            <w:rStyle w:val="InternetLink"/>
          </w:rPr>
          <w:t>Indenture, dated as of May 18, 2023, among Crown European Holdings S.A., Crown Holdings, Inc., the other guarantors party thereto, BNP Paribas, as representative of the several initial purchases party thereto, U.S. Bank Trust Company, National Association, as Trustee, Elavon Financial Services DAC, as paying agent, registrar and transfer agent, relating to the €500,000,000 5.000% senior unsecured notes due 2028 (incorporated by reference to Exhibit 4.1 of the Registrant</w:t>
        </w:r>
      </w:hyperlink>
      <w:hyperlink r:id="rId39">
        <w:r>
          <w:rPr>
            <w:rStyle w:val="InternetLink"/>
          </w:rPr>
          <w:t>’</w:t>
        </w:r>
      </w:hyperlink>
      <w:hyperlink r:id="rId40">
        <w:r>
          <w:rPr>
            <w:rStyle w:val="InternetLink"/>
          </w:rPr>
          <w:t>s Current Report on Form 8-K dated May 24, 2023 (File No. 000-50189)).</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4.v    </w:t>
      </w:r>
      <w:hyperlink r:id="rId41">
        <w:r>
          <w:rPr>
            <w:rStyle w:val="InternetLink"/>
          </w:rPr>
          <w:t>Purchase Agreement, dated as of November 30, 2023, by and among Crown Holdings, Inc., Crown European Holdings S.A., BNP Paribas, as representative of the Initial Purchasers named in Schedule I thereto, and the Guarantors (as defined therein) (incorporated by reference to Exhibit 10.1 of the Registrant</w:t>
        </w:r>
      </w:hyperlink>
      <w:hyperlink r:id="rId42">
        <w:r>
          <w:rPr>
            <w:rStyle w:val="InternetLink"/>
          </w:rPr>
          <w:t>’</w:t>
        </w:r>
      </w:hyperlink>
      <w:hyperlink r:id="rId43">
        <w:r>
          <w:rPr>
            <w:rStyle w:val="InternetLink"/>
          </w:rPr>
          <w:t>s Current Report on Form 8-K dated December 4, 2023 (File No. 000-50189)).</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4.w    </w:t>
      </w:r>
      <w:hyperlink r:id="rId44">
        <w:r>
          <w:rPr>
            <w:rStyle w:val="InternetLink"/>
          </w:rPr>
          <w:t>Indenture, dated as of December 11, 2023, among Crown European Holdings S.A., Crown Holdings, Inc., the other guarantors party thereto, BNP Paribas, as representative of the several initial purchasers party thereto, U.S. Bank Trust Company, National Association, as Trustee, Elavon Financial Services DAC, as paying agent, registrar and transfer agent, relating to the €500,000,000 4.750% senior unsecured notes due 2029 (incorporated by reference to Exhibit 4.1 of the Registrant</w:t>
        </w:r>
      </w:hyperlink>
      <w:hyperlink r:id="rId45">
        <w:r>
          <w:rPr>
            <w:rStyle w:val="InternetLink"/>
          </w:rPr>
          <w:t>’</w:t>
        </w:r>
      </w:hyperlink>
      <w:hyperlink r:id="rId46">
        <w:r>
          <w:rPr>
            <w:rStyle w:val="InternetLink"/>
          </w:rPr>
          <w:t>s Current Report on Form 8-K December 12, 2023 (File No. 000-50189)).</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4.x    </w:t>
      </w:r>
      <w:hyperlink r:id="rId47">
        <w:r>
          <w:rPr>
            <w:rStyle w:val="InternetLink"/>
          </w:rPr>
          <w:t>Sixth Amendment, dated June 28, 2024, to Amended and Restated Credit Agreement, dated April 7, 2017, among Crown Holdings, Inc., Crown Americas LLC, Crown European Holdings S.A., the Subsidiary Borrowers party thereto, Crown Metal Packaging Canada LP, Crown Cork &amp; Seal Company, Inc., the Parent Guarantors party thereto, the other Credit Parties party thereto, the Lenders party thereto, Deutsche Bank AG Canada Branch, Deutsche Bank AG London Branch, and Deutsche Bank AG New York Branch (incorporated by reference to Exhibit 10.1 of the Registrant</w:t>
        </w:r>
      </w:hyperlink>
      <w:hyperlink r:id="rId48">
        <w:r>
          <w:rPr>
            <w:rStyle w:val="InternetLink"/>
          </w:rPr>
          <w:t>’</w:t>
        </w:r>
      </w:hyperlink>
      <w:hyperlink r:id="rId49">
        <w:r>
          <w:rPr>
            <w:rStyle w:val="InternetLink"/>
          </w:rPr>
          <w:t>s Quarterly Report on Form 10-Q dated July 29, 2024 (File No. 001-41550)).</w:t>
        </w:r>
      </w:hyperlink>
    </w:p>
    <w:p>
      <w:pPr>
        <w:pStyle w:val="TextBody"/>
        <w:bidi w:val="0"/>
        <w:spacing w:before="0" w:after="0"/>
        <w:ind w:left="0" w:right="0" w:hanging="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68" w:before="0" w:after="0"/>
        <w:ind w:left="0" w:right="0" w:hanging="630"/>
        <w:jc w:val="left"/>
        <w:rPr/>
      </w:pPr>
      <w:r>
        <w:rPr>
          <w:rFonts w:ascii="Times New Roman;serif" w:hAnsi="Times New Roman;serif"/>
          <w:b w:val="false"/>
          <w:color w:val="000000"/>
          <w:sz w:val="20"/>
        </w:rPr>
        <w:t>4.y    </w:t>
      </w:r>
      <w:hyperlink r:id="rId50">
        <w:r>
          <w:rPr>
            <w:rStyle w:val="InternetLink"/>
          </w:rPr>
          <w:t>Purchase Agreement, dated as of July 30, 2024, by and among the Company, the Issuer, BNP Paribas, as representative of the Initial Purchasers named in Schedule I thereto, and the Guarantors (as defined therein) (incorporated by reference to Exhibit 10.1 of the Registrant</w:t>
        </w:r>
      </w:hyperlink>
      <w:hyperlink r:id="rId51">
        <w:r>
          <w:rPr>
            <w:rStyle w:val="InternetLink"/>
          </w:rPr>
          <w:t>’</w:t>
        </w:r>
      </w:hyperlink>
      <w:hyperlink r:id="rId52">
        <w:r>
          <w:rPr>
            <w:rStyle w:val="InternetLink"/>
          </w:rPr>
          <w:t>s Current Report on Form 8-K dated July 31, 2024 (File No. 001-41550)</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4.z    </w:t>
      </w:r>
      <w:hyperlink r:id="rId53">
        <w:r>
          <w:rPr>
            <w:rStyle w:val="InternetLink"/>
          </w:rPr>
          <w:t>Indenture, dated August 8, 2024, among the Issuer, the Company, the other guarantors party thereto, BNP Paribas, as representative of the several initial purchasers party thereto, U.S. Bank Trust Company, National Association, as Trustee, Elavon Financial Services DAC, as paying agent, registrar and transfer agent, relating to the €600,000,000 4.500% senior unsecured notes due 2030 (incorporated by reference to Exhibit 4.1 of the Registrant</w:t>
        </w:r>
      </w:hyperlink>
      <w:hyperlink r:id="rId54">
        <w:r>
          <w:rPr>
            <w:rStyle w:val="InternetLink"/>
          </w:rPr>
          <w:t>’</w:t>
        </w:r>
      </w:hyperlink>
      <w:hyperlink r:id="rId55">
        <w:r>
          <w:rPr>
            <w:rStyle w:val="InternetLink"/>
          </w:rPr>
          <w:t>s Current Report on Form 8-K dated August 8, 2024 (File No. 001-41550)).</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4.aa    </w:t>
      </w:r>
      <w:hyperlink r:id="rId56">
        <w:r>
          <w:rPr>
            <w:rStyle w:val="InternetLink"/>
          </w:rPr>
          <w:t>Seventh Amendment, dated November 11, 2024, to Amended and Restated Credit Agreement, dated April 7, 2017, among Crown Holdings, Inc., Crown Americas LLC, Crown European Holdings S.A., Crown Metal Packaging Canada LP, the Borrowers party thereto, Crown Cork &amp; Seal Company, Inc., Crown Holdings, Inc., Crown International Holdings, Inc., the Parent Guarantors party thereto, the Lenders from time to time party thereto, Deutsche Bank AG New York Branch, as administrative agent, Deutsche Bank AG, London Branch, as U.K. administrative agent, Deutsche Bank AG, Canada Branch, as Canadian administrative agent (incorporated by reference to Exhibit 4.ff of the Registrant</w:t>
        </w:r>
      </w:hyperlink>
      <w:hyperlink r:id="rId57">
        <w:r>
          <w:rPr>
            <w:rStyle w:val="InternetLink"/>
          </w:rPr>
          <w:t>’</w:t>
        </w:r>
      </w:hyperlink>
      <w:hyperlink r:id="rId58">
        <w:r>
          <w:rPr>
            <w:rStyle w:val="InternetLink"/>
          </w:rPr>
          <w:t>s Annual Report on Form 10-K for the year ended December 31, 2024 (File No. 001-41550)).</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4.bb     </w:t>
      </w:r>
      <w:hyperlink r:id="rId59">
        <w:r>
          <w:rPr>
            <w:rStyle w:val="InternetLink"/>
          </w:rPr>
          <w:t>Indenture, dated as of May 27, 2025, among the Issuer, the Company, the other guarantors party thereto, and U.S. Bank Trust Company, National Association, as Trustee, relating to the $700,000,000 5.875% senior unsecured notes due 2033 (incorporated by reference to Exhibit 4.1 of the Registrant</w:t>
        </w:r>
      </w:hyperlink>
      <w:hyperlink r:id="rId60">
        <w:r>
          <w:rPr>
            <w:rStyle w:val="InternetLink"/>
          </w:rPr>
          <w:t>’</w:t>
        </w:r>
      </w:hyperlink>
      <w:hyperlink r:id="rId61">
        <w:r>
          <w:rPr>
            <w:rStyle w:val="InternetLink"/>
          </w:rPr>
          <w:t>s Current Report on Form 8-K dated May 28, 2025 (File No. 001-41550)).</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4.cc     </w:t>
      </w:r>
      <w:hyperlink r:id="rId62">
        <w:r>
          <w:rPr>
            <w:rStyle w:val="InternetLink"/>
          </w:rPr>
          <w:t>Purchase Agreement, dated May 12, 2025, by and among Crown Holdings, Inc., Crown Americas LLC and BofA Securities, Inc., as representative of the Initial Purchasers named in Schedule I thereto and the Guarantors (as defined therein) (incorporated by reference to Exhibit 10.1 of the Registrant</w:t>
        </w:r>
      </w:hyperlink>
      <w:hyperlink r:id="rId63">
        <w:r>
          <w:rPr>
            <w:rStyle w:val="InternetLink"/>
          </w:rPr>
          <w:t>’</w:t>
        </w:r>
      </w:hyperlink>
      <w:hyperlink r:id="rId64">
        <w:r>
          <w:rPr>
            <w:rStyle w:val="InternetLink"/>
          </w:rPr>
          <w:t>s Current Report on Form 8-K dated May 13, 2025 (File No. 001-41550)).</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4.dd     </w:t>
      </w:r>
      <w:hyperlink r:id="rId65">
        <w:r>
          <w:rPr>
            <w:rStyle w:val="InternetLink"/>
          </w:rPr>
          <w:t>Registration Rights Agreement, dated as of May 27, 2025, by and among the Issuer, the Company, BofA Securities, Inc., as representative of the initial purchasers, and the Guarantors (as defined therein), relating to the $700,000,000 5.875% senior unsecured notes due 2033 (incorporated by reference to Exhibit 4.2 of the Registrant</w:t>
        </w:r>
      </w:hyperlink>
      <w:hyperlink r:id="rId66">
        <w:r>
          <w:rPr>
            <w:rStyle w:val="InternetLink"/>
          </w:rPr>
          <w:t>’</w:t>
        </w:r>
      </w:hyperlink>
      <w:hyperlink r:id="rId67">
        <w:r>
          <w:rPr>
            <w:rStyle w:val="InternetLink"/>
          </w:rPr>
          <w:t>s Current Report on Form 8-K dated May 28, 2025 (File No. 001-41550)).</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4.ee     </w:t>
      </w:r>
      <w:hyperlink r:id="rId68">
        <w:r>
          <w:rPr>
            <w:rStyle w:val="InternetLink"/>
          </w:rPr>
          <w:t>Indenture, dated October 6, 2025, among the Issuer, the Company, the other guarantors party thereto, BNP PARIBAS, as representative of the several initial purchasers party thereto, U.S. Bank Trust Company, National Association, as Trustee, U.S. Bank Europe DAC, as paying agent, registrar and transfer agent, relating to the €500,000,000 3.750% senior unsecured notes due 2031 (incorporated by reference to Exhibit 4.1 of the Registrant</w:t>
        </w:r>
      </w:hyperlink>
      <w:hyperlink r:id="rId69">
        <w:r>
          <w:rPr>
            <w:rStyle w:val="InternetLink"/>
          </w:rPr>
          <w:t>’</w:t>
        </w:r>
      </w:hyperlink>
      <w:hyperlink r:id="rId70">
        <w:r>
          <w:rPr>
            <w:rStyle w:val="InternetLink"/>
          </w:rPr>
          <w:t>s Current Report on Form 8-K dated October 8, 2025 (File No. 001-41550)).</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4.ff     </w:t>
      </w:r>
      <w:hyperlink r:id="rId71">
        <w:r>
          <w:rPr>
            <w:rStyle w:val="InternetLink"/>
          </w:rPr>
          <w:t>Purchase Agreement, dated as of September 22, 2025, by and among the Company, the Issuer, BNP PARIBAS, as representative of the Initial Purchasers named in Schedule I thereto, and the Guarantors (as defined therein) (incorporated by reference to Exhibit 10.1 of the Registrant</w:t>
        </w:r>
      </w:hyperlink>
      <w:hyperlink r:id="rId72">
        <w:r>
          <w:rPr>
            <w:rStyle w:val="InternetLink"/>
          </w:rPr>
          <w:t>’</w:t>
        </w:r>
      </w:hyperlink>
      <w:hyperlink r:id="rId73">
        <w:r>
          <w:rPr>
            <w:rStyle w:val="InternetLink"/>
          </w:rPr>
          <w:t>s Current Report on Form 8-K dated September 23, 2025 (File No. 001-41550)).</w:t>
        </w:r>
      </w:hyperlink>
    </w:p>
    <w:p>
      <w:pPr>
        <w:pStyle w:val="TextBody"/>
        <w:bidi w:val="0"/>
        <w:spacing w:before="0" w:after="0"/>
        <w:ind w:left="0" w:right="0" w:hanging="630"/>
        <w:jc w:val="left"/>
        <w:rPr/>
      </w:pPr>
      <w:r>
        <w:rPr/>
      </w:r>
    </w:p>
    <w:p>
      <w:pPr>
        <w:pStyle w:val="TextBody"/>
        <w:bidi w:val="0"/>
        <w:spacing w:lineRule="auto" w:line="276" w:before="0" w:after="0"/>
        <w:ind w:left="0" w:right="0" w:hanging="630"/>
        <w:jc w:val="left"/>
        <w:rPr/>
      </w:pPr>
      <w:r>
        <w:rPr>
          <w:rFonts w:ascii="Times New Roman;serif" w:hAnsi="Times New Roman;serif"/>
          <w:b w:val="false"/>
          <w:color w:val="000000"/>
          <w:sz w:val="20"/>
        </w:rPr>
        <w:t>4.gg    </w:t>
      </w:r>
      <w:hyperlink r:id="rId74">
        <w:r>
          <w:rPr>
            <w:rStyle w:val="InternetLink"/>
          </w:rPr>
          <w:t>Description of the Registrant’s Securities (incorporated by reference to Exhibit 4.ff of the Registrant’s Annual Report on Form 10-</w:t>
        </w:r>
      </w:hyperlink>
      <w:hyperlink r:id="rId75">
        <w:r>
          <w:rPr>
            <w:rStyle w:val="InternetLink"/>
          </w:rPr>
          <w:t>K</w:t>
        </w:r>
      </w:hyperlink>
      <w:hyperlink r:id="rId76">
        <w:r>
          <w:rPr>
            <w:rStyle w:val="InternetLink"/>
          </w:rPr>
          <w:t xml:space="preserve"> for the year ended December 31, 2019 (File No. 000-50189)).</w:t>
        </w:r>
      </w:hyperlink>
    </w:p>
    <w:p>
      <w:pPr>
        <w:pStyle w:val="TextBody"/>
        <w:bidi w:val="0"/>
        <w:spacing w:before="0" w:after="0"/>
        <w:ind w:left="0" w:right="0" w:hanging="630"/>
        <w:jc w:val="left"/>
        <w:rPr/>
      </w:pPr>
      <w:r>
        <w:rPr/>
      </w:r>
    </w:p>
    <w:p>
      <w:pPr>
        <w:pStyle w:val="TextBody"/>
        <w:bidi w:val="0"/>
        <w:spacing w:lineRule="auto" w:line="26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4.hh    Other long-term agreements of the Registrant are not filed pursuant to Item 601(b)(4)(iii)(A) of Regulation S-K, and the Registrant agrees to furnish copies of such agreements to the Securities and Exchange Commission upon its requests.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10.a    Employment Contracts:</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(1)   </w:t>
      </w:r>
      <w:hyperlink r:id="rId77">
        <w:r>
          <w:rPr>
            <w:rStyle w:val="InternetLink"/>
            <w:rFonts w:ascii="Times New Roman;serif" w:hAnsi="Times New Roman;serif"/>
            <w:b w:val="false"/>
            <w:color w:val="0000FF"/>
            <w:sz w:val="20"/>
            <w:u w:val="single"/>
          </w:rPr>
          <w:t xml:space="preserve">Employment Agreement, dated December 30, 2015, between Crown Holdings, Inc. and Timothy J. Donahue (incorporated by reference to Exhibit 10.1 of the Registrant’s Current Report on Form 8-K dated January 5, 2016 (File No. 000-50189)). </w:t>
        </w:r>
      </w:hyperlink>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(2)    </w:t>
      </w:r>
      <w:hyperlink r:id="rId78">
        <w:r>
          <w:rPr>
            <w:rStyle w:val="InternetLink"/>
          </w:rPr>
          <w:t>First amendment to the employment contract, effective June 1, 2012, between Crown Holdings, Inc. and Gerard Gifford, dated as of July 24, 2013 (incorporated by reference to Exhibit 10.3 of the Registrant</w:t>
        </w:r>
      </w:hyperlink>
      <w:hyperlink r:id="rId79">
        <w:r>
          <w:rPr>
            <w:rStyle w:val="InternetLink"/>
          </w:rPr>
          <w:t>’</w:t>
        </w:r>
      </w:hyperlink>
      <w:hyperlink r:id="rId80">
        <w:r>
          <w:rPr>
            <w:rStyle w:val="InternetLink"/>
          </w:rPr>
          <w:t>s Quarterly Report on Form 10-Q for the quarter ended June 30, 2013 (File No 000-50189)).</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(3)    </w:t>
      </w:r>
      <w:hyperlink r:id="rId81">
        <w:r>
          <w:rPr>
            <w:rStyle w:val="InternetLink"/>
          </w:rPr>
          <w:t>Executive Employment Agreement, effective June 1, 2012, between Crown Holdings, Inc. and Gerard Gifford (incorporated by reference to Exhibit 10.1 of the Registrant</w:t>
        </w:r>
      </w:hyperlink>
      <w:hyperlink r:id="rId82">
        <w:r>
          <w:rPr>
            <w:rStyle w:val="InternetLink"/>
          </w:rPr>
          <w:t>’</w:t>
        </w:r>
      </w:hyperlink>
      <w:hyperlink r:id="rId83">
        <w:r>
          <w:rPr>
            <w:rStyle w:val="InternetLink"/>
          </w:rPr>
          <w:t>s Quarterly Report on Form 10-Q for the quarter ended June 30, 2012 (File No 000-50189)).</w:t>
        </w:r>
      </w:hyperlink>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(4)     </w:t>
      </w:r>
      <w:hyperlink r:id="rId84">
        <w:r>
          <w:rPr>
            <w:rStyle w:val="InternetLink"/>
            <w:rFonts w:ascii="Times New Roman;serif" w:hAnsi="Times New Roman;serif"/>
            <w:b w:val="false"/>
            <w:color w:val="0000FF"/>
            <w:sz w:val="20"/>
            <w:u w:val="single"/>
          </w:rPr>
          <w:t>Employment contract between Crown Holdings, Inc. and Djalma Novaes Jr., dated February 26, 2015 (incorporated by reference to Exhibit 10.c(11) of the Registrant’s Annual Report on Form 10-K for the year ended December 31, 2014 (File No. 000-50189)).</w:t>
        </w:r>
      </w:hyperlink>
    </w:p>
    <w:p>
      <w:pPr>
        <w:pStyle w:val="TextBody"/>
        <w:bidi w:val="0"/>
        <w:spacing w:before="0" w:after="0"/>
        <w:jc w:val="left"/>
        <w:rPr/>
      </w:pPr>
      <w:r>
        <w:rPr/>
      </w:r>
    </w:p>
    <w:p>
      <w:pPr>
        <w:pStyle w:val="TextBody"/>
        <w:bidi w:val="0"/>
        <w:spacing w:lineRule="auto" w:line="276" w:before="0" w:after="0"/>
        <w:ind w:left="0" w:right="0" w:hanging="540"/>
        <w:jc w:val="left"/>
        <w:rPr/>
      </w:pPr>
      <w:r>
        <w:rPr>
          <w:rFonts w:ascii="Times New Roman;serif" w:hAnsi="Times New Roman;serif"/>
          <w:b w:val="false"/>
          <w:color w:val="000000"/>
          <w:sz w:val="20"/>
        </w:rPr>
        <w:t>(5)    </w:t>
      </w:r>
      <w:hyperlink r:id="rId85">
        <w:r>
          <w:rPr>
            <w:rStyle w:val="InternetLink"/>
            <w:rFonts w:ascii="Times New Roman;serif" w:hAnsi="Times New Roman;serif"/>
            <w:b w:val="false"/>
            <w:color w:val="0000FF"/>
            <w:sz w:val="20"/>
            <w:u w:val="single"/>
          </w:rPr>
          <w:t>Employment Agreement, dated January 7, 2022, between Crown Holdings, Inc. and Kevin C. Clothier (incorporated by reference to Exhibit 10.1 of the Registrant’s Periodic Report on Form 8-K filed January 11, 2022 (File No. 000-50189)).</w:t>
        </w:r>
      </w:hyperlink>
    </w:p>
    <w:p>
      <w:pPr>
        <w:pStyle w:val="TextBody"/>
        <w:bidi w:val="0"/>
        <w:spacing w:before="0" w:after="0"/>
        <w:ind w:left="0" w:right="0" w:hanging="540"/>
        <w:jc w:val="left"/>
        <w:rPr/>
      </w:pPr>
      <w:r>
        <w:rPr/>
      </w:r>
    </w:p>
    <w:p>
      <w:pPr>
        <w:pStyle w:val="TextBody"/>
        <w:bidi w:val="0"/>
        <w:spacing w:lineRule="auto" w:line="276" w:before="0" w:after="0"/>
        <w:ind w:left="0" w:right="0" w:hanging="540"/>
        <w:jc w:val="left"/>
        <w:rPr/>
      </w:pPr>
      <w:r>
        <w:rPr>
          <w:rFonts w:ascii="Times New Roman;serif" w:hAnsi="Times New Roman;serif"/>
          <w:b w:val="false"/>
          <w:color w:val="000000"/>
          <w:sz w:val="20"/>
        </w:rPr>
        <w:t>(6)    </w:t>
      </w:r>
      <w:hyperlink r:id="rId86">
        <w:r>
          <w:rPr>
            <w:rStyle w:val="InternetLink"/>
          </w:rPr>
          <w:t>Executive Employment Agreement, effective July 1, 2025, by and between Crown Holdings, Inc. and John Rost (incorporated by reference to Exhibit 10.2 of the Registrant</w:t>
        </w:r>
      </w:hyperlink>
      <w:hyperlink r:id="rId87">
        <w:r>
          <w:rPr>
            <w:rStyle w:val="InternetLink"/>
          </w:rPr>
          <w:t>’</w:t>
        </w:r>
      </w:hyperlink>
      <w:hyperlink r:id="rId88">
        <w:r>
          <w:rPr>
            <w:rStyle w:val="InternetLink"/>
          </w:rPr>
          <w:t xml:space="preserve">s Quarterly Report on Form 10-Q for the quarter ended June 30, 2025 (File No. 001-41550)). </w:t>
        </w:r>
      </w:hyperlink>
    </w:p>
    <w:p>
      <w:pPr>
        <w:pStyle w:val="TextBody"/>
        <w:bidi w:val="0"/>
        <w:spacing w:before="0" w:after="0"/>
        <w:ind w:left="0" w:right="0" w:hanging="540"/>
        <w:jc w:val="left"/>
        <w:rPr/>
      </w:pPr>
      <w:r>
        <w:rPr/>
      </w:r>
    </w:p>
    <w:p>
      <w:pPr>
        <w:pStyle w:val="TextBody"/>
        <w:bidi w:val="0"/>
        <w:spacing w:lineRule="auto" w:line="276" w:before="0" w:after="0"/>
        <w:ind w:left="0" w:right="0" w:hanging="540"/>
        <w:jc w:val="left"/>
        <w:rPr/>
      </w:pPr>
      <w:r>
        <w:rPr>
          <w:rFonts w:ascii="Times New Roman;serif" w:hAnsi="Times New Roman;serif"/>
          <w:b w:val="false"/>
          <w:color w:val="000000"/>
          <w:sz w:val="20"/>
        </w:rPr>
        <w:t>(7)    </w:t>
      </w:r>
      <w:hyperlink r:id="rId89">
        <w:r>
          <w:rPr>
            <w:rStyle w:val="InternetLink"/>
          </w:rPr>
          <w:t>First Amendment to Executive Employment Agreement, effective as of July 1, 2025, by and between Crown Holdings, Inc. and Djalma Novaes, Jr. (incorporated by reference to Exhibit 10.3 of the Registrant</w:t>
        </w:r>
      </w:hyperlink>
      <w:hyperlink r:id="rId90">
        <w:r>
          <w:rPr>
            <w:rStyle w:val="InternetLink"/>
          </w:rPr>
          <w:t>’</w:t>
        </w:r>
      </w:hyperlink>
      <w:hyperlink r:id="rId91">
        <w:r>
          <w:rPr>
            <w:rStyle w:val="InternetLink"/>
          </w:rPr>
          <w:t xml:space="preserve">s Quarterly Report on Form 10-Q for the quarter ended June 30, 2025 (File No. 001-41550)). </w:t>
        </w:r>
      </w:hyperlink>
    </w:p>
    <w:p>
      <w:pPr>
        <w:pStyle w:val="TextBody"/>
        <w:bidi w:val="0"/>
        <w:spacing w:before="0" w:after="0"/>
        <w:ind w:left="0" w:right="0" w:hanging="540"/>
        <w:jc w:val="left"/>
        <w:rPr/>
      </w:pPr>
      <w:r>
        <w:rPr/>
      </w:r>
    </w:p>
    <w:p>
      <w:pPr>
        <w:pStyle w:val="TextBody"/>
        <w:bidi w:val="0"/>
        <w:spacing w:lineRule="auto" w:line="276" w:before="0" w:after="0"/>
        <w:ind w:left="0" w:right="0" w:hanging="540"/>
        <w:jc w:val="left"/>
        <w:rPr/>
      </w:pPr>
      <w:r>
        <w:rPr>
          <w:rFonts w:ascii="Times New Roman;serif" w:hAnsi="Times New Roman;serif"/>
          <w:b w:val="false"/>
          <w:color w:val="000000"/>
          <w:sz w:val="20"/>
        </w:rPr>
        <w:t>(8)    </w:t>
      </w:r>
      <w:hyperlink r:id="rId92">
        <w:r>
          <w:rPr>
            <w:rStyle w:val="InternetLink"/>
          </w:rPr>
          <w:t>Executive Employment Agreement, effective as of July 1, 2025, by and between Crown Holdings, Inc. and Gary Gavin (incorporated by reference to Exhibit 10.5 of the Registrant</w:t>
        </w:r>
      </w:hyperlink>
      <w:hyperlink r:id="rId93">
        <w:r>
          <w:rPr>
            <w:rStyle w:val="InternetLink"/>
          </w:rPr>
          <w:t>’</w:t>
        </w:r>
      </w:hyperlink>
      <w:hyperlink r:id="rId94">
        <w:r>
          <w:rPr>
            <w:rStyle w:val="InternetLink"/>
          </w:rPr>
          <w:t>s Quarterly Report on Form 10-Q for the quarter ended June 30, 2025 (File No. 001-41550)).</w:t>
        </w:r>
      </w:hyperlink>
    </w:p>
    <w:p>
      <w:pPr>
        <w:pStyle w:val="TextBody"/>
        <w:bidi w:val="0"/>
        <w:spacing w:before="0" w:after="0"/>
        <w:ind w:left="0" w:right="0" w:hanging="54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10.b    </w:t>
      </w:r>
      <w:hyperlink r:id="rId95">
        <w:r>
          <w:rPr>
            <w:rStyle w:val="InternetLink"/>
          </w:rPr>
          <w:t>Crown Holdings, Inc. Economic Profit Incentive Plan, effective as of January 1, 2018 (incorporated by reference to Exhibit 10.b of the Registrant</w:t>
        </w:r>
      </w:hyperlink>
      <w:hyperlink r:id="rId96">
        <w:r>
          <w:rPr>
            <w:rStyle w:val="InternetLink"/>
          </w:rPr>
          <w:t>’</w:t>
        </w:r>
      </w:hyperlink>
      <w:hyperlink r:id="rId97">
        <w:r>
          <w:rPr>
            <w:rStyle w:val="InternetLink"/>
          </w:rPr>
          <w:t>s Annual Report on Form 10-K for the year ended December 31, 2018 (File No. 000-50189)).</w:t>
        </w:r>
      </w:hyperlink>
    </w:p>
    <w:p>
      <w:pPr>
        <w:pStyle w:val="TextBody"/>
        <w:bidi w:val="0"/>
        <w:spacing w:before="0" w:after="0"/>
        <w:ind w:left="0" w:right="0" w:hanging="81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10.c    </w:t>
      </w:r>
      <w:hyperlink r:id="rId98">
        <w:r>
          <w:rPr>
            <w:rStyle w:val="InternetLink"/>
            <w:rFonts w:ascii="Times New Roman;serif" w:hAnsi="Times New Roman;serif"/>
            <w:b w:val="false"/>
            <w:color w:val="0000FF"/>
            <w:sz w:val="20"/>
            <w:u w:val="single"/>
          </w:rPr>
          <w:t>Crown Holdings, Inc. Senior Executive Retirement Plan, as amended and restated as of January 1, 2008 (incorporated by reference to Exhibit 10.l of the Registrant’s Annual Report on Form 10-K for the year ended December 31, 2007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10.d    Senior Executive Retirement Agreements:</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(1)     </w:t>
      </w:r>
      <w:hyperlink r:id="rId99">
        <w:r>
          <w:rPr>
            <w:rStyle w:val="InternetLink"/>
            <w:rFonts w:ascii="Times New Roman;serif" w:hAnsi="Times New Roman;serif"/>
            <w:b w:val="false"/>
            <w:color w:val="0000FF"/>
            <w:sz w:val="20"/>
            <w:u w:val="single"/>
          </w:rPr>
          <w:t>Senior Executive Retirement Agreement between Crown Holdings, Inc. and Timothy J. Donahue, dated May 3, 2007 (incorporated by reference to Exhibit 10.4(e) of the Registrant’s Quarterly Report on Form 10-Q for the quarter ended March 31, 2007 (File No. 000-50189)).</w:t>
        </w:r>
      </w:hyperlink>
      <w:r>
        <w:rPr>
          <w:color w:val="000000"/>
        </w:rPr>
        <w:t>      </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(2)    </w:t>
      </w:r>
      <w:hyperlink r:id="rId100">
        <w:r>
          <w:rPr>
            <w:rStyle w:val="InternetLink"/>
          </w:rPr>
          <w:t>Senior Executive Retirement Agreement, effective June 1, 2012, between Crown Holdings, Inc. and Gerard Gifford (incorporated by reference to Exhibit 10.2 of the Registrant</w:t>
        </w:r>
      </w:hyperlink>
      <w:hyperlink r:id="rId101">
        <w:r>
          <w:rPr>
            <w:rStyle w:val="InternetLink"/>
          </w:rPr>
          <w:t>’</w:t>
        </w:r>
      </w:hyperlink>
      <w:hyperlink r:id="rId102">
        <w:r>
          <w:rPr>
            <w:rStyle w:val="InternetLink"/>
          </w:rPr>
          <w:t>s Quarterly Report on Form 10-Q for the quarter ended June 30, 2012 (File No 000-50189)).</w:t>
        </w:r>
      </w:hyperlink>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(3)    </w:t>
      </w:r>
      <w:hyperlink r:id="rId103">
        <w:r>
          <w:rPr>
            <w:rStyle w:val="InternetLink"/>
            <w:rFonts w:ascii="Times New Roman;serif" w:hAnsi="Times New Roman;serif"/>
            <w:b w:val="false"/>
            <w:color w:val="0000FF"/>
            <w:sz w:val="20"/>
            <w:u w:val="single"/>
          </w:rPr>
          <w:t>Amendment No. 1 to the Senior Executive Retirement Agreement, effective June 1, 2012, between Crown Holdings, Inc. and Gerard Gifford dated December 28, 2012 (incorporated by reference to Exhibit 10.m(7) of the Registrant’s Annual Report on Form 10-K for the year ended December 31, 2012 (File No. 000-50189)).</w:t>
        </w:r>
      </w:hyperlink>
    </w:p>
    <w:p>
      <w:pPr>
        <w:pStyle w:val="TextBody"/>
        <w:bidi w:val="0"/>
        <w:spacing w:before="0" w:after="0"/>
        <w:ind w:left="0" w:right="0" w:hanging="540"/>
        <w:jc w:val="both"/>
        <w:rPr/>
      </w:pPr>
      <w:r>
        <w:rPr/>
      </w:r>
    </w:p>
    <w:p>
      <w:pPr>
        <w:pStyle w:val="TextBody"/>
        <w:bidi w:val="0"/>
        <w:spacing w:lineRule="auto" w:line="276" w:before="0" w:after="0"/>
        <w:ind w:left="0" w:right="0" w:hanging="540"/>
        <w:jc w:val="left"/>
        <w:rPr/>
      </w:pPr>
      <w:r>
        <w:rPr>
          <w:rFonts w:ascii="Times New Roman;serif" w:hAnsi="Times New Roman;serif"/>
          <w:b w:val="false"/>
          <w:color w:val="000000"/>
          <w:sz w:val="20"/>
        </w:rPr>
        <w:t>(4)    </w:t>
      </w:r>
      <w:hyperlink r:id="rId104">
        <w:r>
          <w:rPr>
            <w:rStyle w:val="InternetLink"/>
            <w:rFonts w:ascii="Times New Roman;serif" w:hAnsi="Times New Roman;serif"/>
            <w:b w:val="false"/>
            <w:color w:val="0000FF"/>
            <w:sz w:val="20"/>
            <w:u w:val="single"/>
          </w:rPr>
          <w:t>Senior Executive Retirement Agreement between Crown Holdings, Inc. and Djalma Novaes Jr., dated February 26, 2015</w:t>
        </w:r>
      </w:hyperlink>
      <w:hyperlink r:id="rId105">
        <w:r>
          <w:rPr>
            <w:rStyle w:val="InternetLink"/>
            <w:color w:val="0000FF"/>
            <w:u w:val="single"/>
          </w:rPr>
          <w:t xml:space="preserve"> </w:t>
        </w:r>
      </w:hyperlink>
      <w:hyperlink r:id="rId106">
        <w:r>
          <w:rPr>
            <w:rStyle w:val="InternetLink"/>
            <w:rFonts w:ascii="Times New Roman;serif" w:hAnsi="Times New Roman;serif"/>
            <w:b w:val="false"/>
            <w:color w:val="0000FF"/>
            <w:sz w:val="20"/>
            <w:u w:val="single"/>
          </w:rPr>
          <w:t>(incorporated by reference to Exhibit 10.f(9) of the Registrant’s Annual Report on Form 10-K for the year ended December 31, 2014 (File No. 000-50189)).</w:t>
        </w:r>
      </w:hyperlink>
    </w:p>
    <w:p>
      <w:pPr>
        <w:pStyle w:val="TextBody"/>
        <w:bidi w:val="0"/>
        <w:spacing w:before="0" w:after="0"/>
        <w:ind w:left="0" w:right="0" w:hanging="540"/>
        <w:jc w:val="both"/>
        <w:rPr/>
      </w:pPr>
      <w:r>
        <w:rPr/>
      </w:r>
    </w:p>
    <w:p>
      <w:pPr>
        <w:pStyle w:val="TextBody"/>
        <w:bidi w:val="0"/>
        <w:spacing w:lineRule="auto" w:line="276" w:before="0" w:after="0"/>
        <w:ind w:left="0" w:right="0" w:hanging="540"/>
        <w:jc w:val="left"/>
        <w:rPr/>
      </w:pPr>
      <w:r>
        <w:rPr>
          <w:rFonts w:ascii="Times New Roman;serif" w:hAnsi="Times New Roman;serif"/>
          <w:b w:val="false"/>
          <w:color w:val="000000"/>
          <w:sz w:val="20"/>
        </w:rPr>
        <w:t>(5)    </w:t>
      </w:r>
      <w:hyperlink r:id="rId107">
        <w:r>
          <w:rPr>
            <w:rStyle w:val="InternetLink"/>
            <w:rFonts w:ascii="Times New Roman;serif" w:hAnsi="Times New Roman;serif"/>
            <w:b w:val="false"/>
            <w:color w:val="0000FF"/>
            <w:sz w:val="20"/>
            <w:u w:val="single"/>
          </w:rPr>
          <w:t>Amendment No. 2 to the Senior Executive Retirement Agreement, effective as of May 17, 2016, between Crown Holdings, Inc. and Gerard Gifford (incorporated by reference to Exhibit 10.1 of the Registrant’s Current Report on Form 8-K dated May 18, 2016 (File No. 000-50189)).</w:t>
        </w:r>
      </w:hyperlink>
    </w:p>
    <w:p>
      <w:pPr>
        <w:pStyle w:val="TextBody"/>
        <w:bidi w:val="0"/>
        <w:spacing w:before="0" w:after="0"/>
        <w:jc w:val="left"/>
        <w:rPr/>
      </w:pPr>
      <w:r>
        <w:rPr/>
      </w:r>
    </w:p>
    <w:p>
      <w:pPr>
        <w:pStyle w:val="TextBody"/>
        <w:bidi w:val="0"/>
        <w:spacing w:lineRule="auto" w:line="276" w:before="0" w:after="0"/>
        <w:ind w:left="0" w:right="0" w:hanging="540"/>
        <w:jc w:val="left"/>
        <w:rPr/>
      </w:pPr>
      <w:r>
        <w:rPr>
          <w:rFonts w:ascii="Times New Roman;serif" w:hAnsi="Times New Roman;serif"/>
          <w:b w:val="false"/>
          <w:color w:val="000000"/>
          <w:sz w:val="20"/>
        </w:rPr>
        <w:t>(6)    </w:t>
      </w:r>
      <w:hyperlink r:id="rId108">
        <w:r>
          <w:rPr>
            <w:rStyle w:val="InternetLink"/>
            <w:rFonts w:ascii="Times New Roman;serif" w:hAnsi="Times New Roman;serif"/>
            <w:b w:val="false"/>
            <w:color w:val="0000FF"/>
            <w:sz w:val="20"/>
            <w:u w:val="single"/>
          </w:rPr>
          <w:t>Amended and Restated Senior Executive Retirement Agreement, effective as of June 1, 2017, between Crown Holdings, Inc. and Gerard Gifford (incorporated by reference to Exhibit 10.c of the Registrant’s Quarterly Report on Form 10-Q for the quarter ended March 31, 2017 (File No. 000-50189)).</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ind w:left="0" w:right="0" w:hanging="540"/>
        <w:jc w:val="left"/>
        <w:rPr/>
      </w:pPr>
      <w:r>
        <w:rPr/>
      </w:r>
    </w:p>
    <w:p>
      <w:pPr>
        <w:pStyle w:val="TextBody"/>
        <w:bidi w:val="0"/>
        <w:spacing w:lineRule="auto" w:line="276" w:before="0" w:after="0"/>
        <w:ind w:left="0" w:right="0" w:hanging="540"/>
        <w:jc w:val="left"/>
        <w:rPr/>
      </w:pPr>
      <w:r>
        <w:rPr>
          <w:rFonts w:ascii="Times New Roman;serif" w:hAnsi="Times New Roman;serif"/>
          <w:b w:val="false"/>
          <w:color w:val="000000"/>
          <w:sz w:val="20"/>
        </w:rPr>
        <w:t>(7)    </w:t>
      </w:r>
      <w:hyperlink r:id="rId109">
        <w:r>
          <w:rPr>
            <w:rStyle w:val="InternetLink"/>
            <w:rFonts w:ascii="Times New Roman;serif" w:hAnsi="Times New Roman;serif"/>
            <w:b w:val="false"/>
            <w:color w:val="0000FF"/>
            <w:sz w:val="20"/>
            <w:u w:val="single"/>
          </w:rPr>
          <w:t>Amendment No.1 to Amend and Restate Senior Executive Retirement Agreement, effective October 21, 2020, between Crown Holdings, Inc. and Gerard Gifford (incorporated by reference to Exhibit 10.d of the Registrant’s Quarterly Report on Form 10-Q for the Quarter ended September 30, 2020 (File No. 000-50189)).</w:t>
        </w:r>
      </w:hyperlink>
    </w:p>
    <w:p>
      <w:pPr>
        <w:pStyle w:val="TextBody"/>
        <w:bidi w:val="0"/>
        <w:spacing w:before="0" w:after="0"/>
        <w:ind w:left="0" w:right="0" w:hanging="540"/>
        <w:jc w:val="left"/>
        <w:rPr/>
      </w:pPr>
      <w:r>
        <w:rPr/>
      </w:r>
    </w:p>
    <w:p>
      <w:pPr>
        <w:pStyle w:val="TextBody"/>
        <w:bidi w:val="0"/>
        <w:spacing w:lineRule="auto" w:line="276" w:before="0" w:after="0"/>
        <w:ind w:left="0" w:right="0" w:hanging="540"/>
        <w:jc w:val="left"/>
        <w:rPr/>
      </w:pPr>
      <w:r>
        <w:rPr>
          <w:rFonts w:ascii="Times New Roman;serif" w:hAnsi="Times New Roman;serif"/>
          <w:b w:val="false"/>
          <w:color w:val="000000"/>
          <w:sz w:val="20"/>
        </w:rPr>
        <w:t>(8)    </w:t>
      </w:r>
      <w:hyperlink r:id="rId110">
        <w:r>
          <w:rPr>
            <w:rStyle w:val="InternetLink"/>
          </w:rPr>
          <w:t>Amendment No 1. to Senior Executive Retirement Agreement, effective as of July 1, 2025, by and between Crown Holdings, Inc. and Djalma Novaes, Jr. (incorporated by reference to Exhibit 10.4 of the Registrant</w:t>
        </w:r>
      </w:hyperlink>
      <w:hyperlink r:id="rId111">
        <w:r>
          <w:rPr>
            <w:rStyle w:val="InternetLink"/>
          </w:rPr>
          <w:t>’</w:t>
        </w:r>
      </w:hyperlink>
      <w:hyperlink r:id="rId112">
        <w:r>
          <w:rPr>
            <w:rStyle w:val="InternetLink"/>
          </w:rPr>
          <w:t xml:space="preserve">s Quarterly Report on Form 10-Q for the quarter ended June 30, 2025 (File No. 001-41550)). </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10.e    </w:t>
      </w:r>
      <w:hyperlink r:id="rId113">
        <w:r>
          <w:rPr>
            <w:rStyle w:val="InternetLink"/>
            <w:rFonts w:ascii="Times New Roman;serif" w:hAnsi="Times New Roman;serif"/>
            <w:b w:val="false"/>
            <w:color w:val="0000FF"/>
            <w:sz w:val="20"/>
            <w:u w:val="single"/>
          </w:rPr>
          <w:t>Form of Agreement for Non-Qualified Stock Option Awards under Crown Holdings, Inc. 2004 Stock-Based Incentive Compensation Plan (incorporated by reference to Exhibit 10.6 of the Registrant’s Quarterly Report on Form 10-Q for the quarter ended September 30, 2004 (File No. 000-51089)).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10.f    </w:t>
      </w:r>
      <w:hyperlink r:id="rId114">
        <w:r>
          <w:rPr>
            <w:rStyle w:val="InternetLink"/>
            <w:rFonts w:ascii="Times New Roman;serif" w:hAnsi="Times New Roman;serif"/>
            <w:b w:val="false"/>
            <w:color w:val="0000FF"/>
            <w:sz w:val="20"/>
            <w:u w:val="single"/>
          </w:rPr>
          <w:t>Crown Holdings, Inc. Deferred Compensation Plan for Directors.</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10.g    </w:t>
      </w:r>
      <w:hyperlink r:id="rId115">
        <w:r>
          <w:rPr>
            <w:rStyle w:val="InternetLink"/>
            <w:rFonts w:ascii="Times New Roman;serif" w:hAnsi="Times New Roman;serif"/>
            <w:b w:val="false"/>
            <w:color w:val="0000FF"/>
            <w:sz w:val="20"/>
            <w:u w:val="single"/>
          </w:rPr>
          <w:t>Crown Holdings, Inc. Stock Compensation Plan for Non-Employee Directors, dated as of April 22, 2004 (incorporated by reference to the Registrant’s Definitive Proxy Statement on Schedule 14A, filed with the Securities and Exchange Commission on March 19, 2004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10.h    </w:t>
      </w:r>
      <w:hyperlink r:id="rId116">
        <w:r>
          <w:rPr>
            <w:rStyle w:val="InternetLink"/>
            <w:rFonts w:ascii="Times New Roman;serif" w:hAnsi="Times New Roman;serif"/>
            <w:b w:val="false"/>
            <w:color w:val="0000FF"/>
            <w:sz w:val="20"/>
            <w:u w:val="single"/>
          </w:rPr>
          <w:t>Amendment No. 1, effective April 1, 2005, to the Crown Holdings, Inc. Stock Compensation Plan for Non-Employee Directors, dated as of April 22, 2004 (incorporated by reference to Exhibit 10 to the Registrant’s Quarterly Report on Form 10-Q for the quarter ended March 31, 2005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10.i    </w:t>
      </w:r>
      <w:hyperlink r:id="rId117">
        <w:r>
          <w:rPr>
            <w:rStyle w:val="InternetLink"/>
          </w:rPr>
          <w:t>Crown Holdings, Inc. 2013 Stock-Based Incentive Compensation Plan (incorporated by reference to the Registrant</w:t>
        </w:r>
      </w:hyperlink>
      <w:hyperlink r:id="rId118">
        <w:r>
          <w:rPr>
            <w:rStyle w:val="InternetLink"/>
          </w:rPr>
          <w:t>’</w:t>
        </w:r>
      </w:hyperlink>
      <w:hyperlink r:id="rId119">
        <w:r>
          <w:rPr>
            <w:rStyle w:val="InternetLink"/>
          </w:rPr>
          <w:t>s Definitive Proxy Statement on Schedule 14A, filed with the Securities and Exchange Commission on March 18, 2013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10.j    </w:t>
      </w:r>
      <w:hyperlink r:id="rId120">
        <w:r>
          <w:rPr>
            <w:rStyle w:val="InternetLink"/>
            <w:rFonts w:ascii="Times New Roman;serif" w:hAnsi="Times New Roman;serif"/>
            <w:b w:val="false"/>
            <w:color w:val="0000FF"/>
            <w:sz w:val="20"/>
            <w:u w:val="single"/>
          </w:rPr>
          <w:t>Form of Agreement for Restricted Stock Awards under Crown Holdings, Inc. 2013 Stock-Based Incentive Compensation Plan (incorporated by reference to Exhibit 10.1 of the Registrant’s Quarterly Report on Form 10-Q for the quarter ended September 30, 2013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10.k    </w:t>
      </w:r>
      <w:hyperlink r:id="rId121">
        <w:r>
          <w:rPr>
            <w:rStyle w:val="InternetLink"/>
            <w:rFonts w:ascii="Times New Roman;serif" w:hAnsi="Times New Roman;serif"/>
            <w:b w:val="false"/>
            <w:color w:val="0000FF"/>
            <w:sz w:val="20"/>
            <w:u w:val="single"/>
          </w:rPr>
          <w:t>Form of Agreement for Deferred Stock Awards under Crown Holdings, Inc. 2013 Stock-Based Incentive Compensation Plan (incorporated by reference to Exhibit 10.2 of the Registrant’s Quarterly Report on Form 10-Q for the quarter ended September 30, 2013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10.l    </w:t>
      </w:r>
      <w:hyperlink r:id="rId122">
        <w:r>
          <w:rPr>
            <w:rStyle w:val="InternetLink"/>
          </w:rPr>
          <w:t>Crown Cork &amp; Seal Company, Inc. Restoration Plan, dated July 28, 2010 (incorporated by reference to Exhibit 10.3 of the Registrant</w:t>
        </w:r>
      </w:hyperlink>
      <w:hyperlink r:id="rId123">
        <w:r>
          <w:rPr>
            <w:rStyle w:val="InternetLink"/>
          </w:rPr>
          <w:t>’</w:t>
        </w:r>
      </w:hyperlink>
      <w:hyperlink r:id="rId124">
        <w:r>
          <w:rPr>
            <w:rStyle w:val="InternetLink"/>
          </w:rPr>
          <w:t>s Quarterly Report on Form 10-Q for the quarter ended June 30, 2012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10.m    </w:t>
      </w:r>
      <w:hyperlink r:id="rId125">
        <w:r>
          <w:rPr>
            <w:rStyle w:val="InternetLink"/>
          </w:rPr>
          <w:t>Amendment No. 1, effective July 1, 2011, to the Crown Cork &amp; Seal Company, Inc. Restoration Plan (incorporated by reference to Exhibit 10.4 of the Registrant</w:t>
        </w:r>
      </w:hyperlink>
      <w:hyperlink r:id="rId126">
        <w:r>
          <w:rPr>
            <w:rStyle w:val="InternetLink"/>
          </w:rPr>
          <w:t>’</w:t>
        </w:r>
      </w:hyperlink>
      <w:hyperlink r:id="rId127">
        <w:r>
          <w:rPr>
            <w:rStyle w:val="InternetLink"/>
          </w:rPr>
          <w:t>s Quarterly Report on Form 10-Q for the quarter ended June 30, 2012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 xml:space="preserve">10.n </w:t>
      </w:r>
      <w:hyperlink r:id="rId128">
        <w:r>
          <w:rPr>
            <w:rStyle w:val="InternetLink"/>
          </w:rPr>
          <w:t>Amendment No. 1, effective February 28, 2020, to the Crown Holdings, Inc. 2013 Stock-Based Incentive Compensation Plan (incorporated by reference to Exhibit 10.2 of the Registrant</w:t>
        </w:r>
      </w:hyperlink>
      <w:hyperlink r:id="rId129">
        <w:r>
          <w:rPr>
            <w:rStyle w:val="InternetLink"/>
          </w:rPr>
          <w:t>’</w:t>
        </w:r>
      </w:hyperlink>
      <w:hyperlink r:id="rId130">
        <w:r>
          <w:rPr>
            <w:rStyle w:val="InternetLink"/>
          </w:rPr>
          <w:t>s Quarterly Report on F</w:t>
        </w:r>
      </w:hyperlink>
      <w:hyperlink r:id="rId131">
        <w:r>
          <w:rPr>
            <w:rStyle w:val="InternetLink"/>
          </w:rPr>
          <w:t>or</w:t>
        </w:r>
      </w:hyperlink>
      <w:hyperlink r:id="rId132">
        <w:r>
          <w:rPr>
            <w:rStyle w:val="InternetLink"/>
          </w:rPr>
          <w:t>m 10-Q for the quarter ended March 31, 2020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10.o    </w:t>
      </w:r>
      <w:hyperlink r:id="rId133">
        <w:r>
          <w:rPr>
            <w:rStyle w:val="InternetLink"/>
            <w:rFonts w:ascii="Times New Roman;serif" w:hAnsi="Times New Roman;serif"/>
            <w:b w:val="false"/>
            <w:color w:val="0000FF"/>
            <w:sz w:val="20"/>
            <w:u w:val="single"/>
          </w:rPr>
          <w:t>Amendment No. 2, effective February 25, 2021, to the Crown Holdings, Inc. 2013 Stock-Based Incentive Compensation Plan.</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10.p    </w:t>
      </w:r>
      <w:hyperlink r:id="rId134">
        <w:r>
          <w:rPr>
            <w:rStyle w:val="InternetLink"/>
            <w:rFonts w:ascii="Times New Roman;serif" w:hAnsi="Times New Roman;serif"/>
            <w:b w:val="false"/>
            <w:color w:val="0000FF"/>
            <w:sz w:val="20"/>
            <w:u w:val="single"/>
          </w:rPr>
          <w:t>Crown Holdings, Inc. 2022 Stock-Based Incentive Compensation Plan (incorporated by reference to the Registrant’s Definitive Proxy Statement on Schedule 14A, filed with the Securities and Exchange Commission on March 21, 2022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10.q    </w:t>
      </w:r>
      <w:hyperlink r:id="rId135">
        <w:r>
          <w:rPr>
            <w:rStyle w:val="InternetLink"/>
            <w:rFonts w:ascii="Times New Roman;serif" w:hAnsi="Times New Roman;serif"/>
            <w:b w:val="false"/>
            <w:color w:val="0000FF"/>
            <w:sz w:val="20"/>
            <w:u w:val="single"/>
            <w:shd w:fill="FFFFFF" w:val="clear"/>
          </w:rPr>
          <w:t>Amendment No. 1, to the Crown Holdings, Inc. 2022 Stock-Based Incentive Compensation Plan.</w:t>
        </w:r>
      </w:hyperlink>
    </w:p>
    <w:p>
      <w:pPr>
        <w:pStyle w:val="TextBody"/>
        <w:bidi w:val="0"/>
        <w:spacing w:before="0" w:after="0"/>
        <w:ind w:left="0" w:right="0" w:hanging="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lineRule="auto" w:line="288" w:before="0" w:after="0"/>
        <w:ind w:left="0" w:right="0" w:hanging="630"/>
        <w:jc w:val="both"/>
        <w:rPr/>
      </w:pPr>
      <w:r>
        <w:rPr>
          <w:rFonts w:ascii="Times New Roman;serif" w:hAnsi="Times New Roman;serif"/>
          <w:b w:val="false"/>
          <w:color w:val="000000"/>
          <w:sz w:val="20"/>
        </w:rPr>
        <w:t>10.r    </w:t>
      </w:r>
      <w:hyperlink r:id="rId136">
        <w:r>
          <w:rPr>
            <w:rStyle w:val="InternetLink"/>
            <w:rFonts w:ascii="Times New Roman;serif" w:hAnsi="Times New Roman;serif"/>
            <w:b w:val="false"/>
            <w:color w:val="0000FF"/>
            <w:sz w:val="20"/>
            <w:u w:val="single"/>
          </w:rPr>
          <w:t>Crown Cork &amp; Seal Company, Inc. Amended and Restated Restoration Plan (incorporated by reference to Exhibit 10.o of the Registrant’s Quarterly Report on Form 10-Q for the quarter ended June 30, 2022 (File No. 000-50189)).</w:t>
        </w:r>
      </w:hyperlink>
    </w:p>
    <w:p>
      <w:pPr>
        <w:pStyle w:val="TextBody"/>
        <w:bidi w:val="0"/>
        <w:spacing w:before="0" w:after="0"/>
        <w:jc w:val="left"/>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10.s    </w:t>
      </w:r>
      <w:hyperlink r:id="rId137">
        <w:r>
          <w:rPr>
            <w:rStyle w:val="InternetLink"/>
            <w:rFonts w:ascii="Times New Roman;serif" w:hAnsi="Times New Roman;serif"/>
            <w:b w:val="false"/>
            <w:color w:val="0000FF"/>
            <w:sz w:val="20"/>
            <w:u w:val="single"/>
          </w:rPr>
          <w:t>Executive Employment Agreement, effective 25 October, 2022, between Crown Holdings, Inc. and Matthew R. Madeksza (incorporated by reference to Exhibit 10.p of the Registrant’s Quarterly Report on Form 10-Q for the quarter ended September 30, 2022 (File No. 000-50189)).</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 xml:space="preserve">10.t </w:t>
      </w:r>
      <w:hyperlink r:id="rId138">
        <w:r>
          <w:rPr>
            <w:rStyle w:val="InternetLink"/>
            <w:rFonts w:ascii="Times New Roman;serif" w:hAnsi="Times New Roman;serif"/>
            <w:b w:val="false"/>
            <w:color w:val="0000FF"/>
            <w:sz w:val="20"/>
            <w:u w:val="single"/>
          </w:rPr>
          <w:t>Share and Asset Purchase Agreement, dated as of April 8, 2021, by and among the Company, Crown Cork &amp; Seal Deutschland Holdings GmbH, Blitz F21-387 GmbH, Kouti B.V. and Macsco 20.10 Limited (incorporated by reference to Exhibit 2.1 of the Registrant’s Current Report on Form 8-K dated April 13, 2021 (File No. 000-50189)).</w:t>
        </w:r>
      </w:hyperlink>
    </w:p>
    <w:p>
      <w:pPr>
        <w:pStyle w:val="TextBody"/>
        <w:bidi w:val="0"/>
        <w:spacing w:before="0" w:after="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10.u    </w:t>
      </w:r>
      <w:hyperlink r:id="rId139">
        <w:r>
          <w:rPr>
            <w:rStyle w:val="InternetLink"/>
            <w:rFonts w:ascii="Times New Roman;serif" w:hAnsi="Times New Roman;serif"/>
            <w:b w:val="false"/>
            <w:color w:val="0000FF"/>
            <w:sz w:val="20"/>
            <w:u w:val="single"/>
          </w:rPr>
          <w:t>Crown Holdings, Inc. Executive Officer Cash Severance Policy.</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10.v    </w:t>
      </w:r>
      <w:hyperlink r:id="rId140">
        <w:r>
          <w:rPr>
            <w:rStyle w:val="InternetLink"/>
          </w:rPr>
          <w:t>Amendment No. 1 to the Crown Holdings, Inc. Stock Purchase Plan, effective August 1, 2024 (incorporated by reference to Exhibit 10.1 of the Registrant</w:t>
        </w:r>
      </w:hyperlink>
      <w:hyperlink r:id="rId141">
        <w:r>
          <w:rPr>
            <w:rStyle w:val="InternetLink"/>
          </w:rPr>
          <w:t>’</w:t>
        </w:r>
      </w:hyperlink>
      <w:hyperlink r:id="rId142">
        <w:r>
          <w:rPr>
            <w:rStyle w:val="InternetLink"/>
          </w:rPr>
          <w:t>s Quarterly Report on Form 10-Q dated November 1, 2024 (File No. 001-41550)).</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10.w    </w:t>
      </w:r>
      <w:hyperlink r:id="rId143">
        <w:r>
          <w:rPr>
            <w:rStyle w:val="InternetLink"/>
          </w:rPr>
          <w:t>Separation and General Release Agreement, dated June 4, 2025, by and between Carlos Baila and Crown Holdings, Inc. (incorporated by reference to Exhibit 10.1 of the Registrant</w:t>
        </w:r>
      </w:hyperlink>
      <w:hyperlink r:id="rId144">
        <w:r>
          <w:rPr>
            <w:rStyle w:val="InternetLink"/>
          </w:rPr>
          <w:t>’</w:t>
        </w:r>
      </w:hyperlink>
      <w:hyperlink r:id="rId145">
        <w:r>
          <w:rPr>
            <w:rStyle w:val="InternetLink"/>
          </w:rPr>
          <w:t>s Quarterly Report on Form 10-Q for the quarter ended June 30, 2025 (File No. 001-41550)).</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Exhibits 10.c through 10.w are management contracts or compensatory plans or arrangements required to be filed as exhibits pursuant to Item 14(c) of this Report.</w:t>
      </w:r>
    </w:p>
    <w:p>
      <w:pPr>
        <w:pStyle w:val="TextBody"/>
        <w:bidi w:val="0"/>
        <w:spacing w:before="0" w:after="0"/>
        <w:ind w:left="0" w:right="0" w:hanging="9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19.1    </w:t>
      </w:r>
      <w:hyperlink r:id="rId146">
        <w:r>
          <w:rPr>
            <w:rStyle w:val="InternetLink"/>
          </w:rPr>
          <w:t>Securities Trading and SEC Reporting Compliance Reporting Policy</w:t>
        </w:r>
      </w:hyperlink>
      <w:hyperlink r:id="rId147">
        <w:r>
          <w:rPr>
            <w:rStyle w:val="InternetLink"/>
          </w:rPr>
          <w:t xml:space="preserve"> (incorporated by reference to Exhibit 19.1 of the Registrant</w:t>
        </w:r>
      </w:hyperlink>
      <w:hyperlink r:id="rId148">
        <w:r>
          <w:rPr>
            <w:rStyle w:val="InternetLink"/>
          </w:rPr>
          <w:t>’</w:t>
        </w:r>
      </w:hyperlink>
      <w:hyperlink r:id="rId149">
        <w:r>
          <w:rPr>
            <w:rStyle w:val="InternetLink"/>
          </w:rPr>
          <w:t>s Quarterly Report on Form 10-Q dated July 28, 2023 (File No. 000-50189)).</w:t>
        </w:r>
      </w:hyperlink>
      <w:r>
        <w:rPr>
          <w:color w:val="000000"/>
        </w:rPr>
        <w:t xml:space="preserve"> </w:t>
      </w:r>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21    </w:t>
      </w:r>
      <w:hyperlink w:anchor="ex21-12312025.htm">
        <w:r>
          <w:rPr>
            <w:rStyle w:val="InternetLink"/>
            <w:rFonts w:ascii="Times New Roman;serif" w:hAnsi="Times New Roman;serif"/>
            <w:b w:val="false"/>
            <w:color w:val="0000FF"/>
            <w:sz w:val="20"/>
            <w:u w:val="single"/>
          </w:rPr>
          <w:t>Subsidiaries of Registrant.</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22    </w:t>
      </w:r>
      <w:hyperlink w:anchor="ex22-12312025.htm">
        <w:r>
          <w:rPr>
            <w:rStyle w:val="InternetLink"/>
            <w:rFonts w:ascii="Times New Roman;serif" w:hAnsi="Times New Roman;serif"/>
            <w:b w:val="false"/>
            <w:color w:val="0000FF"/>
            <w:sz w:val="20"/>
            <w:u w:val="single"/>
          </w:rPr>
          <w:t>List of Guarantors.</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23    </w:t>
      </w:r>
      <w:hyperlink w:anchor="ex23-12312025.htm">
        <w:r>
          <w:rPr>
            <w:rStyle w:val="InternetLink"/>
            <w:rFonts w:ascii="Times New Roman;serif" w:hAnsi="Times New Roman;serif"/>
            <w:b w:val="false"/>
            <w:color w:val="0000FF"/>
            <w:sz w:val="20"/>
            <w:u w:val="single"/>
          </w:rPr>
          <w:t>Consent of Independent Registered Public Accounting Firm.</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31.1    </w:t>
      </w:r>
      <w:hyperlink w:anchor="ex311-12312025.htm">
        <w:r>
          <w:rPr>
            <w:rStyle w:val="InternetLink"/>
            <w:rFonts w:ascii="Times New Roman;serif" w:hAnsi="Times New Roman;serif"/>
            <w:b w:val="false"/>
            <w:color w:val="0000FF"/>
            <w:sz w:val="20"/>
            <w:u w:val="single"/>
          </w:rPr>
          <w:t>Certification of Chief Executive Officer pursuant to Rule 13a-14(a) or 15d-14(a) of the Securities and Exchange Act of 1934, as adopted pursuant to Section 302 of the Sarbanes-Oxley Act of 2002.</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31.2    </w:t>
      </w:r>
      <w:hyperlink w:anchor="ex312-12312025.htm">
        <w:r>
          <w:rPr>
            <w:rStyle w:val="InternetLink"/>
            <w:rFonts w:ascii="Times New Roman;serif" w:hAnsi="Times New Roman;serif"/>
            <w:b w:val="false"/>
            <w:color w:val="0000FF"/>
            <w:sz w:val="20"/>
            <w:u w:val="single"/>
          </w:rPr>
          <w:t>Certification of Chief Financial Officer pursuant to Rule 13a-14(a) or 15d-14(a) of the Securities and Exchange Act of 1934, as adopted pursuant to Section 302 of the Sarbanes-Oxley Act of 2002.</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32    </w:t>
      </w:r>
      <w:hyperlink w:anchor="ex32-12312025.htm">
        <w:r>
          <w:rPr>
            <w:rStyle w:val="InternetLink"/>
            <w:rFonts w:ascii="Times New Roman;serif" w:hAnsi="Times New Roman;serif"/>
            <w:b w:val="false"/>
            <w:color w:val="0000FF"/>
            <w:sz w:val="20"/>
            <w:u w:val="single"/>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pPr>
      <w:r>
        <w:rPr>
          <w:rFonts w:ascii="Times New Roman;serif" w:hAnsi="Times New Roman;serif"/>
          <w:b w:val="false"/>
          <w:color w:val="000000"/>
          <w:sz w:val="20"/>
        </w:rPr>
        <w:t>97    </w:t>
      </w:r>
      <w:hyperlink r:id="rId150">
        <w:r>
          <w:rPr>
            <w:rStyle w:val="InternetLink"/>
            <w:rFonts w:ascii="Times New Roman;serif" w:hAnsi="Times New Roman;serif"/>
            <w:b w:val="false"/>
            <w:color w:val="0000FF"/>
            <w:sz w:val="20"/>
            <w:u w:val="single"/>
            <w:shd w:fill="FFFFFF" w:val="clear"/>
          </w:rPr>
          <w:t>Crown Holdings, Inc. Compensation Recovery Policy, effective October 2, 2023.</w:t>
        </w:r>
      </w:hyperlink>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101    The following financial information from the Registrant’s Annual Report on Form 10-K for the year ended December 31, 2025 formatted in Inline XBRL (eXtensible Business Reporting Language): (i) Consolidated Statements of Operations for the twelve months ended December 31, 2025, 2024, and 2023, (ii) Consolidated Statements of Comprehensive Income for the twelve months ended December 31, 2025, 2024, and 2023; (iii) Consolidated Balance Sheets as of December 31, 2025 and December 31, 2024, (iv) Consolidated Statements of Cash Flows for the twelve months ended December 31, 2025, 2024, and 2023, (v) Consolidated Statements of Changes in Shareholders’ Equity for the twelve months ended December 31, 2025, 2024, and 2023 and (vi) Notes to Consolidated Financial Statements.</w:t>
      </w:r>
    </w:p>
    <w:p>
      <w:pPr>
        <w:pStyle w:val="TextBody"/>
        <w:bidi w:val="0"/>
        <w:spacing w:before="0" w:after="0"/>
        <w:ind w:left="0" w:right="0" w:hanging="63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104    Cover Page Interactive Data File - the cover page interactive data file does not appear in the Interactive Data File because its XBRL tags are embedded with the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ind w:left="0" w:right="0" w:hanging="11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810"/>
        <w:jc w:val="both"/>
        <w:rPr/>
      </w:pPr>
      <w:bookmarkStart w:id="62" w:name="ie855d2a182904ae6a8c47ea60774dae8"/>
      <w:bookmarkEnd w:id="62"/>
      <w:r>
        <w:rPr>
          <w:rFonts w:ascii="Times New Roman;serif" w:hAnsi="Times New Roman;serif"/>
          <w:b w:val="false"/>
          <w:color w:val="000000"/>
          <w:sz w:val="20"/>
          <w:u w:val="single"/>
        </w:rPr>
        <w:t>ITEM 16. Form 10-K Summary</w:t>
      </w:r>
      <w:r>
        <w:rPr>
          <w:color w:val="000000"/>
        </w:rPr>
        <w:t>    </w:t>
      </w:r>
    </w:p>
    <w:p>
      <w:pPr>
        <w:pStyle w:val="TextBody"/>
        <w:bidi w:val="0"/>
        <w:spacing w:before="0" w:after="0"/>
        <w:jc w:val="both"/>
        <w:rPr/>
      </w:pPr>
      <w:r>
        <w:rPr/>
      </w:r>
    </w:p>
    <w:p>
      <w:pPr>
        <w:pStyle w:val="TextBody"/>
        <w:bidi w:val="0"/>
        <w:spacing w:lineRule="auto" w:line="288" w:before="0" w:after="0"/>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center"/>
        <w:rPr/>
      </w:pPr>
      <w:r>
        <w:rPr/>
      </w:r>
    </w:p>
    <w:p>
      <w:pPr>
        <w:pStyle w:val="TextBody"/>
        <w:bidi w:val="0"/>
        <w:spacing w:lineRule="auto" w:line="288" w:before="0" w:after="0"/>
        <w:ind w:left="0" w:right="0" w:hanging="810"/>
        <w:jc w:val="both"/>
        <w:rPr>
          <w:rFonts w:ascii="Times New Roman;serif" w:hAnsi="Times New Roman;serif"/>
          <w:b w:val="false"/>
          <w:color w:val="000000"/>
          <w:sz w:val="20"/>
          <w:u w:val="single"/>
        </w:rPr>
      </w:pPr>
      <w:bookmarkStart w:id="63" w:name="i2f7776ba0f544a28be4e3725f368c9f7"/>
      <w:bookmarkEnd w:id="63"/>
      <w:r>
        <w:rPr>
          <w:rFonts w:ascii="Times New Roman;serif" w:hAnsi="Times New Roman;serif"/>
          <w:b w:val="false"/>
          <w:color w:val="000000"/>
          <w:sz w:val="20"/>
          <w:u w:val="single"/>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96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2110"/>
        <w:gridCol w:w="2110"/>
        <w:gridCol w:w="299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Holdings, Inc.</w:t>
              <w:br/>
              <w:t>Registrant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Clothier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Clothier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and Interim Chief Accounting Officer</w:t>
            </w:r>
          </w:p>
        </w:tc>
      </w:tr>
    </w:tbl>
    <w:p>
      <w:pPr>
        <w:pStyle w:val="TextBody"/>
        <w:bidi w:val="0"/>
        <w:spacing w:before="18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KNOW ALL MEN BY THESE PRESENTS, that each person whose signature appears below constitutes and appoints Timothy J. Donahue, Kevin C. Clothier, and Adam J. Dickstein, and each of them, his or her true and lawful attorneys-in-fact and agents, with full power of substitution and resubstitution, for him or her and in his or her name, place and stead, in any and all capacities to sign any and all amendments to the Annual Report on Form 10-K for the Company’s 2025 fiscal year,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respective substitutes, may lawfully do or cause to be done by virtue hereof.</w:t>
      </w:r>
    </w:p>
    <w:p>
      <w:pPr>
        <w:pStyle w:val="TextBody"/>
        <w:bidi w:val="0"/>
        <w:spacing w:lineRule="auto" w:line="288" w:before="180" w:after="283"/>
        <w:jc w:val="left"/>
        <w:rPr/>
      </w:pPr>
      <w:r>
        <w:rPr>
          <w:rFonts w:ascii="Times New Roman;serif" w:hAnsi="Times New Roman;serif"/>
          <w:b w:val="false"/>
          <w:color w:val="000000"/>
          <w:sz w:val="16"/>
        </w:rPr>
        <w:t>Pursuant to the requirements of the Securities Exchange Act of 1934, this report has been signed below by the following persons on behalf of the registrant and in the capacities and on the date indicated above.</w:t>
      </w:r>
      <w:r>
        <w:rPr>
          <w:color w:val="000000"/>
        </w:rPr>
        <w:t> </w:t>
      </w:r>
    </w:p>
    <w:tbl>
      <w:tblPr>
        <w:tblW w:w="9551"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2107"/>
        <w:gridCol w:w="2107"/>
        <w:gridCol w:w="300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TITLE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Donahue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Donahue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President and 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Clothier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Clothier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and Interim Chief Accounting Officer</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5"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5"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DIRECTORS </w:t>
      </w:r>
    </w:p>
    <w:tbl>
      <w:tblPr>
        <w:tblW w:w="4806" w:type="dxa"/>
        <w:jc w:val="center"/>
        <w:tblInd w:w="0" w:type="dxa"/>
        <w:tblLayout w:type="fixed"/>
        <w:tblCellMar>
          <w:top w:w="28" w:type="dxa"/>
          <w:left w:w="28" w:type="dxa"/>
          <w:bottom w:w="28" w:type="dxa"/>
          <w:right w:w="28" w:type="dxa"/>
        </w:tblCellMar>
      </w:tblPr>
      <w:tblGrid>
        <w:gridCol w:w="663"/>
        <w:gridCol w:w="582"/>
        <w:gridCol w:w="585"/>
        <w:gridCol w:w="109"/>
        <w:gridCol w:w="109"/>
        <w:gridCol w:w="109"/>
        <w:gridCol w:w="109"/>
        <w:gridCol w:w="109"/>
        <w:gridCol w:w="109"/>
        <w:gridCol w:w="109"/>
        <w:gridCol w:w="109"/>
        <w:gridCol w:w="109"/>
        <w:gridCol w:w="584"/>
        <w:gridCol w:w="584"/>
        <w:gridCol w:w="827"/>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H. Fearon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Angela M. Snyder</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H. Fearon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Angela M. Snyder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Andrea J. Funk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Caesar F. Sweitzer</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Andrea J. Funk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 F. Sweitzer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J. Hagge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Marsha C. Williams</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J. Hagge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 C. Williams</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 Craig Owens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Dwayne A. Wilson</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 Craig Owens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Dwayne A. Wilson</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2"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Crown Holdings,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Exhibit 21 - Subsidiaries of Registrant</w:t>
      </w:r>
    </w:p>
    <w:tbl>
      <w:tblPr>
        <w:tblW w:w="10205" w:type="dxa"/>
        <w:jc w:val="center"/>
        <w:tblInd w:w="0" w:type="dxa"/>
        <w:tblLayout w:type="fixed"/>
        <w:tblCellMar>
          <w:top w:w="28" w:type="dxa"/>
          <w:left w:w="28" w:type="dxa"/>
          <w:bottom w:w="28" w:type="dxa"/>
          <w:right w:w="28" w:type="dxa"/>
        </w:tblCellMar>
      </w:tblPr>
      <w:tblGrid>
        <w:gridCol w:w="1483"/>
        <w:gridCol w:w="1235"/>
        <w:gridCol w:w="1244"/>
        <w:gridCol w:w="1826"/>
        <w:gridCol w:w="1826"/>
        <w:gridCol w:w="2591"/>
      </w:tblGrid>
      <w:tr>
        <w:trPr/>
        <w:tc>
          <w:tcPr>
            <w:tcW w:w="148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Consultants,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Financial Corporation</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 USA,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 V</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 VI</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Holdings,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Packaging,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Packaging Puerto Rico,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(DE),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and Seal Receivables II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USA,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International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Technology,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Receivables III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 Manufacturers Finance Corporation</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Holdings US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US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International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International Investment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International IP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Pickling Holding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US IP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TopFrame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Simplimatic Engineering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Simplimatic Automation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 International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 International Holdings II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Crownway Insurance Company</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Vermont</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SEH Real Estate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Virginia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Australia Pty Ltd</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(Barbados) Limited</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Barbados</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Commercial Belgium BVBA</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Verpakking België NV</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Belgium Srl</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Hanoi Investment Company Limited</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Bermuda</w:t>
            </w:r>
          </w:p>
        </w:tc>
      </w:tr>
      <w:tr>
        <w:trPr/>
        <w:tc>
          <w:tcPr>
            <w:tcW w:w="39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Brasil Holdings Ltda.</w:t>
            </w:r>
          </w:p>
        </w:tc>
        <w:tc>
          <w:tcPr>
            <w:tcW w:w="624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Brazil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79"/>
        <w:gridCol w:w="1311"/>
        <w:gridCol w:w="1318"/>
        <w:gridCol w:w="1754"/>
        <w:gridCol w:w="1754"/>
        <w:gridCol w:w="2489"/>
      </w:tblGrid>
      <w:tr>
        <w:trPr/>
        <w:tc>
          <w:tcPr>
            <w:tcW w:w="157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Embalagens Métalicas da Amazonia S.A.</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Brasil Ltda</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Bulgaria EOOD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Bulgaria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(Cambodia)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Sihanoukville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Khmer Beverage Cans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Cambodia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Metal Packaging Canada Inc.</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Metal Packaging Canada LP</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Realty Holdings Inc.</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Canada ULC</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CMB Machinery and Technology (Shanghai) Co Ltd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Hangzhou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Heshan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Huizhou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Putian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Ziyang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Foshan Continental Can Co.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Foshan Crown Easy-Opening End Co. Limited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Packaging (Qingdao) Co., Ltd.</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Colombiana, S.A.</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Colombia S.A.S.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Denmark ApS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Denmark</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Finland Oy</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Finland</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Butimove</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Bevcan France SAS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Commercial France SAS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Developpement</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European Holdings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Europe SAS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European Division Services SAS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France SAS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Société Civile Immobilière des Baquets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Societe Civile Immobiliere Rousseau-Ivry</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SPG France Holdings SAS</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Deutschland Holdings GmbH</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Mezger Heftsysteme GmbH</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System GmbH</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SMP Schwede Maschinenbau Weischlitz GmbH</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SPG Germany Service Management GmbH</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Packaging Systems GmbH</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2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Hellas Can Packaging SA</w:t>
            </w:r>
          </w:p>
        </w:tc>
        <w:tc>
          <w:tcPr>
            <w:tcW w:w="59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Greece</w:t>
            </w:r>
          </w:p>
        </w:tc>
      </w:tr>
      <w:tr>
        <w:trPr/>
        <w:tc>
          <w:tcPr>
            <w:tcW w:w="42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Hong Kong Limited</w:t>
            </w:r>
          </w:p>
        </w:tc>
        <w:tc>
          <w:tcPr>
            <w:tcW w:w="599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Hong Kong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04"/>
        <w:gridCol w:w="1229"/>
        <w:gridCol w:w="1241"/>
        <w:gridCol w:w="1822"/>
        <w:gridCol w:w="1822"/>
        <w:gridCol w:w="2587"/>
      </w:tblGrid>
      <w:tr>
        <w:trPr/>
        <w:tc>
          <w:tcPr>
            <w:tcW w:w="150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China Holdings (Hong Kong) Limited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Investment (H.K.) Limited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Hong Kong Limited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Bevcan Services Hungary Kft</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India Limited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CROWN Beverage Cans Indonesia</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CROWN Indonesia Trading</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Packaging Ireland Limited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Commercial Italy Srl</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Holdings Italia Srl</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Manufacturing Italy Srl</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Strapex Srl</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Jamaica Limited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Jamaica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Japan K.K.</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Middle East Can Manufacturing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Jordan</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Kenya Limited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Kenya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Lux II S.à.r.l.</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Lux III S.à.r.l.</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Lux S.A.</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Luxembourg S.a.r.l.</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SPG Industrial Packaging S.a.r.l</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Malaysia Sdn Bhd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Malaysia Sdn. Bhd.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Envases Mexico, S.A. de C.V.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Famosa, S.A. de C.V.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Fabricas Monterrey, S.A. de C.V.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Mexico, S. de R.L. de C.V.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Silice Del Istmo, S.A. DE C.V.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Silices De Veracruz, S.A. DE C. 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Vichisa, S.A. de C.V.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Myanmar Limited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Myanmar</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International Holdings B.V.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FAMOSA B.V.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SISA MEXICO B.V.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SIVESA B.V.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Netherlands B.V.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SPG Packaging Netherlands B.V.</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New Zealand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Zealand</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Norway AS</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Norway</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Poland sp. Z.o.o.</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Poland</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Portugal LDA</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39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Arabia Can Company Ltd</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Saudi Arabia</w:t>
            </w:r>
          </w:p>
        </w:tc>
      </w:tr>
      <w:tr>
        <w:trPr/>
        <w:tc>
          <w:tcPr>
            <w:tcW w:w="39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Asia Pacific Holdings Pte. Ltd.</w:t>
            </w:r>
          </w:p>
        </w:tc>
        <w:tc>
          <w:tcPr>
            <w:tcW w:w="62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Singapore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14"/>
        <w:gridCol w:w="1445"/>
        <w:gridCol w:w="1455"/>
        <w:gridCol w:w="1577"/>
        <w:gridCol w:w="1577"/>
        <w:gridCol w:w="2237"/>
      </w:tblGrid>
      <w:tr>
        <w:trPr/>
        <w:tc>
          <w:tcPr>
            <w:tcW w:w="191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Singapore Pte. Ltd.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Speciality Packaging Investment Pte. Ltd.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Investment Pte. Ltd.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Singapore Pte Ltd.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Superior Multi-Packaging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Bevcan Slovakia s.r.o.</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Commercial Slovakia s.r.o.</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Slovakia s.r.o.</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Slovakia</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Korea Inc.</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South Korea</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Bevcan Espana S.L.</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Commercial de Envases S.L.</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Holdings Spain, S.L.</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Manufacturing Spain S.L.</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Packaging Iberia SL</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Josef Kihlberg AB</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Sweden AB</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Sweden AB</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European Division GmbH</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European Holdings GmbH</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Switzerland GmbH</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AP (Thailand) Company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Bevcan and Closures (Thailand) Company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Foodcan (Hat Yai) Company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Foodcan (Nakhon Pathom) Company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Food Packaging (Thailand) Public Company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TCP Beverage Cans Company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(Thailand) Ltd.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Trinidad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Trinidad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CROWN Lithography Trinidad Limited </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Trinidad</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Maghreb Can</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Tunisia</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Bevcan Türkiye Ambalaj Sanayi Ve Ticaret Limited Sirketi</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Turkey</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Koruyucu Ambalaj Sanayi Ve Ticaret Limited Sirketi</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Turkey</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Carribean Capital Ltd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Turks and Caicos Islands</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Emirates Company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Arab Emirates</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CarnaudMetalbox Engineering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CarnaudMetalbox Group UK Ltd.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CarnaudMetalbox Overseas Ltd.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Commercial UK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Distribution UK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Manufacturing UK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8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Services EMEA Limited</w:t>
            </w:r>
          </w:p>
        </w:tc>
        <w:tc>
          <w:tcPr>
            <w:tcW w:w="5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8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UK Limited</w:t>
            </w:r>
          </w:p>
        </w:tc>
        <w:tc>
          <w:tcPr>
            <w:tcW w:w="539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49"/>
        <w:gridCol w:w="1364"/>
        <w:gridCol w:w="1304"/>
        <w:gridCol w:w="1722"/>
        <w:gridCol w:w="1722"/>
        <w:gridCol w:w="2444"/>
      </w:tblGrid>
      <w:tr>
        <w:trPr/>
        <w:tc>
          <w:tcPr>
            <w:tcW w:w="16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58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4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UK Holdings Limited</w:t>
            </w:r>
          </w:p>
        </w:tc>
        <w:tc>
          <w:tcPr>
            <w:tcW w:w="58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CardnaudMetalbox Mec-A-Tec Services Limited</w:t>
            </w:r>
          </w:p>
        </w:tc>
        <w:tc>
          <w:tcPr>
            <w:tcW w:w="58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UK Ltd</w:t>
            </w:r>
          </w:p>
        </w:tc>
        <w:tc>
          <w:tcPr>
            <w:tcW w:w="58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Danang Limited</w:t>
            </w:r>
          </w:p>
        </w:tc>
        <w:tc>
          <w:tcPr>
            <w:tcW w:w="58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Vietnam</w:t>
            </w:r>
          </w:p>
        </w:tc>
      </w:tr>
      <w:tr>
        <w:trPr/>
        <w:tc>
          <w:tcPr>
            <w:tcW w:w="4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(Dong Nai) Limited</w:t>
            </w:r>
          </w:p>
        </w:tc>
        <w:tc>
          <w:tcPr>
            <w:tcW w:w="58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Vietnam</w:t>
            </w:r>
          </w:p>
        </w:tc>
      </w:tr>
      <w:tr>
        <w:trPr/>
        <w:tc>
          <w:tcPr>
            <w:tcW w:w="4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Hanoi Limited</w:t>
            </w:r>
          </w:p>
        </w:tc>
        <w:tc>
          <w:tcPr>
            <w:tcW w:w="58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Vietnam</w:t>
            </w:r>
          </w:p>
        </w:tc>
      </w:tr>
      <w:tr>
        <w:trPr/>
        <w:tc>
          <w:tcPr>
            <w:tcW w:w="4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Saigon Limited</w:t>
            </w:r>
          </w:p>
        </w:tc>
        <w:tc>
          <w:tcPr>
            <w:tcW w:w="58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Vietnam</w:t>
            </w:r>
          </w:p>
        </w:tc>
      </w:tr>
      <w:tr>
        <w:trPr/>
        <w:tc>
          <w:tcPr>
            <w:tcW w:w="43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Cans Vung Tau Company Limited</w:t>
            </w:r>
          </w:p>
        </w:tc>
        <w:tc>
          <w:tcPr>
            <w:tcW w:w="588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Vietnam</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list includes only consolidated subsidiaries which are directly owned or indirectly owned by the Registrant.</w:t>
      </w:r>
    </w:p>
    <w:p>
      <w:pPr>
        <w:pStyle w:val="TextBody"/>
        <w:bidi w:val="0"/>
        <w:spacing w:lineRule="auto" w:line="28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 accordance with Regulation S-K, Item 601(b)(ii), the names of certain subsidiaries have been omitted from the foregoing list. The unnamed subsidiaries, considered in the aggregate as a single subsidiary, would not constitute a significant subsidiary, as defined in Regulation S-X, Rule 1-02(w).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Exhibit 22 - List of Guarantor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subsidiaries of Crown Holdings, Inc. (the "Company") were, as of December 31, 2025, guarantors of the Company's $40 principal 7.5% senior notes due 2096:</w:t>
      </w:r>
    </w:p>
    <w:tbl>
      <w:tblPr>
        <w:tblW w:w="10205" w:type="dxa"/>
        <w:jc w:val="center"/>
        <w:tblInd w:w="0" w:type="dxa"/>
        <w:tblLayout w:type="fixed"/>
        <w:tblCellMar>
          <w:top w:w="28" w:type="dxa"/>
          <w:left w:w="28" w:type="dxa"/>
          <w:bottom w:w="28" w:type="dxa"/>
          <w:right w:w="28" w:type="dxa"/>
        </w:tblCellMar>
      </w:tblPr>
      <w:tblGrid>
        <w:gridCol w:w="1186"/>
        <w:gridCol w:w="1040"/>
        <w:gridCol w:w="1048"/>
        <w:gridCol w:w="2027"/>
        <w:gridCol w:w="2027"/>
        <w:gridCol w:w="2877"/>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69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3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Inc.</w:t>
            </w:r>
          </w:p>
        </w:tc>
        <w:tc>
          <w:tcPr>
            <w:tcW w:w="69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subsidiaries of the Company were, as of December 31, 2025, guarantors of the Company's $400 principal 4.25% senior notes due 2026, $500 principal 5.250% senior notes due 2030, and $700 principal 5.875% senior notes due 2033:</w:t>
      </w:r>
    </w:p>
    <w:tbl>
      <w:tblPr>
        <w:tblW w:w="10205" w:type="dxa"/>
        <w:jc w:val="center"/>
        <w:tblInd w:w="0" w:type="dxa"/>
        <w:tblLayout w:type="fixed"/>
        <w:tblCellMar>
          <w:top w:w="28" w:type="dxa"/>
          <w:left w:w="28" w:type="dxa"/>
          <w:bottom w:w="28" w:type="dxa"/>
          <w:right w:w="28" w:type="dxa"/>
        </w:tblCellMar>
      </w:tblPr>
      <w:tblGrid>
        <w:gridCol w:w="1483"/>
        <w:gridCol w:w="1235"/>
        <w:gridCol w:w="1244"/>
        <w:gridCol w:w="1826"/>
        <w:gridCol w:w="1826"/>
        <w:gridCol w:w="2591"/>
      </w:tblGrid>
      <w:tr>
        <w:trPr/>
        <w:tc>
          <w:tcPr>
            <w:tcW w:w="148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Consultants,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Financial Corporation</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 V</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 VI</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Holdings,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Packaging,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Packaging Puerto Rico,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(DE),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USA,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International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Technology,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 USA,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 Manufacturers Finance Corporation</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Holdings US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US Inc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International IP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Pickling Holding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US IP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Simplimatic Engineering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Simplimatic Automation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 International Holdings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 International Holdings II LLC</w:t>
            </w:r>
          </w:p>
        </w:tc>
        <w:tc>
          <w:tcPr>
            <w:tcW w:w="62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SEH Real Estate Holdings LLC</w:t>
            </w:r>
          </w:p>
        </w:tc>
        <w:tc>
          <w:tcPr>
            <w:tcW w:w="624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Virginia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w:t>
      </w:r>
    </w:p>
    <w:p>
      <w:pPr>
        <w:pStyle w:val="TextBody"/>
        <w:bidi w:val="0"/>
        <w:spacing w:before="0" w:after="0"/>
        <w:jc w:val="right"/>
        <w:rPr/>
      </w:pPr>
      <w:r>
        <w:rPr/>
      </w:r>
    </w:p>
    <w:p>
      <w:pPr>
        <w:pStyle w:val="TextBody"/>
        <w:bidi w:val="0"/>
        <w:spacing w:lineRule="auto" w:line="288" w:before="100" w:after="10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100" w:after="100"/>
        <w:jc w:val="left"/>
        <w:rPr/>
      </w:pPr>
      <w:r>
        <w:rPr/>
      </w:r>
    </w:p>
    <w:p>
      <w:pPr>
        <w:pStyle w:val="TextBody"/>
        <w:bidi w:val="0"/>
        <w:spacing w:before="0" w:after="0"/>
        <w:jc w:val="center"/>
        <w:rPr/>
      </w:pPr>
      <w:r>
        <w:rPr/>
      </w:r>
    </w:p>
    <w:p>
      <w:pPr>
        <w:pStyle w:val="TextBody"/>
        <w:bidi w:val="0"/>
        <w:spacing w:lineRule="auto" w:line="268" w:before="0" w:after="0"/>
        <w:jc w:val="left"/>
        <w:rPr/>
      </w:pPr>
      <w:r>
        <w:rPr>
          <w:rFonts w:ascii="Georgia;serif" w:hAnsi="Georgia;serif"/>
          <w:b w:val="false"/>
          <w:color w:val="000000"/>
          <w:sz w:val="20"/>
        </w:rPr>
        <w:t>We hereby consent to the incorpo</w:t>
      </w:r>
      <w:r>
        <w:rPr>
          <w:rFonts w:ascii="Georgia;serif" w:hAnsi="Georgia;serif"/>
          <w:b w:val="false"/>
          <w:color w:val="000000"/>
          <w:sz w:val="20"/>
          <w:shd w:fill="FFFFFF" w:val="clear"/>
        </w:rPr>
        <w:t>ration by reference in the Registration Statements on Form</w:t>
      </w:r>
      <w:r>
        <w:rPr>
          <w:color w:val="000000"/>
          <w:shd w:fill="FFFFFF" w:val="clear"/>
        </w:rPr>
        <w:t xml:space="preserve"> </w:t>
      </w:r>
      <w:r>
        <w:rPr>
          <w:rFonts w:ascii="Georgia;serif" w:hAnsi="Georgia;serif"/>
          <w:b w:val="false"/>
          <w:color w:val="000000"/>
          <w:sz w:val="20"/>
          <w:shd w:fill="FFFFFF" w:val="clear"/>
        </w:rPr>
        <w:t>S-8 (Nos. 333- 188568, 333-166764, 333-140991, 333-230008, and 333-268351) of Crown Holdings, Inc.</w:t>
      </w:r>
      <w:r>
        <w:rPr>
          <w:color w:val="000000"/>
          <w:shd w:fill="FFFFFF" w:val="clear"/>
        </w:rPr>
        <w:t xml:space="preserve"> </w:t>
      </w:r>
      <w:r>
        <w:rPr>
          <w:rFonts w:ascii="Georgia;serif" w:hAnsi="Georgia;serif"/>
          <w:b w:val="false"/>
          <w:color w:val="000000"/>
          <w:sz w:val="20"/>
          <w:shd w:fill="FFFFFF" w:val="clear"/>
        </w:rPr>
        <w:t>of our report dated February 27, 2026 relating to the financial statements</w:t>
      </w:r>
      <w:r>
        <w:rPr>
          <w:rFonts w:ascii="Georgia;serif" w:hAnsi="Georgia;serif"/>
          <w:b/>
          <w:color w:val="000000"/>
          <w:sz w:val="20"/>
          <w:shd w:fill="FFFFFF" w:val="clear"/>
        </w:rPr>
        <w:t>,</w:t>
      </w:r>
      <w:r>
        <w:rPr>
          <w:color w:val="FF0000"/>
          <w:shd w:fill="FFFFFF" w:val="clear"/>
        </w:rPr>
        <w:t xml:space="preserve"> </w:t>
      </w:r>
      <w:r>
        <w:rPr>
          <w:rFonts w:ascii="Georgia;serif" w:hAnsi="Georgia;serif"/>
          <w:b w:val="false"/>
          <w:color w:val="000000"/>
          <w:sz w:val="20"/>
          <w:shd w:fill="FFFFFF" w:val="clear"/>
        </w:rPr>
        <w:t>financial statement schedule</w:t>
      </w:r>
      <w:r>
        <w:rPr>
          <w:color w:val="000000"/>
          <w:shd w:fill="FFFFFF" w:val="clear"/>
        </w:rPr>
        <w:t xml:space="preserve"> </w:t>
      </w:r>
      <w:r>
        <w:rPr>
          <w:rFonts w:ascii="Georgia;serif" w:hAnsi="Georgia;serif"/>
          <w:b w:val="false"/>
          <w:color w:val="000000"/>
          <w:sz w:val="20"/>
          <w:shd w:fill="FFFFFF" w:val="clear"/>
        </w:rPr>
        <w:t>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 xml:space="preserve">/s/ PricewaterhouseCoopers LLP </w:t>
      </w:r>
    </w:p>
    <w:p>
      <w:pPr>
        <w:pStyle w:val="TextBody"/>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 xml:space="preserve">Philadelphia, Pennsylvania </w:t>
      </w:r>
    </w:p>
    <w:p>
      <w:pPr>
        <w:pStyle w:val="TextBody"/>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February 27, 2026</w:t>
      </w:r>
    </w:p>
    <w:p>
      <w:pPr>
        <w:pStyle w:val="TextBody"/>
        <w:bidi w:val="0"/>
        <w:spacing w:before="100" w:after="100"/>
        <w:jc w:val="center"/>
        <w:rPr/>
      </w:pPr>
      <w:r>
        <w:rPr/>
      </w:r>
    </w:p>
    <w:p>
      <w:pPr>
        <w:pStyle w:val="TextBody"/>
        <w:bidi w:val="0"/>
        <w:spacing w:before="100" w:after="10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100" w:after="10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100"/>
        <w:jc w:val="both"/>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Timothy J. Donahue, certify that:</w:t>
      </w:r>
    </w:p>
    <w:p>
      <w:pPr>
        <w:pStyle w:val="TextBody"/>
        <w:bidi w:val="0"/>
        <w:spacing w:before="100" w:after="283"/>
        <w:jc w:val="left"/>
        <w:rPr/>
      </w:pPr>
      <w:r>
        <w:rPr/>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Crown Holdings,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283"/>
        <w:ind w:left="0" w:right="0" w:hanging="360"/>
        <w:jc w:val="both"/>
        <w:rPr/>
      </w:pPr>
      <w:r>
        <w:rPr/>
      </w:r>
    </w:p>
    <w:tbl>
      <w:tblPr>
        <w:tblW w:w="6566"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197"/>
        <w:gridCol w:w="1197"/>
        <w:gridCol w:w="17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February 27,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Donahue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Donahue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Kevin C. Clothier, certify that:</w:t>
      </w:r>
    </w:p>
    <w:p>
      <w:pPr>
        <w:pStyle w:val="TextBody"/>
        <w:bidi w:val="0"/>
        <w:spacing w:before="100" w:after="283"/>
        <w:jc w:val="left"/>
        <w:rPr/>
      </w:pPr>
      <w:r>
        <w:rPr/>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Crown Holdings,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283"/>
        <w:ind w:left="0" w:right="0" w:hanging="360"/>
        <w:jc w:val="both"/>
        <w:rPr/>
      </w:pPr>
      <w:r>
        <w:rPr/>
      </w:r>
    </w:p>
    <w:tbl>
      <w:tblPr>
        <w:tblW w:w="968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2113"/>
        <w:gridCol w:w="2113"/>
        <w:gridCol w:w="29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February 27,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Clothier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Clothier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and Interim Chief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center"/>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Crown Holdings, Inc. (the “Company”) on Form 10-K for the period ending December 31, 2025 (the “Report”), each of the undersigned officers certify, pursuant to 18 U.S.C. § 1350, as adopted pursuant to § 906 of the Sarbanes-Oxley Act of 2002, that: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position and results of operations of the Company.</w:t>
      </w:r>
    </w:p>
    <w:tbl>
      <w:tblPr>
        <w:tblW w:w="7556"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486"/>
        <w:gridCol w:w="1486"/>
        <w:gridCol w:w="211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February 27,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Donahue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Donahue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February 27, 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Clothier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Clothier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Interim Chief Accounting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this Annual Report on Form 10-K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19601/000121960105000069/ex3a2004.htm" TargetMode="External"/><Relationship Id="rId4" Type="http://schemas.openxmlformats.org/officeDocument/2006/relationships/hyperlink" Target="https://www.sec.gov/Archives/edgar/data/1219601/000119312522303785/d417285dex31.htm" TargetMode="External"/><Relationship Id="rId5" Type="http://schemas.openxmlformats.org/officeDocument/2006/relationships/hyperlink" Target="https://www.sec.gov/Archives/edgar/data/1219601/000119312522303785/d417285dex31.htm" TargetMode="External"/><Relationship Id="rId6" Type="http://schemas.openxmlformats.org/officeDocument/2006/relationships/hyperlink" Target="https://www.sec.gov/Archives/edgar/data/1219601/000119312522303785/d417285dex31.htm" TargetMode="External"/><Relationship Id="rId7" Type="http://schemas.openxmlformats.org/officeDocument/2006/relationships/hyperlink" Target="https://www.sec.gov/Archives/edgar/data/1219601/000095016803000549/dex45.htm" TargetMode="External"/><Relationship Id="rId8" Type="http://schemas.openxmlformats.org/officeDocument/2006/relationships/hyperlink" Target="https://www.sec.gov/Archives/edgar/data/1219601/000119312516712850/d213162dex41.htm" TargetMode="External"/><Relationship Id="rId9" Type="http://schemas.openxmlformats.org/officeDocument/2006/relationships/hyperlink" Target="https://www.sec.gov/Archives/edgar/data/1219601/000119312516712850/d213162dex41.htm" TargetMode="External"/><Relationship Id="rId10" Type="http://schemas.openxmlformats.org/officeDocument/2006/relationships/hyperlink" Target="https://www.sec.gov/Archives/edgar/data/1219601/000119312516712850/d213162dex41.htm" TargetMode="External"/><Relationship Id="rId11" Type="http://schemas.openxmlformats.org/officeDocument/2006/relationships/hyperlink" Target="https://www.sec.gov/Archives/edgar/data/1219601/000119312516712850/d213162dex42.htm" TargetMode="External"/><Relationship Id="rId12" Type="http://schemas.openxmlformats.org/officeDocument/2006/relationships/hyperlink" Target="https://www.sec.gov/Archives/edgar/data/1219601/000119312516712850/d213162dex42.htm" TargetMode="External"/><Relationship Id="rId13" Type="http://schemas.openxmlformats.org/officeDocument/2006/relationships/hyperlink" Target="https://www.sec.gov/Archives/edgar/data/1219601/000119312516712850/d213162dex42.htm" TargetMode="External"/><Relationship Id="rId14" Type="http://schemas.openxmlformats.org/officeDocument/2006/relationships/hyperlink" Target="https://www.sec.gov/Archives/edgar/data/1219601/000121960117000016/ex4march2017.htm" TargetMode="External"/><Relationship Id="rId15" Type="http://schemas.openxmlformats.org/officeDocument/2006/relationships/hyperlink" Target="https://www.sec.gov/Archives/edgar/data/1219601/000121960117000016/ex4march2017.htm" TargetMode="External"/><Relationship Id="rId16" Type="http://schemas.openxmlformats.org/officeDocument/2006/relationships/hyperlink" Target="https://www.sec.gov/Archives/edgar/data/1219601/000121960117000016/ex4march2017.htm" TargetMode="External"/><Relationship Id="rId17" Type="http://schemas.openxmlformats.org/officeDocument/2006/relationships/hyperlink" Target="https://www.sec.gov/Archives/edgar/data/1219601/000121960118000009/ex4dec2017.htm" TargetMode="External"/><Relationship Id="rId18" Type="http://schemas.openxmlformats.org/officeDocument/2006/relationships/hyperlink" Target="https://www.sec.gov/Archives/edgar/data/1219601/000121960118000009/ex4dec2017.htm" TargetMode="External"/><Relationship Id="rId19" Type="http://schemas.openxmlformats.org/officeDocument/2006/relationships/hyperlink" Target="https://www.sec.gov/Archives/edgar/data/1219601/000121960118000009/ex4dec2017.htm" TargetMode="External"/><Relationship Id="rId20" Type="http://schemas.openxmlformats.org/officeDocument/2006/relationships/hyperlink" Target="https://www.sec.gov/Archives/edgar/data/1219601/000121960118000009/ex41dec2017.htm" TargetMode="External"/><Relationship Id="rId21" Type="http://schemas.openxmlformats.org/officeDocument/2006/relationships/hyperlink" Target="https://www.sec.gov/Archives/edgar/data/1219601/000121960118000009/ex41dec2017.htm" TargetMode="External"/><Relationship Id="rId22" Type="http://schemas.openxmlformats.org/officeDocument/2006/relationships/hyperlink" Target="https://www.sec.gov/Archives/edgar/data/1219601/000121960118000009/ex41dec2017.htm" TargetMode="External"/><Relationship Id="rId23" Type="http://schemas.openxmlformats.org/officeDocument/2006/relationships/hyperlink" Target="https://www.sec.gov/Archives/edgar/data/1219601/000121960119000005/ex4dec2018.htm" TargetMode="External"/><Relationship Id="rId24" Type="http://schemas.openxmlformats.org/officeDocument/2006/relationships/hyperlink" Target="https://www.sec.gov/Archives/edgar/data/1219601/000121960119000005/ex4dec2018.htm" TargetMode="External"/><Relationship Id="rId25" Type="http://schemas.openxmlformats.org/officeDocument/2006/relationships/hyperlink" Target="https://www.sec.gov/Archives/edgar/data/1219601/000121960119000005/ex4dec2018.htm" TargetMode="External"/><Relationship Id="rId26" Type="http://schemas.openxmlformats.org/officeDocument/2006/relationships/hyperlink" Target="https://www.sec.gov/Archives/edgar/data/1219601/000119312520053971/d896926dex41.htm" TargetMode="External"/><Relationship Id="rId27" Type="http://schemas.openxmlformats.org/officeDocument/2006/relationships/hyperlink" Target="https://www.sec.gov/Archives/edgar/data/1219601/000119312520053971/d896926dex41.htm" TargetMode="External"/><Relationship Id="rId28" Type="http://schemas.openxmlformats.org/officeDocument/2006/relationships/hyperlink" Target="https://www.sec.gov/Archives/edgar/data/1219601/000119312520053971/d896926dex41.htm" TargetMode="External"/><Relationship Id="rId29" Type="http://schemas.openxmlformats.org/officeDocument/2006/relationships/hyperlink" Target="https://www.sec.gov/Archives/edgar/data/1219601/000121960122000011/exhibit4.htm" TargetMode="External"/><Relationship Id="rId30" Type="http://schemas.openxmlformats.org/officeDocument/2006/relationships/hyperlink" Target="https://www.sec.gov/Archives/edgar/data/1219601/000121960122000011/exhibit4.htm" TargetMode="External"/><Relationship Id="rId31" Type="http://schemas.openxmlformats.org/officeDocument/2006/relationships/hyperlink" Target="https://www.sec.gov/Archives/edgar/data/1219601/000119312522078481/d255990dex101.htm" TargetMode="External"/><Relationship Id="rId32" Type="http://schemas.openxmlformats.org/officeDocument/2006/relationships/hyperlink" Target="https://www.sec.gov/Archives/edgar/data/1219601/000119312522080655/d328295dex41.htm" TargetMode="External"/><Relationship Id="rId33" Type="http://schemas.openxmlformats.org/officeDocument/2006/relationships/hyperlink" Target="https://www.sec.gov/Archives/edgar/data/1219601/000119312522080655/d328295dex42.htm" TargetMode="External"/><Relationship Id="rId34" Type="http://schemas.openxmlformats.org/officeDocument/2006/relationships/hyperlink" Target="https://www.sec.gov/Archives/edgar/data/1219601/000119312522217895/d372551dex4z.htm" TargetMode="External"/><Relationship Id="rId35" Type="http://schemas.openxmlformats.org/officeDocument/2006/relationships/hyperlink" Target="https://www.sec.gov/Archives/edgar/data/1219601/000119312523142091/d479802dex101.htm" TargetMode="External"/><Relationship Id="rId36" Type="http://schemas.openxmlformats.org/officeDocument/2006/relationships/hyperlink" Target="https://www.sec.gov/Archives/edgar/data/1219601/000119312523142091/d479802dex101.htm" TargetMode="External"/><Relationship Id="rId37" Type="http://schemas.openxmlformats.org/officeDocument/2006/relationships/hyperlink" Target="https://www.sec.gov/Archives/edgar/data/1219601/000119312523142091/d479802dex101.htm" TargetMode="External"/><Relationship Id="rId38" Type="http://schemas.openxmlformats.org/officeDocument/2006/relationships/hyperlink" Target="https://www.sec.gov/Archives/edgar/data/1219601/000119312523152559/d479346dex41.htm" TargetMode="External"/><Relationship Id="rId39" Type="http://schemas.openxmlformats.org/officeDocument/2006/relationships/hyperlink" Target="https://www.sec.gov/Archives/edgar/data/1219601/000119312523152559/d479346dex41.htm" TargetMode="External"/><Relationship Id="rId40" Type="http://schemas.openxmlformats.org/officeDocument/2006/relationships/hyperlink" Target="https://www.sec.gov/Archives/edgar/data/1219601/000119312523152559/d479346dex41.htm" TargetMode="External"/><Relationship Id="rId41" Type="http://schemas.openxmlformats.org/officeDocument/2006/relationships/hyperlink" Target="https://www.sec.gov/Archives/edgar/data/1219601/000119312523288510/d637028dex101.htm" TargetMode="External"/><Relationship Id="rId42" Type="http://schemas.openxmlformats.org/officeDocument/2006/relationships/hyperlink" Target="https://www.sec.gov/Archives/edgar/data/1219601/000119312523288510/d637028dex101.htm" TargetMode="External"/><Relationship Id="rId43" Type="http://schemas.openxmlformats.org/officeDocument/2006/relationships/hyperlink" Target="https://www.sec.gov/Archives/edgar/data/1219601/000119312523288510/d637028dex101.htm" TargetMode="External"/><Relationship Id="rId44" Type="http://schemas.openxmlformats.org/officeDocument/2006/relationships/hyperlink" Target="https://www.sec.gov/Archives/edgar/data/1219601/000119312523293417/d653247dex41.htm" TargetMode="External"/><Relationship Id="rId45" Type="http://schemas.openxmlformats.org/officeDocument/2006/relationships/hyperlink" Target="https://www.sec.gov/Archives/edgar/data/1219601/000119312523293417/d653247dex41.htm" TargetMode="External"/><Relationship Id="rId46" Type="http://schemas.openxmlformats.org/officeDocument/2006/relationships/hyperlink" Target="https://www.sec.gov/Archives/edgar/data/1219601/000119312523293417/d653247dex41.htm" TargetMode="External"/><Relationship Id="rId47" Type="http://schemas.openxmlformats.org/officeDocument/2006/relationships/hyperlink" Target="https://www.sec.gov/Archives/edgar/data/1219601/000121960124000029/ex101-sixthamendmentcadben.htm" TargetMode="External"/><Relationship Id="rId48" Type="http://schemas.openxmlformats.org/officeDocument/2006/relationships/hyperlink" Target="https://www.sec.gov/Archives/edgar/data/1219601/000121960124000029/ex101-sixthamendmentcadben.htm" TargetMode="External"/><Relationship Id="rId49" Type="http://schemas.openxmlformats.org/officeDocument/2006/relationships/hyperlink" Target="https://www.sec.gov/Archives/edgar/data/1219601/000121960124000029/ex101-sixthamendmentcadben.htm" TargetMode="External"/><Relationship Id="rId50" Type="http://schemas.openxmlformats.org/officeDocument/2006/relationships/hyperlink" Target="https://www.sec.gov/Archives/edgar/data/1219601/000119312524189910/d835247dex101.htm" TargetMode="External"/><Relationship Id="rId51" Type="http://schemas.openxmlformats.org/officeDocument/2006/relationships/hyperlink" Target="https://www.sec.gov/Archives/edgar/data/1219601/000119312524189910/d835247dex101.htm" TargetMode="External"/><Relationship Id="rId52" Type="http://schemas.openxmlformats.org/officeDocument/2006/relationships/hyperlink" Target="https://www.sec.gov/Archives/edgar/data/1219601/000119312524189910/d835247dex101.htm" TargetMode="External"/><Relationship Id="rId53" Type="http://schemas.openxmlformats.org/officeDocument/2006/relationships/hyperlink" Target="https://www.sec.gov/Archives/edgar/data/1219601/000119312524197844/d647128dex41.htm" TargetMode="External"/><Relationship Id="rId54" Type="http://schemas.openxmlformats.org/officeDocument/2006/relationships/hyperlink" Target="https://www.sec.gov/Archives/edgar/data/1219601/000119312524197844/d647128dex41.htm" TargetMode="External"/><Relationship Id="rId55" Type="http://schemas.openxmlformats.org/officeDocument/2006/relationships/hyperlink" Target="https://www.sec.gov/Archives/edgar/data/1219601/000119312524197844/d647128dex41.htm" TargetMode="External"/><Relationship Id="rId56" Type="http://schemas.openxmlformats.org/officeDocument/2006/relationships/hyperlink" Target="https://www.sec.gov/Archives/edgar/data/1219601/000121960125000009/a4ff-crownseventhamendment.htm" TargetMode="External"/><Relationship Id="rId57" Type="http://schemas.openxmlformats.org/officeDocument/2006/relationships/hyperlink" Target="https://www.sec.gov/Archives/edgar/data/1219601/000121960125000009/a4ff-crownseventhamendment.htm" TargetMode="External"/><Relationship Id="rId58" Type="http://schemas.openxmlformats.org/officeDocument/2006/relationships/hyperlink" Target="https://www.sec.gov/Archives/edgar/data/1219601/000121960125000009/a4ff-crownseventhamendment.htm" TargetMode="External"/><Relationship Id="rId59" Type="http://schemas.openxmlformats.org/officeDocument/2006/relationships/hyperlink" Target="https://www.sec.gov/Archives/edgar/data/1219601/000119312525129517/d934409dex41.htm" TargetMode="External"/><Relationship Id="rId60" Type="http://schemas.openxmlformats.org/officeDocument/2006/relationships/hyperlink" Target="https://www.sec.gov/Archives/edgar/data/1219601/000119312525129517/d934409dex41.htm" TargetMode="External"/><Relationship Id="rId61" Type="http://schemas.openxmlformats.org/officeDocument/2006/relationships/hyperlink" Target="https://www.sec.gov/Archives/edgar/data/1219601/000119312525129517/d934409dex41.htm" TargetMode="External"/><Relationship Id="rId62" Type="http://schemas.openxmlformats.org/officeDocument/2006/relationships/hyperlink" Target="https://www.sec.gov/Archives/edgar/data/1219601/000119312525118838/d924504dex101.htm" TargetMode="External"/><Relationship Id="rId63" Type="http://schemas.openxmlformats.org/officeDocument/2006/relationships/hyperlink" Target="https://www.sec.gov/Archives/edgar/data/1219601/000119312525118838/d924504dex101.htm" TargetMode="External"/><Relationship Id="rId64" Type="http://schemas.openxmlformats.org/officeDocument/2006/relationships/hyperlink" Target="https://www.sec.gov/Archives/edgar/data/1219601/000119312525118838/d924504dex101.htm" TargetMode="External"/><Relationship Id="rId65" Type="http://schemas.openxmlformats.org/officeDocument/2006/relationships/hyperlink" Target="https://www.sec.gov/Archives/edgar/data/1219601/000119312525129517/d934409dex42.htm" TargetMode="External"/><Relationship Id="rId66" Type="http://schemas.openxmlformats.org/officeDocument/2006/relationships/hyperlink" Target="https://www.sec.gov/Archives/edgar/data/1219601/000119312525129517/d934409dex42.htm" TargetMode="External"/><Relationship Id="rId67" Type="http://schemas.openxmlformats.org/officeDocument/2006/relationships/hyperlink" Target="https://www.sec.gov/Archives/edgar/data/1219601/000119312525129517/d934409dex42.htm" TargetMode="External"/><Relationship Id="rId68" Type="http://schemas.openxmlformats.org/officeDocument/2006/relationships/hyperlink" Target="https://www.sec.gov/Archives/edgar/data/1219601/000119312525234573/d52487dex41.htm" TargetMode="External"/><Relationship Id="rId69" Type="http://schemas.openxmlformats.org/officeDocument/2006/relationships/hyperlink" Target="https://www.sec.gov/Archives/edgar/data/1219601/000119312525234573/d52487dex41.htm" TargetMode="External"/><Relationship Id="rId70" Type="http://schemas.openxmlformats.org/officeDocument/2006/relationships/hyperlink" Target="https://www.sec.gov/Archives/edgar/data/1219601/000119312525234573/d52487dex41.htm" TargetMode="External"/><Relationship Id="rId71" Type="http://schemas.openxmlformats.org/officeDocument/2006/relationships/hyperlink" Target="https://www.sec.gov/Archives/edgar/data/1219601/000119312525213556/d57346dex101.htm" TargetMode="External"/><Relationship Id="rId72" Type="http://schemas.openxmlformats.org/officeDocument/2006/relationships/hyperlink" Target="https://www.sec.gov/Archives/edgar/data/1219601/000119312525213556/d57346dex101.htm" TargetMode="External"/><Relationship Id="rId73" Type="http://schemas.openxmlformats.org/officeDocument/2006/relationships/hyperlink" Target="https://www.sec.gov/Archives/edgar/data/1219601/000119312525213556/d57346dex101.htm" TargetMode="External"/><Relationship Id="rId74" Type="http://schemas.openxmlformats.org/officeDocument/2006/relationships/hyperlink" Target="https://www.sec.gov/Archives/edgar/data/1219601/000121960120000006/ex4ffdec2019.htm" TargetMode="External"/><Relationship Id="rId75" Type="http://schemas.openxmlformats.org/officeDocument/2006/relationships/hyperlink" Target="https://www.sec.gov/Archives/edgar/data/1219601/000121960120000006/ex4ffdec2019.htm" TargetMode="External"/><Relationship Id="rId76" Type="http://schemas.openxmlformats.org/officeDocument/2006/relationships/hyperlink" Target="https://www.sec.gov/Archives/edgar/data/1219601/000121960120000006/ex4ffdec2019.htm" TargetMode="External"/><Relationship Id="rId77" Type="http://schemas.openxmlformats.org/officeDocument/2006/relationships/hyperlink" Target="https://www.sec.gov/Archives/edgar/data/1219601/000121960116000041/ex101.htm" TargetMode="External"/><Relationship Id="rId78" Type="http://schemas.openxmlformats.org/officeDocument/2006/relationships/hyperlink" Target="https://www.sec.gov/Archives/edgar/data/1219601/000121960113000032/ex103june2013.htm" TargetMode="External"/><Relationship Id="rId79" Type="http://schemas.openxmlformats.org/officeDocument/2006/relationships/hyperlink" Target="https://www.sec.gov/Archives/edgar/data/1219601/000121960113000032/ex103june2013.htm" TargetMode="External"/><Relationship Id="rId80" Type="http://schemas.openxmlformats.org/officeDocument/2006/relationships/hyperlink" Target="https://www.sec.gov/Archives/edgar/data/1219601/000121960113000032/ex103june2013.htm" TargetMode="External"/><Relationship Id="rId81" Type="http://schemas.openxmlformats.org/officeDocument/2006/relationships/hyperlink" Target="https://www.sec.gov/Archives/edgar/data/1219601/000121960112000033/ex101a.htm" TargetMode="External"/><Relationship Id="rId82" Type="http://schemas.openxmlformats.org/officeDocument/2006/relationships/hyperlink" Target="https://www.sec.gov/Archives/edgar/data/1219601/000121960112000033/ex101a.htm" TargetMode="External"/><Relationship Id="rId83" Type="http://schemas.openxmlformats.org/officeDocument/2006/relationships/hyperlink" Target="https://www.sec.gov/Archives/edgar/data/1219601/000121960112000033/ex101a.htm" TargetMode="External"/><Relationship Id="rId84" Type="http://schemas.openxmlformats.org/officeDocument/2006/relationships/hyperlink" Target="https://www.sec.gov/Archives/edgar/data/1219601/000121960115000009/ex10c11dec2014.htm" TargetMode="External"/><Relationship Id="rId85" Type="http://schemas.openxmlformats.org/officeDocument/2006/relationships/hyperlink" Target="https://www.sec.gov/Archives/edgar/data/1219601/000121960122000003/kevincclothieremploymentag.htm" TargetMode="External"/><Relationship Id="rId86" Type="http://schemas.openxmlformats.org/officeDocument/2006/relationships/hyperlink" Target="https://www.sec.gov/Archives/edgar/data/1219601/000121960125000036/cck-06302025xq2ex102.htm" TargetMode="External"/><Relationship Id="rId87" Type="http://schemas.openxmlformats.org/officeDocument/2006/relationships/hyperlink" Target="https://www.sec.gov/Archives/edgar/data/1219601/000121960125000036/cck-06302025xq2ex102.htm" TargetMode="External"/><Relationship Id="rId88" Type="http://schemas.openxmlformats.org/officeDocument/2006/relationships/hyperlink" Target="https://www.sec.gov/Archives/edgar/data/1219601/000121960125000036/cck-06302025xq2ex102.htm" TargetMode="External"/><Relationship Id="rId89" Type="http://schemas.openxmlformats.org/officeDocument/2006/relationships/hyperlink" Target="https://www.sec.gov/Archives/edgar/data/1219601/000121960125000036/cck-06302025xq2ex103.htm" TargetMode="External"/><Relationship Id="rId90" Type="http://schemas.openxmlformats.org/officeDocument/2006/relationships/hyperlink" Target="https://www.sec.gov/Archives/edgar/data/1219601/000121960125000036/cck-06302025xq2ex103.htm" TargetMode="External"/><Relationship Id="rId91" Type="http://schemas.openxmlformats.org/officeDocument/2006/relationships/hyperlink" Target="https://www.sec.gov/Archives/edgar/data/1219601/000121960125000036/cck-06302025xq2ex103.htm" TargetMode="External"/><Relationship Id="rId92" Type="http://schemas.openxmlformats.org/officeDocument/2006/relationships/hyperlink" Target="https://www.sec.gov/Archives/edgar/data/1219601/000121960125000036/cck-06302025xq2ex105.htm" TargetMode="External"/><Relationship Id="rId93" Type="http://schemas.openxmlformats.org/officeDocument/2006/relationships/hyperlink" Target="https://www.sec.gov/Archives/edgar/data/1219601/000121960125000036/cck-06302025xq2ex105.htm" TargetMode="External"/><Relationship Id="rId94" Type="http://schemas.openxmlformats.org/officeDocument/2006/relationships/hyperlink" Target="https://www.sec.gov/Archives/edgar/data/1219601/000121960125000036/cck-06302025xq2ex105.htm" TargetMode="External"/><Relationship Id="rId95" Type="http://schemas.openxmlformats.org/officeDocument/2006/relationships/hyperlink" Target="https://www.sec.gov/Archives/edgar/data/1219601/000121960119000005/ex10bdec2018.htm" TargetMode="External"/><Relationship Id="rId96" Type="http://schemas.openxmlformats.org/officeDocument/2006/relationships/hyperlink" Target="https://www.sec.gov/Archives/edgar/data/1219601/000121960119000005/ex10bdec2018.htm" TargetMode="External"/><Relationship Id="rId97" Type="http://schemas.openxmlformats.org/officeDocument/2006/relationships/hyperlink" Target="https://www.sec.gov/Archives/edgar/data/1219601/000121960119000005/ex10bdec2018.htm" TargetMode="External"/><Relationship Id="rId98" Type="http://schemas.openxmlformats.org/officeDocument/2006/relationships/hyperlink" Target="https://www.sec.gov/Archives/edgar/data/1219601/000121960108000009/ex10l.htm" TargetMode="External"/><Relationship Id="rId99" Type="http://schemas.openxmlformats.org/officeDocument/2006/relationships/hyperlink" Target="https://www.sec.gov/Archives/edgar/data/1219601/000121960107000020/ex104emarch07.htm" TargetMode="External"/><Relationship Id="rId100" Type="http://schemas.openxmlformats.org/officeDocument/2006/relationships/hyperlink" Target="https://www.sec.gov/Archives/edgar/data/1219601/000121960112000033/ex102.htm" TargetMode="External"/><Relationship Id="rId101" Type="http://schemas.openxmlformats.org/officeDocument/2006/relationships/hyperlink" Target="https://www.sec.gov/Archives/edgar/data/1219601/000121960112000033/ex102.htm" TargetMode="External"/><Relationship Id="rId102" Type="http://schemas.openxmlformats.org/officeDocument/2006/relationships/hyperlink" Target="https://www.sec.gov/Archives/edgar/data/1219601/000121960112000033/ex102.htm" TargetMode="External"/><Relationship Id="rId103" Type="http://schemas.openxmlformats.org/officeDocument/2006/relationships/hyperlink" Target="https://www.sec.gov/Archives/edgar/data/1219601/000121960113000007/ex10m7dec2012.htm" TargetMode="External"/><Relationship Id="rId104" Type="http://schemas.openxmlformats.org/officeDocument/2006/relationships/hyperlink" Target="https://www.sec.gov/Archives/edgar/data/1219601/000121960115000009/ex10f9dec2014.htm" TargetMode="External"/><Relationship Id="rId105" Type="http://schemas.openxmlformats.org/officeDocument/2006/relationships/hyperlink" Target="https://www.sec.gov/Archives/edgar/data/1219601/000121960115000009/ex10f9dec2014.htm" TargetMode="External"/><Relationship Id="rId106" Type="http://schemas.openxmlformats.org/officeDocument/2006/relationships/hyperlink" Target="https://www.sec.gov/Archives/edgar/data/1219601/000121960115000009/ex10f9dec2014.htm" TargetMode="External"/><Relationship Id="rId107" Type="http://schemas.openxmlformats.org/officeDocument/2006/relationships/hyperlink" Target="https://www.sec.gov/Archives/edgar/data/1219601/000121960116000058/ex101may2016.htm" TargetMode="External"/><Relationship Id="rId108" Type="http://schemas.openxmlformats.org/officeDocument/2006/relationships/hyperlink" Target="https://www.sec.gov/Archives/edgar/data/1219601/000121960117000016/ex10cmarch2017.htm" TargetMode="External"/><Relationship Id="rId109" Type="http://schemas.openxmlformats.org/officeDocument/2006/relationships/hyperlink" Target="https://www.sec.gov/Archives/edgar/data/1219601/000121960120000035/ex10damendment1sept2020.htm" TargetMode="External"/><Relationship Id="rId110" Type="http://schemas.openxmlformats.org/officeDocument/2006/relationships/hyperlink" Target="https://www.sec.gov/Archives/edgar/data/1219601/000121960125000036/cck-06302025xq2ex104.htm" TargetMode="External"/><Relationship Id="rId111" Type="http://schemas.openxmlformats.org/officeDocument/2006/relationships/hyperlink" Target="https://www.sec.gov/Archives/edgar/data/1219601/000121960125000036/cck-06302025xq2ex104.htm" TargetMode="External"/><Relationship Id="rId112" Type="http://schemas.openxmlformats.org/officeDocument/2006/relationships/hyperlink" Target="https://www.sec.gov/Archives/edgar/data/1219601/000121960125000036/cck-06302025xq2ex104.htm" TargetMode="External"/><Relationship Id="rId113" Type="http://schemas.openxmlformats.org/officeDocument/2006/relationships/hyperlink" Target="https://www.sec.gov/Archives/edgar/data/1219601/000121960104000206/ex106sep04.htm" TargetMode="External"/><Relationship Id="rId114" Type="http://schemas.openxmlformats.org/officeDocument/2006/relationships/hyperlink" Target="https://www.sec.gov/Archives/edgar/data/1219601/000121960124000009/exdeferredcomp.htm" TargetMode="External"/><Relationship Id="rId115" Type="http://schemas.openxmlformats.org/officeDocument/2006/relationships/hyperlink" Target="https://www.sec.gov/Archives/edgar/data/1219601/000095015904000314/crownproxy.txt" TargetMode="External"/><Relationship Id="rId116" Type="http://schemas.openxmlformats.org/officeDocument/2006/relationships/hyperlink" Target="https://www.sec.gov/Archives/edgar/data/1219601/000121960105000075/ex10q1-2005.htm" TargetMode="External"/><Relationship Id="rId117" Type="http://schemas.openxmlformats.org/officeDocument/2006/relationships/hyperlink" Target="https://www.sec.gov/Archives/edgar/data/1219601/000095015913000173/crownproxy.htm" TargetMode="External"/><Relationship Id="rId118" Type="http://schemas.openxmlformats.org/officeDocument/2006/relationships/hyperlink" Target="https://www.sec.gov/Archives/edgar/data/1219601/000095015913000173/crownproxy.htm" TargetMode="External"/><Relationship Id="rId119" Type="http://schemas.openxmlformats.org/officeDocument/2006/relationships/hyperlink" Target="https://www.sec.gov/Archives/edgar/data/1219601/000095015913000173/crownproxy.htm" TargetMode="External"/><Relationship Id="rId120" Type="http://schemas.openxmlformats.org/officeDocument/2006/relationships/hyperlink" Target="https://www.sec.gov/Archives/edgar/data/1219601/000121960113000045/ex10sept2013.htm" TargetMode="External"/><Relationship Id="rId121" Type="http://schemas.openxmlformats.org/officeDocument/2006/relationships/hyperlink" Target="https://www.sec.gov/Archives/edgar/data/1219601/000121960113000045/ex102sept2013.htm" TargetMode="External"/><Relationship Id="rId122" Type="http://schemas.openxmlformats.org/officeDocument/2006/relationships/hyperlink" Target="https://www.sec.gov/Archives/edgar/data/1219601/000121960112000033/ex103.htm" TargetMode="External"/><Relationship Id="rId123" Type="http://schemas.openxmlformats.org/officeDocument/2006/relationships/hyperlink" Target="https://www.sec.gov/Archives/edgar/data/1219601/000121960112000033/ex103.htm" TargetMode="External"/><Relationship Id="rId124" Type="http://schemas.openxmlformats.org/officeDocument/2006/relationships/hyperlink" Target="https://www.sec.gov/Archives/edgar/data/1219601/000121960112000033/ex103.htm" TargetMode="External"/><Relationship Id="rId125" Type="http://schemas.openxmlformats.org/officeDocument/2006/relationships/hyperlink" Target="https://www.sec.gov/Archives/edgar/data/1219601/000121960112000033/ex104.htm" TargetMode="External"/><Relationship Id="rId126" Type="http://schemas.openxmlformats.org/officeDocument/2006/relationships/hyperlink" Target="https://www.sec.gov/Archives/edgar/data/1219601/000121960112000033/ex104.htm" TargetMode="External"/><Relationship Id="rId127" Type="http://schemas.openxmlformats.org/officeDocument/2006/relationships/hyperlink" Target="https://www.sec.gov/Archives/edgar/data/1219601/000121960112000033/ex104.htm" TargetMode="External"/><Relationship Id="rId128" Type="http://schemas.openxmlformats.org/officeDocument/2006/relationships/hyperlink" Target="https://www.sec.gov/Archives/edgar/data/1219601/000121960120000018/ex10uamendment1.htm" TargetMode="External"/><Relationship Id="rId129" Type="http://schemas.openxmlformats.org/officeDocument/2006/relationships/hyperlink" Target="https://www.sec.gov/Archives/edgar/data/1219601/000121960120000018/ex10uamendment1.htm" TargetMode="External"/><Relationship Id="rId130" Type="http://schemas.openxmlformats.org/officeDocument/2006/relationships/hyperlink" Target="https://www.sec.gov/Archives/edgar/data/1219601/000121960120000018/ex10uamendment1.htm" TargetMode="External"/><Relationship Id="rId131" Type="http://schemas.openxmlformats.org/officeDocument/2006/relationships/hyperlink" Target="https://www.sec.gov/Archives/edgar/data/1219601/000121960120000018/ex10uamendment1.htm" TargetMode="External"/><Relationship Id="rId132" Type="http://schemas.openxmlformats.org/officeDocument/2006/relationships/hyperlink" Target="https://www.sec.gov/Archives/edgar/data/1219601/000121960120000018/ex10uamendment1.htm" TargetMode="External"/><Relationship Id="rId133" Type="http://schemas.openxmlformats.org/officeDocument/2006/relationships/hyperlink" Target="https://www.sec.gov/Archives/edgar/data/1219601/000121960121000005/ex10vamendment2.htm" TargetMode="External"/><Relationship Id="rId134" Type="http://schemas.openxmlformats.org/officeDocument/2006/relationships/hyperlink" Target="https://www.sec.gov/Archives/edgar/data/1219601/000095015922000090/crowndef14a.htm" TargetMode="External"/><Relationship Id="rId135" Type="http://schemas.openxmlformats.org/officeDocument/2006/relationships/hyperlink" Target="https://www.sec.gov/Archives/edgar/data/1219601/000121960124000009/amendmentno1tothecrownhold.htm" TargetMode="External"/><Relationship Id="rId136" Type="http://schemas.openxmlformats.org/officeDocument/2006/relationships/hyperlink" Target="https://www.sec.gov/Archives/edgar/data/1219601/000121960122000035/restorationplan.htm" TargetMode="External"/><Relationship Id="rId137" Type="http://schemas.openxmlformats.org/officeDocument/2006/relationships/hyperlink" Target="https://www.sec.gov/Archives/edgar/data/1219601/000121960122000043/ex10p-9302022xexecemploymt.htm" TargetMode="External"/><Relationship Id="rId138" Type="http://schemas.openxmlformats.org/officeDocument/2006/relationships/hyperlink" Target="https://www.sec.gov/Archives/edgar/data/1219601/000119312521114840/d155915dex21.htm" TargetMode="External"/><Relationship Id="rId139" Type="http://schemas.openxmlformats.org/officeDocument/2006/relationships/hyperlink" Target="https://www.sec.gov/Archives/edgar/data/1219601/000121960124000009/executiveofficercashsevera.htm" TargetMode="External"/><Relationship Id="rId140" Type="http://schemas.openxmlformats.org/officeDocument/2006/relationships/hyperlink" Target="https://www.sec.gov/Archives/edgar/data/1219601/000121960124000038/ex101-stockpurchaseplaname.htm" TargetMode="External"/><Relationship Id="rId141" Type="http://schemas.openxmlformats.org/officeDocument/2006/relationships/hyperlink" Target="https://www.sec.gov/Archives/edgar/data/1219601/000121960124000038/ex101-stockpurchaseplaname.htm" TargetMode="External"/><Relationship Id="rId142" Type="http://schemas.openxmlformats.org/officeDocument/2006/relationships/hyperlink" Target="https://www.sec.gov/Archives/edgar/data/1219601/000121960124000038/ex101-stockpurchaseplaname.htm" TargetMode="External"/><Relationship Id="rId143" Type="http://schemas.openxmlformats.org/officeDocument/2006/relationships/hyperlink" Target="https://www.sec.gov/Archives/edgar/data/1219601/000121960125000036/cck-06302025xq2ex101.htm" TargetMode="External"/><Relationship Id="rId144" Type="http://schemas.openxmlformats.org/officeDocument/2006/relationships/hyperlink" Target="https://www.sec.gov/Archives/edgar/data/1219601/000121960125000036/cck-06302025xq2ex101.htm" TargetMode="External"/><Relationship Id="rId145" Type="http://schemas.openxmlformats.org/officeDocument/2006/relationships/hyperlink" Target="https://www.sec.gov/Archives/edgar/data/1219601/000121960125000036/cck-06302025xq2ex101.htm" TargetMode="External"/><Relationship Id="rId146" Type="http://schemas.openxmlformats.org/officeDocument/2006/relationships/hyperlink" Target="https://www.sec.gov/Archives/edgar/data/1219601/000121960123000026/ex191q22023.htm" TargetMode="External"/><Relationship Id="rId147" Type="http://schemas.openxmlformats.org/officeDocument/2006/relationships/hyperlink" Target="https://www.sec.gov/Archives/edgar/data/1219601/000121960123000026/ex191q22023.htm" TargetMode="External"/><Relationship Id="rId148" Type="http://schemas.openxmlformats.org/officeDocument/2006/relationships/hyperlink" Target="https://www.sec.gov/Archives/edgar/data/1219601/000121960123000026/ex191q22023.htm" TargetMode="External"/><Relationship Id="rId149" Type="http://schemas.openxmlformats.org/officeDocument/2006/relationships/hyperlink" Target="https://www.sec.gov/Archives/edgar/data/1219601/000121960123000026/ex191q22023.htm" TargetMode="External"/><Relationship Id="rId150" Type="http://schemas.openxmlformats.org/officeDocument/2006/relationships/hyperlink" Target="https://www.sec.gov/Archives/edgar/data/1219601/000121960124000009/excompensationrecoverypoli.htm" TargetMode="External"/><Relationship Id="rId151" Type="http://schemas.openxmlformats.org/officeDocument/2006/relationships/fontTable" Target="fontTable.xml"/><Relationship Id="rId1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57505</Words>
  <Characters>322734</Characters>
  <CharactersWithSpaces>377266</CharactersWithSpaces>
  <Paragraphs>5808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