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CLOTHIER KEVIN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Senior Vice President &amp; CFO</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5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4,456</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65,458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6,230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105.74</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59,228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22,339</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81,567</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81"/>
              <w:spacing w:after="0" w:line="213" w:lineRule="exact"/>
              <w:rPr>
                <w:sz w:val="20"/>
                <w:szCs w:val="20"/>
                <w:color w:val="auto"/>
              </w:rPr>
            </w:pPr>
            <w:r>
              <w:rPr>
                <w:rFonts w:ascii="Times New Roman" w:cs="Times New Roman" w:eastAsia="Times New Roman" w:hAnsi="Times New Roman"/>
                <w:sz w:val="24"/>
                <w:szCs w:val="24"/>
                <w:color w:val="0000FF"/>
                <w:vertAlign w:val="subscript"/>
              </w:rPr>
              <w:t>364</w:t>
            </w:r>
            <w:r>
              <w:rPr>
                <w:rFonts w:ascii="Times New Roman" w:cs="Times New Roman" w:eastAsia="Times New Roman" w:hAnsi="Times New Roman"/>
                <w:sz w:val="10"/>
                <w:szCs w:val="10"/>
                <w:color w:val="008000"/>
              </w:rPr>
              <w:t>(4)</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January 5, 2026 whose grant was originally reported on a Form 4 filed with the Securities and Exchange Commission on January 6, 2023 (the "Original Form 4"). As reported on the Original Form 4, such performance-based shares were originally granted to the Reporting Person based on the Company's Total Shareholder Return versus a defined group of companies with the final number of performance-based shares varying from 0 to 200% of 4,501. The Total Shareholder Return achieved by the Company versus a defined peer group of companies yielded 199% payout. As a result, 4,456 additional TSR Performance-Based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22,339 shares of Restricted Common Stock under the 2022 Stock-Based Compensation Plan. 7,692 time-vested restricted shares vest over a three year period as follows: 2,564 time-vested restricted shares on January 5, 2027, January 3, 2028 and January 3, 2029, respectively. 6,871 performance-based restricted shares are targeted to vest on January 3, 2029 based on the Company's Total Shareholder Return versus a defined peer group of companies, with the final number of performance-based vested shares varying from 0 to 200% of 6,871. 7,776 performance-based restricted shares are targeted to vest on January 3, 2029 based on the Return on Invested Capital achieved by the Company compared to the ROIC target, with the final number of performance-based vested shares varying from 0 to 200% of 7,776.</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2025, the Reporting Person owned 364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88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2026-01-07T14:35:50Z</dcterms:created>
  <dcterms:modified xsi:type="dcterms:W3CDTF">2026-01-07T14:35:50Z</dcterms:modified>
</cp:coreProperties>
</file>