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32"/>
          <w:szCs w:val="32"/>
          <w:b w:val="1"/>
          <w:bCs w:val="1"/>
          <w:color w:val="auto"/>
        </w:rPr>
        <w:t>____________</w:t>
      </w: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2"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32"/>
          <w:szCs w:val="32"/>
          <w:b w:val="1"/>
          <w:bCs w:val="1"/>
          <w:color w:val="auto"/>
        </w:rPr>
        <w:t>____________</w:t>
      </w: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July 21, 2025</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CROWN HOLDINGS, INC.</w:t>
      </w:r>
    </w:p>
    <w:p>
      <w:pPr>
        <w:spacing w:after="0" w:line="5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07" w:lineRule="exact"/>
        <w:rPr>
          <w:sz w:val="24"/>
          <w:szCs w:val="24"/>
          <w:color w:val="auto"/>
        </w:rPr>
      </w:pPr>
    </w:p>
    <w:tbl>
      <w:tblPr>
        <w:tblLayout w:type="fixed"/>
        <w:tblInd w:w="1020" w:type="dxa"/>
        <w:tblCellMar>
          <w:top w:w="0" w:type="dxa"/>
          <w:left w:w="0" w:type="dxa"/>
          <w:bottom w:w="0" w:type="dxa"/>
          <w:right w:w="0" w:type="dxa"/>
        </w:tblCellMar>
      </w:tblPr>
      <w:tr>
        <w:trPr>
          <w:trHeight w:val="233"/>
        </w:trPr>
        <w:tc>
          <w:tcPr>
            <w:tcW w:w="3160" w:type="dxa"/>
            <w:vAlign w:val="bottom"/>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c>
          <w:tcPr>
            <w:tcW w:w="31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001-41550</w:t>
            </w:r>
          </w:p>
        </w:tc>
        <w:tc>
          <w:tcPr>
            <w:tcW w:w="2500" w:type="dxa"/>
            <w:vAlign w:val="bottom"/>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w w:val="98"/>
              </w:rPr>
              <w:t>75-3099507</w:t>
            </w:r>
          </w:p>
        </w:tc>
      </w:tr>
      <w:tr>
        <w:trPr>
          <w:trHeight w:val="189"/>
        </w:trPr>
        <w:tc>
          <w:tcPr>
            <w:tcW w:w="3160" w:type="dxa"/>
            <w:vAlign w:val="bottom"/>
          </w:tcPr>
          <w:p>
            <w:pPr>
              <w:jc w:val="center"/>
              <w:ind w:right="870"/>
              <w:spacing w:after="0" w:line="189"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3100" w:type="dxa"/>
            <w:vAlign w:val="bottom"/>
          </w:tcPr>
          <w:p>
            <w:pPr>
              <w:jc w:val="center"/>
              <w:ind w:right="150"/>
              <w:spacing w:after="0" w:line="189" w:lineRule="exact"/>
              <w:rPr>
                <w:sz w:val="20"/>
                <w:szCs w:val="20"/>
                <w:color w:val="auto"/>
              </w:rPr>
            </w:pPr>
            <w:r>
              <w:rPr>
                <w:rFonts w:ascii="Times New Roman" w:cs="Times New Roman" w:eastAsia="Times New Roman" w:hAnsi="Times New Roman"/>
                <w:sz w:val="18"/>
                <w:szCs w:val="18"/>
                <w:color w:val="auto"/>
              </w:rPr>
              <w:t>(Commission</w:t>
            </w:r>
          </w:p>
        </w:tc>
        <w:tc>
          <w:tcPr>
            <w:tcW w:w="2500" w:type="dxa"/>
            <w:vAlign w:val="bottom"/>
          </w:tcPr>
          <w:p>
            <w:pPr>
              <w:jc w:val="center"/>
              <w:ind w:left="1070"/>
              <w:spacing w:after="0" w:line="189"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3160" w:type="dxa"/>
            <w:vAlign w:val="bottom"/>
          </w:tcPr>
          <w:p>
            <w:pPr>
              <w:jc w:val="center"/>
              <w:ind w:right="87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1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File Number)</w:t>
            </w:r>
          </w:p>
        </w:tc>
        <w:tc>
          <w:tcPr>
            <w:tcW w:w="250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2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14025 Riveredge Drive, Suite 300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Tampa, Florida 33637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(215) 698-5100</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(Address, Including Zip Code, and Telephone Number, Including Area Code, of Registrant's Principal Executive Offices)</w:t>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2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2" w:lineRule="exact"/>
        <w:rPr>
          <w:sz w:val="24"/>
          <w:szCs w:val="24"/>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Title of each class</w:t>
            </w:r>
          </w:p>
        </w:tc>
        <w:tc>
          <w:tcPr>
            <w:tcW w:w="17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Trading Symbols</w:t>
            </w:r>
          </w:p>
        </w:tc>
        <w:tc>
          <w:tcPr>
            <w:tcW w:w="68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7"/>
        </w:trPr>
        <w:tc>
          <w:tcPr>
            <w:tcW w:w="25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Common Stock $5.00 Par Value</w:t>
            </w:r>
          </w:p>
        </w:tc>
        <w:tc>
          <w:tcPr>
            <w:tcW w:w="178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6"/>
                <w:szCs w:val="16"/>
                <w:color w:val="auto"/>
              </w:rPr>
              <w:t>CCK</w:t>
            </w:r>
          </w:p>
        </w:tc>
        <w:tc>
          <w:tcPr>
            <w:tcW w:w="548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New York Stock Exchange</w:t>
            </w:r>
          </w:p>
        </w:tc>
        <w:tc>
          <w:tcPr>
            <w:tcW w:w="1400" w:type="dxa"/>
            <w:vAlign w:val="bottom"/>
          </w:tcPr>
          <w:p>
            <w:pPr>
              <w:spacing w:after="0"/>
              <w:rPr>
                <w:sz w:val="17"/>
                <w:szCs w:val="17"/>
                <w:color w:val="auto"/>
              </w:rPr>
            </w:pPr>
          </w:p>
        </w:tc>
      </w:tr>
      <w:tr>
        <w:trPr>
          <w:trHeight w:val="216"/>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7 3/8% Debentures Due 2026</w:t>
            </w:r>
          </w:p>
        </w:tc>
        <w:tc>
          <w:tcPr>
            <w:tcW w:w="17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CCK26</w:t>
            </w:r>
          </w:p>
        </w:tc>
        <w:tc>
          <w:tcPr>
            <w:tcW w:w="68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New York Stock Exchange</w:t>
            </w:r>
          </w:p>
        </w:tc>
      </w:tr>
      <w:tr>
        <w:trPr>
          <w:trHeight w:val="216"/>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7 1/2% Debentures Due 2096</w:t>
            </w:r>
          </w:p>
        </w:tc>
        <w:tc>
          <w:tcPr>
            <w:tcW w:w="17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CCK96</w:t>
            </w:r>
          </w:p>
        </w:tc>
        <w:tc>
          <w:tcPr>
            <w:tcW w:w="68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New York Stock Exchange</w:t>
            </w:r>
          </w:p>
        </w:tc>
      </w:tr>
      <w:tr>
        <w:trPr>
          <w:trHeight w:val="202"/>
        </w:trPr>
        <w:tc>
          <w:tcPr>
            <w:tcW w:w="25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spacing w:after="0"/>
              <w:rPr>
                <w:sz w:val="17"/>
                <w:szCs w:val="17"/>
                <w:color w:val="auto"/>
              </w:rPr>
            </w:pPr>
          </w:p>
        </w:tc>
        <w:tc>
          <w:tcPr>
            <w:tcW w:w="54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r>
      <w:tr>
        <w:trPr>
          <w:trHeight w:val="979"/>
        </w:trPr>
        <w:tc>
          <w:tcPr>
            <w:tcW w:w="258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54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798" w:gutter="0" w:footer="0" w:header="0"/>
        </w:sectPr>
      </w:pPr>
    </w:p>
    <w:bookmarkStart w:id="1" w:name="page2"/>
    <w:bookmarkEnd w:id="1"/>
    <w:p>
      <w:pPr>
        <w:spacing w:after="0" w:line="36" w:lineRule="exact"/>
        <w:rPr>
          <w:sz w:val="20"/>
          <w:szCs w:val="20"/>
          <w:color w:val="auto"/>
        </w:rPr>
      </w:pPr>
    </w:p>
    <w:p>
      <w:pPr>
        <w:jc w:val="right"/>
        <w:ind w:right="3419"/>
        <w:spacing w:after="0"/>
        <w:rPr>
          <w:sz w:val="20"/>
          <w:szCs w:val="20"/>
          <w:color w:val="auto"/>
        </w:rPr>
      </w:pPr>
      <w:r>
        <w:rPr>
          <w:rFonts w:ascii="Times New Roman" w:cs="Times New Roman" w:eastAsia="Times New Roman" w:hAnsi="Times New Roman"/>
          <w:sz w:val="22"/>
          <w:szCs w:val="22"/>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2.02. RESULTS OF OPERATIONS AND FINANCIAL CONDITION</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9.01. FINANCIAL STATEMENTS AND EXHIBITS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INDEX TO EXHIBITS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EX-99 PRESS RELEASE</w:t>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637540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t>Item 2.02. Results of Operations and Financial Condition</w:t>
      </w:r>
    </w:p>
    <w:p>
      <w:pPr>
        <w:spacing w:after="0" w:line="10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On July 21, 2025 Crown Holdings, Inc. issued a press release announcing its earnings for the second quarter ended June 30, 2025. A copy of the press release is attached hereto as Exhibit 99 and incorporated herein by reference.</w:t>
      </w:r>
    </w:p>
    <w:p>
      <w:pPr>
        <w:spacing w:after="0" w:line="19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The information in this Report shall not be deemed to be "filed" for purposes of Section 18 of the Securities Exchange Act of 1934, as amended, (the "Exchange Act") or otherwise subject to the liability of that section, and shall not be deemed incorporated by reference in any filing under the Securities Act of 1933, as amended, or the Exchange Act, except as shall be expressly set forth by specific reference in such filing.</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9.01. Financial Statements and Exhibits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 Exhibits.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is furnished as an exhibit to this report.</w:t>
      </w:r>
    </w:p>
    <w:p>
      <w:pPr>
        <w:spacing w:after="0" w:line="85" w:lineRule="exact"/>
        <w:rPr>
          <w:sz w:val="20"/>
          <w:szCs w:val="20"/>
          <w:color w:val="auto"/>
        </w:rPr>
      </w:pPr>
    </w:p>
    <w:p>
      <w:pPr>
        <w:ind w:left="500" w:hanging="492"/>
        <w:spacing w:after="0"/>
        <w:tabs>
          <w:tab w:leader="none" w:pos="50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0000FF"/>
        </w:rPr>
        <w:t>Press release, dated July 21, 2025, issued by Crown Holdings, Inc.</w:t>
      </w:r>
    </w:p>
    <w:p>
      <w:pPr>
        <w:spacing w:after="0" w:line="2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color w:val="auto"/>
        </w:rPr>
        <w:t>104</w:t>
      </w:r>
      <w:r>
        <w:rPr>
          <w:sz w:val="20"/>
          <w:szCs w:val="20"/>
          <w:color w:val="auto"/>
        </w:rPr>
        <w:tab/>
      </w:r>
      <w:r>
        <w:rPr>
          <w:rFonts w:ascii="Times New Roman" w:cs="Times New Roman" w:eastAsia="Times New Roman" w:hAnsi="Times New Roman"/>
          <w:sz w:val="21"/>
          <w:szCs w:val="21"/>
          <w:color w:val="auto"/>
        </w:rPr>
        <w:t>Cover Page Interactive Data File (embedded within the Inline XBRL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615315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0"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22"/>
          <w:szCs w:val="22"/>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pacing w:after="0" w:line="4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2"/>
          <w:szCs w:val="22"/>
          <w:color w:val="auto"/>
        </w:rPr>
        <w:t>By: /s/ Christy L. Kalaus</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Christy L. Kalaus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-160020</wp:posOffset>
            </wp:positionV>
            <wp:extent cx="32575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Vice President and Corporate Controller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July 21,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314" w:right="339" w:bottom="1440" w:gutter="0" w:footer="0" w:header="0"/>
        </w:sectPr>
      </w:pPr>
    </w:p>
    <w:bookmarkStart w:id="4" w:name="page5"/>
    <w:bookmarkEnd w:id="4"/>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-132080</wp:posOffset>
            </wp:positionV>
            <wp:extent cx="1551305" cy="4972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9"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21" w:lineRule="auto"/>
        <w:rPr>
          <w:sz w:val="20"/>
          <w:szCs w:val="20"/>
          <w:color w:val="auto"/>
        </w:rPr>
      </w:pPr>
      <w:r>
        <w:rPr>
          <w:rFonts w:ascii="Arial" w:cs="Arial" w:eastAsia="Arial" w:hAnsi="Arial"/>
          <w:sz w:val="14"/>
          <w:szCs w:val="14"/>
          <w:color w:val="auto"/>
        </w:rPr>
        <w:t>14025 Riveredge Drive, Suite 300</w:t>
      </w:r>
    </w:p>
    <w:p>
      <w:pPr>
        <w:ind w:left="80"/>
        <w:spacing w:after="0"/>
        <w:rPr>
          <w:sz w:val="20"/>
          <w:szCs w:val="20"/>
          <w:color w:val="auto"/>
        </w:rPr>
      </w:pPr>
      <w:r>
        <w:rPr>
          <w:rFonts w:ascii="Arial" w:cs="Arial" w:eastAsia="Arial" w:hAnsi="Arial"/>
          <w:sz w:val="14"/>
          <w:szCs w:val="14"/>
          <w:color w:val="auto"/>
        </w:rPr>
        <w:t>Tampa, FL 33637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314960</wp:posOffset>
            </wp:positionV>
            <wp:extent cx="685800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0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CROWN HOLDINGS, INC. REPORTS SECOND QUARTER 2025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90805</wp:posOffset>
            </wp:positionV>
            <wp:extent cx="685800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00" cy="3429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Tampa, FL - July 21, 2025. </w:t>
      </w:r>
      <w:r>
        <w:rPr>
          <w:rFonts w:ascii="Times New Roman" w:cs="Times New Roman" w:eastAsia="Times New Roman" w:hAnsi="Times New Roman"/>
          <w:sz w:val="18"/>
          <w:szCs w:val="18"/>
          <w:color w:val="auto"/>
        </w:rPr>
        <w:t>Crown Holdings, Inc. (NYSE: CCK) today announced its financial results for the second quarter ended June 30, 2025.</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w:t>
      </w:r>
    </w:p>
    <w:p>
      <w:pPr>
        <w:spacing w:after="0" w:line="2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Second Quarter</w:t>
      </w:r>
    </w:p>
    <w:p>
      <w:pPr>
        <w:spacing w:after="0" w:line="21"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Diluted earnings per share of $1.56 versus $1.45 in 2024</w:t>
      </w:r>
    </w:p>
    <w:p>
      <w:pPr>
        <w:spacing w:after="0" w:line="11" w:lineRule="exact"/>
        <w:rPr>
          <w:rFonts w:ascii="Times New Roman" w:cs="Times New Roman" w:eastAsia="Times New Roman" w:hAnsi="Times New Roman"/>
          <w:sz w:val="22"/>
          <w:szCs w:val="22"/>
          <w:color w:val="auto"/>
        </w:rPr>
      </w:pPr>
    </w:p>
    <w:p>
      <w:pPr>
        <w:ind w:left="660" w:hanging="328"/>
        <w:spacing w:after="0" w:line="219" w:lineRule="auto"/>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Adjusted diluted earnings per share increased 19% to $2.15 compared to $1.81 in 2024</w:t>
      </w:r>
    </w:p>
    <w:p>
      <w:pPr>
        <w:spacing w:after="0" w:line="12" w:lineRule="exact"/>
        <w:rPr>
          <w:rFonts w:ascii="Times New Roman" w:cs="Times New Roman" w:eastAsia="Times New Roman" w:hAnsi="Times New Roman"/>
          <w:sz w:val="22"/>
          <w:szCs w:val="22"/>
          <w:color w:val="auto"/>
        </w:rPr>
      </w:pPr>
    </w:p>
    <w:p>
      <w:pPr>
        <w:ind w:left="660" w:hanging="328"/>
        <w:spacing w:after="0" w:line="219" w:lineRule="auto"/>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Income from operations of $391 million versus $379 million in 2024</w:t>
      </w:r>
    </w:p>
    <w:p>
      <w:pPr>
        <w:spacing w:after="0" w:line="12" w:lineRule="exact"/>
        <w:rPr>
          <w:rFonts w:ascii="Times New Roman" w:cs="Times New Roman" w:eastAsia="Times New Roman" w:hAnsi="Times New Roman"/>
          <w:sz w:val="22"/>
          <w:szCs w:val="22"/>
          <w:color w:val="auto"/>
        </w:rPr>
      </w:pPr>
    </w:p>
    <w:p>
      <w:pPr>
        <w:ind w:left="660" w:hanging="328"/>
        <w:spacing w:after="0" w:line="219" w:lineRule="auto"/>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Segment income improved $39 million, or 9% to $476 million</w:t>
      </w:r>
    </w:p>
    <w:p>
      <w:pPr>
        <w:spacing w:after="0" w:line="1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2025 Outlook</w:t>
      </w:r>
    </w:p>
    <w:p>
      <w:pPr>
        <w:spacing w:after="0" w:line="21"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Expect third quarter adjusted diluted earnings per share of $1.95 to $2.05</w:t>
      </w:r>
    </w:p>
    <w:p>
      <w:pPr>
        <w:spacing w:after="0" w:line="11" w:lineRule="exact"/>
        <w:rPr>
          <w:rFonts w:ascii="Times New Roman" w:cs="Times New Roman" w:eastAsia="Times New Roman" w:hAnsi="Times New Roman"/>
          <w:sz w:val="22"/>
          <w:szCs w:val="22"/>
          <w:color w:val="auto"/>
        </w:rPr>
      </w:pPr>
    </w:p>
    <w:p>
      <w:pPr>
        <w:ind w:left="660" w:hanging="328"/>
        <w:spacing w:after="0" w:line="219" w:lineRule="auto"/>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Full year guidance range for adjusted diluted earnings per share of $7.10 to $7.50 with adjusted free cash flow of approximately $900 million</w:t>
      </w:r>
    </w:p>
    <w:p>
      <w:pPr>
        <w:spacing w:after="0" w:line="12" w:lineRule="exact"/>
        <w:rPr>
          <w:rFonts w:ascii="Times New Roman" w:cs="Times New Roman" w:eastAsia="Times New Roman" w:hAnsi="Times New Roman"/>
          <w:sz w:val="22"/>
          <w:szCs w:val="22"/>
          <w:color w:val="auto"/>
        </w:rPr>
      </w:pPr>
    </w:p>
    <w:p>
      <w:pPr>
        <w:ind w:left="660" w:hanging="328"/>
        <w:spacing w:after="0" w:line="219" w:lineRule="auto"/>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Reaffirming long-term net leverage ratio target of 2.5x</w:t>
      </w:r>
    </w:p>
    <w:p>
      <w:pPr>
        <w:spacing w:after="0" w:line="21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Commenting on the quarter, Timothy J. Donahue, Chairman, President and Chief Executive Officer, stated, “During the second quarter, continued strong performance, led by Americas Beverage, European Beverage and the North American Tinplate businesses led to segment income growth of 9% over the prior year. In addition to shipment growth in Europe and the Middle East, the improvement also reflects favorable product mix and exceptional operational performance throughout global operations. Beverage can shipments in North America advanced 1% in line with expectations. Transit Packaging results remained firm to the prior year, despite a continued tepid industrial production environment, the result of continuing cost reduction efforts.</w:t>
      </w:r>
    </w:p>
    <w:p>
      <w:pPr>
        <w:spacing w:after="0" w:line="21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remain excited about the Company’s prospects in 2025 with trailing twelve-month adjusted EBITDA through June approaching $2.1 billion, an 11% increase from same prior period. Reflecting on the Company’s strong performance over the first six months, the Company has increased its full year 2025 expectations for adjusted earnings per share and adjusted free cash flow. The balance sheet is strong, and we are well on our way to achieving our long-term target leverage ratio of 2.5x of adjusted EBITDA. As a result, the Company is well positioned to increase its return of cash to shareholders.”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sales in the second quarter were $3,149 million compared to $3,040 million in the second quarter of 2024 reflecting increased shipments of both beverage and food cans in North America, as well as across European Beverage, the pass through of $120 million in higher material costs and favorable foreign currency translation of $23 million, partially offset by lower shipments in Asia Pacific and Transit Packaging.</w:t>
      </w:r>
    </w:p>
    <w:p>
      <w:pPr>
        <w:spacing w:after="0" w:line="18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Income from operations was $391 million in the second quarter compared to $379 million in the second quarter of 2024. Segment income in the second quarter of 2025 was $476 million compared to $437 million in the prior year second quarter and includes continuing improvements to operational performance.</w:t>
      </w:r>
    </w:p>
    <w:p>
      <w:pPr>
        <w:spacing w:after="0" w:line="204"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Net income attributable to Crown Holdings in the second quarter was $181 million compared to $174 million in the second quarter of 2024. Reported diluted earnings per share were $1.56 in the second quarter of 2025 compared to $1.45 in 2024 and adjusted diluted earnings per share were $2.15 compared to $1.81 in 2024.</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Six Month Results</w:t>
      </w:r>
    </w:p>
    <w:p>
      <w:pPr>
        <w:spacing w:after="0" w:line="2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Net sales for the first six months of 2025 were $6,036 million compared to $5,824 million in the first six months of 2024, reflecting the pass through of $214 million in higher material costs and higher shipments in Americas Beverage, European Beverage and North America food can, partially offset by lower shipments in Asia Pacific and Transit Packaging.</w:t>
      </w:r>
    </w:p>
    <w:p>
      <w:pPr>
        <w:spacing w:after="0" w:line="21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Income from operations was $756 million in the first half of 2025 compared to $624 million in the first half of 2024. Segment income in the first half of 2025 was $874 million compared to $745 million in the prior year period and includes the benefits of improved manufacturing performance and savings from prior year restructuring actions in Asia Pacific.</w:t>
      </w:r>
    </w:p>
    <w:p>
      <w:pPr>
        <w:sectPr>
          <w:pgSz w:w="11900" w:h="16838" w:orient="portrait"/>
          <w:cols w:equalWidth="0" w:num="1">
            <w:col w:w="11240"/>
          </w:cols>
          <w:pgMar w:left="320" w:top="493" w:right="339" w:bottom="1440" w:gutter="0" w:footer="0" w:header="0"/>
        </w:sect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1 of 9</w:t>
      </w:r>
    </w:p>
    <w:p>
      <w:pPr>
        <w:sectPr>
          <w:pgSz w:w="11900" w:h="16838" w:orient="portrait"/>
          <w:cols w:equalWidth="0" w:num="1">
            <w:col w:w="11240"/>
          </w:cols>
          <w:pgMar w:left="320" w:top="493" w:right="339" w:bottom="1440" w:gutter="0" w:footer="0" w:header="0"/>
          <w:type w:val="continuous"/>
        </w:sectPr>
      </w:pPr>
    </w:p>
    <w:bookmarkStart w:id="5" w:name="page6"/>
    <w:bookmarkEnd w:id="5"/>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-132080</wp:posOffset>
            </wp:positionV>
            <wp:extent cx="1551305" cy="4972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9"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21" w:lineRule="auto"/>
        <w:rPr>
          <w:sz w:val="20"/>
          <w:szCs w:val="20"/>
          <w:color w:val="auto"/>
        </w:rPr>
      </w:pPr>
      <w:r>
        <w:rPr>
          <w:rFonts w:ascii="Arial" w:cs="Arial" w:eastAsia="Arial" w:hAnsi="Arial"/>
          <w:sz w:val="14"/>
          <w:szCs w:val="14"/>
          <w:color w:val="auto"/>
        </w:rPr>
        <w:t>14025 Riveredge Drive, Suite 300</w:t>
      </w:r>
    </w:p>
    <w:p>
      <w:pPr>
        <w:ind w:left="80"/>
        <w:spacing w:after="0"/>
        <w:rPr>
          <w:sz w:val="20"/>
          <w:szCs w:val="20"/>
          <w:color w:val="auto"/>
        </w:rPr>
      </w:pPr>
      <w:r>
        <w:rPr>
          <w:rFonts w:ascii="Arial" w:cs="Arial" w:eastAsia="Arial" w:hAnsi="Arial"/>
          <w:sz w:val="14"/>
          <w:szCs w:val="14"/>
          <w:color w:val="auto"/>
        </w:rPr>
        <w:t>Tampa, FL 33637</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attributable to Crown Holdings in the first six months of 2025 was $374 million compared to $241 million in the first six months of 2024.</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Reported diluted earnings per share were $3.21 compared to $2.01 in 2024. Adjusted diluted earnings per share were $3.81 compared to $2.83 in 2024.</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“In view of strong first half performance, the Company has increased its full year 2025 guidance range to $7.10 to $7.50 of adjusted diluted earnings per share while we continue to closely monitor the potential impacts of tariffs on consumers and industrial activity,” commented Kevin C. Clothier, Senior Vice President and Chief Financial Officer. The Company expects third quarter adjusted diluted earnings per share to be in the range of $1.95 to $2.05.</w:t>
      </w:r>
    </w:p>
    <w:p>
      <w:pPr>
        <w:spacing w:after="0" w:line="212"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The Company expects to generate approximately $900 million in adjusted free cash flow in 2025 after capital spending of approximately $450 million with the adjusted effective tax rate expected to be approximately 25%.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2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Segment income, adjusted free cash flow, net debt, adjusted net leverage ratio, adjusted net income, the adjusted effective tax rate, adjusted diluted earnings per share, net interest expense, EBITDA and adjusted EBITDA are not defined terms under U.S. generally accepted accounting principles (non-GAAP measures). Non-GAAP measures should not be considered in isolation or as a substitute for income from operations, cash flow, leverage ratio, net income, effective tax rates, diluted earnings per share or interest expense and interest income prepared in accordance with U.S. GAAP and may not be comparable to calculations of similarly titled measures by other companies.</w:t>
      </w:r>
    </w:p>
    <w:p>
      <w:pPr>
        <w:spacing w:after="0" w:line="3"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The Company views segment income as the principal measure of the performance of its operations and adjusted free cash flow and adjusted net leverage ratio as the principal measures of its liquidity. The Company considers all of these measures in the allocation of resources. Adjusted free cash flow has certain limitations, however, including that it does not represent the residual cash flow available for discretionary expenditures since other non-discretionary expenditures, such as mandatory debt service requirements, are not deducted from the measure. The amount of mandatory versus discretionary expenditures can vary significantly between periods. The Company believes that adjusted free cash flow and adjusted net leverage ratio provide meaningful measures of liquidity and a useful basis for assessing the Company’s ability to fund its activities, including the financing of acquisitions, debt repayments, share repurchases or dividends. The Company believes that adjusted net income, segment income, the adjusted effective tax rate and adjusted diluted earnings per share are useful in evaluating the Company’s operations as these measures are adjusted for items that affect comparability between periods. Segment income, adjusted free cash flow, net debt, adjusted net leverage ratio, adjusted net income, the adjusted effective tax rate, adjusted diluted earnings per share, net interest expense, EBITDA and adjusted EBITDA are derived from the Company’s Consolidated Statements of Operations, Cash Flows and Consolidated Balance Sheets, as applicable, and reconciliations to segment income, adjusted free cash flow, net debt, adjusted net leverage ratio, adjusted net income, the adjusted effective tax rate, adjusted diluted earnings per share and adjusted EBITDA can be found within this release. Reconciliations of estimated adjusted diluted earnings per share, adjusted free cash flow, the adjusted effective tax rates and adjusted net leverage ratio for the third quarter and full year of 2025 to estimated diluted earnings per share, operating cash flow, the effective tax rate and income from operations on a GAAP basis are not provided in this release due to the unavailability of estimates of the following, the timing and magnitude of which the Company is unable to reliably forecast without unreasonable efforts, which are excluded from estimated adjusted diluted earnings per share, the adjusted effective tax rates and adjusted net leverage ratio, and could have a significant impact on earnings per share, the effective tax rate and income from operations on a GAAP basis: gains or losses on the sale of businesses or other assets, restructuring and other costs, asset impairment charges, asbestos-related charges, losses from early extinguishment of debt, pension settlement and curtailment charges, the tax and noncontrolling interest impact of the items above, and the impact of tax law changes or other tax matters.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2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 xml:space="preserve">The Company will hold a conference call tomorrow, July 22, 2025, at 9:00 a.m. (EDT) to discuss this news release. Forward-looking and other material information may be discussed on the conference call. The dial-in numbers for the conference call are 630-395-0194 or toll-free 888-324-8108 and the access password is “packaging.” A live webcast of the call will be made available to the public on the internet at the Company’s website, </w:t>
      </w:r>
      <w:r>
        <w:rPr>
          <w:rFonts w:ascii="Times New Roman" w:cs="Times New Roman" w:eastAsia="Times New Roman" w:hAnsi="Times New Roman"/>
          <w:sz w:val="18"/>
          <w:szCs w:val="18"/>
          <w:u w:val="single" w:color="auto"/>
          <w:color w:val="0000FF"/>
        </w:rPr>
        <w:t>www.crowncork.com</w:t>
      </w:r>
      <w:r>
        <w:rPr>
          <w:rFonts w:ascii="Times New Roman" w:cs="Times New Roman" w:eastAsia="Times New Roman" w:hAnsi="Times New Roman"/>
          <w:sz w:val="18"/>
          <w:szCs w:val="18"/>
          <w:color w:val="000000"/>
        </w:rPr>
        <w:t>. A replay of the conference call will be available for a one-week period ending at midnight on July 29, 2025. The telephone numbers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for the replay are 203-369-1942 or toll free 866-510-4834.</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Except for historical information, all other information in this press release consists of forward-looking statements. These forward-looking statements involve a number of risks, uncertainties and other factors, including the Company’s ability to continue to operate its plants, distribute its products and maintain its supply chain; the future impact of currency translation; the continuation of performance and market trends in 2025, including consumer preference for beverage cans and global beverage can demand; the future impact of inflation, including the potential for higher interest rates and energy prices and the Company’s ability to recover raw</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 of 9</w:t>
      </w:r>
    </w:p>
    <w:p>
      <w:pPr>
        <w:sectPr>
          <w:pgSz w:w="11900" w:h="16838" w:orient="portrait"/>
          <w:cols w:equalWidth="0" w:num="1">
            <w:col w:w="11240"/>
          </w:cols>
          <w:pgMar w:left="320" w:top="601" w:right="339" w:bottom="1440" w:gutter="0" w:footer="0" w:header="0"/>
        </w:sectPr>
      </w:pPr>
    </w:p>
    <w:bookmarkStart w:id="6" w:name="page7"/>
    <w:bookmarkEnd w:id="6"/>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-132080</wp:posOffset>
            </wp:positionV>
            <wp:extent cx="1551305" cy="4972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9"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21" w:lineRule="auto"/>
        <w:rPr>
          <w:sz w:val="20"/>
          <w:szCs w:val="20"/>
          <w:color w:val="auto"/>
        </w:rPr>
      </w:pPr>
      <w:r>
        <w:rPr>
          <w:rFonts w:ascii="Arial" w:cs="Arial" w:eastAsia="Arial" w:hAnsi="Arial"/>
          <w:sz w:val="14"/>
          <w:szCs w:val="14"/>
          <w:color w:val="auto"/>
        </w:rPr>
        <w:t>14025 Riveredge Drive, Suite 300</w:t>
      </w:r>
    </w:p>
    <w:p>
      <w:pPr>
        <w:ind w:left="80"/>
        <w:spacing w:after="0"/>
        <w:rPr>
          <w:sz w:val="20"/>
          <w:szCs w:val="20"/>
          <w:color w:val="auto"/>
        </w:rPr>
      </w:pPr>
      <w:r>
        <w:rPr>
          <w:rFonts w:ascii="Arial" w:cs="Arial" w:eastAsia="Arial" w:hAnsi="Arial"/>
          <w:sz w:val="14"/>
          <w:szCs w:val="14"/>
          <w:color w:val="auto"/>
        </w:rPr>
        <w:t>Tampa, FL 33637</w:t>
      </w:r>
    </w:p>
    <w:p>
      <w:pPr>
        <w:spacing w:after="0" w:line="200" w:lineRule="exact"/>
        <w:rPr>
          <w:sz w:val="20"/>
          <w:szCs w:val="20"/>
          <w:color w:val="auto"/>
        </w:rPr>
      </w:pPr>
    </w:p>
    <w:p>
      <w:pPr>
        <w:spacing w:after="0" w:line="23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material and other inflationary costs, including tariffs and retaliatory trade measures; future demand for food cans; the Company’s ability to deliver continuous operational improvement; future demand in the Transit Packaging segment; and the Company’s ability to increase cash flow and to further reduce net leverage, that may cause actual results to be materially different from those expressed or implied in the forward-looking statements. Important factors that could cause the statements made in this press release or the actual results of operations or financial condition of the Company to differ are discussed under the caption "Forward Looking Statements" in the Company's Form 10-K Annual Report for the year ended December 31, 2024 and in subsequent filings made prior to or after the date hereof. The Company does not intend to review or revise any particular forward-looking statement in light of future events.</w:t>
      </w:r>
    </w:p>
    <w:p>
      <w:pPr>
        <w:spacing w:after="0" w:line="19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Crown Holdings, Inc., through its subsidiaries, is a leading global supplier of rigid packaging products to consumer marketing companies, as well as transit and protective packaging products, equipment and services to a broad range of end markets. World headquarters are located in Tampa, Florida.</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contact:</w:t>
      </w:r>
    </w:p>
    <w:p>
      <w:pPr>
        <w:spacing w:after="0" w:line="16" w:lineRule="exact"/>
        <w:rPr>
          <w:sz w:val="20"/>
          <w:szCs w:val="20"/>
          <w:color w:val="auto"/>
        </w:rPr>
      </w:pPr>
    </w:p>
    <w:p>
      <w:pPr>
        <w:ind w:right="4520"/>
        <w:spacing w:after="0" w:line="271" w:lineRule="auto"/>
        <w:rPr>
          <w:sz w:val="20"/>
          <w:szCs w:val="20"/>
          <w:color w:val="auto"/>
        </w:rPr>
      </w:pPr>
      <w:r>
        <w:rPr>
          <w:rFonts w:ascii="Times New Roman" w:cs="Times New Roman" w:eastAsia="Times New Roman" w:hAnsi="Times New Roman"/>
          <w:sz w:val="17"/>
          <w:szCs w:val="17"/>
          <w:color w:val="auto"/>
        </w:rPr>
        <w:t>Kevin C. Clothier, Senior Vice President and Chief Financial Officer, (215) 698-5281 Thomas T. Fischer, Vice President, Investor Relations and Corporate Affairs, (215) 552-3720</w:t>
      </w:r>
    </w:p>
    <w:p>
      <w:pPr>
        <w:spacing w:after="0" w:line="183" w:lineRule="exact"/>
        <w:rPr>
          <w:sz w:val="20"/>
          <w:szCs w:val="20"/>
          <w:color w:val="auto"/>
        </w:rPr>
      </w:pPr>
    </w:p>
    <w:p>
      <w:pPr>
        <w:ind w:right="480"/>
        <w:spacing w:after="0" w:line="271" w:lineRule="auto"/>
        <w:rPr>
          <w:sz w:val="20"/>
          <w:szCs w:val="20"/>
          <w:color w:val="auto"/>
        </w:rPr>
      </w:pPr>
      <w:r>
        <w:rPr>
          <w:rFonts w:ascii="Times New Roman" w:cs="Times New Roman" w:eastAsia="Times New Roman" w:hAnsi="Times New Roman"/>
          <w:sz w:val="18"/>
          <w:szCs w:val="18"/>
          <w:b w:val="1"/>
          <w:bCs w:val="1"/>
          <w:color w:val="auto"/>
        </w:rPr>
        <w:t>Unaudited Consolidated Statements of Operations, Balance Sheets, Statements of Cash Flows, Segment Information and Supplemental Data follow.</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3 of 9</w:t>
      </w:r>
    </w:p>
    <w:p>
      <w:pPr>
        <w:sectPr>
          <w:pgSz w:w="11900" w:h="16838" w:orient="portrait"/>
          <w:cols w:equalWidth="0" w:num="1">
            <w:col w:w="11240"/>
          </w:cols>
          <w:pgMar w:left="320" w:top="601" w:right="339" w:bottom="1440" w:gutter="0" w:footer="0" w:header="0"/>
        </w:sectPr>
      </w:pPr>
    </w:p>
    <w:bookmarkStart w:id="7" w:name="page8"/>
    <w:bookmarkEnd w:id="7"/>
    <w:p>
      <w:pPr>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5492115</wp:posOffset>
            </wp:positionH>
            <wp:positionV relativeFrom="paragraph">
              <wp:posOffset>-132080</wp:posOffset>
            </wp:positionV>
            <wp:extent cx="1551305" cy="4972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Corporate Headquarters</w:t>
      </w:r>
    </w:p>
    <w:p>
      <w:pPr>
        <w:spacing w:after="0" w:line="221" w:lineRule="auto"/>
        <w:rPr>
          <w:sz w:val="20"/>
          <w:szCs w:val="20"/>
          <w:color w:val="auto"/>
        </w:rPr>
      </w:pPr>
      <w:r>
        <w:rPr>
          <w:rFonts w:ascii="Arial" w:cs="Arial" w:eastAsia="Arial" w:hAnsi="Arial"/>
          <w:sz w:val="14"/>
          <w:szCs w:val="14"/>
          <w:color w:val="auto"/>
        </w:rPr>
        <w:t>14025 Riveredge Drive, Suite 300</w:t>
      </w:r>
    </w:p>
    <w:p>
      <w:pPr>
        <w:spacing w:after="0"/>
        <w:rPr>
          <w:sz w:val="20"/>
          <w:szCs w:val="20"/>
          <w:color w:val="auto"/>
        </w:rPr>
      </w:pPr>
      <w:r>
        <w:rPr>
          <w:rFonts w:ascii="Arial" w:cs="Arial" w:eastAsia="Arial" w:hAnsi="Arial"/>
          <w:sz w:val="14"/>
          <w:szCs w:val="14"/>
          <w:color w:val="auto"/>
        </w:rPr>
        <w:t>Tampa, FL 33637</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Consolidated Statements of Operations (Unaudited)</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millions, except share and per share data)</w:t>
      </w: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60" w:type="dxa"/>
            <w:vAlign w:val="bottom"/>
            <w:gridSpan w:val="5"/>
          </w:tcPr>
          <w:p>
            <w:pPr>
              <w:ind w:left="4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80" w:type="dxa"/>
            <w:vAlign w:val="bottom"/>
          </w:tcPr>
          <w:p>
            <w:pPr>
              <w:spacing w:after="0"/>
              <w:rPr>
                <w:sz w:val="16"/>
                <w:szCs w:val="16"/>
                <w:color w:val="auto"/>
              </w:rPr>
            </w:pPr>
          </w:p>
        </w:tc>
        <w:tc>
          <w:tcPr>
            <w:tcW w:w="2600" w:type="dxa"/>
            <w:vAlign w:val="bottom"/>
            <w:gridSpan w:val="4"/>
          </w:tcPr>
          <w:p>
            <w:pPr>
              <w:jc w:val="right"/>
              <w:ind w:right="73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14"/>
        </w:trPr>
        <w:tc>
          <w:tcPr>
            <w:tcW w:w="5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50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3,149</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3,040</w:t>
            </w:r>
          </w:p>
        </w:tc>
        <w:tc>
          <w:tcPr>
            <w:tcW w:w="2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6,036</w:t>
            </w:r>
          </w:p>
        </w:tc>
        <w:tc>
          <w:tcPr>
            <w:tcW w:w="2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5,824</w:t>
            </w:r>
          </w:p>
        </w:tc>
        <w:tc>
          <w:tcPr>
            <w:tcW w:w="0" w:type="dxa"/>
            <w:vAlign w:val="bottom"/>
          </w:tcPr>
          <w:p>
            <w:pPr>
              <w:spacing w:after="0"/>
              <w:rPr>
                <w:sz w:val="1"/>
                <w:szCs w:val="1"/>
                <w:color w:val="auto"/>
              </w:rPr>
            </w:pPr>
          </w:p>
        </w:tc>
      </w:tr>
      <w:tr>
        <w:trPr>
          <w:trHeight w:val="299"/>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products sold</w:t>
            </w: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4,698</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4,626</w:t>
            </w:r>
          </w:p>
        </w:tc>
        <w:tc>
          <w:tcPr>
            <w:tcW w:w="0" w:type="dxa"/>
            <w:vAlign w:val="bottom"/>
          </w:tcPr>
          <w:p>
            <w:pPr>
              <w:spacing w:after="0"/>
              <w:rPr>
                <w:sz w:val="1"/>
                <w:szCs w:val="1"/>
                <w:color w:val="auto"/>
              </w:rPr>
            </w:pPr>
          </w:p>
        </w:tc>
      </w:tr>
      <w:tr>
        <w:trPr>
          <w:trHeight w:val="230"/>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29"/>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and administrative expense</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34"/>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Restructuring and other</w:t>
            </w: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8"/>
        </w:trPr>
        <w:tc>
          <w:tcPr>
            <w:tcW w:w="5060" w:type="dxa"/>
            <w:vAlign w:val="bottom"/>
          </w:tcPr>
          <w:p>
            <w:pPr>
              <w:ind w:left="20"/>
              <w:spacing w:after="0" w:line="218" w:lineRule="exact"/>
              <w:rPr>
                <w:sz w:val="20"/>
                <w:szCs w:val="20"/>
                <w:color w:val="auto"/>
              </w:rPr>
            </w:pPr>
            <w:r>
              <w:rPr>
                <w:rFonts w:ascii="Times New Roman" w:cs="Times New Roman" w:eastAsia="Times New Roman" w:hAnsi="Times New Roman"/>
                <w:sz w:val="18"/>
                <w:szCs w:val="18"/>
                <w:b w:val="1"/>
                <w:bCs w:val="1"/>
                <w:color w:val="auto"/>
              </w:rPr>
              <w:t xml:space="preserve">Income from operations </w:t>
            </w:r>
            <w:r>
              <w:rPr>
                <w:rFonts w:ascii="Times New Roman" w:cs="Times New Roman" w:eastAsia="Times New Roman" w:hAnsi="Times New Roman"/>
                <w:sz w:val="23"/>
                <w:szCs w:val="23"/>
                <w:b w:val="1"/>
                <w:bCs w:val="1"/>
                <w:color w:val="auto"/>
                <w:vertAlign w:val="superscript"/>
              </w:rPr>
              <w:t>(1)</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379</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756</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624</w:t>
            </w:r>
          </w:p>
        </w:tc>
        <w:tc>
          <w:tcPr>
            <w:tcW w:w="0" w:type="dxa"/>
            <w:vAlign w:val="bottom"/>
          </w:tcPr>
          <w:p>
            <w:pPr>
              <w:spacing w:after="0"/>
              <w:rPr>
                <w:sz w:val="1"/>
                <w:szCs w:val="1"/>
                <w:color w:val="auto"/>
              </w:rPr>
            </w:pPr>
          </w:p>
        </w:tc>
      </w:tr>
      <w:tr>
        <w:trPr>
          <w:trHeight w:val="229"/>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pension and postretirement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4"/>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exchange</w:t>
            </w: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8"/>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before interest and taxes</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588</w:t>
            </w:r>
          </w:p>
        </w:tc>
        <w:tc>
          <w:tcPr>
            <w:tcW w:w="0" w:type="dxa"/>
            <w:vAlign w:val="bottom"/>
          </w:tcPr>
          <w:p>
            <w:pPr>
              <w:spacing w:after="0"/>
              <w:rPr>
                <w:sz w:val="1"/>
                <w:szCs w:val="1"/>
                <w:color w:val="auto"/>
              </w:rPr>
            </w:pPr>
          </w:p>
        </w:tc>
      </w:tr>
      <w:tr>
        <w:trPr>
          <w:trHeight w:val="229"/>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34"/>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8"/>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 before income taxes</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265</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399</w:t>
            </w:r>
          </w:p>
        </w:tc>
        <w:tc>
          <w:tcPr>
            <w:tcW w:w="0" w:type="dxa"/>
            <w:vAlign w:val="bottom"/>
          </w:tcPr>
          <w:p>
            <w:pPr>
              <w:spacing w:after="0"/>
              <w:rPr>
                <w:sz w:val="1"/>
                <w:szCs w:val="1"/>
                <w:color w:val="auto"/>
              </w:rPr>
            </w:pPr>
          </w:p>
        </w:tc>
      </w:tr>
      <w:tr>
        <w:trPr>
          <w:trHeight w:val="230"/>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34"/>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earnings</w:t>
            </w: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216</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207</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443</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300</w:t>
            </w:r>
          </w:p>
        </w:tc>
        <w:tc>
          <w:tcPr>
            <w:tcW w:w="0" w:type="dxa"/>
            <w:vAlign w:val="bottom"/>
          </w:tcPr>
          <w:p>
            <w:pPr>
              <w:spacing w:after="0"/>
              <w:rPr>
                <w:sz w:val="1"/>
                <w:szCs w:val="1"/>
                <w:color w:val="auto"/>
              </w:rPr>
            </w:pPr>
          </w:p>
        </w:tc>
      </w:tr>
      <w:tr>
        <w:trPr>
          <w:trHeight w:val="223"/>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Crown Holdings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181</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w:t>
            </w:r>
          </w:p>
        </w:tc>
        <w:tc>
          <w:tcPr>
            <w:tcW w:w="2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374</w:t>
            </w:r>
          </w:p>
        </w:tc>
        <w:tc>
          <w:tcPr>
            <w:tcW w:w="2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241</w:t>
            </w:r>
          </w:p>
        </w:tc>
        <w:tc>
          <w:tcPr>
            <w:tcW w:w="0" w:type="dxa"/>
            <w:vAlign w:val="bottom"/>
          </w:tcPr>
          <w:p>
            <w:pPr>
              <w:spacing w:after="0"/>
              <w:rPr>
                <w:sz w:val="1"/>
                <w:szCs w:val="1"/>
                <w:color w:val="auto"/>
              </w:rPr>
            </w:pPr>
          </w:p>
        </w:tc>
      </w:tr>
      <w:tr>
        <w:trPr>
          <w:trHeight w:val="20"/>
        </w:trPr>
        <w:tc>
          <w:tcPr>
            <w:tcW w:w="5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 attributable to Crown Holdings common</w:t>
            </w: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50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4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20" w:type="dxa"/>
            <w:vAlign w:val="bottom"/>
          </w:tcPr>
          <w:p>
            <w:pPr>
              <w:spacing w:after="0"/>
              <w:rPr>
                <w:sz w:val="20"/>
                <w:szCs w:val="20"/>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20" w:type="dxa"/>
            <w:vAlign w:val="bottom"/>
          </w:tcPr>
          <w:p>
            <w:pPr>
              <w:spacing w:after="0"/>
              <w:rPr>
                <w:sz w:val="20"/>
                <w:szCs w:val="20"/>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0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common shares outstanding:</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115,329,354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119,652,273</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115,997,384</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119,613,319</w:t>
            </w:r>
          </w:p>
        </w:tc>
        <w:tc>
          <w:tcPr>
            <w:tcW w:w="0" w:type="dxa"/>
            <w:vAlign w:val="bottom"/>
          </w:tcPr>
          <w:p>
            <w:pPr>
              <w:spacing w:after="0"/>
              <w:rPr>
                <w:sz w:val="1"/>
                <w:szCs w:val="1"/>
                <w:color w:val="auto"/>
              </w:rPr>
            </w:pPr>
          </w:p>
        </w:tc>
      </w:tr>
      <w:tr>
        <w:trPr>
          <w:trHeight w:val="229"/>
        </w:trPr>
        <w:tc>
          <w:tcPr>
            <w:tcW w:w="5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115,841,544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119,846,707</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116,462,524</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119,811,187</w:t>
            </w:r>
          </w:p>
        </w:tc>
        <w:tc>
          <w:tcPr>
            <w:tcW w:w="0" w:type="dxa"/>
            <w:vAlign w:val="bottom"/>
          </w:tcPr>
          <w:p>
            <w:pPr>
              <w:spacing w:after="0"/>
              <w:rPr>
                <w:sz w:val="1"/>
                <w:szCs w:val="1"/>
                <w:color w:val="auto"/>
              </w:rPr>
            </w:pPr>
          </w:p>
        </w:tc>
      </w:tr>
      <w:tr>
        <w:trPr>
          <w:trHeight w:val="234"/>
        </w:trPr>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Actual common shares outstanding at quarter end</w:t>
            </w: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116,393,989</w:t>
            </w:r>
          </w:p>
        </w:tc>
        <w:tc>
          <w:tcPr>
            <w:tcW w:w="2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120,867,675</w:t>
            </w:r>
          </w:p>
        </w:tc>
        <w:tc>
          <w:tcPr>
            <w:tcW w:w="2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116,393,989</w:t>
            </w:r>
          </w:p>
        </w:tc>
        <w:tc>
          <w:tcPr>
            <w:tcW w:w="2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120,867,675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ind w:left="5140" w:right="5100" w:hanging="4969"/>
        <w:spacing w:after="0" w:line="904" w:lineRule="auto"/>
        <w:tabs>
          <w:tab w:leader="none" w:pos="355"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Reconciliation from income from operations to segment income follows. Page 4 of 9</w:t>
      </w:r>
    </w:p>
    <w:p>
      <w:pPr>
        <w:sectPr>
          <w:pgSz w:w="11900" w:h="16838" w:orient="portrait"/>
          <w:cols w:equalWidth="0" w:num="1">
            <w:col w:w="11060"/>
          </w:cols>
          <w:pgMar w:left="400" w:top="601" w:right="439" w:bottom="1440" w:gutter="0" w:footer="0" w:header="0"/>
        </w:sectPr>
      </w:pPr>
    </w:p>
    <w:bookmarkStart w:id="8" w:name="page9"/>
    <w:bookmarkEnd w:id="8"/>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-132080</wp:posOffset>
            </wp:positionV>
            <wp:extent cx="1551305" cy="4972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9"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21" w:lineRule="auto"/>
        <w:rPr>
          <w:sz w:val="20"/>
          <w:szCs w:val="20"/>
          <w:color w:val="auto"/>
        </w:rPr>
      </w:pPr>
      <w:r>
        <w:rPr>
          <w:rFonts w:ascii="Arial" w:cs="Arial" w:eastAsia="Arial" w:hAnsi="Arial"/>
          <w:sz w:val="14"/>
          <w:szCs w:val="14"/>
          <w:color w:val="auto"/>
        </w:rPr>
        <w:t>14025 Riveredge Drive, Suite 300</w:t>
      </w:r>
    </w:p>
    <w:p>
      <w:pPr>
        <w:ind w:left="80"/>
        <w:spacing w:after="0"/>
        <w:rPr>
          <w:sz w:val="20"/>
          <w:szCs w:val="20"/>
          <w:color w:val="auto"/>
        </w:rPr>
      </w:pPr>
      <w:r>
        <w:rPr>
          <w:rFonts w:ascii="Arial" w:cs="Arial" w:eastAsia="Arial" w:hAnsi="Arial"/>
          <w:sz w:val="14"/>
          <w:szCs w:val="14"/>
          <w:color w:val="auto"/>
        </w:rPr>
        <w:t>Tampa, FL 33637</w:t>
      </w:r>
    </w:p>
    <w:p>
      <w:pPr>
        <w:spacing w:after="0" w:line="200" w:lineRule="exact"/>
        <w:rPr>
          <w:sz w:val="20"/>
          <w:szCs w:val="20"/>
          <w:color w:val="auto"/>
        </w:rPr>
      </w:pPr>
    </w:p>
    <w:p>
      <w:pPr>
        <w:spacing w:after="0" w:line="3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Supplemental Financial Data (Unaudited)</w:t>
      </w:r>
    </w:p>
    <w:p>
      <w:pPr>
        <w:spacing w:after="0" w:line="3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from Income from Operations to Segment Income</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views segment income, as defined below, as a principal measure of performance of its operations and for the allocation of resources. Segment income is defined by the Company as income from operations adjusted to exclude intangibles amortization charges and provisions for restructuring and other.</w:t>
      </w:r>
    </w:p>
    <w:p>
      <w:pPr>
        <w:spacing w:after="0" w:line="312" w:lineRule="exact"/>
        <w:rPr>
          <w:sz w:val="20"/>
          <w:szCs w:val="20"/>
          <w:color w:val="auto"/>
        </w:rPr>
      </w:pPr>
    </w:p>
    <w:tbl>
      <w:tblPr>
        <w:tblLayout w:type="fixed"/>
        <w:tblInd w:w="1400" w:type="dxa"/>
        <w:tblCellMar>
          <w:top w:w="0" w:type="dxa"/>
          <w:left w:w="0" w:type="dxa"/>
          <w:bottom w:w="0" w:type="dxa"/>
          <w:right w:w="0" w:type="dxa"/>
        </w:tblCellMar>
      </w:tblPr>
      <w:tr>
        <w:trPr>
          <w:trHeight w:val="207"/>
        </w:trPr>
        <w:tc>
          <w:tcPr>
            <w:tcW w:w="2760" w:type="dxa"/>
            <w:vAlign w:val="bottom"/>
          </w:tcPr>
          <w:p>
            <w:pPr>
              <w:spacing w:after="0"/>
              <w:rPr>
                <w:sz w:val="17"/>
                <w:szCs w:val="17"/>
                <w:color w:val="auto"/>
              </w:rPr>
            </w:pPr>
          </w:p>
        </w:tc>
        <w:tc>
          <w:tcPr>
            <w:tcW w:w="21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4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276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380" w:type="dxa"/>
            <w:vAlign w:val="bottom"/>
            <w:tcBorders>
              <w:bottom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r>
      <w:tr>
        <w:trPr>
          <w:trHeight w:val="237"/>
        </w:trPr>
        <w:tc>
          <w:tcPr>
            <w:tcW w:w="276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bottom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37"/>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240" w:type="dxa"/>
            <w:vAlign w:val="bottom"/>
          </w:tcPr>
          <w:p>
            <w:pPr>
              <w:spacing w:after="0"/>
              <w:rPr>
                <w:sz w:val="20"/>
                <w:szCs w:val="20"/>
                <w:color w:val="auto"/>
              </w:rPr>
            </w:pP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6"/>
              </w:rPr>
              <w:t>379</w:t>
            </w:r>
          </w:p>
        </w:tc>
        <w:tc>
          <w:tcPr>
            <w:tcW w:w="58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756</w:t>
            </w:r>
          </w:p>
        </w:tc>
        <w:tc>
          <w:tcPr>
            <w:tcW w:w="2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624</w:t>
            </w:r>
          </w:p>
        </w:tc>
      </w:tr>
      <w:tr>
        <w:trPr>
          <w:trHeight w:val="25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Intangibles amortization</w:t>
            </w:r>
          </w:p>
        </w:tc>
        <w:tc>
          <w:tcPr>
            <w:tcW w:w="78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w:t>
            </w:r>
          </w:p>
        </w:tc>
      </w:tr>
      <w:tr>
        <w:trPr>
          <w:trHeight w:val="257"/>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and other</w:t>
            </w:r>
          </w:p>
        </w:tc>
        <w:tc>
          <w:tcPr>
            <w:tcW w:w="7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5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r>
      <w:tr>
        <w:trPr>
          <w:trHeight w:val="223"/>
        </w:trPr>
        <w:tc>
          <w:tcPr>
            <w:tcW w:w="2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Segment income</w:t>
            </w:r>
          </w:p>
        </w:tc>
        <w:tc>
          <w:tcPr>
            <w:tcW w:w="7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476</w:t>
            </w:r>
          </w:p>
        </w:tc>
        <w:tc>
          <w:tcPr>
            <w:tcW w:w="240" w:type="dxa"/>
            <w:vAlign w:val="bottom"/>
          </w:tcPr>
          <w:p>
            <w:pPr>
              <w:spacing w:after="0"/>
              <w:rPr>
                <w:sz w:val="19"/>
                <w:szCs w:val="19"/>
                <w:color w:val="auto"/>
              </w:rPr>
            </w:pPr>
          </w:p>
        </w:tc>
        <w:tc>
          <w:tcPr>
            <w:tcW w:w="7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6"/>
              </w:rPr>
              <w:t>437</w:t>
            </w:r>
          </w:p>
        </w:tc>
        <w:tc>
          <w:tcPr>
            <w:tcW w:w="5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874</w:t>
            </w:r>
          </w:p>
        </w:tc>
        <w:tc>
          <w:tcPr>
            <w:tcW w:w="2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745</w:t>
            </w:r>
          </w:p>
        </w:tc>
      </w:tr>
      <w:tr>
        <w:trPr>
          <w:trHeight w:val="21"/>
        </w:trPr>
        <w:tc>
          <w:tcPr>
            <w:tcW w:w="27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Segment Information</w:t>
      </w:r>
    </w:p>
    <w:p>
      <w:pPr>
        <w:spacing w:after="0" w:line="121"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28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80" w:type="dxa"/>
            <w:vAlign w:val="bottom"/>
            <w:gridSpan w:val="8"/>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gridSpan w:val="5"/>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198"/>
        </w:trPr>
        <w:tc>
          <w:tcPr>
            <w:tcW w:w="286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gridSpan w:val="5"/>
          </w:tcPr>
          <w:p>
            <w:pPr>
              <w:jc w:val="right"/>
              <w:ind w:right="30"/>
              <w:spacing w:after="0" w:line="19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gridSpan w:val="4"/>
          </w:tcPr>
          <w:p>
            <w:pPr>
              <w:jc w:val="right"/>
              <w:ind w:right="30"/>
              <w:spacing w:after="0" w:line="19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70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8"/>
        </w:trPr>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Americas Beverage</w:t>
            </w:r>
          </w:p>
        </w:tc>
        <w:tc>
          <w:tcPr>
            <w:tcW w:w="3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1,405</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2,725</w:t>
            </w:r>
          </w:p>
        </w:tc>
        <w:tc>
          <w:tcPr>
            <w:tcW w:w="220" w:type="dxa"/>
            <w:vAlign w:val="bottom"/>
          </w:tcPr>
          <w:p>
            <w:pPr>
              <w:spacing w:after="0"/>
              <w:rPr>
                <w:sz w:val="18"/>
                <w:szCs w:val="18"/>
                <w:color w:val="auto"/>
              </w:rPr>
            </w:pPr>
          </w:p>
        </w:tc>
        <w:tc>
          <w:tcPr>
            <w:tcW w:w="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2,547</w:t>
            </w:r>
          </w:p>
        </w:tc>
        <w:tc>
          <w:tcPr>
            <w:tcW w:w="0" w:type="dxa"/>
            <w:vAlign w:val="bottom"/>
          </w:tcPr>
          <w:p>
            <w:pPr>
              <w:spacing w:after="0"/>
              <w:rPr>
                <w:sz w:val="1"/>
                <w:szCs w:val="1"/>
                <w:color w:val="auto"/>
              </w:rPr>
            </w:pPr>
          </w:p>
        </w:tc>
      </w:tr>
      <w:tr>
        <w:trPr>
          <w:trHeight w:val="229"/>
        </w:trPr>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European Beverage</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635</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1,147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1,042</w:t>
            </w:r>
          </w:p>
        </w:tc>
        <w:tc>
          <w:tcPr>
            <w:tcW w:w="0" w:type="dxa"/>
            <w:vAlign w:val="bottom"/>
          </w:tcPr>
          <w:p>
            <w:pPr>
              <w:spacing w:after="0"/>
              <w:rPr>
                <w:sz w:val="1"/>
                <w:szCs w:val="1"/>
                <w:color w:val="auto"/>
              </w:rPr>
            </w:pPr>
          </w:p>
        </w:tc>
      </w:tr>
      <w:tr>
        <w:trPr>
          <w:trHeight w:val="230"/>
        </w:trPr>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256</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569</w:t>
            </w:r>
          </w:p>
        </w:tc>
        <w:tc>
          <w:tcPr>
            <w:tcW w:w="0" w:type="dxa"/>
            <w:vAlign w:val="bottom"/>
          </w:tcPr>
          <w:p>
            <w:pPr>
              <w:spacing w:after="0"/>
              <w:rPr>
                <w:sz w:val="1"/>
                <w:szCs w:val="1"/>
                <w:color w:val="auto"/>
              </w:rPr>
            </w:pPr>
          </w:p>
        </w:tc>
      </w:tr>
      <w:tr>
        <w:trPr>
          <w:trHeight w:val="230"/>
        </w:trPr>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Transit Packaging</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526</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1,070</w:t>
            </w:r>
          </w:p>
        </w:tc>
        <w:tc>
          <w:tcPr>
            <w:tcW w:w="0" w:type="dxa"/>
            <w:vAlign w:val="bottom"/>
          </w:tcPr>
          <w:p>
            <w:pPr>
              <w:spacing w:after="0"/>
              <w:rPr>
                <w:sz w:val="1"/>
                <w:szCs w:val="1"/>
                <w:color w:val="auto"/>
              </w:rPr>
            </w:pPr>
          </w:p>
        </w:tc>
      </w:tr>
      <w:tr>
        <w:trPr>
          <w:trHeight w:val="234"/>
        </w:trPr>
        <w:tc>
          <w:tcPr>
            <w:tcW w:w="2860" w:type="dxa"/>
            <w:vAlign w:val="bottom"/>
            <w:gridSpan w:val="3"/>
          </w:tcPr>
          <w:p>
            <w:pPr>
              <w:spacing w:after="0" w:line="234"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(1)</w:t>
            </w:r>
          </w:p>
        </w:tc>
        <w:tc>
          <w:tcPr>
            <w:tcW w:w="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327</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621</w:t>
            </w: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596</w:t>
            </w:r>
          </w:p>
        </w:tc>
        <w:tc>
          <w:tcPr>
            <w:tcW w:w="0" w:type="dxa"/>
            <w:vAlign w:val="bottom"/>
          </w:tcPr>
          <w:p>
            <w:pPr>
              <w:spacing w:after="0"/>
              <w:rPr>
                <w:sz w:val="1"/>
                <w:szCs w:val="1"/>
                <w:color w:val="auto"/>
              </w:rPr>
            </w:pPr>
          </w:p>
        </w:tc>
      </w:tr>
      <w:tr>
        <w:trPr>
          <w:trHeight w:val="223"/>
        </w:trPr>
        <w:tc>
          <w:tcPr>
            <w:tcW w:w="286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30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3,149</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3,040</w:t>
            </w: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6,036</w:t>
            </w:r>
          </w:p>
        </w:tc>
        <w:tc>
          <w:tcPr>
            <w:tcW w:w="22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5,824</w:t>
            </w:r>
          </w:p>
        </w:tc>
        <w:tc>
          <w:tcPr>
            <w:tcW w:w="0" w:type="dxa"/>
            <w:vAlign w:val="bottom"/>
          </w:tcPr>
          <w:p>
            <w:pPr>
              <w:spacing w:after="0"/>
              <w:rPr>
                <w:sz w:val="1"/>
                <w:szCs w:val="1"/>
                <w:color w:val="auto"/>
              </w:rPr>
            </w:pPr>
          </w:p>
        </w:tc>
      </w:tr>
      <w:tr>
        <w:trPr>
          <w:trHeight w:val="21"/>
        </w:trPr>
        <w:tc>
          <w:tcPr>
            <w:tcW w:w="28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Segment Income</w:t>
            </w: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1"/>
        </w:trPr>
        <w:tc>
          <w:tcPr>
            <w:tcW w:w="2860" w:type="dxa"/>
            <w:vAlign w:val="bottom"/>
            <w:gridSpan w:val="3"/>
            <w:vMerge w:val="continue"/>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gridSpan w:val="2"/>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Americas Beverage</w:t>
            </w:r>
          </w:p>
        </w:tc>
        <w:tc>
          <w:tcPr>
            <w:tcW w:w="3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220" w:type="dxa"/>
            <w:vAlign w:val="bottom"/>
          </w:tcPr>
          <w:p>
            <w:pPr>
              <w:spacing w:after="0"/>
              <w:rPr>
                <w:sz w:val="24"/>
                <w:szCs w:val="24"/>
                <w:color w:val="auto"/>
              </w:rPr>
            </w:pPr>
          </w:p>
        </w:tc>
        <w:tc>
          <w:tcPr>
            <w:tcW w:w="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432</w:t>
            </w:r>
          </w:p>
        </w:tc>
        <w:tc>
          <w:tcPr>
            <w:tcW w:w="0" w:type="dxa"/>
            <w:vAlign w:val="bottom"/>
          </w:tcPr>
          <w:p>
            <w:pPr>
              <w:spacing w:after="0"/>
              <w:rPr>
                <w:sz w:val="1"/>
                <w:szCs w:val="1"/>
                <w:color w:val="auto"/>
              </w:rPr>
            </w:pPr>
          </w:p>
        </w:tc>
      </w:tr>
      <w:tr>
        <w:trPr>
          <w:trHeight w:val="230"/>
        </w:trPr>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European Beverage</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30"/>
        </w:trPr>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26"/>
        </w:trPr>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Transit Packaging</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33"/>
        </w:trPr>
        <w:tc>
          <w:tcPr>
            <w:tcW w:w="2860" w:type="dxa"/>
            <w:vAlign w:val="bottom"/>
            <w:gridSpan w:val="3"/>
          </w:tcPr>
          <w:p>
            <w:pPr>
              <w:spacing w:after="0" w:line="233"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(1)</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4"/>
        </w:trPr>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Corporate and other unallocated items</w:t>
            </w:r>
          </w:p>
        </w:tc>
        <w:tc>
          <w:tcPr>
            <w:tcW w:w="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40" w:type="dxa"/>
            <w:vAlign w:val="bottom"/>
            <w:tcBorders>
              <w:bottom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23"/>
        </w:trPr>
        <w:tc>
          <w:tcPr>
            <w:tcW w:w="286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Total segment income</w:t>
            </w:r>
          </w:p>
        </w:tc>
        <w:tc>
          <w:tcPr>
            <w:tcW w:w="4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476</w:t>
            </w:r>
          </w:p>
        </w:tc>
        <w:tc>
          <w:tcPr>
            <w:tcW w:w="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437</w:t>
            </w:r>
          </w:p>
        </w:tc>
        <w:tc>
          <w:tcPr>
            <w:tcW w:w="4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745</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500" w:right="20" w:hanging="249"/>
        <w:spacing w:after="0" w:line="222" w:lineRule="auto"/>
        <w:tabs>
          <w:tab w:leader="none" w:pos="443"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the Company’s food can, aerosol can and closures businesses in North America, and beverage tooling and equipment operations in the U.S. and United Kingdom.</w:t>
      </w:r>
    </w:p>
    <w:p>
      <w:pPr>
        <w:sectPr>
          <w:pgSz w:w="11900" w:h="16838" w:orient="portrait"/>
          <w:cols w:equalWidth="0" w:num="1">
            <w:col w:w="11240"/>
          </w:cols>
          <w:pgMar w:left="320" w:top="601" w:right="339" w:bottom="10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5 of 9</w:t>
      </w:r>
    </w:p>
    <w:p>
      <w:pPr>
        <w:sectPr>
          <w:pgSz w:w="11900" w:h="16838" w:orient="portrait"/>
          <w:cols w:equalWidth="0" w:num="1">
            <w:col w:w="11240"/>
          </w:cols>
          <w:pgMar w:left="320" w:top="601" w:right="339" w:bottom="1014" w:gutter="0" w:footer="0" w:header="0"/>
          <w:type w:val="continuous"/>
        </w:sectPr>
      </w:pPr>
    </w:p>
    <w:bookmarkStart w:id="9" w:name="page10"/>
    <w:bookmarkEnd w:id="9"/>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-132080</wp:posOffset>
            </wp:positionV>
            <wp:extent cx="1551305" cy="4972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9"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21" w:lineRule="auto"/>
        <w:rPr>
          <w:sz w:val="20"/>
          <w:szCs w:val="20"/>
          <w:color w:val="auto"/>
        </w:rPr>
      </w:pPr>
      <w:r>
        <w:rPr>
          <w:rFonts w:ascii="Arial" w:cs="Arial" w:eastAsia="Arial" w:hAnsi="Arial"/>
          <w:sz w:val="14"/>
          <w:szCs w:val="14"/>
          <w:color w:val="auto"/>
        </w:rPr>
        <w:t>14025 Riveredge Drive, Suite 300</w:t>
      </w:r>
    </w:p>
    <w:p>
      <w:pPr>
        <w:ind w:left="80"/>
        <w:spacing w:after="0"/>
        <w:rPr>
          <w:sz w:val="20"/>
          <w:szCs w:val="20"/>
          <w:color w:val="auto"/>
        </w:rPr>
      </w:pPr>
      <w:r>
        <w:rPr>
          <w:rFonts w:ascii="Arial" w:cs="Arial" w:eastAsia="Arial" w:hAnsi="Arial"/>
          <w:sz w:val="14"/>
          <w:szCs w:val="14"/>
          <w:color w:val="auto"/>
        </w:rPr>
        <w:t>Tampa, FL 33637</w:t>
      </w:r>
    </w:p>
    <w:p>
      <w:pPr>
        <w:spacing w:after="0" w:line="200" w:lineRule="exact"/>
        <w:rPr>
          <w:sz w:val="20"/>
          <w:szCs w:val="20"/>
          <w:color w:val="auto"/>
        </w:rPr>
      </w:pPr>
    </w:p>
    <w:p>
      <w:pPr>
        <w:spacing w:after="0" w:line="32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Supplemental Data (Unaudited)</w:t>
      </w:r>
    </w:p>
    <w:p>
      <w:pPr>
        <w:spacing w:after="0" w:line="3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from Net Income and Diluted Earnings Per Share to Adjusted Net Income and Adjusted Diluted Earnings Per Share</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reconciles reported net income and diluted earnings per share attributable to the Company to adjusted net income and adjusted diluted earnings per share, as used elsewhere in this release.</w:t>
      </w:r>
    </w:p>
    <w:p>
      <w:pPr>
        <w:spacing w:after="0" w:line="217"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3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560" w:type="dxa"/>
            <w:vAlign w:val="bottom"/>
            <w:gridSpan w:val="8"/>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620" w:type="dxa"/>
            <w:vAlign w:val="bottom"/>
          </w:tcPr>
          <w:p>
            <w:pPr>
              <w:spacing w:after="0"/>
              <w:rPr>
                <w:sz w:val="17"/>
                <w:szCs w:val="17"/>
                <w:color w:val="auto"/>
              </w:rPr>
            </w:pPr>
          </w:p>
        </w:tc>
        <w:tc>
          <w:tcPr>
            <w:tcW w:w="1840" w:type="dxa"/>
            <w:vAlign w:val="bottom"/>
            <w:gridSpan w:val="7"/>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26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5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income/diluted earnings per share</w:t>
            </w:r>
          </w:p>
        </w:tc>
        <w:tc>
          <w:tcPr>
            <w:tcW w:w="1380" w:type="dxa"/>
            <w:vAlign w:val="bottom"/>
            <w:tcBorders>
              <w:bottom w:val="single" w:sz="8" w:color="auto"/>
            </w:tcBorders>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3"/>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180" w:type="dxa"/>
            <w:vAlign w:val="bottom"/>
          </w:tcPr>
          <w:p>
            <w:pPr>
              <w:spacing w:after="0"/>
              <w:rPr>
                <w:sz w:val="19"/>
                <w:szCs w:val="19"/>
                <w:color w:val="auto"/>
              </w:rPr>
            </w:pPr>
          </w:p>
        </w:tc>
        <w:tc>
          <w:tcPr>
            <w:tcW w:w="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5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2024</w:t>
            </w:r>
          </w:p>
        </w:tc>
        <w:tc>
          <w:tcPr>
            <w:tcW w:w="5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260" w:type="dxa"/>
            <w:vAlign w:val="bottom"/>
            <w:vMerge w:val="continue"/>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26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attributable to Crown Holdings, as</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$181</w:t>
            </w:r>
          </w:p>
        </w:tc>
        <w:tc>
          <w:tcPr>
            <w:tcW w:w="760" w:type="dxa"/>
            <w:vAlign w:val="bottom"/>
            <w:gridSpan w:val="2"/>
            <w:vMerge w:val="restart"/>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8"/>
              </w:rPr>
              <w:t>$1.56</w:t>
            </w:r>
          </w:p>
        </w:tc>
        <w:tc>
          <w:tcPr>
            <w:tcW w:w="140" w:type="dxa"/>
            <w:vAlign w:val="bottom"/>
          </w:tcPr>
          <w:p>
            <w:pPr>
              <w:spacing w:after="0"/>
              <w:rPr>
                <w:sz w:val="15"/>
                <w:szCs w:val="15"/>
                <w:color w:val="auto"/>
              </w:rPr>
            </w:pPr>
          </w:p>
        </w:tc>
        <w:tc>
          <w:tcPr>
            <w:tcW w:w="560" w:type="dxa"/>
            <w:vAlign w:val="bottom"/>
            <w:vMerge w:val="restart"/>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$174</w:t>
            </w:r>
          </w:p>
        </w:tc>
        <w:tc>
          <w:tcPr>
            <w:tcW w:w="920" w:type="dxa"/>
            <w:vAlign w:val="bottom"/>
            <w:gridSpan w:val="3"/>
            <w:vMerge w:val="restart"/>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8"/>
              </w:rPr>
              <w:t>$1.45</w:t>
            </w: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reported</w:t>
            </w:r>
          </w:p>
        </w:tc>
        <w:tc>
          <w:tcPr>
            <w:tcW w:w="620" w:type="dxa"/>
            <w:vAlign w:val="bottom"/>
            <w:vMerge w:val="continue"/>
          </w:tcPr>
          <w:p>
            <w:pPr>
              <w:spacing w:after="0"/>
              <w:rPr>
                <w:sz w:val="21"/>
                <w:szCs w:val="21"/>
                <w:color w:val="auto"/>
              </w:rPr>
            </w:pPr>
          </w:p>
        </w:tc>
        <w:tc>
          <w:tcPr>
            <w:tcW w:w="76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vMerge w:val="continue"/>
          </w:tcPr>
          <w:p>
            <w:pPr>
              <w:spacing w:after="0"/>
              <w:rPr>
                <w:sz w:val="21"/>
                <w:szCs w:val="21"/>
                <w:color w:val="auto"/>
              </w:rPr>
            </w:pPr>
          </w:p>
        </w:tc>
        <w:tc>
          <w:tcPr>
            <w:tcW w:w="920" w:type="dxa"/>
            <w:vAlign w:val="bottom"/>
            <w:gridSpan w:val="3"/>
            <w:vMerge w:val="continue"/>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$374</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$3.21</w:t>
            </w:r>
          </w:p>
        </w:tc>
        <w:tc>
          <w:tcPr>
            <w:tcW w:w="160" w:type="dxa"/>
            <w:vAlign w:val="bottom"/>
          </w:tcPr>
          <w:p>
            <w:pPr>
              <w:spacing w:after="0"/>
              <w:rPr>
                <w:sz w:val="21"/>
                <w:szCs w:val="2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$241</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w w:val="99"/>
              </w:rPr>
              <w:t>$2.01</w:t>
            </w:r>
          </w:p>
        </w:tc>
        <w:tc>
          <w:tcPr>
            <w:tcW w:w="0" w:type="dxa"/>
            <w:vAlign w:val="bottom"/>
          </w:tcPr>
          <w:p>
            <w:pPr>
              <w:spacing w:after="0"/>
              <w:rPr>
                <w:sz w:val="1"/>
                <w:szCs w:val="1"/>
                <w:color w:val="auto"/>
              </w:rPr>
            </w:pPr>
          </w:p>
        </w:tc>
      </w:tr>
      <w:tr>
        <w:trPr>
          <w:trHeight w:val="302"/>
        </w:trPr>
        <w:tc>
          <w:tcPr>
            <w:tcW w:w="3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Intangibles amortization </w:t>
            </w:r>
            <w:r>
              <w:rPr>
                <w:rFonts w:ascii="Times New Roman" w:cs="Times New Roman" w:eastAsia="Times New Roman" w:hAnsi="Times New Roman"/>
                <w:sz w:val="23"/>
                <w:szCs w:val="23"/>
                <w:color w:val="auto"/>
                <w:vertAlign w:val="superscript"/>
              </w:rPr>
              <w:t>(1)</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c>
          <w:tcPr>
            <w:tcW w:w="76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0.33</w:t>
            </w:r>
          </w:p>
        </w:tc>
        <w:tc>
          <w:tcPr>
            <w:tcW w:w="140" w:type="dxa"/>
            <w:vAlign w:val="bottom"/>
          </w:tcPr>
          <w:p>
            <w:pPr>
              <w:spacing w:after="0"/>
              <w:rPr>
                <w:sz w:val="24"/>
                <w:szCs w:val="24"/>
                <w:color w:val="auto"/>
              </w:rPr>
            </w:pPr>
          </w:p>
        </w:tc>
        <w:tc>
          <w:tcPr>
            <w:tcW w:w="5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41</w:t>
            </w:r>
          </w:p>
        </w:tc>
        <w:tc>
          <w:tcPr>
            <w:tcW w:w="92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auto"/>
              </w:rPr>
              <w:t>0.34</w:t>
            </w:r>
          </w:p>
        </w:tc>
        <w:tc>
          <w:tcPr>
            <w:tcW w:w="18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73</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jc w:val="center"/>
              <w:ind w:right="13"/>
              <w:spacing w:after="0"/>
              <w:rPr>
                <w:sz w:val="20"/>
                <w:szCs w:val="20"/>
                <w:color w:val="auto"/>
              </w:rPr>
            </w:pPr>
            <w:r>
              <w:rPr>
                <w:rFonts w:ascii="Times New Roman" w:cs="Times New Roman" w:eastAsia="Times New Roman" w:hAnsi="Times New Roman"/>
                <w:sz w:val="17"/>
                <w:szCs w:val="17"/>
                <w:color w:val="auto"/>
              </w:rPr>
              <w:t>0.62</w:t>
            </w:r>
          </w:p>
        </w:tc>
        <w:tc>
          <w:tcPr>
            <w:tcW w:w="1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81</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jc w:val="center"/>
              <w:ind w:right="14"/>
              <w:spacing w:after="0"/>
              <w:rPr>
                <w:sz w:val="20"/>
                <w:szCs w:val="20"/>
                <w:color w:val="auto"/>
              </w:rPr>
            </w:pPr>
            <w:r>
              <w:rPr>
                <w:rFonts w:ascii="Times New Roman" w:cs="Times New Roman" w:eastAsia="Times New Roman" w:hAnsi="Times New Roman"/>
                <w:sz w:val="17"/>
                <w:szCs w:val="17"/>
                <w:color w:val="auto"/>
              </w:rPr>
              <w:t>0.68</w:t>
            </w:r>
          </w:p>
        </w:tc>
        <w:tc>
          <w:tcPr>
            <w:tcW w:w="0" w:type="dxa"/>
            <w:vAlign w:val="bottom"/>
          </w:tcPr>
          <w:p>
            <w:pPr>
              <w:spacing w:after="0"/>
              <w:rPr>
                <w:sz w:val="1"/>
                <w:szCs w:val="1"/>
                <w:color w:val="auto"/>
              </w:rPr>
            </w:pPr>
          </w:p>
        </w:tc>
      </w:tr>
      <w:tr>
        <w:trPr>
          <w:trHeight w:val="270"/>
        </w:trPr>
        <w:tc>
          <w:tcPr>
            <w:tcW w:w="3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Restructuring and other </w:t>
            </w:r>
            <w:r>
              <w:rPr>
                <w:rFonts w:ascii="Times New Roman" w:cs="Times New Roman" w:eastAsia="Times New Roman" w:hAnsi="Times New Roman"/>
                <w:sz w:val="23"/>
                <w:szCs w:val="23"/>
                <w:color w:val="auto"/>
                <w:vertAlign w:val="superscript"/>
              </w:rPr>
              <w:t>(2)</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76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0.40</w:t>
            </w:r>
          </w:p>
        </w:tc>
        <w:tc>
          <w:tcPr>
            <w:tcW w:w="140" w:type="dxa"/>
            <w:vAlign w:val="bottom"/>
          </w:tcPr>
          <w:p>
            <w:pPr>
              <w:spacing w:after="0"/>
              <w:rPr>
                <w:sz w:val="23"/>
                <w:szCs w:val="23"/>
                <w:color w:val="auto"/>
              </w:rPr>
            </w:pPr>
          </w:p>
        </w:tc>
        <w:tc>
          <w:tcPr>
            <w:tcW w:w="5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17</w:t>
            </w:r>
          </w:p>
        </w:tc>
        <w:tc>
          <w:tcPr>
            <w:tcW w:w="92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auto"/>
              </w:rPr>
              <w:t>0.14</w:t>
            </w:r>
          </w:p>
        </w:tc>
        <w:tc>
          <w:tcPr>
            <w:tcW w:w="180" w:type="dxa"/>
            <w:vAlign w:val="bottom"/>
          </w:tcPr>
          <w:p>
            <w:pPr>
              <w:spacing w:after="0"/>
              <w:rPr>
                <w:sz w:val="23"/>
                <w:szCs w:val="2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45</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jc w:val="center"/>
              <w:ind w:right="13"/>
              <w:spacing w:after="0"/>
              <w:rPr>
                <w:sz w:val="20"/>
                <w:szCs w:val="20"/>
                <w:color w:val="auto"/>
              </w:rPr>
            </w:pPr>
            <w:r>
              <w:rPr>
                <w:rFonts w:ascii="Times New Roman" w:cs="Times New Roman" w:eastAsia="Times New Roman" w:hAnsi="Times New Roman"/>
                <w:sz w:val="17"/>
                <w:szCs w:val="17"/>
                <w:color w:val="auto"/>
              </w:rPr>
              <w:t>0.39</w:t>
            </w:r>
          </w:p>
        </w:tc>
        <w:tc>
          <w:tcPr>
            <w:tcW w:w="16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40</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jc w:val="center"/>
              <w:ind w:right="14"/>
              <w:spacing w:after="0"/>
              <w:rPr>
                <w:sz w:val="20"/>
                <w:szCs w:val="20"/>
                <w:color w:val="auto"/>
              </w:rPr>
            </w:pPr>
            <w:r>
              <w:rPr>
                <w:rFonts w:ascii="Times New Roman" w:cs="Times New Roman" w:eastAsia="Times New Roman" w:hAnsi="Times New Roman"/>
                <w:sz w:val="17"/>
                <w:szCs w:val="17"/>
                <w:color w:val="auto"/>
              </w:rPr>
              <w:t>0.33</w:t>
            </w:r>
          </w:p>
        </w:tc>
        <w:tc>
          <w:tcPr>
            <w:tcW w:w="0" w:type="dxa"/>
            <w:vAlign w:val="bottom"/>
          </w:tcPr>
          <w:p>
            <w:pPr>
              <w:spacing w:after="0"/>
              <w:rPr>
                <w:sz w:val="1"/>
                <w:szCs w:val="1"/>
                <w:color w:val="auto"/>
              </w:rPr>
            </w:pPr>
          </w:p>
        </w:tc>
      </w:tr>
      <w:tr>
        <w:trPr>
          <w:trHeight w:val="238"/>
        </w:trPr>
        <w:tc>
          <w:tcPr>
            <w:tcW w:w="3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76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0.01</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jc w:val="center"/>
              <w:ind w:right="13"/>
              <w:spacing w:after="0"/>
              <w:rPr>
                <w:sz w:val="20"/>
                <w:szCs w:val="20"/>
                <w:color w:val="auto"/>
              </w:rPr>
            </w:pPr>
            <w:r>
              <w:rPr>
                <w:rFonts w:ascii="Times New Roman" w:cs="Times New Roman" w:eastAsia="Times New Roman" w:hAnsi="Times New Roman"/>
                <w:sz w:val="17"/>
                <w:szCs w:val="17"/>
                <w:color w:val="auto"/>
              </w:rPr>
              <w:t>0.01</w:t>
            </w: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2"/>
        </w:trPr>
        <w:tc>
          <w:tcPr>
            <w:tcW w:w="3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Other pension and postretirement </w:t>
            </w:r>
            <w:r>
              <w:rPr>
                <w:rFonts w:ascii="Times New Roman" w:cs="Times New Roman" w:eastAsia="Times New Roman" w:hAnsi="Times New Roman"/>
                <w:sz w:val="23"/>
                <w:szCs w:val="23"/>
                <w:color w:val="auto"/>
                <w:vertAlign w:val="superscript"/>
              </w:rPr>
              <w:t>(3)</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76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(0.04)</w:t>
            </w:r>
          </w:p>
        </w:tc>
        <w:tc>
          <w:tcPr>
            <w:tcW w:w="140" w:type="dxa"/>
            <w:vAlign w:val="bottom"/>
          </w:tcPr>
          <w:p>
            <w:pPr>
              <w:spacing w:after="0"/>
              <w:rPr>
                <w:sz w:val="24"/>
                <w:szCs w:val="24"/>
                <w:color w:val="auto"/>
              </w:rPr>
            </w:pPr>
          </w:p>
        </w:tc>
        <w:tc>
          <w:tcPr>
            <w:tcW w:w="5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88"/>
              </w:rPr>
              <w:t>2</w:t>
            </w:r>
          </w:p>
        </w:tc>
        <w:tc>
          <w:tcPr>
            <w:tcW w:w="92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auto"/>
              </w:rPr>
              <w:t>0.02</w:t>
            </w:r>
          </w:p>
        </w:tc>
        <w:tc>
          <w:tcPr>
            <w:tcW w:w="18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(0.04)</w:t>
            </w:r>
          </w:p>
        </w:tc>
        <w:tc>
          <w:tcPr>
            <w:tcW w:w="1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jc w:val="center"/>
              <w:ind w:right="14"/>
              <w:spacing w:after="0"/>
              <w:rPr>
                <w:sz w:val="20"/>
                <w:szCs w:val="20"/>
                <w:color w:val="auto"/>
              </w:rPr>
            </w:pPr>
            <w:r>
              <w:rPr>
                <w:rFonts w:ascii="Times New Roman" w:cs="Times New Roman" w:eastAsia="Times New Roman" w:hAnsi="Times New Roman"/>
                <w:sz w:val="17"/>
                <w:szCs w:val="17"/>
                <w:color w:val="auto"/>
              </w:rPr>
              <w:t>0.02</w:t>
            </w:r>
          </w:p>
        </w:tc>
        <w:tc>
          <w:tcPr>
            <w:tcW w:w="0" w:type="dxa"/>
            <w:vAlign w:val="bottom"/>
          </w:tcPr>
          <w:p>
            <w:pPr>
              <w:spacing w:after="0"/>
              <w:rPr>
                <w:sz w:val="1"/>
                <w:szCs w:val="1"/>
                <w:color w:val="auto"/>
              </w:rPr>
            </w:pPr>
          </w:p>
        </w:tc>
      </w:tr>
      <w:tr>
        <w:trPr>
          <w:trHeight w:val="257"/>
        </w:trPr>
        <w:tc>
          <w:tcPr>
            <w:tcW w:w="3260" w:type="dxa"/>
            <w:vAlign w:val="bottom"/>
          </w:tcPr>
          <w:p>
            <w:pPr>
              <w:ind w:left="220"/>
              <w:spacing w:after="0" w:line="256" w:lineRule="exact"/>
              <w:rPr>
                <w:sz w:val="20"/>
                <w:szCs w:val="20"/>
                <w:color w:val="auto"/>
              </w:rPr>
            </w:pPr>
            <w:r>
              <w:rPr>
                <w:rFonts w:ascii="Times New Roman" w:cs="Times New Roman" w:eastAsia="Times New Roman" w:hAnsi="Times New Roman"/>
                <w:sz w:val="18"/>
                <w:szCs w:val="18"/>
                <w:color w:val="auto"/>
              </w:rPr>
              <w:t xml:space="preserve">Income taxes </w:t>
            </w:r>
            <w:r>
              <w:rPr>
                <w:rFonts w:ascii="Times New Roman" w:cs="Times New Roman" w:eastAsia="Times New Roman" w:hAnsi="Times New Roman"/>
                <w:sz w:val="23"/>
                <w:szCs w:val="23"/>
                <w:color w:val="auto"/>
                <w:vertAlign w:val="superscript"/>
              </w:rPr>
              <w:t>(4)</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7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6"/>
              </w:rPr>
              <w:t>(0.11)</w:t>
            </w:r>
          </w:p>
        </w:tc>
        <w:tc>
          <w:tcPr>
            <w:tcW w:w="140" w:type="dxa"/>
            <w:vAlign w:val="bottom"/>
          </w:tcPr>
          <w:p>
            <w:pPr>
              <w:spacing w:after="0"/>
              <w:rPr>
                <w:sz w:val="22"/>
                <w:szCs w:val="22"/>
                <w:color w:val="auto"/>
              </w:rPr>
            </w:pPr>
          </w:p>
        </w:tc>
        <w:tc>
          <w:tcPr>
            <w:tcW w:w="5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(26)</w:t>
            </w:r>
          </w:p>
        </w:tc>
        <w:tc>
          <w:tcPr>
            <w:tcW w:w="92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auto"/>
              </w:rPr>
              <w:t>(0.22)</w:t>
            </w:r>
          </w:p>
        </w:tc>
        <w:tc>
          <w:tcPr>
            <w:tcW w:w="18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(44)</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(0.38)</w:t>
            </w:r>
          </w:p>
        </w:tc>
        <w:tc>
          <w:tcPr>
            <w:tcW w:w="16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(37)</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jc w:val="center"/>
              <w:ind w:right="14"/>
              <w:spacing w:after="0"/>
              <w:rPr>
                <w:sz w:val="20"/>
                <w:szCs w:val="20"/>
                <w:color w:val="auto"/>
              </w:rPr>
            </w:pPr>
            <w:r>
              <w:rPr>
                <w:rFonts w:ascii="Times New Roman" w:cs="Times New Roman" w:eastAsia="Times New Roman" w:hAnsi="Times New Roman"/>
                <w:sz w:val="17"/>
                <w:szCs w:val="17"/>
                <w:color w:val="auto"/>
              </w:rPr>
              <w:t>(0.31)</w:t>
            </w:r>
          </w:p>
        </w:tc>
        <w:tc>
          <w:tcPr>
            <w:tcW w:w="0" w:type="dxa"/>
            <w:vAlign w:val="bottom"/>
          </w:tcPr>
          <w:p>
            <w:pPr>
              <w:spacing w:after="0"/>
              <w:rPr>
                <w:sz w:val="1"/>
                <w:szCs w:val="1"/>
                <w:color w:val="auto"/>
              </w:rPr>
            </w:pPr>
          </w:p>
        </w:tc>
      </w:tr>
      <w:tr>
        <w:trPr>
          <w:trHeight w:val="238"/>
        </w:trPr>
        <w:tc>
          <w:tcPr>
            <w:tcW w:w="3260" w:type="dxa"/>
            <w:vAlign w:val="bottom"/>
          </w:tcPr>
          <w:p>
            <w:pPr>
              <w:ind w:left="220"/>
              <w:spacing w:after="0" w:line="237" w:lineRule="exact"/>
              <w:rPr>
                <w:sz w:val="20"/>
                <w:szCs w:val="20"/>
                <w:color w:val="auto"/>
              </w:rPr>
            </w:pPr>
            <w:r>
              <w:rPr>
                <w:rFonts w:ascii="Times New Roman" w:cs="Times New Roman" w:eastAsia="Times New Roman" w:hAnsi="Times New Roman"/>
                <w:sz w:val="18"/>
                <w:szCs w:val="18"/>
                <w:color w:val="auto"/>
              </w:rPr>
              <w:t xml:space="preserve">Equity earnings </w:t>
            </w:r>
            <w:r>
              <w:rPr>
                <w:rFonts w:ascii="Times New Roman" w:cs="Times New Roman" w:eastAsia="Times New Roman" w:hAnsi="Times New Roman"/>
                <w:sz w:val="23"/>
                <w:szCs w:val="23"/>
                <w:color w:val="auto"/>
                <w:vertAlign w:val="superscript"/>
              </w:rPr>
              <w:t>(5)</w:t>
            </w:r>
          </w:p>
        </w:tc>
        <w:tc>
          <w:tcPr>
            <w:tcW w:w="6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88"/>
              </w:rPr>
              <w:t>9</w:t>
            </w:r>
          </w:p>
        </w:tc>
        <w:tc>
          <w:tcPr>
            <w:tcW w:w="1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0.08</w:t>
            </w:r>
          </w:p>
        </w:tc>
        <w:tc>
          <w:tcPr>
            <w:tcW w:w="18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12</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7"/>
                <w:szCs w:val="17"/>
                <w:color w:val="auto"/>
              </w:rPr>
              <w:t>0.10</w:t>
            </w:r>
          </w:p>
        </w:tc>
        <w:tc>
          <w:tcPr>
            <w:tcW w:w="0" w:type="dxa"/>
            <w:vAlign w:val="bottom"/>
          </w:tcPr>
          <w:p>
            <w:pPr>
              <w:spacing w:after="0"/>
              <w:rPr>
                <w:sz w:val="1"/>
                <w:szCs w:val="1"/>
                <w:color w:val="auto"/>
              </w:rPr>
            </w:pPr>
          </w:p>
        </w:tc>
      </w:tr>
      <w:tr>
        <w:trPr>
          <w:trHeight w:val="155"/>
        </w:trPr>
        <w:tc>
          <w:tcPr>
            <w:tcW w:w="3260" w:type="dxa"/>
            <w:vAlign w:val="bottom"/>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Adjusted net income/diluted earnings per</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$249</w:t>
            </w:r>
          </w:p>
        </w:tc>
        <w:tc>
          <w:tcPr>
            <w:tcW w:w="760" w:type="dxa"/>
            <w:vAlign w:val="bottom"/>
            <w:gridSpan w:val="2"/>
            <w:vMerge w:val="restart"/>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8"/>
              </w:rPr>
              <w:t>$2.15</w:t>
            </w:r>
          </w:p>
        </w:tc>
        <w:tc>
          <w:tcPr>
            <w:tcW w:w="140" w:type="dxa"/>
            <w:vAlign w:val="bottom"/>
          </w:tcPr>
          <w:p>
            <w:pPr>
              <w:spacing w:after="0"/>
              <w:rPr>
                <w:sz w:val="13"/>
                <w:szCs w:val="13"/>
                <w:color w:val="auto"/>
              </w:rPr>
            </w:pPr>
          </w:p>
        </w:tc>
        <w:tc>
          <w:tcPr>
            <w:tcW w:w="560" w:type="dxa"/>
            <w:vAlign w:val="bottom"/>
            <w:vMerge w:val="restart"/>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$217</w:t>
            </w:r>
          </w:p>
        </w:tc>
        <w:tc>
          <w:tcPr>
            <w:tcW w:w="920" w:type="dxa"/>
            <w:vAlign w:val="bottom"/>
            <w:gridSpan w:val="3"/>
            <w:vMerge w:val="restart"/>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8"/>
              </w:rPr>
              <w:t>$1.81</w:t>
            </w:r>
          </w:p>
        </w:tc>
        <w:tc>
          <w:tcPr>
            <w:tcW w:w="180" w:type="dxa"/>
            <w:vAlign w:val="bottom"/>
          </w:tcPr>
          <w:p>
            <w:pPr>
              <w:spacing w:after="0"/>
              <w:rPr>
                <w:sz w:val="13"/>
                <w:szCs w:val="13"/>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$444</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$3.81</w:t>
            </w:r>
          </w:p>
        </w:tc>
        <w:tc>
          <w:tcPr>
            <w:tcW w:w="160" w:type="dxa"/>
            <w:vAlign w:val="bottom"/>
          </w:tcPr>
          <w:p>
            <w:pPr>
              <w:spacing w:after="0"/>
              <w:rPr>
                <w:sz w:val="13"/>
                <w:szCs w:val="13"/>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$339</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vMerge w:val="restart"/>
          </w:tcPr>
          <w:p>
            <w:pPr>
              <w:jc w:val="center"/>
              <w:ind w:right="14"/>
              <w:spacing w:after="0"/>
              <w:rPr>
                <w:sz w:val="20"/>
                <w:szCs w:val="20"/>
                <w:color w:val="auto"/>
              </w:rPr>
            </w:pPr>
            <w:r>
              <w:rPr>
                <w:rFonts w:ascii="Times New Roman" w:cs="Times New Roman" w:eastAsia="Times New Roman" w:hAnsi="Times New Roman"/>
                <w:sz w:val="18"/>
                <w:szCs w:val="18"/>
                <w:b w:val="1"/>
                <w:bCs w:val="1"/>
                <w:color w:val="auto"/>
              </w:rPr>
              <w:t>$2.83</w:t>
            </w:r>
          </w:p>
        </w:tc>
        <w:tc>
          <w:tcPr>
            <w:tcW w:w="0" w:type="dxa"/>
            <w:vAlign w:val="bottom"/>
          </w:tcPr>
          <w:p>
            <w:pPr>
              <w:spacing w:after="0"/>
              <w:rPr>
                <w:sz w:val="1"/>
                <w:szCs w:val="1"/>
                <w:color w:val="auto"/>
              </w:rPr>
            </w:pPr>
          </w:p>
        </w:tc>
      </w:tr>
      <w:tr>
        <w:trPr>
          <w:trHeight w:val="203"/>
        </w:trPr>
        <w:tc>
          <w:tcPr>
            <w:tcW w:w="3260" w:type="dxa"/>
            <w:vAlign w:val="bottom"/>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share</w:t>
            </w:r>
          </w:p>
        </w:tc>
        <w:tc>
          <w:tcPr>
            <w:tcW w:w="620" w:type="dxa"/>
            <w:vAlign w:val="bottom"/>
            <w:vMerge w:val="continue"/>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92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3260" w:type="dxa"/>
            <w:vAlign w:val="bottom"/>
          </w:tcPr>
          <w:p>
            <w:pPr>
              <w:spacing w:after="0"/>
              <w:rPr>
                <w:sz w:val="3"/>
                <w:szCs w:val="3"/>
                <w:color w:val="auto"/>
              </w:rPr>
            </w:pPr>
          </w:p>
        </w:tc>
        <w:tc>
          <w:tcPr>
            <w:tcW w:w="620" w:type="dxa"/>
            <w:vAlign w:val="bottom"/>
            <w:tcBorders>
              <w:top w:val="single" w:sz="8" w:color="auto"/>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Borders>
              <w:top w:val="single" w:sz="8" w:color="auto"/>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Borders>
              <w:top w:val="single" w:sz="8" w:color="auto"/>
              <w:bottom w:val="single" w:sz="8" w:color="auto"/>
            </w:tcBorders>
          </w:tcPr>
          <w:p>
            <w:pPr>
              <w:spacing w:after="0"/>
              <w:rPr>
                <w:sz w:val="3"/>
                <w:szCs w:val="3"/>
                <w:color w:val="auto"/>
              </w:rPr>
            </w:pPr>
          </w:p>
        </w:tc>
        <w:tc>
          <w:tcPr>
            <w:tcW w:w="140" w:type="dxa"/>
            <w:vAlign w:val="bottom"/>
            <w:tcBorders>
              <w:top w:val="single" w:sz="8" w:color="auto"/>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Borders>
              <w:top w:val="single" w:sz="8" w:color="auto"/>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5"/>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 as reported</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26.6%</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20.4%</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21.9%</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23.6%</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Adjusted effective tax rate</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24.3%</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24.6%</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24.7%</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25.1%</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Adjusted net income, adjusted diluted earnings per share and the adjusted effective tax rate are non-GAAP measures and are not meant to be considered in isolation or as a substitute for net income, diluted earnings per share and effective tax rates determined in accordance with U.S. generally accepted accounting principles. The Company believes these non-GAAP measures provide useful information to evaluate the performance of the Company’s ongoing business.</w:t>
      </w:r>
    </w:p>
    <w:p>
      <w:pPr>
        <w:spacing w:after="0" w:line="208" w:lineRule="exact"/>
        <w:rPr>
          <w:sz w:val="20"/>
          <w:szCs w:val="20"/>
          <w:color w:val="auto"/>
        </w:rPr>
      </w:pPr>
    </w:p>
    <w:p>
      <w:pPr>
        <w:jc w:val="both"/>
        <w:ind w:left="420" w:hanging="331"/>
        <w:spacing w:after="0" w:line="238" w:lineRule="auto"/>
        <w:tabs>
          <w:tab w:leader="none" w:pos="408"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 the second quarter and first six months of 2025, the Company recorded charges of $38 million ($29 million net of tax) and $73 million ($56 million net of tax) for intangibles amortization arising from prior acquisitions. In the second quarter and first six months of 2024, the Company recorded charges of $41 million ($31 million net of tax) and $81 million ($61 million net of tax) for intangibles amortization arising from prior acquisitions.</w:t>
      </w:r>
    </w:p>
    <w:p>
      <w:pPr>
        <w:spacing w:after="0" w:line="211" w:lineRule="exact"/>
        <w:rPr>
          <w:rFonts w:ascii="Times New Roman" w:cs="Times New Roman" w:eastAsia="Times New Roman" w:hAnsi="Times New Roman"/>
          <w:sz w:val="22"/>
          <w:szCs w:val="22"/>
          <w:color w:val="auto"/>
          <w:vertAlign w:val="superscript"/>
        </w:rPr>
      </w:pPr>
    </w:p>
    <w:p>
      <w:pPr>
        <w:jc w:val="both"/>
        <w:ind w:left="420" w:hanging="331"/>
        <w:spacing w:after="0" w:line="226" w:lineRule="auto"/>
        <w:tabs>
          <w:tab w:leader="none" w:pos="408"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the second quarter and first six months of 2025, the Company recorded net restructuring and other charges of $47 million ($42 million net of tax) and $45 million ($40 million net of tax) primarily related to asset impairment charges in Asia Pacific, severance costs in the Transit Packaging segment and a reserve for a legal dispute. In the second quarter and first six months of 2024, the Company recorded net restructuring and other charges of $17 million ($14 million net of tax) and $40 million ($36 million net of tax) primarily related to severance and other exit costs in the Company's European Beverage and Other segments.</w:t>
      </w:r>
    </w:p>
    <w:p>
      <w:pPr>
        <w:spacing w:after="0" w:line="213" w:lineRule="exact"/>
        <w:rPr>
          <w:rFonts w:ascii="Times New Roman" w:cs="Times New Roman" w:eastAsia="Times New Roman" w:hAnsi="Times New Roman"/>
          <w:sz w:val="23"/>
          <w:szCs w:val="23"/>
          <w:color w:val="auto"/>
          <w:vertAlign w:val="superscript"/>
        </w:rPr>
      </w:pPr>
    </w:p>
    <w:p>
      <w:pPr>
        <w:jc w:val="both"/>
        <w:ind w:left="420" w:hanging="331"/>
        <w:spacing w:after="0" w:line="226" w:lineRule="auto"/>
        <w:tabs>
          <w:tab w:leader="none" w:pos="408"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the second quarter of 2025, the Company recorded a pension settlement gain of $5 million ($4 million net of tax), related to repayment of the contribution the Company made in 2021 to settle the U.K. defined pension plan. In the second quarter of 2024, the Company recorded a one-time termination charge of $2 million ($1 million net of tax) related to business reorganization activities in the Other segment.</w:t>
      </w:r>
    </w:p>
    <w:p>
      <w:pPr>
        <w:spacing w:after="0" w:line="211" w:lineRule="exact"/>
        <w:rPr>
          <w:rFonts w:ascii="Times New Roman" w:cs="Times New Roman" w:eastAsia="Times New Roman" w:hAnsi="Times New Roman"/>
          <w:sz w:val="23"/>
          <w:szCs w:val="23"/>
          <w:color w:val="auto"/>
          <w:vertAlign w:val="superscript"/>
        </w:rPr>
      </w:pPr>
    </w:p>
    <w:p>
      <w:pPr>
        <w:jc w:val="both"/>
        <w:ind w:left="420" w:hanging="331"/>
        <w:spacing w:after="0" w:line="226" w:lineRule="auto"/>
        <w:tabs>
          <w:tab w:leader="none" w:pos="408"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Company recorded income tax benefits of $13 million and $44 million in the second quarter and first six months of 2025, primarily related to an income tax benefit of $22 million from an internal reorganization in the first quarter of 2025 and the items described above. The Company recorded income tax benefits of $26 million and $37 million in the second quarter and first six months of 2024.</w:t>
      </w:r>
    </w:p>
    <w:p>
      <w:pPr>
        <w:spacing w:after="0" w:line="211" w:lineRule="exact"/>
        <w:rPr>
          <w:rFonts w:ascii="Times New Roman" w:cs="Times New Roman" w:eastAsia="Times New Roman" w:hAnsi="Times New Roman"/>
          <w:sz w:val="23"/>
          <w:szCs w:val="23"/>
          <w:color w:val="auto"/>
          <w:vertAlign w:val="superscript"/>
        </w:rPr>
      </w:pPr>
    </w:p>
    <w:p>
      <w:pPr>
        <w:ind w:left="420" w:hanging="331"/>
        <w:spacing w:after="0" w:line="222" w:lineRule="auto"/>
        <w:tabs>
          <w:tab w:leader="none" w:pos="408"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the second quarter and first six months of 2024, the Company recorded its proportional share of intangible amortization and restructuring charges, net of tax, recorded by its European tinplate equity method investment, in the line Equity earnings.</w:t>
      </w:r>
    </w:p>
    <w:p>
      <w:pPr>
        <w:sectPr>
          <w:pgSz w:w="11900" w:h="16838" w:orient="portrait"/>
          <w:cols w:equalWidth="0" w:num="1">
            <w:col w:w="11240"/>
          </w:cols>
          <w:pgMar w:left="320" w:top="601"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6 of 9</w:t>
      </w:r>
    </w:p>
    <w:p>
      <w:pPr>
        <w:sectPr>
          <w:pgSz w:w="11900" w:h="16838" w:orient="portrait"/>
          <w:cols w:equalWidth="0" w:num="1">
            <w:col w:w="11240"/>
          </w:cols>
          <w:pgMar w:left="320" w:top="601" w:right="339" w:bottom="1440" w:gutter="0" w:footer="0" w:header="0"/>
          <w:type w:val="continuous"/>
        </w:sectPr>
      </w:pPr>
    </w:p>
    <w:bookmarkStart w:id="10" w:name="page11"/>
    <w:bookmarkEnd w:id="10"/>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-132080</wp:posOffset>
            </wp:positionV>
            <wp:extent cx="1551305" cy="4972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9"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21" w:lineRule="auto"/>
        <w:rPr>
          <w:sz w:val="20"/>
          <w:szCs w:val="20"/>
          <w:color w:val="auto"/>
        </w:rPr>
      </w:pPr>
      <w:r>
        <w:rPr>
          <w:rFonts w:ascii="Arial" w:cs="Arial" w:eastAsia="Arial" w:hAnsi="Arial"/>
          <w:sz w:val="14"/>
          <w:szCs w:val="14"/>
          <w:color w:val="auto"/>
        </w:rPr>
        <w:t>14025 Riveredge Drive, Suite 300</w:t>
      </w:r>
    </w:p>
    <w:p>
      <w:pPr>
        <w:ind w:left="80"/>
        <w:spacing w:after="0"/>
        <w:rPr>
          <w:sz w:val="20"/>
          <w:szCs w:val="20"/>
          <w:color w:val="auto"/>
        </w:rPr>
      </w:pPr>
      <w:r>
        <w:rPr>
          <w:rFonts w:ascii="Arial" w:cs="Arial" w:eastAsia="Arial" w:hAnsi="Arial"/>
          <w:sz w:val="14"/>
          <w:szCs w:val="14"/>
          <w:color w:val="auto"/>
        </w:rPr>
        <w:t>Tampa, FL 33637</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00" w:type="dxa"/>
            <w:vAlign w:val="bottom"/>
          </w:tcPr>
          <w:p>
            <w:pPr>
              <w:spacing w:after="0"/>
              <w:rPr>
                <w:sz w:val="17"/>
                <w:szCs w:val="17"/>
                <w:color w:val="auto"/>
              </w:rPr>
            </w:pPr>
          </w:p>
        </w:tc>
        <w:tc>
          <w:tcPr>
            <w:tcW w:w="6900" w:type="dxa"/>
            <w:vAlign w:val="bottom"/>
            <w:gridSpan w:val="7"/>
          </w:tcPr>
          <w:p>
            <w:pPr>
              <w:ind w:left="2000"/>
              <w:spacing w:after="0"/>
              <w:rPr>
                <w:sz w:val="20"/>
                <w:szCs w:val="20"/>
                <w:color w:val="auto"/>
              </w:rPr>
            </w:pPr>
            <w:r>
              <w:rPr>
                <w:rFonts w:ascii="Times New Roman" w:cs="Times New Roman" w:eastAsia="Times New Roman" w:hAnsi="Times New Roman"/>
                <w:sz w:val="18"/>
                <w:szCs w:val="18"/>
                <w:b w:val="1"/>
                <w:bCs w:val="1"/>
                <w:color w:val="auto"/>
              </w:rPr>
              <w:t>Consolidated Balance Sheets (Condensed &amp; Unaudited)</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15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(in millions)</w:t>
            </w: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36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500" w:type="dxa"/>
            <w:vAlign w:val="bottom"/>
          </w:tcPr>
          <w:p>
            <w:pPr>
              <w:spacing w:after="0"/>
              <w:rPr>
                <w:sz w:val="21"/>
                <w:szCs w:val="21"/>
                <w:color w:val="auto"/>
              </w:rPr>
            </w:pPr>
          </w:p>
        </w:tc>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1,414</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Receivables, net</w:t>
            </w:r>
          </w:p>
        </w:tc>
        <w:tc>
          <w:tcPr>
            <w:tcW w:w="1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1,771</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1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1,526</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3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221</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500" w:type="dxa"/>
            <w:vAlign w:val="bottom"/>
          </w:tcPr>
          <w:p>
            <w:pPr>
              <w:spacing w:after="0"/>
              <w:rPr>
                <w:sz w:val="21"/>
                <w:szCs w:val="21"/>
                <w:color w:val="auto"/>
              </w:rPr>
            </w:pPr>
          </w:p>
        </w:tc>
        <w:tc>
          <w:tcPr>
            <w:tcW w:w="34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3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4,652</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4,932</w:t>
            </w: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1500" w:type="dxa"/>
            <w:vAlign w:val="bottom"/>
          </w:tcPr>
          <w:p>
            <w:pPr>
              <w:spacing w:after="0"/>
              <w:rPr>
                <w:sz w:val="24"/>
                <w:szCs w:val="24"/>
                <w:color w:val="auto"/>
              </w:rPr>
            </w:pPr>
          </w:p>
        </w:tc>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Goodwill and intangible assets, net</w:t>
            </w: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4,169</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4,171</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5,041</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4,980</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3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775</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500" w:type="dxa"/>
            <w:vAlign w:val="bottom"/>
          </w:tcPr>
          <w:p>
            <w:pPr>
              <w:spacing w:after="0"/>
              <w:rPr>
                <w:sz w:val="19"/>
                <w:szCs w:val="19"/>
                <w:color w:val="auto"/>
              </w:rPr>
            </w:pPr>
          </w:p>
        </w:tc>
        <w:tc>
          <w:tcPr>
            <w:tcW w:w="34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3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14,478</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14,858</w:t>
            </w: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3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77"/>
        </w:trPr>
        <w:tc>
          <w:tcPr>
            <w:tcW w:w="1500" w:type="dxa"/>
            <w:vAlign w:val="bottom"/>
          </w:tcPr>
          <w:p>
            <w:pPr>
              <w:spacing w:after="0"/>
              <w:rPr>
                <w:sz w:val="24"/>
                <w:szCs w:val="24"/>
                <w:color w:val="auto"/>
              </w:rPr>
            </w:pPr>
          </w:p>
        </w:tc>
        <w:tc>
          <w:tcPr>
            <w:tcW w:w="3460" w:type="dxa"/>
            <w:vAlign w:val="bottom"/>
            <w:gridSpan w:val="2"/>
            <w:vMerge w:val="continue"/>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Short-term debt</w:t>
            </w:r>
          </w:p>
        </w:tc>
        <w:tc>
          <w:tcPr>
            <w:tcW w:w="16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1,367</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3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3,501</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3,227</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500" w:type="dxa"/>
            <w:vAlign w:val="bottom"/>
          </w:tcPr>
          <w:p>
            <w:pPr>
              <w:spacing w:after="0"/>
              <w:rPr>
                <w:sz w:val="21"/>
                <w:szCs w:val="21"/>
                <w:color w:val="auto"/>
              </w:rPr>
            </w:pPr>
          </w:p>
        </w:tc>
        <w:tc>
          <w:tcPr>
            <w:tcW w:w="346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3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4,373</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4,688</w:t>
            </w: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1500" w:type="dxa"/>
            <w:vAlign w:val="bottom"/>
          </w:tcPr>
          <w:p>
            <w:pPr>
              <w:spacing w:after="0"/>
              <w:rPr>
                <w:sz w:val="24"/>
                <w:szCs w:val="24"/>
                <w:color w:val="auto"/>
              </w:rPr>
            </w:pPr>
          </w:p>
        </w:tc>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 excluding current maturities</w:t>
            </w: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5,618</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5,949</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1,244</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1500" w:type="dxa"/>
            <w:vAlign w:val="bottom"/>
          </w:tcPr>
          <w:p>
            <w:pPr>
              <w:spacing w:after="0"/>
              <w:rPr>
                <w:sz w:val="24"/>
                <w:szCs w:val="24"/>
                <w:color w:val="auto"/>
              </w:rPr>
            </w:pPr>
          </w:p>
        </w:tc>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470</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Crown Holdings shareholders' equity</w:t>
            </w:r>
          </w:p>
        </w:tc>
        <w:tc>
          <w:tcPr>
            <w:tcW w:w="13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2,891</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2,507</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500" w:type="dxa"/>
            <w:vAlign w:val="bottom"/>
          </w:tcPr>
          <w:p>
            <w:pPr>
              <w:spacing w:after="0"/>
              <w:rPr>
                <w:sz w:val="21"/>
                <w:szCs w:val="21"/>
                <w:color w:val="auto"/>
              </w:rPr>
            </w:pPr>
          </w:p>
        </w:tc>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13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3,372</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2,977</w:t>
            </w: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500" w:type="dxa"/>
            <w:vAlign w:val="bottom"/>
          </w:tcPr>
          <w:p>
            <w:pPr>
              <w:spacing w:after="0"/>
              <w:rPr>
                <w:sz w:val="19"/>
                <w:szCs w:val="19"/>
                <w:color w:val="auto"/>
              </w:rPr>
            </w:pPr>
          </w:p>
        </w:tc>
        <w:tc>
          <w:tcPr>
            <w:tcW w:w="346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3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14,478</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14,858</w:t>
            </w: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6"/>
        </w:trPr>
        <w:tc>
          <w:tcPr>
            <w:tcW w:w="15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7 of 9</w:t>
      </w:r>
    </w:p>
    <w:p>
      <w:pPr>
        <w:sectPr>
          <w:pgSz w:w="11900" w:h="16838" w:orient="portrait"/>
          <w:cols w:equalWidth="0" w:num="1">
            <w:col w:w="11240"/>
          </w:cols>
          <w:pgMar w:left="320" w:top="601" w:right="339" w:bottom="1440" w:gutter="0" w:footer="0" w:header="0"/>
        </w:sectPr>
      </w:pPr>
    </w:p>
    <w:bookmarkStart w:id="11" w:name="page12"/>
    <w:bookmarkEnd w:id="11"/>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-132080</wp:posOffset>
            </wp:positionV>
            <wp:extent cx="1551305" cy="4972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9"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21" w:lineRule="auto"/>
        <w:rPr>
          <w:sz w:val="20"/>
          <w:szCs w:val="20"/>
          <w:color w:val="auto"/>
        </w:rPr>
      </w:pPr>
      <w:r>
        <w:rPr>
          <w:rFonts w:ascii="Arial" w:cs="Arial" w:eastAsia="Arial" w:hAnsi="Arial"/>
          <w:sz w:val="14"/>
          <w:szCs w:val="14"/>
          <w:color w:val="auto"/>
        </w:rPr>
        <w:t>14025 Riveredge Drive, Suite 300</w:t>
      </w:r>
    </w:p>
    <w:p>
      <w:pPr>
        <w:ind w:left="80"/>
        <w:spacing w:after="0"/>
        <w:rPr>
          <w:sz w:val="20"/>
          <w:szCs w:val="20"/>
          <w:color w:val="auto"/>
        </w:rPr>
      </w:pPr>
      <w:r>
        <w:rPr>
          <w:rFonts w:ascii="Arial" w:cs="Arial" w:eastAsia="Arial" w:hAnsi="Arial"/>
          <w:sz w:val="14"/>
          <w:szCs w:val="14"/>
          <w:color w:val="auto"/>
        </w:rPr>
        <w:t>Tampa, FL 33637</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Cash Flows (Condensed &amp; Unaudited)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millions)</w:t>
      </w:r>
    </w:p>
    <w:p>
      <w:pPr>
        <w:spacing w:after="0" w:line="149" w:lineRule="exact"/>
        <w:rPr>
          <w:sz w:val="20"/>
          <w:szCs w:val="20"/>
          <w:color w:val="auto"/>
        </w:rPr>
      </w:pPr>
    </w:p>
    <w:tbl>
      <w:tblPr>
        <w:tblLayout w:type="fixed"/>
        <w:tblInd w:w="194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313"/>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29"/>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4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30"/>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29"/>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and other</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9"/>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Pension and postretirement expense</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0"/>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Pension contributions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4"/>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Working capital changes and other</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4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w:t>
            </w:r>
          </w:p>
        </w:tc>
      </w:tr>
    </w:tbl>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60" w:type="dxa"/>
            <w:vAlign w:val="bottom"/>
          </w:tcPr>
          <w:p>
            <w:pPr>
              <w:ind w:left="240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463</w:t>
            </w:r>
          </w:p>
        </w:tc>
        <w:tc>
          <w:tcPr>
            <w:tcW w:w="4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343</w:t>
            </w:r>
          </w:p>
        </w:tc>
        <w:tc>
          <w:tcPr>
            <w:tcW w:w="1160" w:type="dxa"/>
            <w:vAlign w:val="bottom"/>
          </w:tcPr>
          <w:p>
            <w:pPr>
              <w:spacing w:after="0"/>
              <w:rPr>
                <w:sz w:val="20"/>
                <w:szCs w:val="20"/>
                <w:color w:val="auto"/>
              </w:rPr>
            </w:pPr>
          </w:p>
        </w:tc>
      </w:tr>
      <w:tr>
        <w:trPr>
          <w:trHeight w:val="313"/>
        </w:trPr>
        <w:tc>
          <w:tcPr>
            <w:tcW w:w="6560" w:type="dxa"/>
            <w:vAlign w:val="bottom"/>
          </w:tcPr>
          <w:p>
            <w:pPr>
              <w:ind w:left="194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9"/>
        </w:trPr>
        <w:tc>
          <w:tcPr>
            <w:tcW w:w="65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Capital expenditures</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160" w:type="dxa"/>
            <w:vAlign w:val="bottom"/>
          </w:tcPr>
          <w:p>
            <w:pPr>
              <w:spacing w:after="0"/>
              <w:rPr>
                <w:sz w:val="19"/>
                <w:szCs w:val="19"/>
                <w:color w:val="auto"/>
              </w:rPr>
            </w:pPr>
          </w:p>
        </w:tc>
      </w:tr>
      <w:tr>
        <w:trPr>
          <w:trHeight w:val="234"/>
        </w:trPr>
        <w:tc>
          <w:tcPr>
            <w:tcW w:w="65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4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160" w:type="dxa"/>
            <w:vAlign w:val="bottom"/>
          </w:tcPr>
          <w:p>
            <w:pPr>
              <w:spacing w:after="0"/>
              <w:rPr>
                <w:sz w:val="20"/>
                <w:szCs w:val="20"/>
                <w:color w:val="auto"/>
              </w:rPr>
            </w:pPr>
          </w:p>
        </w:tc>
      </w:tr>
      <w:tr>
        <w:trPr>
          <w:trHeight w:val="345"/>
        </w:trPr>
        <w:tc>
          <w:tcPr>
            <w:tcW w:w="6560" w:type="dxa"/>
            <w:vAlign w:val="bottom"/>
          </w:tcPr>
          <w:p>
            <w:pPr>
              <w:ind w:left="2400"/>
              <w:spacing w:after="0"/>
              <w:rPr>
                <w:sz w:val="20"/>
                <w:szCs w:val="20"/>
                <w:color w:val="auto"/>
              </w:rPr>
            </w:pPr>
            <w:r>
              <w:rPr>
                <w:rFonts w:ascii="Times New Roman" w:cs="Times New Roman" w:eastAsia="Times New Roman" w:hAnsi="Times New Roman"/>
                <w:sz w:val="18"/>
                <w:szCs w:val="18"/>
                <w:b w:val="1"/>
                <w:bCs w:val="1"/>
                <w:color w:val="auto"/>
              </w:rPr>
              <w:t>Net cash used for investing activities</w:t>
            </w:r>
          </w:p>
        </w:tc>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c>
          <w:tcPr>
            <w:tcW w:w="4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w:t>
            </w:r>
          </w:p>
        </w:tc>
        <w:tc>
          <w:tcPr>
            <w:tcW w:w="1160" w:type="dxa"/>
            <w:vAlign w:val="bottom"/>
          </w:tcPr>
          <w:p>
            <w:pPr>
              <w:spacing w:after="0"/>
              <w:rPr>
                <w:sz w:val="24"/>
                <w:szCs w:val="24"/>
                <w:color w:val="auto"/>
              </w:rPr>
            </w:pPr>
          </w:p>
        </w:tc>
      </w:tr>
      <w:tr>
        <w:trPr>
          <w:trHeight w:val="340"/>
        </w:trPr>
        <w:tc>
          <w:tcPr>
            <w:tcW w:w="6560" w:type="dxa"/>
            <w:vAlign w:val="bottom"/>
          </w:tcPr>
          <w:p>
            <w:pPr>
              <w:ind w:left="194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9"/>
        </w:trPr>
        <w:tc>
          <w:tcPr>
            <w:tcW w:w="65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Net change in debt</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160" w:type="dxa"/>
            <w:vAlign w:val="bottom"/>
          </w:tcPr>
          <w:p>
            <w:pPr>
              <w:spacing w:after="0"/>
              <w:rPr>
                <w:sz w:val="19"/>
                <w:szCs w:val="19"/>
                <w:color w:val="auto"/>
              </w:rPr>
            </w:pPr>
          </w:p>
        </w:tc>
      </w:tr>
      <w:tr>
        <w:trPr>
          <w:trHeight w:val="230"/>
        </w:trPr>
        <w:tc>
          <w:tcPr>
            <w:tcW w:w="65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Dividends paid to shareholders</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160" w:type="dxa"/>
            <w:vAlign w:val="bottom"/>
          </w:tcPr>
          <w:p>
            <w:pPr>
              <w:spacing w:after="0"/>
              <w:rPr>
                <w:sz w:val="19"/>
                <w:szCs w:val="19"/>
                <w:color w:val="auto"/>
              </w:rPr>
            </w:pPr>
          </w:p>
        </w:tc>
      </w:tr>
      <w:tr>
        <w:trPr>
          <w:trHeight w:val="230"/>
        </w:trPr>
        <w:tc>
          <w:tcPr>
            <w:tcW w:w="65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Common stock repurchased</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160" w:type="dxa"/>
            <w:vAlign w:val="bottom"/>
          </w:tcPr>
          <w:p>
            <w:pPr>
              <w:spacing w:after="0"/>
              <w:rPr>
                <w:sz w:val="19"/>
                <w:szCs w:val="19"/>
                <w:color w:val="auto"/>
              </w:rPr>
            </w:pPr>
          </w:p>
        </w:tc>
      </w:tr>
      <w:tr>
        <w:trPr>
          <w:trHeight w:val="230"/>
        </w:trPr>
        <w:tc>
          <w:tcPr>
            <w:tcW w:w="65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Dividends paid to noncontrolling interests</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160" w:type="dxa"/>
            <w:vAlign w:val="bottom"/>
          </w:tcPr>
          <w:p>
            <w:pPr>
              <w:spacing w:after="0"/>
              <w:rPr>
                <w:sz w:val="19"/>
                <w:szCs w:val="19"/>
                <w:color w:val="auto"/>
              </w:rPr>
            </w:pPr>
          </w:p>
        </w:tc>
      </w:tr>
      <w:tr>
        <w:trPr>
          <w:trHeight w:val="234"/>
        </w:trPr>
        <w:tc>
          <w:tcPr>
            <w:tcW w:w="65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Other, net</w:t>
            </w: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160" w:type="dxa"/>
            <w:vAlign w:val="bottom"/>
          </w:tcPr>
          <w:p>
            <w:pPr>
              <w:spacing w:after="0"/>
              <w:rPr>
                <w:sz w:val="20"/>
                <w:szCs w:val="20"/>
                <w:color w:val="auto"/>
              </w:rPr>
            </w:pPr>
          </w:p>
        </w:tc>
      </w:tr>
      <w:tr>
        <w:trPr>
          <w:trHeight w:val="345"/>
        </w:trPr>
        <w:tc>
          <w:tcPr>
            <w:tcW w:w="6560" w:type="dxa"/>
            <w:vAlign w:val="bottom"/>
          </w:tcPr>
          <w:p>
            <w:pPr>
              <w:ind w:left="2400"/>
              <w:spacing w:after="0"/>
              <w:rPr>
                <w:sz w:val="20"/>
                <w:szCs w:val="20"/>
                <w:color w:val="auto"/>
              </w:rPr>
            </w:pPr>
            <w:r>
              <w:rPr>
                <w:rFonts w:ascii="Times New Roman" w:cs="Times New Roman" w:eastAsia="Times New Roman" w:hAnsi="Times New Roman"/>
                <w:sz w:val="18"/>
                <w:szCs w:val="18"/>
                <w:b w:val="1"/>
                <w:bCs w:val="1"/>
                <w:color w:val="auto"/>
              </w:rPr>
              <w:t>Net cash used for financing activities</w:t>
            </w:r>
          </w:p>
        </w:tc>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(427)</w:t>
            </w:r>
          </w:p>
        </w:tc>
        <w:tc>
          <w:tcPr>
            <w:tcW w:w="4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w:t>
            </w:r>
          </w:p>
        </w:tc>
        <w:tc>
          <w:tcPr>
            <w:tcW w:w="1160" w:type="dxa"/>
            <w:vAlign w:val="bottom"/>
          </w:tcPr>
          <w:p>
            <w:pPr>
              <w:spacing w:after="0"/>
              <w:rPr>
                <w:sz w:val="24"/>
                <w:szCs w:val="24"/>
                <w:color w:val="auto"/>
              </w:rPr>
            </w:pPr>
          </w:p>
        </w:tc>
      </w:tr>
      <w:tr>
        <w:trPr>
          <w:trHeight w:val="345"/>
        </w:trPr>
        <w:tc>
          <w:tcPr>
            <w:tcW w:w="656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160" w:type="dxa"/>
            <w:vAlign w:val="bottom"/>
          </w:tcPr>
          <w:p>
            <w:pPr>
              <w:spacing w:after="0"/>
              <w:rPr>
                <w:sz w:val="24"/>
                <w:szCs w:val="24"/>
                <w:color w:val="auto"/>
              </w:rPr>
            </w:pPr>
          </w:p>
        </w:tc>
      </w:tr>
      <w:tr>
        <w:trPr>
          <w:trHeight w:val="345"/>
        </w:trPr>
        <w:tc>
          <w:tcPr>
            <w:tcW w:w="656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3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160" w:type="dxa"/>
            <w:vAlign w:val="bottom"/>
          </w:tcPr>
          <w:p>
            <w:pPr>
              <w:spacing w:after="0"/>
              <w:rPr>
                <w:sz w:val="24"/>
                <w:szCs w:val="24"/>
                <w:color w:val="auto"/>
              </w:rPr>
            </w:pPr>
          </w:p>
        </w:tc>
      </w:tr>
      <w:tr>
        <w:trPr>
          <w:trHeight w:val="256"/>
        </w:trPr>
        <w:tc>
          <w:tcPr>
            <w:tcW w:w="656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Cash and cash equivalents at January 1</w:t>
            </w:r>
          </w:p>
        </w:tc>
        <w:tc>
          <w:tcPr>
            <w:tcW w:w="3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4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160" w:type="dxa"/>
            <w:vAlign w:val="bottom"/>
          </w:tcPr>
          <w:p>
            <w:pPr>
              <w:spacing w:after="0"/>
              <w:rPr>
                <w:sz w:val="22"/>
                <w:szCs w:val="22"/>
                <w:color w:val="auto"/>
              </w:rPr>
            </w:pPr>
          </w:p>
        </w:tc>
      </w:tr>
      <w:tr>
        <w:trPr>
          <w:trHeight w:val="318"/>
        </w:trPr>
        <w:tc>
          <w:tcPr>
            <w:tcW w:w="6560" w:type="dxa"/>
            <w:vAlign w:val="bottom"/>
          </w:tcPr>
          <w:p>
            <w:pPr>
              <w:ind w:left="1940"/>
              <w:spacing w:after="0"/>
              <w:rPr>
                <w:sz w:val="20"/>
                <w:szCs w:val="20"/>
                <w:color w:val="auto"/>
              </w:rPr>
            </w:pPr>
            <w:r>
              <w:rPr>
                <w:rFonts w:ascii="Times New Roman" w:cs="Times New Roman" w:eastAsia="Times New Roman" w:hAnsi="Times New Roman"/>
                <w:sz w:val="18"/>
                <w:szCs w:val="18"/>
                <w:b w:val="1"/>
                <w:bCs w:val="1"/>
                <w:color w:val="auto"/>
              </w:rPr>
              <w:t xml:space="preserve">Cash, cash equivalents and restricted cash at June 30 </w:t>
            </w:r>
            <w:r>
              <w:rPr>
                <w:rFonts w:ascii="Times New Roman" w:cs="Times New Roman" w:eastAsia="Times New Roman" w:hAnsi="Times New Roman"/>
                <w:sz w:val="23"/>
                <w:szCs w:val="23"/>
                <w:b w:val="1"/>
                <w:bCs w:val="1"/>
                <w:color w:val="auto"/>
                <w:vertAlign w:val="superscript"/>
              </w:rPr>
              <w:t>(1)</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1,038</w:t>
            </w:r>
          </w:p>
        </w:tc>
        <w:tc>
          <w:tcPr>
            <w:tcW w:w="420" w:type="dxa"/>
            <w:vAlign w:val="bottom"/>
          </w:tcPr>
          <w:p>
            <w:pPr>
              <w:spacing w:after="0"/>
              <w:rPr>
                <w:sz w:val="24"/>
                <w:szCs w:val="24"/>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1,511</w:t>
            </w:r>
          </w:p>
        </w:tc>
        <w:tc>
          <w:tcPr>
            <w:tcW w:w="1160" w:type="dxa"/>
            <w:vAlign w:val="bottom"/>
          </w:tcPr>
          <w:p>
            <w:pPr>
              <w:spacing w:after="0"/>
              <w:rPr>
                <w:sz w:val="24"/>
                <w:szCs w:val="24"/>
                <w:color w:val="auto"/>
              </w:rPr>
            </w:pPr>
          </w:p>
        </w:tc>
      </w:tr>
      <w:tr>
        <w:trPr>
          <w:trHeight w:val="20"/>
        </w:trPr>
        <w:tc>
          <w:tcPr>
            <w:tcW w:w="65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0"/>
        </w:trPr>
        <w:tc>
          <w:tcPr>
            <w:tcW w:w="65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bl>
    <w:p>
      <w:pPr>
        <w:spacing w:after="0" w:line="276" w:lineRule="exact"/>
        <w:rPr>
          <w:sz w:val="20"/>
          <w:szCs w:val="20"/>
          <w:color w:val="auto"/>
        </w:rPr>
      </w:pPr>
    </w:p>
    <w:p>
      <w:pPr>
        <w:ind w:left="400" w:hanging="311"/>
        <w:spacing w:after="0"/>
        <w:tabs>
          <w:tab w:leader="none" w:pos="40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Cash and cash equivalents include $102 million and $97 million of restricted cash at June 30, 2025 and 2024.</w:t>
      </w:r>
    </w:p>
    <w:p>
      <w:pPr>
        <w:spacing w:after="0" w:line="211" w:lineRule="exact"/>
        <w:rPr>
          <w:sz w:val="20"/>
          <w:szCs w:val="20"/>
          <w:color w:val="auto"/>
        </w:rPr>
      </w:pPr>
    </w:p>
    <w:p>
      <w:pPr>
        <w:ind w:left="420"/>
        <w:spacing w:after="0" w:line="263" w:lineRule="auto"/>
        <w:rPr>
          <w:sz w:val="20"/>
          <w:szCs w:val="20"/>
          <w:color w:val="auto"/>
        </w:rPr>
      </w:pPr>
      <w:r>
        <w:rPr>
          <w:rFonts w:ascii="Times New Roman" w:cs="Times New Roman" w:eastAsia="Times New Roman" w:hAnsi="Times New Roman"/>
          <w:sz w:val="18"/>
          <w:szCs w:val="18"/>
          <w:color w:val="auto"/>
        </w:rPr>
        <w:t>Adjusted free cash flow is defined by the Company as net cash from operating activities less capital expenditures and certain other items. A reconciliation of net cash from operating activities to adjusted free cash flow for the three and six months ended June 30, 2025 and 2024 follows.</w:t>
      </w:r>
    </w:p>
    <w:tbl>
      <w:tblPr>
        <w:tblLayout w:type="fixed"/>
        <w:tblInd w:w="680" w:type="dxa"/>
        <w:tblCellMar>
          <w:top w:w="0" w:type="dxa"/>
          <w:left w:w="0" w:type="dxa"/>
          <w:bottom w:w="0" w:type="dxa"/>
          <w:right w:w="0" w:type="dxa"/>
        </w:tblCellMar>
      </w:tblPr>
      <w:tr>
        <w:trPr>
          <w:trHeight w:val="186"/>
        </w:trPr>
        <w:tc>
          <w:tcPr>
            <w:tcW w:w="3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40" w:type="dxa"/>
            <w:vAlign w:val="bottom"/>
            <w:gridSpan w:val="5"/>
          </w:tcPr>
          <w:p>
            <w:pPr>
              <w:jc w:val="center"/>
              <w:ind w:right="520"/>
              <w:spacing w:after="0" w:line="186" w:lineRule="exact"/>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80" w:type="dxa"/>
            <w:vAlign w:val="bottom"/>
          </w:tcPr>
          <w:p>
            <w:pPr>
              <w:spacing w:after="0"/>
              <w:rPr>
                <w:sz w:val="16"/>
                <w:szCs w:val="16"/>
                <w:color w:val="auto"/>
              </w:rPr>
            </w:pPr>
          </w:p>
        </w:tc>
        <w:tc>
          <w:tcPr>
            <w:tcW w:w="1840" w:type="dxa"/>
            <w:vAlign w:val="bottom"/>
            <w:gridSpan w:val="4"/>
          </w:tcPr>
          <w:p>
            <w:pPr>
              <w:jc w:val="right"/>
              <w:ind w:right="230"/>
              <w:spacing w:after="0" w:line="186" w:lineRule="exact"/>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1"/>
        </w:trPr>
        <w:tc>
          <w:tcPr>
            <w:tcW w:w="37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6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640" w:type="dxa"/>
            <w:vAlign w:val="bottom"/>
            <w:tcBorders>
              <w:bottom w:val="single" w:sz="8" w:color="auto"/>
            </w:tcBorders>
          </w:tcPr>
          <w:p>
            <w:pPr>
              <w:spacing w:after="0"/>
              <w:rPr>
                <w:sz w:val="20"/>
                <w:szCs w:val="20"/>
                <w:color w:val="auto"/>
              </w:rPr>
            </w:pPr>
          </w:p>
        </w:tc>
      </w:tr>
      <w:tr>
        <w:trPr>
          <w:trHeight w:val="252"/>
        </w:trPr>
        <w:tc>
          <w:tcPr>
            <w:tcW w:w="37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50"/>
        </w:trPr>
        <w:tc>
          <w:tcPr>
            <w:tcW w:w="3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449</w:t>
            </w:r>
          </w:p>
        </w:tc>
        <w:tc>
          <w:tcPr>
            <w:tcW w:w="3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445</w:t>
            </w:r>
          </w:p>
        </w:tc>
        <w:tc>
          <w:tcPr>
            <w:tcW w:w="3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463</w:t>
            </w:r>
          </w:p>
        </w:tc>
        <w:tc>
          <w:tcPr>
            <w:tcW w:w="3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343</w:t>
            </w:r>
          </w:p>
        </w:tc>
      </w:tr>
      <w:tr>
        <w:trPr>
          <w:trHeight w:val="30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Interest included in investing activities </w:t>
            </w:r>
            <w:r>
              <w:rPr>
                <w:rFonts w:ascii="Times New Roman" w:cs="Times New Roman" w:eastAsia="Times New Roman" w:hAnsi="Times New Roman"/>
                <w:sz w:val="23"/>
                <w:szCs w:val="23"/>
                <w:color w:val="auto"/>
                <w:vertAlign w:val="superscript"/>
              </w:rPr>
              <w:t>(2)</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(56)</w:t>
            </w:r>
          </w:p>
        </w:tc>
        <w:tc>
          <w:tcPr>
            <w:tcW w:w="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(84)</w:t>
            </w: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23"/>
        </w:trPr>
        <w:tc>
          <w:tcPr>
            <w:tcW w:w="3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free cash flow</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393</w:t>
            </w:r>
          </w:p>
        </w:tc>
        <w:tc>
          <w:tcPr>
            <w:tcW w:w="3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361</w:t>
            </w:r>
          </w:p>
        </w:tc>
        <w:tc>
          <w:tcPr>
            <w:tcW w:w="3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387</w:t>
            </w:r>
          </w:p>
        </w:tc>
        <w:tc>
          <w:tcPr>
            <w:tcW w:w="3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178</w:t>
            </w:r>
          </w:p>
        </w:tc>
      </w:tr>
      <w:tr>
        <w:trPr>
          <w:trHeight w:val="20"/>
        </w:trPr>
        <w:tc>
          <w:tcPr>
            <w:tcW w:w="3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62" w:lineRule="exact"/>
        <w:rPr>
          <w:sz w:val="20"/>
          <w:szCs w:val="20"/>
          <w:color w:val="auto"/>
        </w:rPr>
      </w:pPr>
    </w:p>
    <w:p>
      <w:pPr>
        <w:ind w:left="400" w:hanging="311"/>
        <w:spacing w:after="0"/>
        <w:tabs>
          <w:tab w:leader="none" w:pos="40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Interest benefit of cross currency swaps included in investing activities.</w:t>
      </w:r>
    </w:p>
    <w:p>
      <w:pPr>
        <w:sectPr>
          <w:pgSz w:w="11900" w:h="16838" w:orient="portrait"/>
          <w:cols w:equalWidth="0" w:num="1">
            <w:col w:w="11240"/>
          </w:cols>
          <w:pgMar w:left="320" w:top="60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8 of 9</w:t>
      </w:r>
    </w:p>
    <w:p>
      <w:pPr>
        <w:sectPr>
          <w:pgSz w:w="11900" w:h="16838" w:orient="portrait"/>
          <w:cols w:equalWidth="0" w:num="1">
            <w:col w:w="11240"/>
          </w:cols>
          <w:pgMar w:left="320" w:top="601" w:right="339" w:bottom="1440" w:gutter="0" w:footer="0" w:header="0"/>
          <w:type w:val="continuous"/>
        </w:sectPr>
      </w:pPr>
    </w:p>
    <w:bookmarkStart w:id="12" w:name="page13"/>
    <w:bookmarkEnd w:id="12"/>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-132080</wp:posOffset>
            </wp:positionV>
            <wp:extent cx="1551305" cy="4972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9"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21" w:lineRule="auto"/>
        <w:rPr>
          <w:sz w:val="20"/>
          <w:szCs w:val="20"/>
          <w:color w:val="auto"/>
        </w:rPr>
      </w:pPr>
      <w:r>
        <w:rPr>
          <w:rFonts w:ascii="Arial" w:cs="Arial" w:eastAsia="Arial" w:hAnsi="Arial"/>
          <w:sz w:val="14"/>
          <w:szCs w:val="14"/>
          <w:color w:val="auto"/>
        </w:rPr>
        <w:t>14025 Riveredge Drive, Suite 300</w:t>
      </w:r>
    </w:p>
    <w:p>
      <w:pPr>
        <w:ind w:left="80"/>
        <w:spacing w:after="0"/>
        <w:rPr>
          <w:sz w:val="20"/>
          <w:szCs w:val="20"/>
          <w:color w:val="auto"/>
        </w:rPr>
      </w:pPr>
      <w:r>
        <w:rPr>
          <w:rFonts w:ascii="Arial" w:cs="Arial" w:eastAsia="Arial" w:hAnsi="Arial"/>
          <w:sz w:val="14"/>
          <w:szCs w:val="14"/>
          <w:color w:val="auto"/>
        </w:rPr>
        <w:t>Tampa, FL 33637</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56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Consolidated Supplemental Data (Unaudited)</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(in millions)</w:t>
            </w:r>
          </w:p>
        </w:tc>
        <w:tc>
          <w:tcPr>
            <w:tcW w:w="9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2"/>
        </w:trPr>
        <w:tc>
          <w:tcPr>
            <w:tcW w:w="602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 xml:space="preserve">Impact of Foreign Currency Translation – Favorable/(Unfavorable) </w:t>
            </w:r>
            <w:r>
              <w:rPr>
                <w:rFonts w:ascii="Times New Roman" w:cs="Times New Roman" w:eastAsia="Times New Roman" w:hAnsi="Times New Roman"/>
                <w:sz w:val="23"/>
                <w:szCs w:val="23"/>
                <w:b w:val="1"/>
                <w:bCs w:val="1"/>
                <w:color w:val="auto"/>
                <w:vertAlign w:val="superscript"/>
              </w:rPr>
              <w:t>(1)</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0" w:type="dxa"/>
            <w:vAlign w:val="bottom"/>
            <w:shd w:val="clear" w:color="auto" w:fill="000000"/>
          </w:tcPr>
          <w:p>
            <w:pPr>
              <w:spacing w:after="0" w:line="20" w:lineRule="exact"/>
              <w:rPr>
                <w:sz w:val="1"/>
                <w:szCs w:val="1"/>
                <w:color w:val="auto"/>
              </w:rPr>
            </w:pPr>
          </w:p>
        </w:tc>
        <w:tc>
          <w:tcPr>
            <w:tcW w:w="1080" w:type="dxa"/>
            <w:vAlign w:val="bottom"/>
            <w:gridSpan w:val="4"/>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1"/>
        </w:trPr>
        <w:tc>
          <w:tcPr>
            <w:tcW w:w="3200" w:type="dxa"/>
            <w:vAlign w:val="bottom"/>
          </w:tcPr>
          <w:p>
            <w:pPr>
              <w:spacing w:after="0"/>
              <w:rPr>
                <w:sz w:val="24"/>
                <w:szCs w:val="24"/>
                <w:color w:val="auto"/>
              </w:rPr>
            </w:pPr>
          </w:p>
        </w:tc>
        <w:tc>
          <w:tcPr>
            <w:tcW w:w="2820" w:type="dxa"/>
            <w:vAlign w:val="bottom"/>
            <w:gridSpan w:val="9"/>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60" w:type="dxa"/>
            <w:vAlign w:val="bottom"/>
          </w:tcPr>
          <w:p>
            <w:pPr>
              <w:spacing w:after="0"/>
              <w:rPr>
                <w:sz w:val="24"/>
                <w:szCs w:val="24"/>
                <w:color w:val="auto"/>
              </w:rPr>
            </w:pPr>
          </w:p>
        </w:tc>
        <w:tc>
          <w:tcPr>
            <w:tcW w:w="2380" w:type="dxa"/>
            <w:vAlign w:val="bottom"/>
            <w:gridSpan w:val="5"/>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0" w:type="dxa"/>
            <w:vAlign w:val="bottom"/>
          </w:tcPr>
          <w:p>
            <w:pPr>
              <w:spacing w:after="0"/>
              <w:rPr>
                <w:sz w:val="1"/>
                <w:szCs w:val="1"/>
                <w:color w:val="auto"/>
              </w:rPr>
            </w:pPr>
          </w:p>
        </w:tc>
      </w:tr>
      <w:tr>
        <w:trPr>
          <w:trHeight w:val="238"/>
        </w:trPr>
        <w:tc>
          <w:tcPr>
            <w:tcW w:w="3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80" w:type="dxa"/>
            <w:vAlign w:val="bottom"/>
            <w:gridSpan w:val="5"/>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3"/>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3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gridSpan w:val="2"/>
          </w:tcPr>
          <w:p>
            <w:pPr>
              <w:jc w:val="center"/>
              <w:ind w:right="1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Segment</w:t>
            </w:r>
          </w:p>
        </w:tc>
        <w:tc>
          <w:tcPr>
            <w:tcW w:w="3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ind w:right="90"/>
              <w:spacing w:after="0" w:line="188" w:lineRule="exact"/>
              <w:rPr>
                <w:sz w:val="20"/>
                <w:szCs w:val="20"/>
                <w:color w:val="auto"/>
              </w:rPr>
            </w:pPr>
            <w:r>
              <w:rPr>
                <w:rFonts w:ascii="Times New Roman" w:cs="Times New Roman" w:eastAsia="Times New Roman" w:hAnsi="Times New Roman"/>
                <w:sz w:val="18"/>
                <w:szCs w:val="18"/>
                <w:b w:val="1"/>
                <w:bCs w:val="1"/>
                <w:color w:val="auto"/>
                <w:w w:val="96"/>
              </w:rPr>
              <w:t>Segment</w:t>
            </w:r>
          </w:p>
        </w:tc>
        <w:tc>
          <w:tcPr>
            <w:tcW w:w="0" w:type="dxa"/>
            <w:vAlign w:val="bottom"/>
          </w:tcPr>
          <w:p>
            <w:pPr>
              <w:spacing w:after="0"/>
              <w:rPr>
                <w:sz w:val="1"/>
                <w:szCs w:val="1"/>
                <w:color w:val="auto"/>
              </w:rPr>
            </w:pPr>
          </w:p>
        </w:tc>
      </w:tr>
      <w:tr>
        <w:trPr>
          <w:trHeight w:val="238"/>
        </w:trPr>
        <w:tc>
          <w:tcPr>
            <w:tcW w:w="3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60" w:type="dxa"/>
            <w:vAlign w:val="bottom"/>
          </w:tcPr>
          <w:p>
            <w:pPr>
              <w:spacing w:after="0"/>
              <w:rPr>
                <w:sz w:val="20"/>
                <w:szCs w:val="20"/>
                <w:color w:val="auto"/>
              </w:rPr>
            </w:pPr>
          </w:p>
        </w:tc>
        <w:tc>
          <w:tcPr>
            <w:tcW w:w="12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80" w:type="dxa"/>
            <w:vAlign w:val="bottom"/>
          </w:tcPr>
          <w:p>
            <w:pPr>
              <w:spacing w:after="0"/>
              <w:rPr>
                <w:sz w:val="20"/>
                <w:szCs w:val="20"/>
                <w:color w:val="auto"/>
              </w:rPr>
            </w:pPr>
          </w:p>
        </w:tc>
        <w:tc>
          <w:tcPr>
            <w:tcW w:w="9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0" w:type="dxa"/>
            <w:vAlign w:val="bottom"/>
          </w:tcPr>
          <w:p>
            <w:pPr>
              <w:spacing w:after="0"/>
              <w:rPr>
                <w:sz w:val="1"/>
                <w:szCs w:val="1"/>
                <w:color w:val="auto"/>
              </w:rPr>
            </w:pPr>
          </w:p>
        </w:tc>
      </w:tr>
      <w:tr>
        <w:trPr>
          <w:trHeight w:val="27"/>
        </w:trPr>
        <w:tc>
          <w:tcPr>
            <w:tcW w:w="3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Americas Beverage</w:t>
            </w: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20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European Beverage</w:t>
            </w:r>
          </w:p>
        </w:tc>
        <w:tc>
          <w:tcPr>
            <w:tcW w:w="14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57"/>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140" w:type="dxa"/>
            <w:vAlign w:val="bottom"/>
          </w:tcPr>
          <w:p>
            <w:pPr>
              <w:spacing w:after="0"/>
              <w:rPr>
                <w:sz w:val="22"/>
                <w:szCs w:val="22"/>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57"/>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Transit Packaging</w:t>
            </w:r>
          </w:p>
        </w:tc>
        <w:tc>
          <w:tcPr>
            <w:tcW w:w="140" w:type="dxa"/>
            <w:vAlign w:val="bottom"/>
          </w:tcPr>
          <w:p>
            <w:pPr>
              <w:spacing w:after="0"/>
              <w:rPr>
                <w:sz w:val="22"/>
                <w:szCs w:val="22"/>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5"/>
              </w:rPr>
              <w:t>(1)</w:t>
            </w:r>
          </w:p>
        </w:tc>
        <w:tc>
          <w:tcPr>
            <w:tcW w:w="0" w:type="dxa"/>
            <w:vAlign w:val="bottom"/>
          </w:tcPr>
          <w:p>
            <w:pPr>
              <w:spacing w:after="0"/>
              <w:rPr>
                <w:sz w:val="1"/>
                <w:szCs w:val="1"/>
                <w:color w:val="auto"/>
              </w:rPr>
            </w:pPr>
          </w:p>
        </w:tc>
      </w:tr>
      <w:tr>
        <w:trPr>
          <w:trHeight w:val="257"/>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140" w:type="dxa"/>
            <w:vAlign w:val="bottom"/>
          </w:tcPr>
          <w:p>
            <w:pPr>
              <w:spacing w:after="0"/>
              <w:rPr>
                <w:sz w:val="22"/>
                <w:szCs w:val="22"/>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500" w:type="dxa"/>
            <w:vAlign w:val="bottom"/>
            <w:gridSpan w:val="3"/>
          </w:tcPr>
          <w:p>
            <w:pPr>
              <w:spacing w:after="0"/>
              <w:rPr>
                <w:sz w:val="2"/>
                <w:szCs w:val="2"/>
                <w:color w:val="auto"/>
              </w:rPr>
            </w:pPr>
          </w:p>
        </w:tc>
        <w:tc>
          <w:tcPr>
            <w:tcW w:w="9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2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20" w:type="dxa"/>
            <w:vAlign w:val="bottom"/>
            <w:tcBorders>
              <w:top w:val="single" w:sz="8" w:color="auto"/>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w:t>
            </w:r>
          </w:p>
        </w:tc>
        <w:tc>
          <w:tcPr>
            <w:tcW w:w="3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bottom w:val="single" w:sz="8" w:color="auto"/>
            </w:tcBorders>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88"/>
              </w:rPr>
              <w:t>3</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left="660" w:hanging="328"/>
        <w:spacing w:after="0" w:line="228" w:lineRule="auto"/>
        <w:tabs>
          <w:tab w:leader="none" w:pos="648"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impact of foreign currency translation represents the difference between actual current year U.S. dollar results and pro forma amounts assuming constant foreign currency exchange rates for translation in both periods. In order to compute the difference, the Company compares actual U.S. dollar results to an amount calculated by dividing the current U.S. dollar results by current year average foreign exchange rates and then multiplying those amounts by the applicable prior year average foreign exchange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377825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b w:val="1"/>
                <w:bCs w:val="1"/>
                <w:color w:val="auto"/>
                <w:w w:val="99"/>
              </w:rPr>
              <w:t>Reconciliation of Adjusted EBITDA and Adjusted Net Leverage Ratio</w:t>
            </w:r>
          </w:p>
        </w:tc>
        <w:tc>
          <w:tcPr>
            <w:tcW w:w="9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3"/>
        </w:trPr>
        <w:tc>
          <w:tcPr>
            <w:tcW w:w="3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June YTD</w:t>
            </w:r>
          </w:p>
        </w:tc>
        <w:tc>
          <w:tcPr>
            <w:tcW w:w="140" w:type="dxa"/>
            <w:vAlign w:val="bottom"/>
          </w:tcPr>
          <w:p>
            <w:pPr>
              <w:spacing w:after="0"/>
              <w:rPr>
                <w:sz w:val="24"/>
                <w:szCs w:val="24"/>
                <w:color w:val="auto"/>
              </w:rPr>
            </w:pPr>
          </w:p>
        </w:tc>
        <w:tc>
          <w:tcPr>
            <w:tcW w:w="120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June YTD</w:t>
            </w:r>
          </w:p>
        </w:tc>
        <w:tc>
          <w:tcPr>
            <w:tcW w:w="160" w:type="dxa"/>
            <w:vAlign w:val="bottom"/>
          </w:tcPr>
          <w:p>
            <w:pPr>
              <w:spacing w:after="0"/>
              <w:rPr>
                <w:sz w:val="24"/>
                <w:szCs w:val="24"/>
                <w:color w:val="auto"/>
              </w:rPr>
            </w:pPr>
          </w:p>
        </w:tc>
        <w:tc>
          <w:tcPr>
            <w:tcW w:w="1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Full Year</w:t>
            </w:r>
          </w:p>
        </w:tc>
        <w:tc>
          <w:tcPr>
            <w:tcW w:w="180" w:type="dxa"/>
            <w:vAlign w:val="bottom"/>
          </w:tcPr>
          <w:p>
            <w:pPr>
              <w:spacing w:after="0"/>
              <w:rPr>
                <w:sz w:val="24"/>
                <w:szCs w:val="24"/>
                <w:color w:val="auto"/>
              </w:rPr>
            </w:pPr>
          </w:p>
        </w:tc>
        <w:tc>
          <w:tcPr>
            <w:tcW w:w="17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Twelve Months</w:t>
            </w:r>
          </w:p>
        </w:tc>
        <w:tc>
          <w:tcPr>
            <w:tcW w:w="160" w:type="dxa"/>
            <w:vAlign w:val="bottom"/>
          </w:tcPr>
          <w:p>
            <w:pPr>
              <w:spacing w:after="0"/>
              <w:rPr>
                <w:sz w:val="24"/>
                <w:szCs w:val="24"/>
                <w:color w:val="auto"/>
              </w:rPr>
            </w:pPr>
          </w:p>
        </w:tc>
        <w:tc>
          <w:tcPr>
            <w:tcW w:w="15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Twelve Months</w:t>
            </w:r>
          </w:p>
        </w:tc>
        <w:tc>
          <w:tcPr>
            <w:tcW w:w="0" w:type="dxa"/>
            <w:vAlign w:val="bottom"/>
          </w:tcPr>
          <w:p>
            <w:pPr>
              <w:spacing w:after="0"/>
              <w:rPr>
                <w:sz w:val="1"/>
                <w:szCs w:val="1"/>
                <w:color w:val="auto"/>
              </w:rPr>
            </w:pPr>
          </w:p>
        </w:tc>
      </w:tr>
      <w:tr>
        <w:trPr>
          <w:trHeight w:val="175"/>
        </w:trPr>
        <w:tc>
          <w:tcPr>
            <w:tcW w:w="3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2"/>
          </w:tcPr>
          <w:p>
            <w:pPr>
              <w:jc w:val="center"/>
              <w:ind w:right="4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Ended</w:t>
            </w:r>
          </w:p>
        </w:tc>
        <w:tc>
          <w:tcPr>
            <w:tcW w:w="160" w:type="dxa"/>
            <w:vAlign w:val="bottom"/>
          </w:tcPr>
          <w:p>
            <w:pPr>
              <w:spacing w:after="0"/>
              <w:rPr>
                <w:sz w:val="15"/>
                <w:szCs w:val="15"/>
                <w:color w:val="auto"/>
              </w:rPr>
            </w:pPr>
          </w:p>
        </w:tc>
        <w:tc>
          <w:tcPr>
            <w:tcW w:w="150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238"/>
        </w:trPr>
        <w:tc>
          <w:tcPr>
            <w:tcW w:w="3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June 30, 2025</w:t>
            </w:r>
          </w:p>
        </w:tc>
        <w:tc>
          <w:tcPr>
            <w:tcW w:w="160" w:type="dxa"/>
            <w:vAlign w:val="bottom"/>
          </w:tcPr>
          <w:p>
            <w:pPr>
              <w:spacing w:after="0"/>
              <w:rPr>
                <w:sz w:val="20"/>
                <w:szCs w:val="20"/>
                <w:color w:val="auto"/>
              </w:rPr>
            </w:pPr>
          </w:p>
        </w:tc>
        <w:tc>
          <w:tcPr>
            <w:tcW w:w="15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756</w:t>
            </w:r>
          </w:p>
        </w:tc>
        <w:tc>
          <w:tcPr>
            <w:tcW w:w="2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624</w:t>
            </w:r>
          </w:p>
        </w:tc>
        <w:tc>
          <w:tcPr>
            <w:tcW w:w="2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1,419</w:t>
            </w:r>
          </w:p>
        </w:tc>
        <w:tc>
          <w:tcPr>
            <w:tcW w:w="2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1,551</w:t>
            </w:r>
          </w:p>
        </w:tc>
        <w:tc>
          <w:tcPr>
            <w:tcW w:w="2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1,257</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Intangibles amortization</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34"/>
        </w:trPr>
        <w:tc>
          <w:tcPr>
            <w:tcW w:w="3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and other</w:t>
            </w: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18"/>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745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0" w:type="dxa"/>
            <w:vAlign w:val="bottom"/>
          </w:tcPr>
          <w:p>
            <w:pPr>
              <w:spacing w:after="0"/>
              <w:rPr>
                <w:sz w:val="1"/>
                <w:szCs w:val="1"/>
                <w:color w:val="auto"/>
              </w:rPr>
            </w:pPr>
          </w:p>
        </w:tc>
      </w:tr>
      <w:tr>
        <w:trPr>
          <w:trHeight w:val="234"/>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149</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1,025</w:t>
            </w: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894</w:t>
            </w:r>
          </w:p>
        </w:tc>
        <w:tc>
          <w:tcPr>
            <w:tcW w:w="2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1,942</w:t>
            </w:r>
          </w:p>
        </w:tc>
        <w:tc>
          <w:tcPr>
            <w:tcW w:w="2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2,073</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1,875</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7"/>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6,204</w:t>
            </w:r>
          </w:p>
        </w:tc>
        <w:tc>
          <w:tcPr>
            <w:tcW w:w="2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6,490</w:t>
            </w:r>
          </w:p>
        </w:tc>
        <w:tc>
          <w:tcPr>
            <w:tcW w:w="2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7,410</w:t>
            </w:r>
          </w:p>
        </w:tc>
        <w:tc>
          <w:tcPr>
            <w:tcW w:w="0" w:type="dxa"/>
            <w:vAlign w:val="bottom"/>
          </w:tcPr>
          <w:p>
            <w:pPr>
              <w:spacing w:after="0"/>
              <w:rPr>
                <w:sz w:val="1"/>
                <w:szCs w:val="1"/>
                <w:color w:val="auto"/>
              </w:rPr>
            </w:pPr>
          </w:p>
        </w:tc>
      </w:tr>
      <w:tr>
        <w:trPr>
          <w:trHeight w:val="234"/>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cash</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debt</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5,286</w:t>
            </w:r>
          </w:p>
        </w:tc>
        <w:tc>
          <w:tcPr>
            <w:tcW w:w="2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5,554</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5,996</w:t>
            </w:r>
          </w:p>
        </w:tc>
        <w:tc>
          <w:tcPr>
            <w:tcW w:w="0" w:type="dxa"/>
            <w:vAlign w:val="bottom"/>
          </w:tcPr>
          <w:p>
            <w:pPr>
              <w:spacing w:after="0"/>
              <w:rPr>
                <w:sz w:val="1"/>
                <w:szCs w:val="1"/>
                <w:color w:val="auto"/>
              </w:rPr>
            </w:pPr>
          </w:p>
        </w:tc>
      </w:tr>
      <w:tr>
        <w:trPr>
          <w:trHeight w:val="21"/>
        </w:trPr>
        <w:tc>
          <w:tcPr>
            <w:tcW w:w="3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net leverage ratio</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2.7x</w:t>
            </w:r>
          </w:p>
        </w:tc>
        <w:tc>
          <w:tcPr>
            <w:tcW w:w="180" w:type="dxa"/>
            <w:vAlign w:val="bottom"/>
          </w:tcPr>
          <w:p>
            <w:pPr>
              <w:spacing w:after="0"/>
              <w:rPr>
                <w:sz w:val="24"/>
                <w:szCs w:val="24"/>
                <w:color w:val="auto"/>
              </w:rPr>
            </w:pPr>
          </w:p>
        </w:tc>
        <w:tc>
          <w:tcPr>
            <w:tcW w:w="1700" w:type="dxa"/>
            <w:vAlign w:val="bottom"/>
            <w:gridSpan w:val="2"/>
          </w:tcPr>
          <w:p>
            <w:pPr>
              <w:ind w:left="1160"/>
              <w:spacing w:after="0"/>
              <w:rPr>
                <w:sz w:val="20"/>
                <w:szCs w:val="20"/>
                <w:color w:val="auto"/>
              </w:rPr>
            </w:pPr>
            <w:r>
              <w:rPr>
                <w:rFonts w:ascii="Times New Roman" w:cs="Times New Roman" w:eastAsia="Times New Roman" w:hAnsi="Times New Roman"/>
                <w:sz w:val="18"/>
                <w:szCs w:val="18"/>
                <w:b w:val="1"/>
                <w:bCs w:val="1"/>
                <w:color w:val="auto"/>
              </w:rPr>
              <w:t>2.7x</w:t>
            </w:r>
          </w:p>
        </w:tc>
        <w:tc>
          <w:tcPr>
            <w:tcW w:w="16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3.2x</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9 of 9</w:t>
      </w:r>
    </w:p>
    <w:sectPr>
      <w:pgSz w:w="11900" w:h="16838" w:orient="portrait"/>
      <w:cols w:equalWidth="0" w:num="1">
        <w:col w:w="11240"/>
      </w:cols>
      <w:pgMar w:left="320" w:top="60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99"/>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1)"/>
      <w:numFmt w:val="decimal"/>
      <w:start w:val="2"/>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2025-07-21T15:22:46Z</dcterms:created>
  <dcterms:modified xsi:type="dcterms:W3CDTF">2025-07-21T15:22:46Z</dcterms:modified>
</cp:coreProperties>
</file>