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 xml:space="preserve">October 19,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CROWN HOLDINGS, INC.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(Exact name of Registrant as specified in its charter)</w:t>
      </w:r>
    </w:p>
    <w:tbl>
      <w:tblPr>
        <w:tblW w:w="6099" w:type="dxa"/>
        <w:jc w:val="center"/>
        <w:tblInd w:w="0" w:type="dxa"/>
        <w:tblLayout w:type="fixed"/>
        <w:tblCellMar>
          <w:top w:w="28" w:type="dxa"/>
          <w:left w:w="28" w:type="dxa"/>
          <w:bottom w:w="28" w:type="dxa"/>
          <w:right w:w="28" w:type="dxa"/>
        </w:tblCellMar>
      </w:tblPr>
      <w:tblGrid>
        <w:gridCol w:w="946"/>
        <w:gridCol w:w="830"/>
        <w:gridCol w:w="834"/>
        <w:gridCol w:w="109"/>
        <w:gridCol w:w="109"/>
        <w:gridCol w:w="109"/>
        <w:gridCol w:w="394"/>
        <w:gridCol w:w="394"/>
        <w:gridCol w:w="398"/>
        <w:gridCol w:w="109"/>
        <w:gridCol w:w="109"/>
        <w:gridCol w:w="109"/>
        <w:gridCol w:w="481"/>
        <w:gridCol w:w="481"/>
        <w:gridCol w:w="687"/>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75-3099507</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14025 Riveredge Drive,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Tampa, Florida 33637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 698-5100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Soliciting material pursuant to Rule 14a-12 under the Exchange Act (17CFR 240.14a-12)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lineRule="auto" w:line="288" w:before="2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TABLE OF CONTENTS </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Item 2.02. RESULTS OF OPERATIONS AND FINANCIAL CONDITION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INDEX TO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EX-99 PRESS RELEASE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 xml:space="preserve">Item 2.02. Results of Operations and Financial Condition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October 19, 2026 Crown Holdings, Inc. issued a press release announcing its earnings for the third quarter ended September 30, 2026. A copy of the press release is attached hereto as Exhibit 99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(c)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The following is furnished as an exhibit to this report. </w:t>
      </w:r>
    </w:p>
    <w:p>
      <w:pPr>
        <w:pStyle w:val="TextBody"/>
        <w:bidi w:val="0"/>
        <w:spacing w:lineRule="auto" w:line="288" w:before="0" w:after="0"/>
        <w:jc w:val="left"/>
        <w:rPr/>
      </w:pPr>
      <w:r>
        <w:rPr>
          <w:rFonts w:ascii="Times New Roman;serif" w:hAnsi="Times New Roman;serif"/>
          <w:b w:val="false"/>
          <w:color w:val="000000"/>
          <w:sz w:val="24"/>
        </w:rPr>
        <w:t>99     </w:t>
      </w:r>
      <w:hyperlink w:anchor="ex99sep2026.htm">
        <w:r>
          <w:rPr>
            <w:rStyle w:val="InternetLink"/>
            <w:rFonts w:ascii="Times New Roman;serif" w:hAnsi="Times New Roman;serif"/>
            <w:b w:val="false"/>
            <w:color w:val="0000FF"/>
            <w:sz w:val="24"/>
            <w:u w:val="single"/>
          </w:rPr>
          <w:t>Press release, dated October 19, 2026, issued by Crown Holdings, Inc.</w:t>
        </w:r>
      </w:hyperlink>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Securities Exchange Act of 1934, the Registrant has duly caused this report to be signed on its behalf by the undersigned hereunto duly authorized. </w:t>
      </w:r>
    </w:p>
    <w:tbl>
      <w:tblPr>
        <w:tblW w:w="3326" w:type="dxa"/>
        <w:jc w:val="center"/>
        <w:tblInd w:w="0" w:type="dxa"/>
        <w:tblLayout w:type="fixed"/>
        <w:tblCellMar>
          <w:top w:w="28" w:type="dxa"/>
          <w:left w:w="28" w:type="dxa"/>
          <w:bottom w:w="28" w:type="dxa"/>
          <w:right w:w="28" w:type="dxa"/>
        </w:tblCellMar>
      </w:tblPr>
      <w:tblGrid>
        <w:gridCol w:w="124"/>
        <w:gridCol w:w="109"/>
        <w:gridCol w:w="109"/>
        <w:gridCol w:w="874"/>
        <w:gridCol w:w="874"/>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CROWN HOLDINGS, INC.</w:t>
            </w:r>
          </w:p>
        </w:tc>
      </w:tr>
    </w:tbl>
    <w:tbl>
      <w:tblPr>
        <w:tblW w:w="4196"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997"/>
        <w:gridCol w:w="997"/>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Kevin B. Garry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B. Garry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Corporate Controller</w:t>
            </w:r>
          </w:p>
        </w:tc>
      </w:tr>
    </w:tbl>
    <w:p>
      <w:pPr>
        <w:pStyle w:val="TextBody"/>
        <w:bidi w:val="0"/>
        <w:spacing w:before="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Dated: October 19, 2026</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4 </w:t>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24025" cy="6096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CROWN HOLDINGS, INC. REPORTS THIRD QUARTER 2026 RESULTS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Tampa, FL — October 19, 2026.</w:t>
      </w:r>
      <w:r>
        <w:rPr>
          <w:color w:val="000000"/>
        </w:rPr>
        <w:t xml:space="preserve"> </w:t>
      </w:r>
      <w:r>
        <w:rPr>
          <w:rFonts w:ascii="Times New Roman;serif" w:hAnsi="Times New Roman;serif"/>
          <w:b w:val="false"/>
          <w:color w:val="000000"/>
          <w:sz w:val="20"/>
        </w:rPr>
        <w:t>Crown Holdings, Inc. (NYSE: CCK) today announced its financial results for the third</w:t>
      </w:r>
      <w:r>
        <w:rPr>
          <w:color w:val="EE2724"/>
        </w:rPr>
        <w:t xml:space="preserve"> </w:t>
      </w:r>
      <w:r>
        <w:rPr>
          <w:rFonts w:ascii="Times New Roman;serif" w:hAnsi="Times New Roman;serif"/>
          <w:b w:val="false"/>
          <w:color w:val="000000"/>
          <w:sz w:val="20"/>
        </w:rPr>
        <w:t>quarter ended September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Third Quarter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Diluted earnings per share of $2.08 versus $1.85 in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Adjusted diluted earnings per share increased 7% to $2.39 compared to $2.24 in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Global beverage can volumes increased 6%</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leverage ratio of 2.5x adjusted EBITDA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2026 Outlook</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Full year guidance range for adjusted diluted earnings per share is $8.35 to $8.45 with adjusted free cash flow of at least $950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Commenting on the quarter, Timothy J. Donahue, Chairman, President and Chief Executive Officer, stated, "The Company performed well during the third quarter, continuing its pace for another exceptional year in 2026. Robust global beverage can volumes helped offset the majority of rising input cost pressures. Global beverage can shipments advanced by more than 6% in the quarter, driven by double-digit gains in Asia, a 6% increase in North America and 4% growth across Europe.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outlook for continued long-term growth of beverage can demand remains robust as customers and consumers increasingly recognize aluminum cans as the most sustainable and responsible packaging choice.</w:t>
      </w:r>
      <w:r>
        <w:rPr>
          <w:color w:val="000000"/>
        </w:rPr>
        <w:t xml:space="preserve"> </w:t>
      </w:r>
      <w:r>
        <w:rPr>
          <w:rFonts w:ascii="Times New Roman;serif" w:hAnsi="Times New Roman;serif"/>
          <w:b w:val="false"/>
          <w:color w:val="000000"/>
          <w:sz w:val="20"/>
        </w:rPr>
        <w:t>Cans continue to be the preferred format for brands across both alcoholic and non-alcoholic beverage categories, including many new product introductions worldwide.</w:t>
      </w:r>
      <w:r>
        <w:rPr>
          <w:color w:val="000000"/>
        </w:rPr>
        <w:t xml:space="preserve"> </w:t>
      </w:r>
      <w:r>
        <w:rPr>
          <w:rFonts w:ascii="Times New Roman;serif" w:hAnsi="Times New Roman;serif"/>
          <w:b w:val="false"/>
          <w:color w:val="000000"/>
          <w:sz w:val="20"/>
        </w:rPr>
        <w:t>Previously announced capacity expansion projects in Brazil, Greece and Spain are on plan and will support continued customer needs.</w:t>
      </w:r>
      <w:r>
        <w:rPr>
          <w:color w:val="000000"/>
        </w:rPr>
        <w:t xml:space="preserve"> </w:t>
      </w:r>
      <w:r>
        <w:rPr>
          <w:rFonts w:ascii="Times New Roman;serif" w:hAnsi="Times New Roman;serif"/>
          <w:b w:val="false"/>
          <w:color w:val="000000"/>
          <w:sz w:val="20"/>
        </w:rPr>
        <w:t xml:space="preserve">During September, groundbreaking commenced on the construction of a beverage can plant in the northern Indian state of Uttar Pradesh, marking Crown's entry into one of the world's fastest growing beverage markets with commercial start-up expected in the first quarter of 2028.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"During the quarter, the Company repurchased $81 million of its common stock and has acquired nearly 6% of its outstanding shares over the past twelve months.</w:t>
      </w:r>
      <w:r>
        <w:rPr>
          <w:color w:val="000000"/>
        </w:rPr>
        <w:t xml:space="preserve"> </w:t>
      </w:r>
      <w:r>
        <w:rPr>
          <w:rFonts w:ascii="Times New Roman;serif" w:hAnsi="Times New Roman;serif"/>
          <w:b w:val="false"/>
          <w:color w:val="000000"/>
          <w:sz w:val="20"/>
        </w:rPr>
        <w:t>We remain confident in the Company’s long-term prospects and in our ability to generate significant free cash flow.</w:t>
      </w:r>
      <w:r>
        <w:rPr>
          <w:color w:val="000000"/>
        </w:rPr>
        <w:t xml:space="preserve"> </w:t>
      </w:r>
      <w:r>
        <w:rPr>
          <w:rFonts w:ascii="Times New Roman;serif" w:hAnsi="Times New Roman;serif"/>
          <w:b w:val="false"/>
          <w:color w:val="000000"/>
          <w:sz w:val="20"/>
        </w:rPr>
        <w:t>We remain steadfast in our approach to balanced capital allocation, with investment in attractive organic growth opportunities and returns to shareholders supported by our strong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in the third quarter were $3,711 million compared to $3,202 million in the third quarter of 2025 reflecting higher global beverage can shipments and the pass-through of $405 million in higher material costs.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$442 million in the third quarter of 2026 compared to $423 million in the third quarter of 2025. Segment income in the third quarter of 2026 was $484 million compared to $490 million in the prior year third quarter, as the contribution from higher global beverage can shipments was offset by input cost inflation.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Crown Holdings in the third quarter of 2026 was $225 million compared to $214 million in the third quarter of 2025. Reported diluted earnings per share were $2.08 in the third quarter of 2026 compared to $1.85 in 2025 and adjusted diluted earnings per share were $2.39 compared to $2.24 in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Nine Month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first nine months of 2026 were $10,638 million compared to $9,238 million in the first nine months of 2025, reflecting the pass-through of $1,034 million in higher material costs, higher global beverage can shipments and favorable foreign currency translation of $102.</w:t>
      </w:r>
    </w:p>
    <w:p>
      <w:pPr>
        <w:pStyle w:val="TextBody"/>
        <w:bidi w:val="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724025" cy="609600"/>
                          </a:xfrm>
                          <a:prstGeom prst="rect">
                            <a:avLst/>
                          </a:prstGeom>
                        </pic:spPr>
                      </pic:pic>
                    </a:graphicData>
                  </a:graphic>
                </wp:inline>
              </w:drawing>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$1,271 million in the first nine months of 2026 compared to $1,179 million in the first nine months of 2025. Segment income in the first nine months of 2026 was $1,390 million compared to $1,364 million in the prior year period driven by 6% higher global beverage can shipments partially offset by input cost inflation.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Crown Holdings in the first nine months of 2026 was $645 million compared to $588 million in the first nine months of 2025. Reported diluted earnings per share were $5.85 compared to $5.06 in 2025. Adjusted diluted earnings per share were $6.72 compared to $6.05 in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68" w:before="0" w:after="0"/>
        <w:jc w:val="both"/>
        <w:rPr/>
      </w:pPr>
      <w:r>
        <w:rPr>
          <w:rFonts w:ascii="Times New Roman;serif" w:hAnsi="Times New Roman;serif"/>
          <w:b w:val="false"/>
          <w:color w:val="000000"/>
          <w:sz w:val="20"/>
        </w:rPr>
        <w:t>Kevin C. Clothier, Senior Vice President and Chief Financial Officer, commented, "With our strong year-to-date performance and continued cash generation, Crown is on track to deliver another year of solid earnings and free cash flow.</w:t>
      </w:r>
      <w:r>
        <w:rPr>
          <w:color w:val="000000"/>
        </w:rPr>
        <w:t xml:space="preserve"> </w:t>
      </w:r>
      <w:r>
        <w:rPr>
          <w:rFonts w:ascii="Times New Roman;serif" w:hAnsi="Times New Roman;serif"/>
          <w:b w:val="false"/>
          <w:color w:val="000000"/>
          <w:sz w:val="20"/>
        </w:rPr>
        <w:t>We expect full year adjusted diluted earnings per share to be in the range of $8.35 to $8.45 and adjusted free cash flow to be at least $950 million after capital spending of approximately $550 million.</w:t>
      </w:r>
      <w:r>
        <w:rPr>
          <w:color w:val="000000"/>
        </w:rPr>
        <w:t xml:space="preserve"> </w:t>
      </w:r>
      <w:r>
        <w:rPr>
          <w:rFonts w:ascii="Times New Roman;serif" w:hAnsi="Times New Roman;serif"/>
          <w:b w:val="false"/>
          <w:color w:val="000000"/>
          <w:sz w:val="20"/>
        </w:rPr>
        <w:t>We expect fourth quarter adjusted diluted earnings per share to be in the range of $1.63 to $1.73. With our strong balance sheet and net leverage of 2.5 times, we remain well positioned to invest in attractive organic growth opportunities and return capital to shareholders."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Segment income, adjusted free cash flow, net debt,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net debt,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net debt, adjusted net leverage ratio, adjusted net income, the adjusted effective tax rate, adjusted diluted earnings per share and adjusted EBITDA can be found within this release. Reconciliations of estimated adjusted diluted earnings per share, adjusted free cash flow, the adjusted effective tax rates and adjusted net leverage ratio for the fourth quarter and full year of 2026 to estimated diluted earnings per share, operating cash flow,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the adjusted effective tax rates and adjusted net leverage ratio, and could have a significant impact on earnings per share, the effective tax rate and income from operations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68" w:before="0" w:after="0"/>
        <w:jc w:val="both"/>
        <w:rPr/>
      </w:pPr>
      <w:r>
        <w:rPr>
          <w:rFonts w:ascii="Times New Roman;serif" w:hAnsi="Times New Roman;serif"/>
          <w:b w:val="false"/>
          <w:color w:val="000000"/>
          <w:sz w:val="20"/>
        </w:rPr>
        <w:t xml:space="preserve">The Company will hold a conference call tomorrow, October 20, 2026,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serif" w:hAnsi="Times New Roman;serif"/>
          <w:b w:val="false"/>
          <w:color w:val="0000FF"/>
          <w:sz w:val="20"/>
        </w:rPr>
        <w:t>www.crowncork.com</w:t>
      </w:r>
      <w:r>
        <w:rPr>
          <w:rFonts w:ascii="Times New Roman;serif" w:hAnsi="Times New Roman;serif"/>
          <w:b w:val="false"/>
          <w:color w:val="000000"/>
          <w:sz w:val="20"/>
        </w:rPr>
        <w:t>. A replay of the conference call will be available for a one-week period ending at midnight on October 27, 2026. The telephone numbers for the replay are 203-369-0896 or toll free 866-427-6407.</w:t>
      </w:r>
    </w:p>
    <w:p>
      <w:pPr>
        <w:pStyle w:val="TextBody"/>
        <w:bidi w:val="0"/>
        <w:spacing w:before="0" w:after="0"/>
        <w:jc w:val="both"/>
        <w:rPr/>
      </w:pPr>
      <w:r>
        <w:rPr/>
      </w:r>
    </w:p>
    <w:p>
      <w:pPr>
        <w:pStyle w:val="TextBody"/>
        <w:bidi w:val="0"/>
        <w:spacing w:lineRule="auto" w:line="268"/>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120" w:after="1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609600"/>
                          </a:xfrm>
                          <a:prstGeom prst="rect">
                            <a:avLst/>
                          </a:prstGeom>
                        </pic:spPr>
                      </pic:pic>
                    </a:graphicData>
                  </a:graphic>
                </wp:inline>
              </w:drawing>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historical information, all other information in this press release consists of forward-looking statements. These forward-looking statements involve a number of risks, uncertainties and other factors, including expected levels of capital expenditures, free cash flow and earnings; the Company’s ability to continue to operate its plants, distribute its products, and maintain its supply chain, including any impact of the ongoing Middle East conflict; the Company’s ability to complete the projects in Brazil, Greece, Spain and Northern India; the future impact of currency translation; the continuation of performance and market trends in 2026, including consumer preference for beverage cans and global beverage can demand; the future impact of inflation, including the potential for higher interest rates and energy and transportation prices and the Company’s ability to recover raw material and other inflationary costs, including tariffs and retaliatory trade measures; future demand for food cans; the Company’s ability to deliver continuous operational improvement and future demand in the Transit Packaging segment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2025 and in subsequent filings made prior to or after the date hereof. The Company does not intend to review or revise any particular forward-looking statement in light of future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contact: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Kevin C. Clothier, Senior Vice President and Chief Financial Officer, (215) 698-5281</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Thomas T. Fischer, Vice President, Investor Relations and Corporate Affairs, (215) 552-3720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Unaudited Consolidated Statements of Operations, Balance Sheets, Statements of Cash Flows, Segment Information and Supplemental Data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00"/>
        <w:gridCol w:w="1033"/>
        <w:gridCol w:w="1029"/>
        <w:gridCol w:w="297"/>
        <w:gridCol w:w="889"/>
        <w:gridCol w:w="109"/>
        <w:gridCol w:w="109"/>
        <w:gridCol w:w="109"/>
        <w:gridCol w:w="109"/>
        <w:gridCol w:w="297"/>
        <w:gridCol w:w="889"/>
        <w:gridCol w:w="109"/>
        <w:gridCol w:w="109"/>
        <w:gridCol w:w="109"/>
        <w:gridCol w:w="109"/>
        <w:gridCol w:w="264"/>
        <w:gridCol w:w="922"/>
        <w:gridCol w:w="109"/>
        <w:gridCol w:w="109"/>
        <w:gridCol w:w="109"/>
        <w:gridCol w:w="109"/>
        <w:gridCol w:w="297"/>
        <w:gridCol w:w="889"/>
        <w:gridCol w:w="109"/>
        <w:gridCol w:w="109"/>
        <w:gridCol w:w="109"/>
        <w:gridCol w:w="109"/>
        <w:gridCol w:w="155"/>
      </w:tblGrid>
      <w:tr>
        <w:trPr/>
        <w:tc>
          <w:tcPr>
            <w:tcW w:w="150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Income from operations</w:t>
            </w:r>
            <w:r>
              <w:rPr>
                <w:color w:val="000000"/>
              </w:rPr>
              <w:t xml:space="preserve"> </w:t>
            </w:r>
            <w:r>
              <w:rPr>
                <w:rFonts w:ascii="Times New Roman;serif" w:hAnsi="Times New Roman;serif"/>
                <w:b/>
                <w:color w:val="000000"/>
                <w:sz w:val="13"/>
              </w:rPr>
              <w:t>(1)</w:t>
            </w:r>
            <w:r>
              <w:rPr>
                <w:color w:val="000000"/>
              </w:rPr>
              <w:t xml:space="preserve"> </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interest and taxes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 before income taxes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earnings </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Crown Holdings</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Crown Holdings common shareholders:</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107,783,638 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115,243,289 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109,692,830 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115,743,257 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108,322,780 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115,701,558 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110,277,803 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116,220,619 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Actual common shares outstanding at quarter end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108,051,952 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115,347,894 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108,051,952 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115,347,894 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6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Reconciliation from income from operations to segment income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Financial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from Income from Operations to Segment Income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pStyle w:val="TextBody"/>
        <w:bidi w:val="0"/>
        <w:spacing w:before="0" w:after="0"/>
        <w:jc w:val="both"/>
        <w:rPr/>
      </w:pPr>
      <w:r>
        <w:rPr/>
      </w:r>
    </w:p>
    <w:tbl>
      <w:tblPr>
        <w:tblW w:w="6645" w:type="dxa"/>
        <w:jc w:val="center"/>
        <w:tblInd w:w="0" w:type="dxa"/>
        <w:tblLayout w:type="fixed"/>
        <w:tblCellMar>
          <w:top w:w="28" w:type="dxa"/>
          <w:left w:w="28" w:type="dxa"/>
          <w:bottom w:w="28" w:type="dxa"/>
          <w:right w:w="28" w:type="dxa"/>
        </w:tblCellMar>
      </w:tblPr>
      <w:tblGrid>
        <w:gridCol w:w="765"/>
        <w:gridCol w:w="674"/>
        <w:gridCol w:w="676"/>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Segment Information</w:t>
      </w:r>
    </w:p>
    <w:tbl>
      <w:tblPr>
        <w:tblW w:w="6644" w:type="dxa"/>
        <w:jc w:val="center"/>
        <w:tblInd w:w="0" w:type="dxa"/>
        <w:tblLayout w:type="fixed"/>
        <w:tblCellMar>
          <w:top w:w="28" w:type="dxa"/>
          <w:left w:w="28" w:type="dxa"/>
          <w:bottom w:w="28" w:type="dxa"/>
          <w:right w:w="28" w:type="dxa"/>
        </w:tblCellMar>
      </w:tblPr>
      <w:tblGrid>
        <w:gridCol w:w="618"/>
        <w:gridCol w:w="544"/>
        <w:gridCol w:w="547"/>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631"/>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Net Sales</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net sales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10,638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9,238</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799" w:type="dxa"/>
        <w:jc w:val="center"/>
        <w:tblInd w:w="0" w:type="dxa"/>
        <w:tblLayout w:type="fixed"/>
        <w:tblCellMar>
          <w:top w:w="28" w:type="dxa"/>
          <w:left w:w="28" w:type="dxa"/>
          <w:bottom w:w="28" w:type="dxa"/>
          <w:right w:w="28" w:type="dxa"/>
        </w:tblCellMar>
      </w:tblPr>
      <w:tblGrid>
        <w:gridCol w:w="1181"/>
        <w:gridCol w:w="1043"/>
        <w:gridCol w:w="1045"/>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Segment Income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European Beverage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items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the Company’s North America tinplate businesses: food can, aerosol can and closures, and beverage tooling and equipment operations in the U.S. and United Kingdom.</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both"/>
        <w:rPr/>
      </w:pPr>
      <w:r>
        <w:rPr/>
      </w:r>
    </w:p>
    <w:p>
      <w:pPr>
        <w:pStyle w:val="TextBody"/>
        <w:bidi w:val="0"/>
        <w:spacing w:before="0" w:after="0"/>
        <w:ind w:left="0" w:right="0" w:hanging="270"/>
        <w:jc w:val="center"/>
        <w:rPr/>
      </w:pPr>
      <w:r>
        <w:rPr/>
      </w:r>
    </w:p>
    <w:p>
      <w:pPr>
        <w:pStyle w:val="TextBody"/>
        <w:bidi w:val="0"/>
        <w:ind w:left="0" w:right="0" w:hanging="270"/>
        <w:jc w:val="center"/>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ind w:left="0" w:right="0" w:hanging="270"/>
        <w:jc w:val="center"/>
        <w:rPr/>
      </w:pPr>
      <w:r>
        <w:rPr/>
      </w:r>
    </w:p>
    <w:p>
      <w:pPr>
        <w:pStyle w:val="TextBody"/>
        <w:bidi w:val="0"/>
        <w:spacing w:lineRule="auto" w:line="288" w:before="0" w:after="0"/>
        <w:ind w:left="0" w:right="0" w:hanging="27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from Net Income and Diluted Earnings Per Share to Adjusted Net Income and Adjusted Diluted Earnings Per Share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following table reconciles reported net income and diluted earnings per share attributable to the Company to adjusted net income and adjusted diluted earnings per share, as used elsewhere in this release.</w:t>
      </w:r>
      <w:r>
        <w:rPr>
          <w:color w:val="000000"/>
        </w:rPr>
        <w:t xml:space="preserv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361"/>
        <w:gridCol w:w="828"/>
        <w:gridCol w:w="832"/>
        <w:gridCol w:w="183"/>
        <w:gridCol w:w="183"/>
        <w:gridCol w:w="184"/>
        <w:gridCol w:w="109"/>
        <w:gridCol w:w="109"/>
        <w:gridCol w:w="109"/>
        <w:gridCol w:w="211"/>
        <w:gridCol w:w="526"/>
        <w:gridCol w:w="109"/>
        <w:gridCol w:w="109"/>
        <w:gridCol w:w="109"/>
        <w:gridCol w:w="109"/>
        <w:gridCol w:w="183"/>
        <w:gridCol w:w="183"/>
        <w:gridCol w:w="184"/>
        <w:gridCol w:w="109"/>
        <w:gridCol w:w="109"/>
        <w:gridCol w:w="109"/>
        <w:gridCol w:w="190"/>
        <w:gridCol w:w="190"/>
        <w:gridCol w:w="192"/>
        <w:gridCol w:w="109"/>
        <w:gridCol w:w="109"/>
        <w:gridCol w:w="109"/>
        <w:gridCol w:w="183"/>
        <w:gridCol w:w="183"/>
        <w:gridCol w:w="184"/>
        <w:gridCol w:w="117"/>
        <w:gridCol w:w="117"/>
        <w:gridCol w:w="117"/>
        <w:gridCol w:w="190"/>
        <w:gridCol w:w="190"/>
        <w:gridCol w:w="192"/>
        <w:gridCol w:w="117"/>
        <w:gridCol w:w="117"/>
        <w:gridCol w:w="117"/>
        <w:gridCol w:w="183"/>
        <w:gridCol w:w="183"/>
        <w:gridCol w:w="184"/>
        <w:gridCol w:w="117"/>
        <w:gridCol w:w="117"/>
        <w:gridCol w:w="117"/>
        <w:gridCol w:w="180"/>
        <w:gridCol w:w="180"/>
        <w:gridCol w:w="273"/>
      </w:tblGrid>
      <w:tr>
        <w:trPr/>
        <w:tc>
          <w:tcPr>
            <w:tcW w:w="136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income/diluted earnings per share attributable to Crown Holdings, as reported </w:t>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$645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$5.85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$588</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$5.06</w:t>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Intangibles amortization </w:t>
            </w:r>
            <w:r>
              <w:rPr>
                <w:rFonts w:ascii="Times New Roman;serif" w:hAnsi="Times New Roman;serif"/>
                <w:b w:val="false"/>
                <w:color w:val="000000"/>
                <w:sz w:val="13"/>
              </w:rPr>
              <w:t>(1)</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0.97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0.95</w:t>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Restructuring and other </w:t>
            </w:r>
            <w:r>
              <w:rPr>
                <w:rFonts w:ascii="Times New Roman;serif" w:hAnsi="Times New Roman;serif"/>
                <w:b w:val="false"/>
                <w:color w:val="000000"/>
                <w:sz w:val="13"/>
              </w:rPr>
              <w:t>(2)</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0.11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0.64</w:t>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Loss on debt extinguishment </w:t>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0.01</w:t>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pension and postretirement </w:t>
            </w:r>
            <w:r>
              <w:rPr>
                <w:rFonts w:ascii="Times New Roman;serif" w:hAnsi="Times New Roman;serif"/>
                <w:b w:val="false"/>
                <w:color w:val="000000"/>
                <w:sz w:val="13"/>
              </w:rPr>
              <w:t>(3)</w:t>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(0.04)</w:t>
            </w:r>
          </w:p>
        </w:tc>
      </w:tr>
      <w:tr>
        <w:trPr/>
        <w:tc>
          <w:tcPr>
            <w:tcW w:w="3021"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taxes </w:t>
            </w:r>
            <w:r>
              <w:rPr>
                <w:rFonts w:ascii="Times New Roman;serif" w:hAnsi="Times New Roman;serif"/>
                <w:b w:val="false"/>
                <w:color w:val="000000"/>
                <w:sz w:val="13"/>
              </w:rPr>
              <w:t>(4)</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(58)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(0.50)</w:t>
            </w:r>
          </w:p>
        </w:tc>
      </w:tr>
      <w:tr>
        <w:trPr/>
        <w:tc>
          <w:tcPr>
            <w:tcW w:w="3021"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Noncontrolling interests </w:t>
            </w:r>
            <w:r>
              <w:rPr>
                <w:rFonts w:ascii="Times New Roman;serif" w:hAnsi="Times New Roman;serif"/>
                <w:b w:val="false"/>
                <w:color w:val="000000"/>
                <w:sz w:val="13"/>
              </w:rPr>
              <w:t>(5)</w:t>
            </w:r>
            <w:r>
              <w:rPr>
                <w:color w:val="000000"/>
              </w:rPr>
              <w:t xml:space="preserve"> </w:t>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(0.07)</w:t>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income/diluted earnings per share</w:t>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$6.72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$703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$6.05</w:t>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Effective tax rate as reported</w:t>
            </w:r>
            <w:r>
              <w:rPr>
                <w:color w:val="000000"/>
              </w:rPr>
              <w:t xml:space="preserve"> </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25.1%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23.4%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effective tax rate </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 the third quarter and first nine months of 2026, the Company recorded charges of $34 million ($27 million net of tax) and $107 million ($83 million net of tax) for intangibles amortization arising from prior acquisitions. In the third quarter and first nine months of 2025, the Company recorded charges of $37 million ($28 million net of tax) and $110 million ($84 million net of tax) for intangibles amortization arising from prior acquisitions.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 the third quarter and first nine months of 2026, the Company recorded net restructuring and other charges of $8 million ($7 million net of tax) and $12 million ($12 million net of tax). In the third quarter and first nine months of 2025, the Company recorded net restructuring and other charges of $30 million ($30 million net of tax) and $75 million ($70 million net of tax) primarily related to asset impairment charges in Asia Pacific, severance costs in the Transit Packaging segment and a reserve for a legal dispute.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 the third quarter of 2025, the Company recorded a pension settlement gain of $5 million ($4 million net of tax), related to repayment of the contribution the Company made in 2021 to settle the U.K. defined pension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The Company recorded income tax benefits of $8 million and $25 million in the third quarter and first nine months of 2026, primarily related to the items described above. The Company recorded income tax benefits of $14 million and $58 million in the third quarter and first nine months of 2025, primarily related to an income tax benefit of $22 million from an internal reorganization in the first quarter of 2025 and the items described above.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In the first nine months of 2026 and the third quarter and first nine months of 2025, the Company recorded noncontrolling interest related to the items described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center"/>
        <w:rPr/>
      </w:pPr>
      <w:r>
        <w:rPr/>
      </w:r>
    </w:p>
    <w:tbl>
      <w:tblPr>
        <w:tblW w:w="7966" w:type="dxa"/>
        <w:jc w:val="center"/>
        <w:tblInd w:w="0" w:type="dxa"/>
        <w:tblLayout w:type="fixed"/>
        <w:tblCellMar>
          <w:top w:w="28" w:type="dxa"/>
          <w:left w:w="28" w:type="dxa"/>
          <w:bottom w:w="28" w:type="dxa"/>
          <w:right w:w="28" w:type="dxa"/>
        </w:tblCellMar>
      </w:tblPr>
      <w:tblGrid>
        <w:gridCol w:w="1365"/>
        <w:gridCol w:w="1198"/>
        <w:gridCol w:w="1201"/>
        <w:gridCol w:w="357"/>
        <w:gridCol w:w="1246"/>
        <w:gridCol w:w="184"/>
        <w:gridCol w:w="184"/>
        <w:gridCol w:w="184"/>
        <w:gridCol w:w="184"/>
        <w:gridCol w:w="357"/>
        <w:gridCol w:w="1246"/>
        <w:gridCol w:w="260"/>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 (Condensed &amp; Unaudited)</w:t>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w:t>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Receivables,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current assets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4,915</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4,781</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assets</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14,623</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14,553</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debt</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maturities of long-term debt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 and accrued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Total current liabilities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4,318</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4,139</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maturities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Crown Holdings shareholders’ equity</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Total liabilities and equity</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14,623</w:t>
            </w:r>
            <w:r>
              <w:rPr>
                <w:color w:val="000000"/>
              </w:rPr>
              <w:t>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14,553</w:t>
            </w:r>
            <w:r>
              <w:rPr>
                <w:color w:val="000000"/>
              </w:rPr>
              <w:t>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Cash Flows (Condensed &amp;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7388" w:type="dxa"/>
        <w:jc w:val="center"/>
        <w:tblInd w:w="0" w:type="dxa"/>
        <w:tblLayout w:type="fixed"/>
        <w:tblCellMar>
          <w:top w:w="28" w:type="dxa"/>
          <w:left w:w="28" w:type="dxa"/>
          <w:bottom w:w="28" w:type="dxa"/>
          <w:right w:w="28" w:type="dxa"/>
        </w:tblCellMar>
      </w:tblPr>
      <w:tblGrid>
        <w:gridCol w:w="1908"/>
        <w:gridCol w:w="1677"/>
        <w:gridCol w:w="1679"/>
        <w:gridCol w:w="211"/>
        <w:gridCol w:w="481"/>
        <w:gridCol w:w="109"/>
        <w:gridCol w:w="109"/>
        <w:gridCol w:w="109"/>
        <w:gridCol w:w="109"/>
        <w:gridCol w:w="211"/>
        <w:gridCol w:w="631"/>
        <w:gridCol w:w="154"/>
      </w:tblGrid>
      <w:tr>
        <w:trPr/>
        <w:tc>
          <w:tcPr>
            <w:tcW w:w="190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Pension and postretirement expense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Pension contributions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debt extinguishment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Working capital changes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provided by operating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used for investing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change in debt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Bond issuance costs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Dividends paid to shareholders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stock repurchased</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Dividends paid to noncontrolling interests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net </w:t>
            </w:r>
            <w:r>
              <w:rPr>
                <w:rFonts w:ascii="Times New Roman;serif" w:hAnsi="Times New Roman;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used for financing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January 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cash equivalents and restricted cash at September 30 </w:t>
            </w:r>
            <w:r>
              <w:rPr>
                <w:rFonts w:ascii="Times New Roman;serif" w:hAnsi="Times New Roman;serif"/>
                <w:b/>
                <w:color w:val="000000"/>
                <w:sz w:val="13"/>
              </w:rPr>
              <w:t>(2)</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762</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w:t>
            </w: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consists of payments for assets financed in 2025.</w:t>
      </w:r>
    </w:p>
    <w:p>
      <w:pPr>
        <w:pStyle w:val="TextBody"/>
        <w:bidi w:val="0"/>
        <w:spacing w:lineRule="auto" w:line="26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Cash and cash equivalents include $133 million and $106 million of restricted cash at September 30, 2026 and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free cash flow is defined by the Company as net cash from operating activities less capital expenditures and certain other items. A reconciliation of net cash used for operating activities to adjusted free cash flow for the three and nine months ended September 30, 2026 and 2025 follows. </w:t>
      </w:r>
    </w:p>
    <w:tbl>
      <w:tblPr>
        <w:tblW w:w="8099" w:type="dxa"/>
        <w:jc w:val="left"/>
        <w:tblInd w:w="0" w:type="dxa"/>
        <w:tblLayout w:type="fixed"/>
        <w:tblCellMar>
          <w:top w:w="28" w:type="dxa"/>
          <w:left w:w="28" w:type="dxa"/>
          <w:bottom w:w="28" w:type="dxa"/>
          <w:right w:w="28" w:type="dxa"/>
        </w:tblCellMar>
      </w:tblPr>
      <w:tblGrid>
        <w:gridCol w:w="1290"/>
        <w:gridCol w:w="1136"/>
        <w:gridCol w:w="1143"/>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included in investing activities </w:t>
            </w:r>
            <w:r>
              <w:rPr>
                <w:rFonts w:ascii="Times New Roman;serif" w:hAnsi="Times New Roman;serif"/>
                <w:b w:val="false"/>
                <w:color w:val="000000"/>
                <w:sz w:val="13"/>
              </w:rPr>
              <w:t>(3)</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Interest benefit of cross currency swaps included in investing activities.</w:t>
      </w:r>
    </w:p>
    <w:p>
      <w:pPr>
        <w:pStyle w:val="TextBody"/>
        <w:bidi w:val="0"/>
        <w:spacing w:before="120" w:after="1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u w:val="single"/>
        </w:rPr>
        <w:t>Impact of Foreign Currency Translation – Favorable/(Unfavorable)</w:t>
      </w:r>
      <w:r>
        <w:rPr>
          <w:color w:val="000000"/>
        </w:rPr>
        <w:t xml:space="preserve"> </w:t>
      </w:r>
      <w:r>
        <w:rPr>
          <w:rFonts w:ascii="Times New Roman;serif" w:hAnsi="Times New Roman;serif"/>
          <w:b/>
          <w:color w:val="000000"/>
          <w:sz w:val="13"/>
        </w:rPr>
        <w:t>(1)</w:t>
      </w:r>
    </w:p>
    <w:p>
      <w:pPr>
        <w:pStyle w:val="TextBody"/>
        <w:bidi w:val="0"/>
        <w:spacing w:before="0" w:after="0"/>
        <w:jc w:val="left"/>
        <w:rPr/>
      </w:pPr>
      <w:r>
        <w:rPr/>
      </w:r>
    </w:p>
    <w:tbl>
      <w:tblPr>
        <w:tblW w:w="7910" w:type="dxa"/>
        <w:jc w:val="center"/>
        <w:tblInd w:w="0" w:type="dxa"/>
        <w:tblLayout w:type="fixed"/>
        <w:tblCellMar>
          <w:top w:w="28" w:type="dxa"/>
          <w:left w:w="28" w:type="dxa"/>
          <w:bottom w:w="28" w:type="dxa"/>
          <w:right w:w="28" w:type="dxa"/>
        </w:tblCellMar>
      </w:tblPr>
      <w:tblGrid>
        <w:gridCol w:w="642"/>
        <w:gridCol w:w="563"/>
        <w:gridCol w:w="564"/>
        <w:gridCol w:w="281"/>
        <w:gridCol w:w="443"/>
        <w:gridCol w:w="145"/>
        <w:gridCol w:w="125"/>
        <w:gridCol w:w="125"/>
        <w:gridCol w:w="125"/>
        <w:gridCol w:w="532"/>
        <w:gridCol w:w="689"/>
        <w:gridCol w:w="278"/>
        <w:gridCol w:w="109"/>
        <w:gridCol w:w="109"/>
        <w:gridCol w:w="109"/>
        <w:gridCol w:w="229"/>
        <w:gridCol w:w="523"/>
        <w:gridCol w:w="118"/>
        <w:gridCol w:w="110"/>
        <w:gridCol w:w="110"/>
        <w:gridCol w:w="110"/>
        <w:gridCol w:w="534"/>
        <w:gridCol w:w="686"/>
        <w:gridCol w:w="279"/>
        <w:gridCol w:w="109"/>
        <w:gridCol w:w="109"/>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Nine Months Ended </w:t>
              <w:br/>
              <w:t>September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Net Sales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Segment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Net Sales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Segment Income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72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72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102</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8</w:t>
            </w: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pStyle w:val="TextBody"/>
        <w:bidi w:val="0"/>
        <w:spacing w:before="0" w:after="0"/>
        <w:ind w:left="0" w:right="0" w:hanging="360"/>
        <w:jc w:val="both"/>
        <w:rPr/>
      </w:pPr>
      <w:r>
        <w:rPr/>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Reconciliation of Adjusted EBITDA and Adjusted Net Leverage Ratio</w:t>
      </w:r>
    </w:p>
    <w:tbl>
      <w:tblPr>
        <w:tblW w:w="10205" w:type="dxa"/>
        <w:jc w:val="left"/>
        <w:tblInd w:w="0" w:type="dxa"/>
        <w:tblLayout w:type="fixed"/>
        <w:tblCellMar>
          <w:top w:w="28" w:type="dxa"/>
          <w:left w:w="28" w:type="dxa"/>
          <w:bottom w:w="28" w:type="dxa"/>
          <w:right w:w="28" w:type="dxa"/>
        </w:tblCellMar>
      </w:tblPr>
      <w:tblGrid>
        <w:gridCol w:w="753"/>
        <w:gridCol w:w="587"/>
        <w:gridCol w:w="589"/>
        <w:gridCol w:w="343"/>
        <w:gridCol w:w="1029"/>
        <w:gridCol w:w="178"/>
        <w:gridCol w:w="109"/>
        <w:gridCol w:w="109"/>
        <w:gridCol w:w="109"/>
        <w:gridCol w:w="343"/>
        <w:gridCol w:w="1029"/>
        <w:gridCol w:w="178"/>
        <w:gridCol w:w="109"/>
        <w:gridCol w:w="109"/>
        <w:gridCol w:w="109"/>
        <w:gridCol w:w="267"/>
        <w:gridCol w:w="801"/>
        <w:gridCol w:w="138"/>
        <w:gridCol w:w="109"/>
        <w:gridCol w:w="109"/>
        <w:gridCol w:w="109"/>
        <w:gridCol w:w="578"/>
        <w:gridCol w:w="1731"/>
        <w:gridCol w:w="300"/>
        <w:gridCol w:w="109"/>
        <w:gridCol w:w="109"/>
        <w:gridCol w:w="162"/>
      </w:tblGrid>
      <w:tr>
        <w:trPr/>
        <w:tc>
          <w:tcPr>
            <w:tcW w:w="75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 September 30, 2026</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1,271</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1,553</w:t>
            </w:r>
            <w:r>
              <w:rPr>
                <w:color w:val="000000"/>
              </w:rPr>
              <w:t>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1,645</w:t>
            </w:r>
            <w:r>
              <w:rPr>
                <w:color w:val="000000"/>
              </w:rPr>
              <w:t>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13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1,632</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1,594</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w:t>
            </w:r>
            <w:r>
              <w:rPr>
                <w:color w:val="000000"/>
              </w:rPr>
              <w:t>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2,130</w:t>
            </w:r>
            <w:r>
              <w:rPr>
                <w:color w:val="000000"/>
              </w:rPr>
              <w:t>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w:t>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debt </w:t>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5,200</w:t>
            </w:r>
            <w:r>
              <w:rPr>
                <w:color w:val="000000"/>
              </w:rPr>
              <w:t>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5,224</w:t>
            </w:r>
            <w:r>
              <w:rPr>
                <w:color w:val="000000"/>
              </w:rPr>
              <w:t>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leverage ratio</w:t>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2.5x</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4207</Words>
  <Characters>22548</Characters>
  <CharactersWithSpaces>26493</CharactersWithSpaces>
  <Paragraphs>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