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133,260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105.74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119,683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5,859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performance-based shares of Restricted Common Stock that vested on January 5, 2026 whose grant was originally reported on a Form 4 filed with the Securities and Exchange Commission on January 6, 2023 (the "Original Form 4"). As reported on the Original Form 4, such performance-based shares were originally granted to the Reporting Person based on the Company's Total Shareholder Return versus a defined group of companies with the final number of performance-based shares varying from 0 to 200% of 10,783. The Total Shareholder Return achieved by the Company versus a defined peer group of companies yielded 199% payout. As a result, 10,675 additional TSR Performance-Based Shares were issued.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December 31, 2025, the Reporting Person owned 5,859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2026-01-07T14:47:19Z</dcterms:created>
  <dcterms:modified xsi:type="dcterms:W3CDTF">2026-01-07T14:47:19Z</dcterms:modified>
</cp:coreProperties>
</file>