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JAMES H</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53453.68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116392214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10/01/2015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10/01/2015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w w:val="97"/>
              </w:rPr>
              <w:t>James Miller</w:t>
            </w: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14025 Riveredge Drive,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Crown Holdings,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06/11/2025 2500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247814.75</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w w:val="98"/>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w w:val="97"/>
              </w:rPr>
              <w:t>James Miller</w:t>
            </w: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140 Riveredge Drive,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Crown Holdings,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07/02/2025 1000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104851.60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w w:val="98"/>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w w:val="97"/>
              </w:rPr>
              <w:t>James Miller</w:t>
            </w: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140 Riveredge Drive,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Crown Holdings, 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07/09/2025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213771.49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0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w w:val="98"/>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500 shares were acquired from 2015 to 2025 via compensation.</w:t>
      </w:r>
    </w:p>
    <w:p>
      <w:pPr>
        <w:spacing w:after="0" w:line="56" w:lineRule="exact"/>
        <w:rPr>
          <w:sz w:val="20"/>
          <w:szCs w:val="20"/>
          <w:color w:val="auto"/>
        </w:rPr>
      </w:pPr>
    </w:p>
    <w:p>
      <w:pPr>
        <w:sectPr>
          <w:pgSz w:w="11900" w:h="16838" w:orient="portrait"/>
          <w:cols w:equalWidth="0" w:num="2">
            <w:col w:w="1360" w:space="720"/>
            <w:col w:w="91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07/10/2025</w:t>
      </w:r>
    </w:p>
    <w:p>
      <w:pPr>
        <w:spacing w:after="0" w:line="50" w:lineRule="exact"/>
        <w:rPr>
          <w:sz w:val="20"/>
          <w:szCs w:val="20"/>
          <w:color w:val="auto"/>
        </w:rPr>
      </w:pPr>
    </w:p>
    <w:p>
      <w:pPr>
        <w:sectPr>
          <w:pgSz w:w="11900" w:h="16838" w:orient="portrait"/>
          <w:cols w:equalWidth="0" w:num="2">
            <w:col w:w="1360" w:space="720"/>
            <w:col w:w="91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 Miller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2025-07-10T13:26:06Z</dcterms:created>
  <dcterms:modified xsi:type="dcterms:W3CDTF">2025-07-10T13:26:06Z</dcterms:modified>
</cp:coreProperties>
</file>