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____________</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FORM 8-K </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____________</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PURSUANT TO SECTION 13 OR 15(d) OF</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THE SECURITIES EXCHANGE ACT OF 1934</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pPr>
      <w:r>
        <w:rPr>
          <w:rFonts w:ascii="Times New Roman;serif" w:hAnsi="Times New Roman;serif"/>
          <w:b w:val="false"/>
          <w:color w:val="000000"/>
          <w:sz w:val="20"/>
        </w:rPr>
        <w:t>Date of Report (Date of earliest event reported):</w:t>
      </w:r>
      <w:r>
        <w:rPr>
          <w:color w:val="000000"/>
        </w:rPr>
        <w:t xml:space="preserve"> </w:t>
      </w:r>
      <w:r>
        <w:rPr>
          <w:rFonts w:ascii="Times New Roman;serif" w:hAnsi="Times New Roman;serif"/>
          <w:b/>
          <w:color w:val="000000"/>
          <w:sz w:val="20"/>
        </w:rPr>
        <w:t xml:space="preserve">July 20, 2026 </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CROWN HOLDINGS, INC. </w:t>
      </w:r>
    </w:p>
    <w:p>
      <w:pPr>
        <w:pStyle w:val="TextBody"/>
        <w:bidi w:val="0"/>
        <w:spacing w:lineRule="auto" w:line="288" w:before="0" w:after="0"/>
        <w:jc w:val="center"/>
        <w:rPr>
          <w:color w:val="000000"/>
        </w:rPr>
      </w:pPr>
      <w:r>
        <w:rPr>
          <w:color w:val="000000"/>
        </w:rPr>
        <w:t> </w:t>
      </w:r>
      <w:r>
        <w:rPr>
          <w:rFonts w:ascii="Times New Roman;serif" w:hAnsi="Times New Roman;serif"/>
          <w:b w:val="false"/>
          <w:color w:val="000000"/>
          <w:sz w:val="20"/>
        </w:rPr>
        <w:t>(Exact name of Registrant as specified in its charter)</w:t>
      </w:r>
    </w:p>
    <w:tbl>
      <w:tblPr>
        <w:tblW w:w="6099" w:type="dxa"/>
        <w:jc w:val="center"/>
        <w:tblInd w:w="0" w:type="dxa"/>
        <w:tblLayout w:type="fixed"/>
        <w:tblCellMar>
          <w:top w:w="28" w:type="dxa"/>
          <w:left w:w="28" w:type="dxa"/>
          <w:bottom w:w="28" w:type="dxa"/>
          <w:right w:w="28" w:type="dxa"/>
        </w:tblCellMar>
      </w:tblPr>
      <w:tblGrid>
        <w:gridCol w:w="946"/>
        <w:gridCol w:w="830"/>
        <w:gridCol w:w="834"/>
        <w:gridCol w:w="109"/>
        <w:gridCol w:w="109"/>
        <w:gridCol w:w="109"/>
        <w:gridCol w:w="394"/>
        <w:gridCol w:w="394"/>
        <w:gridCol w:w="398"/>
        <w:gridCol w:w="109"/>
        <w:gridCol w:w="109"/>
        <w:gridCol w:w="109"/>
        <w:gridCol w:w="481"/>
        <w:gridCol w:w="481"/>
        <w:gridCol w:w="687"/>
      </w:tblGrid>
      <w:tr>
        <w:trPr/>
        <w:tc>
          <w:tcPr>
            <w:tcW w:w="946"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r>
      <w:tr>
        <w:trPr/>
        <w:tc>
          <w:tcPr>
            <w:tcW w:w="26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Pennsylvania</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001-41550</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75-3099507</w:t>
            </w:r>
          </w:p>
        </w:tc>
      </w:tr>
      <w:tr>
        <w:trPr/>
        <w:tc>
          <w:tcPr>
            <w:tcW w:w="26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w:t>
              <w:br/>
              <w:t>Incorporation or Organization)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w:t>
              <w:br/>
              <w:t>File Number)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w:t>
              <w:br/>
              <w:t>Identification No.)</w:t>
            </w:r>
          </w:p>
        </w:tc>
      </w:tr>
    </w:tbl>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14025 Riveredge Drive, Suite 300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Tampa, Florida 33637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(215) 698-5100 </w:t>
      </w:r>
    </w:p>
    <w:p>
      <w:pPr>
        <w:pStyle w:val="TextBody"/>
        <w:bidi w:val="0"/>
        <w:spacing w:lineRule="auto" w:line="288" w:before="0" w:after="0"/>
        <w:jc w:val="center"/>
        <w:rPr>
          <w:rFonts w:ascii="Times New Roman;serif" w:hAnsi="Times New Roman;serif"/>
          <w:b/>
          <w:color w:val="000000"/>
          <w:sz w:val="14"/>
        </w:rPr>
      </w:pPr>
      <w:r>
        <w:rPr>
          <w:rFonts w:ascii="Times New Roman;serif" w:hAnsi="Times New Roman;serif"/>
          <w:b/>
          <w:color w:val="000000"/>
          <w:sz w:val="14"/>
        </w:rPr>
        <w:t>(Address, Including Zip Code, and Telephone Number, Including Area Code, of Registrant's Principal Executive Offices)</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 Applicable</w:t>
      </w:r>
    </w:p>
    <w:p>
      <w:pPr>
        <w:pStyle w:val="TextBody"/>
        <w:bidi w:val="0"/>
        <w:spacing w:lineRule="auto" w:line="288" w:before="0" w:after="0"/>
        <w:jc w:val="center"/>
        <w:rPr>
          <w:rFonts w:ascii="Times New Roman;serif" w:hAnsi="Times New Roman;serif"/>
          <w:b/>
          <w:color w:val="000000"/>
          <w:sz w:val="14"/>
        </w:rPr>
      </w:pPr>
      <w:r>
        <w:rPr>
          <w:rFonts w:ascii="Times New Roman;serif" w:hAnsi="Times New Roman;serif"/>
          <w:b/>
          <w:color w:val="000000"/>
          <w:sz w:val="14"/>
        </w:rPr>
        <w:t>(Former name or former address, if changed since last report)</w:t>
      </w:r>
    </w:p>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720"/>
        <w:jc w:val="left"/>
        <w:rPr/>
      </w:pPr>
      <w:r>
        <w:rPr>
          <w:color w:val="000000"/>
        </w:rPr>
        <w:t xml:space="preserve">☐ </w:t>
      </w:r>
      <w:r>
        <w:rPr>
          <w:rFonts w:ascii="Times New Roman;serif" w:hAnsi="Times New Roman;serif"/>
          <w:b w:val="false"/>
          <w:color w:val="000000"/>
          <w:sz w:val="20"/>
        </w:rPr>
        <w:t>Written communications pursuant to Rule 425 under the Securities Act (17 CFR 230.425) </w:t>
      </w:r>
    </w:p>
    <w:p>
      <w:pPr>
        <w:pStyle w:val="TextBody"/>
        <w:bidi w:val="0"/>
        <w:spacing w:lineRule="auto" w:line="288" w:before="0" w:after="0"/>
        <w:ind w:left="0" w:right="0" w:hanging="720"/>
        <w:jc w:val="left"/>
        <w:rPr/>
      </w:pPr>
      <w:r>
        <w:rPr>
          <w:color w:val="000000"/>
        </w:rPr>
        <w:t xml:space="preserve">☐ </w:t>
      </w:r>
      <w:r>
        <w:rPr>
          <w:rFonts w:ascii="Times New Roman;serif" w:hAnsi="Times New Roman;serif"/>
          <w:b w:val="false"/>
          <w:color w:val="000000"/>
          <w:sz w:val="20"/>
        </w:rPr>
        <w:t>Soliciting material pursuant to Rule 14a-12 under the Exchange Act (17CFR 240.14a-12) </w:t>
      </w:r>
    </w:p>
    <w:p>
      <w:pPr>
        <w:pStyle w:val="TextBody"/>
        <w:bidi w:val="0"/>
        <w:spacing w:lineRule="auto" w:line="288" w:before="0" w:after="0"/>
        <w:ind w:left="0" w:right="0" w:hanging="720"/>
        <w:jc w:val="left"/>
        <w:rPr/>
      </w:pPr>
      <w:r>
        <w:rPr>
          <w:color w:val="000000"/>
        </w:rPr>
        <w:t xml:space="preserve">☐ </w:t>
      </w:r>
      <w:r>
        <w:rPr>
          <w:rFonts w:ascii="Times New Roman;serif" w:hAnsi="Times New Roman;serif"/>
          <w:b w:val="false"/>
          <w:color w:val="000000"/>
          <w:sz w:val="20"/>
        </w:rPr>
        <w:t>Pre-commencement communications pursuant to Rule 14d-2(b) under the Exchange Act (17 CFR 240.14d-2(b)) </w:t>
      </w:r>
    </w:p>
    <w:p>
      <w:pPr>
        <w:pStyle w:val="TextBody"/>
        <w:bidi w:val="0"/>
        <w:spacing w:lineRule="auto" w:line="288" w:before="0" w:after="0"/>
        <w:ind w:left="0" w:right="0" w:hanging="720"/>
        <w:jc w:val="left"/>
        <w:rPr/>
      </w:pPr>
      <w:r>
        <w:rPr>
          <w:color w:val="000000"/>
        </w:rPr>
        <w:t xml:space="preserve">☐ </w:t>
      </w:r>
      <w:r>
        <w:rPr>
          <w:rFonts w:ascii="Times New Roman;serif" w:hAnsi="Times New Roman;serif"/>
          <w:b w:val="false"/>
          <w:color w:val="000000"/>
          <w:sz w:val="20"/>
        </w:rPr>
        <w:t>Pre-commencement communications pursuant to Rule 13e-4(c) under the Exchange Act (17 CFR 240.13e-4(c))</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0" w:after="0"/>
        <w:jc w:val="left"/>
        <w:rPr/>
      </w:pPr>
      <w:r>
        <w:rPr>
          <w:rFonts w:ascii="Times New Roman;serif" w:hAnsi="Times New Roman;serif"/>
          <w:b w:val="false"/>
          <w:color w:val="000000"/>
          <w:sz w:val="20"/>
        </w:rPr>
        <w:t xml:space="preserve">Emerging growth company </w:t>
      </w:r>
      <w:r>
        <w:rPr>
          <w:color w:val="000000"/>
        </w:rPr>
        <w:t>☐  </w:t>
      </w:r>
    </w:p>
    <w:p>
      <w:pPr>
        <w:pStyle w:val="TextBody"/>
        <w:bidi w:val="0"/>
        <w:spacing w:lineRule="auto" w:line="288" w:before="220" w:after="283"/>
        <w:jc w:val="left"/>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tbl>
      <w:tblPr>
        <w:tblW w:w="7033" w:type="dxa"/>
        <w:jc w:val="left"/>
        <w:tblInd w:w="0" w:type="dxa"/>
        <w:tblLayout w:type="fixed"/>
        <w:tblCellMar>
          <w:top w:w="28" w:type="dxa"/>
          <w:left w:w="28" w:type="dxa"/>
          <w:bottom w:w="28" w:type="dxa"/>
          <w:right w:w="28" w:type="dxa"/>
        </w:tblCellMar>
      </w:tblPr>
      <w:tblGrid>
        <w:gridCol w:w="876"/>
        <w:gridCol w:w="772"/>
        <w:gridCol w:w="782"/>
        <w:gridCol w:w="444"/>
        <w:gridCol w:w="444"/>
        <w:gridCol w:w="446"/>
        <w:gridCol w:w="956"/>
        <w:gridCol w:w="956"/>
        <w:gridCol w:w="1357"/>
      </w:tblGrid>
      <w:tr>
        <w:trPr/>
        <w:tc>
          <w:tcPr>
            <w:tcW w:w="876"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r>
      <w:tr>
        <w:trPr/>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Title of each class</w:t>
            </w:r>
          </w:p>
        </w:tc>
        <w:tc>
          <w:tcPr>
            <w:tcW w:w="13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Trading Symbols</w:t>
            </w:r>
          </w:p>
        </w:tc>
        <w:tc>
          <w:tcPr>
            <w:tcW w:w="32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Name of each exchange on which registered</w:t>
            </w:r>
          </w:p>
        </w:tc>
      </w:tr>
      <w:tr>
        <w:trPr/>
        <w:tc>
          <w:tcPr>
            <w:tcW w:w="24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Common Stock $5.00 Par Value</w:t>
            </w:r>
          </w:p>
        </w:tc>
        <w:tc>
          <w:tcPr>
            <w:tcW w:w="13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CCK</w:t>
            </w:r>
          </w:p>
        </w:tc>
        <w:tc>
          <w:tcPr>
            <w:tcW w:w="32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New York Stock Exchange</w:t>
            </w:r>
          </w:p>
        </w:tc>
      </w:tr>
      <w:tr>
        <w:trPr/>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7 1/2% Debentures Due 2096</w:t>
            </w:r>
          </w:p>
        </w:tc>
        <w:tc>
          <w:tcPr>
            <w:tcW w:w="13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CCK96</w:t>
            </w:r>
          </w:p>
        </w:tc>
        <w:tc>
          <w:tcPr>
            <w:tcW w:w="32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New York Stock Exchange</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00" w:after="100"/>
        <w:jc w:val="center"/>
        <w:rPr>
          <w:rFonts w:ascii="Times New Roman;serif" w:hAnsi="Times New Roman;serif"/>
          <w:b w:val="false"/>
          <w:color w:val="000000"/>
          <w:sz w:val="24"/>
        </w:rPr>
      </w:pPr>
      <w:r>
        <w:rPr>
          <w:rFonts w:ascii="Times New Roman;serif" w:hAnsi="Times New Roman;serif"/>
          <w:b w:val="false"/>
          <w:color w:val="000000"/>
          <w:sz w:val="24"/>
        </w:rPr>
        <w:t xml:space="preserve">TABLE OF CONTENTS </w:t>
      </w:r>
    </w:p>
    <w:p>
      <w:pPr>
        <w:pStyle w:val="TextBody"/>
        <w:bidi w:val="0"/>
        <w:spacing w:before="100" w:after="100"/>
        <w:jc w:val="center"/>
        <w:rPr/>
      </w:pPr>
      <w:r>
        <w:rPr/>
      </w:r>
    </w:p>
    <w:p>
      <w:pPr>
        <w:pStyle w:val="TextBody"/>
        <w:bidi w:val="0"/>
        <w:spacing w:before="100" w:after="100"/>
        <w:jc w:val="center"/>
        <w:rPr/>
      </w:pPr>
      <w:r>
        <w:rPr/>
      </w:r>
    </w:p>
    <w:p>
      <w:pPr>
        <w:pStyle w:val="TextBody"/>
        <w:bidi w:val="0"/>
        <w:spacing w:lineRule="auto" w:line="288" w:before="100" w:after="100"/>
        <w:jc w:val="left"/>
        <w:rPr>
          <w:rFonts w:ascii="Times New Roman;serif" w:hAnsi="Times New Roman;serif"/>
          <w:b w:val="false"/>
          <w:color w:val="000000"/>
          <w:sz w:val="24"/>
        </w:rPr>
      </w:pPr>
      <w:r>
        <w:rPr>
          <w:rFonts w:ascii="Times New Roman;serif" w:hAnsi="Times New Roman;serif"/>
          <w:b w:val="false"/>
          <w:color w:val="000000"/>
          <w:sz w:val="24"/>
        </w:rPr>
        <w:t xml:space="preserve">Item 2.02. RESULTS OF OPERATIONS AND FINANCIAL CONDITION </w:t>
      </w:r>
    </w:p>
    <w:p>
      <w:pPr>
        <w:pStyle w:val="TextBody"/>
        <w:bidi w:val="0"/>
        <w:spacing w:before="100" w:after="100"/>
        <w:jc w:val="left"/>
        <w:rPr/>
      </w:pPr>
      <w:r>
        <w:rPr/>
      </w:r>
    </w:p>
    <w:p>
      <w:pPr>
        <w:pStyle w:val="TextBody"/>
        <w:bidi w:val="0"/>
        <w:spacing w:lineRule="auto" w:line="288" w:before="100" w:after="100"/>
        <w:jc w:val="left"/>
        <w:rPr>
          <w:rFonts w:ascii="Times New Roman;serif" w:hAnsi="Times New Roman;serif"/>
          <w:b w:val="false"/>
          <w:color w:val="000000"/>
          <w:sz w:val="24"/>
        </w:rPr>
      </w:pPr>
      <w:r>
        <w:rPr>
          <w:rFonts w:ascii="Times New Roman;serif" w:hAnsi="Times New Roman;serif"/>
          <w:b w:val="false"/>
          <w:color w:val="000000"/>
          <w:sz w:val="24"/>
        </w:rPr>
        <w:t xml:space="preserve">Item 9.01. FINANCIAL STATEMENTS AND EXHIBITS </w:t>
      </w:r>
    </w:p>
    <w:p>
      <w:pPr>
        <w:pStyle w:val="TextBody"/>
        <w:bidi w:val="0"/>
        <w:spacing w:before="100" w:after="100"/>
        <w:jc w:val="left"/>
        <w:rPr/>
      </w:pPr>
      <w:r>
        <w:rPr/>
      </w:r>
    </w:p>
    <w:p>
      <w:pPr>
        <w:pStyle w:val="TextBody"/>
        <w:bidi w:val="0"/>
        <w:spacing w:lineRule="auto" w:line="288" w:before="100" w:after="100"/>
        <w:jc w:val="left"/>
        <w:rPr>
          <w:rFonts w:ascii="Times New Roman;serif" w:hAnsi="Times New Roman;serif"/>
          <w:b w:val="false"/>
          <w:color w:val="000000"/>
          <w:sz w:val="24"/>
        </w:rPr>
      </w:pPr>
      <w:r>
        <w:rPr>
          <w:rFonts w:ascii="Times New Roman;serif" w:hAnsi="Times New Roman;serif"/>
          <w:b w:val="false"/>
          <w:color w:val="000000"/>
          <w:sz w:val="24"/>
        </w:rPr>
        <w:t xml:space="preserve">SIGNATURE </w:t>
      </w:r>
    </w:p>
    <w:p>
      <w:pPr>
        <w:pStyle w:val="TextBody"/>
        <w:bidi w:val="0"/>
        <w:spacing w:before="100" w:after="100"/>
        <w:jc w:val="left"/>
        <w:rPr/>
      </w:pPr>
      <w:r>
        <w:rPr/>
      </w:r>
    </w:p>
    <w:p>
      <w:pPr>
        <w:pStyle w:val="TextBody"/>
        <w:bidi w:val="0"/>
        <w:spacing w:lineRule="auto" w:line="288" w:before="100" w:after="100"/>
        <w:jc w:val="left"/>
        <w:rPr>
          <w:rFonts w:ascii="Times New Roman;serif" w:hAnsi="Times New Roman;serif"/>
          <w:b w:val="false"/>
          <w:color w:val="000000"/>
          <w:sz w:val="24"/>
        </w:rPr>
      </w:pPr>
      <w:r>
        <w:rPr>
          <w:rFonts w:ascii="Times New Roman;serif" w:hAnsi="Times New Roman;serif"/>
          <w:b w:val="false"/>
          <w:color w:val="000000"/>
          <w:sz w:val="24"/>
        </w:rPr>
        <w:t xml:space="preserve">INDEX TO EXHIBITS </w:t>
      </w:r>
    </w:p>
    <w:p>
      <w:pPr>
        <w:pStyle w:val="TextBody"/>
        <w:bidi w:val="0"/>
        <w:spacing w:before="100" w:after="100"/>
        <w:jc w:val="left"/>
        <w:rPr/>
      </w:pPr>
      <w:r>
        <w:rPr/>
      </w:r>
    </w:p>
    <w:p>
      <w:pPr>
        <w:pStyle w:val="TextBody"/>
        <w:bidi w:val="0"/>
        <w:spacing w:lineRule="auto" w:line="288" w:before="100" w:after="100"/>
        <w:jc w:val="left"/>
        <w:rPr>
          <w:rFonts w:ascii="Times New Roman;serif" w:hAnsi="Times New Roman;serif"/>
          <w:b w:val="false"/>
          <w:color w:val="000000"/>
          <w:sz w:val="24"/>
        </w:rPr>
      </w:pPr>
      <w:r>
        <w:rPr>
          <w:rFonts w:ascii="Times New Roman;serif" w:hAnsi="Times New Roman;serif"/>
          <w:b w:val="false"/>
          <w:color w:val="000000"/>
          <w:sz w:val="24"/>
        </w:rPr>
        <w:t xml:space="preserve">EX-99 PRESS RELEASE </w:t>
      </w:r>
    </w:p>
    <w:p>
      <w:pPr>
        <w:pStyle w:val="TextBody"/>
        <w:bidi w:val="0"/>
        <w:spacing w:before="100" w:after="100"/>
        <w:jc w:val="left"/>
        <w:rPr/>
      </w:pPr>
      <w:r>
        <w:rPr/>
      </w:r>
    </w:p>
    <w:p>
      <w:pPr>
        <w:pStyle w:val="TextBody"/>
        <w:bidi w:val="0"/>
        <w:spacing w:before="100" w:after="100"/>
        <w:jc w:val="left"/>
        <w:rPr/>
      </w:pPr>
      <w:r>
        <w:rPr/>
      </w:r>
    </w:p>
    <w:p>
      <w:pPr>
        <w:pStyle w:val="TextBody"/>
        <w:bidi w:val="0"/>
        <w:spacing w:before="100" w:after="100"/>
        <w:jc w:val="left"/>
        <w:rPr/>
      </w:pPr>
      <w:r>
        <w:rPr/>
      </w:r>
    </w:p>
    <w:p>
      <w:pPr>
        <w:pStyle w:val="TextBody"/>
        <w:bidi w:val="0"/>
        <w:spacing w:before="100" w:after="100"/>
        <w:jc w:val="left"/>
        <w:rPr/>
      </w:pPr>
      <w:r>
        <w:rPr/>
      </w:r>
    </w:p>
    <w:p>
      <w:pPr>
        <w:pStyle w:val="TextBody"/>
        <w:bidi w:val="0"/>
        <w:spacing w:before="100" w:after="100"/>
        <w:jc w:val="left"/>
        <w:rPr/>
      </w:pPr>
      <w:r>
        <w:rPr/>
      </w:r>
    </w:p>
    <w:p>
      <w:pPr>
        <w:pStyle w:val="TextBody"/>
        <w:bidi w:val="0"/>
        <w:spacing w:before="100" w:after="100"/>
        <w:jc w:val="left"/>
        <w:rPr/>
      </w:pPr>
      <w:r>
        <w:rPr/>
      </w:r>
    </w:p>
    <w:p>
      <w:pPr>
        <w:pStyle w:val="TextBody"/>
        <w:bidi w:val="0"/>
        <w:spacing w:before="100" w:after="100"/>
        <w:jc w:val="left"/>
        <w:rPr/>
      </w:pPr>
      <w:r>
        <w:rPr/>
      </w:r>
    </w:p>
    <w:p>
      <w:pPr>
        <w:pStyle w:val="TextBody"/>
        <w:bidi w:val="0"/>
        <w:spacing w:before="100" w:after="100"/>
        <w:jc w:val="left"/>
        <w:rPr/>
      </w:pPr>
      <w:r>
        <w:rPr/>
      </w:r>
    </w:p>
    <w:p>
      <w:pPr>
        <w:pStyle w:val="TextBody"/>
        <w:bidi w:val="0"/>
        <w:spacing w:before="100" w:after="100"/>
        <w:jc w:val="left"/>
        <w:rPr/>
      </w:pPr>
      <w:r>
        <w:rPr/>
      </w:r>
    </w:p>
    <w:p>
      <w:pPr>
        <w:pStyle w:val="TextBody"/>
        <w:bidi w:val="0"/>
        <w:spacing w:before="100" w:after="100"/>
        <w:jc w:val="left"/>
        <w:rPr/>
      </w:pPr>
      <w:r>
        <w:rPr/>
      </w:r>
    </w:p>
    <w:p>
      <w:pPr>
        <w:pStyle w:val="TextBody"/>
        <w:bidi w:val="0"/>
        <w:spacing w:before="100" w:after="100"/>
        <w:jc w:val="left"/>
        <w:rPr/>
      </w:pPr>
      <w:r>
        <w:rPr/>
      </w:r>
    </w:p>
    <w:p>
      <w:pPr>
        <w:pStyle w:val="TextBody"/>
        <w:bidi w:val="0"/>
        <w:spacing w:before="100" w:after="100"/>
        <w:jc w:val="left"/>
        <w:rPr/>
      </w:pPr>
      <w:r>
        <w:rPr/>
      </w:r>
    </w:p>
    <w:p>
      <w:pPr>
        <w:pStyle w:val="TextBody"/>
        <w:bidi w:val="0"/>
        <w:spacing w:before="100" w:after="100"/>
        <w:jc w:val="left"/>
        <w:rPr/>
      </w:pPr>
      <w:r>
        <w:rPr/>
      </w:r>
    </w:p>
    <w:p>
      <w:pPr>
        <w:pStyle w:val="TextBody"/>
        <w:bidi w:val="0"/>
        <w:spacing w:before="100" w:after="100"/>
        <w:jc w:val="left"/>
        <w:rPr/>
      </w:pPr>
      <w:r>
        <w:rPr/>
      </w:r>
    </w:p>
    <w:p>
      <w:pPr>
        <w:pStyle w:val="TextBody"/>
        <w:bidi w:val="0"/>
        <w:spacing w:before="100" w:after="100"/>
        <w:jc w:val="left"/>
        <w:rPr/>
      </w:pPr>
      <w:r>
        <w:rPr/>
      </w:r>
    </w:p>
    <w:p>
      <w:pPr>
        <w:pStyle w:val="TextBody"/>
        <w:bidi w:val="0"/>
        <w:spacing w:before="100" w:after="100"/>
        <w:jc w:val="left"/>
        <w:rPr/>
      </w:pPr>
      <w:r>
        <w:rPr/>
      </w:r>
    </w:p>
    <w:p>
      <w:pPr>
        <w:pStyle w:val="TextBody"/>
        <w:bidi w:val="0"/>
        <w:spacing w:before="100" w:after="100"/>
        <w:jc w:val="left"/>
        <w:rPr/>
      </w:pPr>
      <w:r>
        <w:rPr/>
      </w:r>
    </w:p>
    <w:p>
      <w:pPr>
        <w:pStyle w:val="TextBody"/>
        <w:bidi w:val="0"/>
        <w:spacing w:before="100" w:after="100"/>
        <w:jc w:val="left"/>
        <w:rPr/>
      </w:pPr>
      <w:r>
        <w:rPr/>
      </w:r>
    </w:p>
    <w:p>
      <w:pPr>
        <w:pStyle w:val="TextBody"/>
        <w:bidi w:val="0"/>
        <w:spacing w:before="100" w:after="100"/>
        <w:jc w:val="left"/>
        <w:rPr/>
      </w:pPr>
      <w:r>
        <w:rPr/>
      </w:r>
    </w:p>
    <w:p>
      <w:pPr>
        <w:pStyle w:val="TextBody"/>
        <w:bidi w:val="0"/>
        <w:spacing w:before="100" w:after="100"/>
        <w:jc w:val="left"/>
        <w:rPr/>
      </w:pPr>
      <w:r>
        <w:rPr/>
      </w:r>
    </w:p>
    <w:p>
      <w:pPr>
        <w:pStyle w:val="TextBody"/>
        <w:bidi w:val="0"/>
        <w:spacing w:before="100" w:after="100"/>
        <w:jc w:val="left"/>
        <w:rPr/>
      </w:pPr>
      <w:r>
        <w:rPr/>
      </w:r>
    </w:p>
    <w:p>
      <w:pPr>
        <w:pStyle w:val="TextBody"/>
        <w:bidi w:val="0"/>
        <w:spacing w:before="100" w:after="100"/>
        <w:jc w:val="left"/>
        <w:rPr/>
      </w:pPr>
      <w:r>
        <w:rPr/>
      </w:r>
    </w:p>
    <w:p>
      <w:pPr>
        <w:pStyle w:val="TextBody"/>
        <w:bidi w:val="0"/>
        <w:spacing w:before="100" w:after="100"/>
        <w:jc w:val="left"/>
        <w:rPr/>
      </w:pPr>
      <w:r>
        <w:rPr/>
      </w:r>
    </w:p>
    <w:p>
      <w:pPr>
        <w:pStyle w:val="TextBody"/>
        <w:bidi w:val="0"/>
        <w:spacing w:before="100" w:after="100"/>
        <w:jc w:val="center"/>
        <w:rPr/>
      </w:pPr>
      <w:r>
        <w:rPr/>
      </w:r>
    </w:p>
    <w:p>
      <w:pPr>
        <w:pStyle w:val="TextBody"/>
        <w:bidi w:val="0"/>
        <w:spacing w:before="100" w:after="100"/>
        <w:jc w:val="center"/>
        <w:rPr/>
      </w:pPr>
      <w:r>
        <w:rPr/>
      </w:r>
    </w:p>
    <w:p>
      <w:pPr>
        <w:pStyle w:val="TextBody"/>
        <w:bidi w:val="0"/>
        <w:spacing w:lineRule="auto" w:line="288" w:before="100" w:after="100"/>
        <w:jc w:val="center"/>
        <w:rPr>
          <w:rFonts w:ascii="Times New Roman;serif" w:hAnsi="Times New Roman;serif"/>
          <w:b w:val="false"/>
          <w:color w:val="000000"/>
          <w:sz w:val="24"/>
        </w:rPr>
      </w:pPr>
      <w:r>
        <w:rPr>
          <w:rFonts w:ascii="Times New Roman;serif" w:hAnsi="Times New Roman;serif"/>
          <w:b w:val="false"/>
          <w:color w:val="000000"/>
          <w:sz w:val="24"/>
        </w:rPr>
        <w:t xml:space="preserve">2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100" w:after="100"/>
        <w:jc w:val="left"/>
        <w:rPr/>
      </w:pPr>
      <w:r>
        <w:rPr/>
      </w:r>
    </w:p>
    <w:p>
      <w:pPr>
        <w:pStyle w:val="TextBody"/>
        <w:bidi w:val="0"/>
        <w:spacing w:lineRule="auto" w:line="288" w:before="100" w:after="100"/>
        <w:jc w:val="left"/>
        <w:rPr>
          <w:rFonts w:ascii="Times New Roman;serif" w:hAnsi="Times New Roman;serif"/>
          <w:b/>
          <w:color w:val="000000"/>
          <w:sz w:val="24"/>
        </w:rPr>
      </w:pPr>
      <w:r>
        <w:rPr>
          <w:rFonts w:ascii="Times New Roman;serif" w:hAnsi="Times New Roman;serif"/>
          <w:b/>
          <w:color w:val="000000"/>
          <w:sz w:val="24"/>
        </w:rPr>
        <w:t xml:space="preserve">Item 2.02. Results of Operations and Financial Condition </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On July 20, 2026 Crown Holdings, Inc. issued a press release announcing its earnings for the second quarter ended June 30, 2026. A copy of the press release is attached hereto as Exhibit 99 and incorporated herein by reference.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The information in this Report shall not be deemed to be "filed" for purposes of Section 18 of the Securities Exchange Act of 1934, as amended, (the "Exchange Act") or otherwise subject to the liability of that section, and shall not be deemed incorporated by reference in any filing under the Securities Act of 1933, as amended, or the Exchange Act, except as shall be expressly set forth by specific reference in such filing. </w:t>
      </w:r>
    </w:p>
    <w:p>
      <w:pPr>
        <w:pStyle w:val="TextBody"/>
        <w:bidi w:val="0"/>
        <w:spacing w:before="100" w:after="100"/>
        <w:jc w:val="left"/>
        <w:rPr/>
      </w:pPr>
      <w:r>
        <w:rPr/>
      </w:r>
    </w:p>
    <w:p>
      <w:pPr>
        <w:pStyle w:val="TextBody"/>
        <w:bidi w:val="0"/>
        <w:spacing w:lineRule="auto" w:line="288" w:before="100" w:after="100"/>
        <w:jc w:val="left"/>
        <w:rPr>
          <w:rFonts w:ascii="Times New Roman;serif" w:hAnsi="Times New Roman;serif"/>
          <w:b/>
          <w:color w:val="000000"/>
          <w:sz w:val="24"/>
        </w:rPr>
      </w:pPr>
      <w:r>
        <w:rPr>
          <w:rFonts w:ascii="Times New Roman;serif" w:hAnsi="Times New Roman;serif"/>
          <w:b/>
          <w:color w:val="000000"/>
          <w:sz w:val="24"/>
        </w:rPr>
        <w:t xml:space="preserve">Item 9.01. Financial Statements and Exhibits </w:t>
      </w:r>
    </w:p>
    <w:p>
      <w:pPr>
        <w:pStyle w:val="TextBody"/>
        <w:bidi w:val="0"/>
        <w:spacing w:before="100" w:after="100"/>
        <w:jc w:val="left"/>
        <w:rPr/>
      </w:pPr>
      <w:r>
        <w:rPr/>
      </w:r>
    </w:p>
    <w:p>
      <w:pPr>
        <w:pStyle w:val="TextBody"/>
        <w:bidi w:val="0"/>
        <w:spacing w:lineRule="auto" w:line="288" w:before="100" w:after="100"/>
        <w:jc w:val="left"/>
        <w:rPr>
          <w:rFonts w:ascii="Times New Roman;serif" w:hAnsi="Times New Roman;serif"/>
          <w:b w:val="false"/>
          <w:color w:val="000000"/>
          <w:sz w:val="24"/>
        </w:rPr>
      </w:pPr>
      <w:r>
        <w:rPr>
          <w:rFonts w:ascii="Times New Roman;serif" w:hAnsi="Times New Roman;serif"/>
          <w:b w:val="false"/>
          <w:color w:val="000000"/>
          <w:sz w:val="24"/>
        </w:rPr>
        <w:t xml:space="preserve">(c) Exhibits. </w:t>
      </w:r>
    </w:p>
    <w:p>
      <w:pPr>
        <w:pStyle w:val="TextBody"/>
        <w:bidi w:val="0"/>
        <w:spacing w:before="100" w:after="100"/>
        <w:jc w:val="left"/>
        <w:rPr/>
      </w:pPr>
      <w:r>
        <w:rPr/>
      </w:r>
    </w:p>
    <w:p>
      <w:pPr>
        <w:pStyle w:val="TextBody"/>
        <w:bidi w:val="0"/>
        <w:spacing w:lineRule="auto" w:line="288" w:before="100" w:after="100"/>
        <w:jc w:val="left"/>
        <w:rPr>
          <w:rFonts w:ascii="Times New Roman;serif" w:hAnsi="Times New Roman;serif"/>
          <w:b w:val="false"/>
          <w:color w:val="000000"/>
          <w:sz w:val="24"/>
        </w:rPr>
      </w:pPr>
      <w:r>
        <w:rPr>
          <w:rFonts w:ascii="Times New Roman;serif" w:hAnsi="Times New Roman;serif"/>
          <w:b w:val="false"/>
          <w:color w:val="000000"/>
          <w:sz w:val="24"/>
        </w:rPr>
        <w:t xml:space="preserve">The following is furnished as an exhibit to this report. </w:t>
      </w:r>
    </w:p>
    <w:p>
      <w:pPr>
        <w:pStyle w:val="TextBody"/>
        <w:bidi w:val="0"/>
        <w:spacing w:lineRule="auto" w:line="288" w:before="0" w:after="0"/>
        <w:jc w:val="left"/>
        <w:rPr/>
      </w:pPr>
      <w:r>
        <w:rPr>
          <w:rFonts w:ascii="Times New Roman;serif" w:hAnsi="Times New Roman;serif"/>
          <w:b w:val="false"/>
          <w:color w:val="000000"/>
          <w:sz w:val="24"/>
        </w:rPr>
        <w:t>99     </w:t>
      </w:r>
      <w:hyperlink w:anchor="ex99jun2026.htm">
        <w:r>
          <w:rPr>
            <w:rStyle w:val="InternetLink"/>
            <w:rFonts w:ascii="Times New Roman;serif" w:hAnsi="Times New Roman;serif"/>
            <w:b w:val="false"/>
            <w:color w:val="0000FF"/>
            <w:sz w:val="24"/>
            <w:u w:val="single"/>
          </w:rPr>
          <w:t>Press release, dated July 20, 2026, issued by Crown Holdings, Inc.</w:t>
        </w:r>
      </w:hyperlink>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104    Cover Page Interactive Data File (embedded within the Inline XBRL document).</w:t>
      </w:r>
    </w:p>
    <w:p>
      <w:pPr>
        <w:pStyle w:val="TextBody"/>
        <w:bidi w:val="0"/>
        <w:spacing w:before="100" w:after="100"/>
        <w:jc w:val="left"/>
        <w:rPr/>
      </w:pPr>
      <w:r>
        <w:rPr/>
      </w:r>
    </w:p>
    <w:p>
      <w:pPr>
        <w:pStyle w:val="TextBody"/>
        <w:bidi w:val="0"/>
        <w:spacing w:before="100" w:after="100"/>
        <w:jc w:val="left"/>
        <w:rPr/>
      </w:pPr>
      <w:r>
        <w:rPr/>
      </w:r>
    </w:p>
    <w:p>
      <w:pPr>
        <w:pStyle w:val="TextBody"/>
        <w:bidi w:val="0"/>
        <w:spacing w:before="100" w:after="100"/>
        <w:jc w:val="left"/>
        <w:rPr/>
      </w:pPr>
      <w:r>
        <w:rPr/>
      </w:r>
    </w:p>
    <w:p>
      <w:pPr>
        <w:pStyle w:val="TextBody"/>
        <w:bidi w:val="0"/>
        <w:spacing w:before="100" w:after="100"/>
        <w:jc w:val="left"/>
        <w:rPr/>
      </w:pPr>
      <w:r>
        <w:rPr/>
      </w:r>
    </w:p>
    <w:p>
      <w:pPr>
        <w:pStyle w:val="TextBody"/>
        <w:bidi w:val="0"/>
        <w:spacing w:before="100" w:after="100"/>
        <w:jc w:val="left"/>
        <w:rPr/>
      </w:pPr>
      <w:r>
        <w:rPr/>
      </w:r>
    </w:p>
    <w:p>
      <w:pPr>
        <w:pStyle w:val="TextBody"/>
        <w:bidi w:val="0"/>
        <w:spacing w:before="100" w:after="100"/>
        <w:jc w:val="left"/>
        <w:rPr/>
      </w:pPr>
      <w:r>
        <w:rPr/>
      </w:r>
    </w:p>
    <w:p>
      <w:pPr>
        <w:pStyle w:val="TextBody"/>
        <w:bidi w:val="0"/>
        <w:spacing w:before="100" w:after="100"/>
        <w:jc w:val="left"/>
        <w:rPr/>
      </w:pPr>
      <w:r>
        <w:rPr/>
      </w:r>
    </w:p>
    <w:p>
      <w:pPr>
        <w:pStyle w:val="TextBody"/>
        <w:bidi w:val="0"/>
        <w:spacing w:before="100" w:after="100"/>
        <w:jc w:val="left"/>
        <w:rPr/>
      </w:pPr>
      <w:r>
        <w:rPr/>
      </w:r>
    </w:p>
    <w:p>
      <w:pPr>
        <w:pStyle w:val="TextBody"/>
        <w:bidi w:val="0"/>
        <w:spacing w:before="100" w:after="100"/>
        <w:jc w:val="left"/>
        <w:rPr/>
      </w:pPr>
      <w:r>
        <w:rPr/>
      </w:r>
    </w:p>
    <w:p>
      <w:pPr>
        <w:pStyle w:val="TextBody"/>
        <w:bidi w:val="0"/>
        <w:spacing w:before="100" w:after="100"/>
        <w:jc w:val="left"/>
        <w:rPr/>
      </w:pPr>
      <w:r>
        <w:rPr/>
      </w:r>
    </w:p>
    <w:p>
      <w:pPr>
        <w:pStyle w:val="TextBody"/>
        <w:bidi w:val="0"/>
        <w:spacing w:before="100" w:after="100"/>
        <w:jc w:val="left"/>
        <w:rPr/>
      </w:pPr>
      <w:r>
        <w:rPr/>
      </w:r>
    </w:p>
    <w:p>
      <w:pPr>
        <w:pStyle w:val="TextBody"/>
        <w:bidi w:val="0"/>
        <w:spacing w:before="100" w:after="100"/>
        <w:jc w:val="left"/>
        <w:rPr/>
      </w:pPr>
      <w:r>
        <w:rPr/>
      </w:r>
    </w:p>
    <w:p>
      <w:pPr>
        <w:pStyle w:val="TextBody"/>
        <w:bidi w:val="0"/>
        <w:spacing w:before="100" w:after="100"/>
        <w:jc w:val="left"/>
        <w:rPr/>
      </w:pPr>
      <w:r>
        <w:rPr/>
      </w:r>
    </w:p>
    <w:p>
      <w:pPr>
        <w:pStyle w:val="TextBody"/>
        <w:bidi w:val="0"/>
        <w:spacing w:before="100" w:after="100"/>
        <w:jc w:val="left"/>
        <w:rPr/>
      </w:pPr>
      <w:r>
        <w:rPr/>
      </w:r>
    </w:p>
    <w:p>
      <w:pPr>
        <w:pStyle w:val="TextBody"/>
        <w:bidi w:val="0"/>
        <w:spacing w:before="100" w:after="100"/>
        <w:jc w:val="left"/>
        <w:rPr/>
      </w:pPr>
      <w:r>
        <w:rPr/>
      </w:r>
    </w:p>
    <w:p>
      <w:pPr>
        <w:pStyle w:val="TextBody"/>
        <w:bidi w:val="0"/>
        <w:spacing w:before="100" w:after="100"/>
        <w:jc w:val="left"/>
        <w:rPr/>
      </w:pPr>
      <w:r>
        <w:rPr/>
      </w:r>
    </w:p>
    <w:p>
      <w:pPr>
        <w:pStyle w:val="TextBody"/>
        <w:bidi w:val="0"/>
        <w:spacing w:before="100" w:after="100"/>
        <w:jc w:val="left"/>
        <w:rPr/>
      </w:pPr>
      <w:r>
        <w:rPr/>
      </w:r>
    </w:p>
    <w:p>
      <w:pPr>
        <w:pStyle w:val="TextBody"/>
        <w:bidi w:val="0"/>
        <w:spacing w:before="100" w:after="100"/>
        <w:jc w:val="left"/>
        <w:rPr/>
      </w:pPr>
      <w:r>
        <w:rPr/>
      </w:r>
    </w:p>
    <w:p>
      <w:pPr>
        <w:pStyle w:val="TextBody"/>
        <w:bidi w:val="0"/>
        <w:spacing w:before="100" w:after="100"/>
        <w:jc w:val="left"/>
        <w:rPr/>
      </w:pPr>
      <w:r>
        <w:rPr/>
      </w:r>
    </w:p>
    <w:p>
      <w:pPr>
        <w:pStyle w:val="TextBody"/>
        <w:bidi w:val="0"/>
        <w:spacing w:before="100" w:after="100"/>
        <w:jc w:val="center"/>
        <w:rPr/>
      </w:pPr>
      <w:r>
        <w:rPr/>
      </w:r>
    </w:p>
    <w:p>
      <w:pPr>
        <w:pStyle w:val="TextBody"/>
        <w:bidi w:val="0"/>
        <w:spacing w:before="100" w:after="100"/>
        <w:jc w:val="center"/>
        <w:rPr/>
      </w:pPr>
      <w:r>
        <w:rPr/>
      </w:r>
    </w:p>
    <w:p>
      <w:pPr>
        <w:pStyle w:val="TextBody"/>
        <w:bidi w:val="0"/>
        <w:spacing w:lineRule="auto" w:line="288" w:before="100" w:after="100"/>
        <w:jc w:val="center"/>
        <w:rPr>
          <w:rFonts w:ascii="Times New Roman;serif" w:hAnsi="Times New Roman;serif"/>
          <w:b w:val="false"/>
          <w:color w:val="000000"/>
          <w:sz w:val="24"/>
        </w:rPr>
      </w:pPr>
      <w:r>
        <w:rPr>
          <w:rFonts w:ascii="Times New Roman;serif" w:hAnsi="Times New Roman;serif"/>
          <w:b w:val="false"/>
          <w:color w:val="000000"/>
          <w:sz w:val="24"/>
        </w:rPr>
        <w:t xml:space="preserve">3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100" w:after="100"/>
        <w:jc w:val="center"/>
        <w:rPr/>
      </w:pPr>
      <w:r>
        <w:rPr/>
      </w:r>
    </w:p>
    <w:p>
      <w:pPr>
        <w:pStyle w:val="TextBody"/>
        <w:bidi w:val="0"/>
        <w:spacing w:lineRule="auto" w:line="288" w:before="100" w:after="100"/>
        <w:jc w:val="center"/>
        <w:rPr>
          <w:rFonts w:ascii="Times New Roman;serif" w:hAnsi="Times New Roman;serif"/>
          <w:b w:val="false"/>
          <w:color w:val="000000"/>
          <w:sz w:val="24"/>
        </w:rPr>
      </w:pPr>
      <w:r>
        <w:rPr>
          <w:rFonts w:ascii="Times New Roman;serif" w:hAnsi="Times New Roman;serif"/>
          <w:b w:val="false"/>
          <w:color w:val="000000"/>
          <w:sz w:val="24"/>
        </w:rPr>
        <w:t>SIGNATURE</w:t>
      </w:r>
    </w:p>
    <w:p>
      <w:pPr>
        <w:pStyle w:val="TextBody"/>
        <w:bidi w:val="0"/>
        <w:spacing w:before="100" w:after="100"/>
        <w:jc w:val="center"/>
        <w:rPr/>
      </w:pPr>
      <w:r>
        <w:rPr/>
      </w:r>
    </w:p>
    <w:p>
      <w:pPr>
        <w:pStyle w:val="TextBody"/>
        <w:bidi w:val="0"/>
        <w:spacing w:before="100" w:after="100"/>
        <w:jc w:val="center"/>
        <w:rPr/>
      </w:pPr>
      <w:r>
        <w:rPr/>
      </w:r>
    </w:p>
    <w:p>
      <w:pPr>
        <w:pStyle w:val="TextBody"/>
        <w:bidi w:val="0"/>
        <w:spacing w:lineRule="auto" w:line="288" w:before="100" w:after="100"/>
        <w:jc w:val="left"/>
        <w:rPr>
          <w:rFonts w:ascii="Times New Roman;serif" w:hAnsi="Times New Roman;serif"/>
          <w:b w:val="false"/>
          <w:color w:val="000000"/>
          <w:sz w:val="24"/>
        </w:rPr>
      </w:pPr>
      <w:r>
        <w:rPr>
          <w:rFonts w:ascii="Times New Roman;serif" w:hAnsi="Times New Roman;serif"/>
          <w:b w:val="false"/>
          <w:color w:val="000000"/>
          <w:sz w:val="24"/>
        </w:rPr>
        <w:t xml:space="preserve">Pursuant to the requirements of the Securities Exchange Act of 1934, the Registrant has duly caused this report to be signed on its behalf by the undersigned hereunto duly authorized. </w:t>
      </w:r>
    </w:p>
    <w:tbl>
      <w:tblPr>
        <w:tblW w:w="3326" w:type="dxa"/>
        <w:jc w:val="center"/>
        <w:tblInd w:w="0" w:type="dxa"/>
        <w:tblLayout w:type="fixed"/>
        <w:tblCellMar>
          <w:top w:w="28" w:type="dxa"/>
          <w:left w:w="28" w:type="dxa"/>
          <w:bottom w:w="28" w:type="dxa"/>
          <w:right w:w="28" w:type="dxa"/>
        </w:tblCellMar>
      </w:tblPr>
      <w:tblGrid>
        <w:gridCol w:w="124"/>
        <w:gridCol w:w="109"/>
        <w:gridCol w:w="109"/>
        <w:gridCol w:w="874"/>
        <w:gridCol w:w="874"/>
        <w:gridCol w:w="123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123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CROWN HOLDINGS, INC.</w:t>
            </w:r>
          </w:p>
        </w:tc>
      </w:tr>
    </w:tbl>
    <w:tbl>
      <w:tblPr>
        <w:tblW w:w="4196" w:type="dxa"/>
        <w:jc w:val="center"/>
        <w:tblInd w:w="0" w:type="dxa"/>
        <w:tblLayout w:type="fixed"/>
        <w:tblCellMar>
          <w:top w:w="28" w:type="dxa"/>
          <w:left w:w="28" w:type="dxa"/>
          <w:bottom w:w="28" w:type="dxa"/>
          <w:right w:w="28" w:type="dxa"/>
        </w:tblCellMar>
      </w:tblPr>
      <w:tblGrid>
        <w:gridCol w:w="124"/>
        <w:gridCol w:w="109"/>
        <w:gridCol w:w="109"/>
        <w:gridCol w:w="149"/>
        <w:gridCol w:w="149"/>
        <w:gridCol w:w="151"/>
        <w:gridCol w:w="997"/>
        <w:gridCol w:w="997"/>
        <w:gridCol w:w="141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41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By:</w:t>
            </w:r>
          </w:p>
        </w:tc>
        <w:tc>
          <w:tcPr>
            <w:tcW w:w="34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 Kevin B. Garry</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Kevin B. Garry</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Vice President and Corporate Controller</w:t>
            </w:r>
          </w:p>
        </w:tc>
      </w:tr>
    </w:tbl>
    <w:p>
      <w:pPr>
        <w:pStyle w:val="TextBody"/>
        <w:bidi w:val="0"/>
        <w:spacing w:before="0" w:after="100"/>
        <w:jc w:val="left"/>
        <w:rPr/>
      </w:pPr>
      <w:r>
        <w:rPr/>
      </w:r>
    </w:p>
    <w:p>
      <w:pPr>
        <w:pStyle w:val="TextBody"/>
        <w:bidi w:val="0"/>
        <w:spacing w:before="100" w:after="100"/>
        <w:jc w:val="left"/>
        <w:rPr/>
      </w:pPr>
      <w:r>
        <w:rPr/>
      </w:r>
    </w:p>
    <w:p>
      <w:pPr>
        <w:pStyle w:val="TextBody"/>
        <w:bidi w:val="0"/>
        <w:spacing w:before="100" w:after="100"/>
        <w:jc w:val="left"/>
        <w:rPr/>
      </w:pPr>
      <w:r>
        <w:rPr/>
      </w:r>
    </w:p>
    <w:p>
      <w:pPr>
        <w:pStyle w:val="TextBody"/>
        <w:bidi w:val="0"/>
        <w:spacing w:lineRule="auto" w:line="288" w:before="100" w:after="100"/>
        <w:jc w:val="left"/>
        <w:rPr>
          <w:rFonts w:ascii="Times New Roman;serif" w:hAnsi="Times New Roman;serif"/>
          <w:b w:val="false"/>
          <w:color w:val="000000"/>
          <w:sz w:val="24"/>
        </w:rPr>
      </w:pPr>
      <w:r>
        <w:rPr>
          <w:rFonts w:ascii="Times New Roman;serif" w:hAnsi="Times New Roman;serif"/>
          <w:b w:val="false"/>
          <w:color w:val="000000"/>
          <w:sz w:val="24"/>
        </w:rPr>
        <w:t>Dated: July 20, 2026</w:t>
      </w:r>
    </w:p>
    <w:p>
      <w:pPr>
        <w:pStyle w:val="TextBody"/>
        <w:bidi w:val="0"/>
        <w:spacing w:before="100" w:after="100"/>
        <w:jc w:val="left"/>
        <w:rPr/>
      </w:pPr>
      <w:r>
        <w:rPr/>
      </w:r>
    </w:p>
    <w:p>
      <w:pPr>
        <w:pStyle w:val="TextBody"/>
        <w:bidi w:val="0"/>
        <w:spacing w:before="100" w:after="100"/>
        <w:jc w:val="left"/>
        <w:rPr/>
      </w:pPr>
      <w:r>
        <w:rPr/>
      </w:r>
    </w:p>
    <w:p>
      <w:pPr>
        <w:pStyle w:val="TextBody"/>
        <w:bidi w:val="0"/>
        <w:spacing w:before="100" w:after="100"/>
        <w:jc w:val="left"/>
        <w:rPr/>
      </w:pPr>
      <w:r>
        <w:rPr/>
      </w:r>
    </w:p>
    <w:p>
      <w:pPr>
        <w:pStyle w:val="TextBody"/>
        <w:bidi w:val="0"/>
        <w:spacing w:before="100" w:after="100"/>
        <w:jc w:val="left"/>
        <w:rPr/>
      </w:pPr>
      <w:r>
        <w:rPr/>
      </w:r>
    </w:p>
    <w:p>
      <w:pPr>
        <w:pStyle w:val="TextBody"/>
        <w:bidi w:val="0"/>
        <w:spacing w:before="100" w:after="100"/>
        <w:jc w:val="left"/>
        <w:rPr/>
      </w:pPr>
      <w:r>
        <w:rPr/>
      </w:r>
    </w:p>
    <w:p>
      <w:pPr>
        <w:pStyle w:val="TextBody"/>
        <w:bidi w:val="0"/>
        <w:spacing w:before="100" w:after="100"/>
        <w:jc w:val="left"/>
        <w:rPr/>
      </w:pPr>
      <w:r>
        <w:rPr/>
      </w:r>
    </w:p>
    <w:p>
      <w:pPr>
        <w:pStyle w:val="TextBody"/>
        <w:bidi w:val="0"/>
        <w:spacing w:before="100" w:after="100"/>
        <w:jc w:val="left"/>
        <w:rPr/>
      </w:pPr>
      <w:r>
        <w:rPr/>
      </w:r>
    </w:p>
    <w:p>
      <w:pPr>
        <w:pStyle w:val="TextBody"/>
        <w:bidi w:val="0"/>
        <w:spacing w:before="100" w:after="100"/>
        <w:jc w:val="left"/>
        <w:rPr/>
      </w:pPr>
      <w:r>
        <w:rPr/>
      </w:r>
    </w:p>
    <w:p>
      <w:pPr>
        <w:pStyle w:val="TextBody"/>
        <w:bidi w:val="0"/>
        <w:spacing w:before="100" w:after="100"/>
        <w:jc w:val="left"/>
        <w:rPr/>
      </w:pPr>
      <w:r>
        <w:rPr/>
      </w:r>
    </w:p>
    <w:p>
      <w:pPr>
        <w:pStyle w:val="TextBody"/>
        <w:bidi w:val="0"/>
        <w:spacing w:before="100" w:after="100"/>
        <w:jc w:val="left"/>
        <w:rPr/>
      </w:pPr>
      <w:r>
        <w:rPr/>
      </w:r>
    </w:p>
    <w:p>
      <w:pPr>
        <w:pStyle w:val="TextBody"/>
        <w:bidi w:val="0"/>
        <w:spacing w:before="100" w:after="100"/>
        <w:jc w:val="left"/>
        <w:rPr/>
      </w:pPr>
      <w:r>
        <w:rPr/>
      </w:r>
    </w:p>
    <w:p>
      <w:pPr>
        <w:pStyle w:val="TextBody"/>
        <w:bidi w:val="0"/>
        <w:spacing w:before="100" w:after="100"/>
        <w:jc w:val="left"/>
        <w:rPr/>
      </w:pPr>
      <w:r>
        <w:rPr/>
      </w:r>
    </w:p>
    <w:p>
      <w:pPr>
        <w:pStyle w:val="TextBody"/>
        <w:bidi w:val="0"/>
        <w:spacing w:before="100" w:after="100"/>
        <w:jc w:val="left"/>
        <w:rPr/>
      </w:pPr>
      <w:r>
        <w:rPr/>
      </w:r>
    </w:p>
    <w:p>
      <w:pPr>
        <w:pStyle w:val="TextBody"/>
        <w:bidi w:val="0"/>
        <w:spacing w:before="100" w:after="100"/>
        <w:jc w:val="left"/>
        <w:rPr/>
      </w:pPr>
      <w:r>
        <w:rPr/>
      </w:r>
    </w:p>
    <w:p>
      <w:pPr>
        <w:pStyle w:val="TextBody"/>
        <w:bidi w:val="0"/>
        <w:spacing w:before="100" w:after="100"/>
        <w:jc w:val="left"/>
        <w:rPr/>
      </w:pPr>
      <w:r>
        <w:rPr/>
      </w:r>
    </w:p>
    <w:p>
      <w:pPr>
        <w:pStyle w:val="TextBody"/>
        <w:bidi w:val="0"/>
        <w:spacing w:before="100" w:after="100"/>
        <w:jc w:val="left"/>
        <w:rPr/>
      </w:pPr>
      <w:r>
        <w:rPr/>
      </w:r>
    </w:p>
    <w:p>
      <w:pPr>
        <w:pStyle w:val="TextBody"/>
        <w:bidi w:val="0"/>
        <w:spacing w:before="100" w:after="100"/>
        <w:jc w:val="center"/>
        <w:rPr/>
      </w:pPr>
      <w:r>
        <w:rPr/>
      </w:r>
    </w:p>
    <w:p>
      <w:pPr>
        <w:pStyle w:val="TextBody"/>
        <w:bidi w:val="0"/>
        <w:spacing w:before="100" w:after="100"/>
        <w:jc w:val="center"/>
        <w:rPr/>
      </w:pPr>
      <w:r>
        <w:rPr/>
      </w:r>
    </w:p>
    <w:p>
      <w:pPr>
        <w:pStyle w:val="TextBody"/>
        <w:bidi w:val="0"/>
        <w:spacing w:before="100" w:after="100"/>
        <w:jc w:val="center"/>
        <w:rPr/>
      </w:pPr>
      <w:r>
        <w:rPr/>
      </w:r>
    </w:p>
    <w:p>
      <w:pPr>
        <w:pStyle w:val="TextBody"/>
        <w:bidi w:val="0"/>
        <w:spacing w:lineRule="auto" w:line="288" w:before="100" w:after="100"/>
        <w:jc w:val="center"/>
        <w:rPr>
          <w:rFonts w:ascii="Times New Roman;serif" w:hAnsi="Times New Roman;serif"/>
          <w:b w:val="false"/>
          <w:color w:val="000000"/>
          <w:sz w:val="24"/>
        </w:rPr>
      </w:pPr>
      <w:r>
        <w:rPr>
          <w:rFonts w:ascii="Times New Roman;serif" w:hAnsi="Times New Roman;serif"/>
          <w:b w:val="false"/>
          <w:color w:val="000000"/>
          <w:sz w:val="24"/>
        </w:rPr>
        <w:t xml:space="preserve">4 </w:t>
      </w:r>
    </w:p>
    <w:p>
      <w:pPr>
        <w:pStyle w:val="TextBody"/>
        <w:bidi w:val="0"/>
        <w:spacing w:before="100" w:after="100"/>
        <w:jc w:val="center"/>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120" w:after="120"/>
        <w:jc w:val="center"/>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center"/>
                        <w:rPr/>
                      </w:pPr>
                      <w:r>
                        <w:rPr/>
                      </w:r>
                    </w:p>
                  </w:txbxContent>
                </v:textbox>
                <w10:wrap type="none"/>
              </v:rect>
            </w:pict>
          </mc:Fallback>
        </mc:AlternateContent>
      </w:r>
    </w:p>
    <w:tbl>
      <w:tblPr>
        <w:tblW w:w="5738" w:type="dxa"/>
        <w:jc w:val="center"/>
        <w:tblInd w:w="0" w:type="dxa"/>
        <w:tblLayout w:type="fixed"/>
        <w:tblCellMar>
          <w:top w:w="28" w:type="dxa"/>
          <w:left w:w="28" w:type="dxa"/>
          <w:bottom w:w="28" w:type="dxa"/>
          <w:right w:w="28" w:type="dxa"/>
        </w:tblCellMar>
      </w:tblPr>
      <w:tblGrid>
        <w:gridCol w:w="929"/>
        <w:gridCol w:w="817"/>
        <w:gridCol w:w="819"/>
        <w:gridCol w:w="109"/>
        <w:gridCol w:w="109"/>
        <w:gridCol w:w="109"/>
        <w:gridCol w:w="833"/>
        <w:gridCol w:w="833"/>
        <w:gridCol w:w="1180"/>
      </w:tblGrid>
      <w:tr>
        <w:trPr/>
        <w:tc>
          <w:tcPr>
            <w:tcW w:w="929"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8"/>
                <w:u w:val="single"/>
              </w:rPr>
            </w:pPr>
            <w:r>
              <w:rPr>
                <w:rFonts w:ascii="Arial;sans-serif" w:hAnsi="Arial;sans-serif"/>
                <w:b/>
                <w:color w:val="000000"/>
                <w:sz w:val="28"/>
                <w:u w:val="single"/>
              </w:rPr>
              <w:t>News Release</w:t>
            </w:r>
          </w:p>
          <w:p>
            <w:pPr>
              <w:pStyle w:val="TableContents"/>
              <w:bidi w:val="0"/>
              <w:spacing w:before="0" w:after="0"/>
              <w:jc w:val="left"/>
              <w:rPr/>
            </w:pPr>
            <w:r>
              <w:rPr/>
            </w:r>
          </w:p>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Corporate Headquarters</w:t>
            </w:r>
          </w:p>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14025 Riveredge Drive, Suite 300</w:t>
            </w:r>
          </w:p>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Tampa, FL 33637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1724025" cy="609600"/>
                  <wp:effectExtent l="0" t="0" r="0" b="0"/>
                  <wp:docPr id="5"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1" descr=""/>
                          <pic:cNvPicPr>
                            <a:picLocks noChangeAspect="1" noChangeArrowheads="1"/>
                          </pic:cNvPicPr>
                        </pic:nvPicPr>
                        <pic:blipFill>
                          <a:blip r:embed="rId2"/>
                          <a:stretch>
                            <a:fillRect/>
                          </a:stretch>
                        </pic:blipFill>
                        <pic:spPr bwMode="auto">
                          <a:xfrm>
                            <a:off x="0" y="0"/>
                            <a:ext cx="1724025" cy="609600"/>
                          </a:xfrm>
                          <a:prstGeom prst="rect">
                            <a:avLst/>
                          </a:prstGeom>
                        </pic:spPr>
                      </pic:pic>
                    </a:graphicData>
                  </a:graphic>
                </wp:inline>
              </w:drawing>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2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00" w:before="0" w:after="0"/>
        <w:jc w:val="center"/>
        <w:rPr>
          <w:rFonts w:ascii="Times New Roman;serif" w:hAnsi="Times New Roman;serif"/>
          <w:b/>
          <w:color w:val="000000"/>
          <w:sz w:val="24"/>
        </w:rPr>
      </w:pPr>
      <w:r>
        <w:rPr>
          <w:rFonts w:ascii="Times New Roman;serif" w:hAnsi="Times New Roman;serif"/>
          <w:b/>
          <w:color w:val="000000"/>
          <w:sz w:val="24"/>
        </w:rPr>
        <w:t>CROWN HOLDINGS, INC. REPORTS SECOND QUARTER 2026 RESULTS</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2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color w:val="000000"/>
          <w:sz w:val="20"/>
        </w:rPr>
        <w:t>Tampa, FL — July 20, 2026.</w:t>
      </w:r>
      <w:r>
        <w:rPr>
          <w:color w:val="000000"/>
        </w:rPr>
        <w:t xml:space="preserve"> </w:t>
      </w:r>
      <w:r>
        <w:rPr>
          <w:rFonts w:ascii="Times New Roman;serif" w:hAnsi="Times New Roman;serif"/>
          <w:b w:val="false"/>
          <w:color w:val="000000"/>
          <w:sz w:val="20"/>
        </w:rPr>
        <w:t>Crown Holdings, Inc. (NYSE: CCK) today announced its financial results for the second</w:t>
      </w:r>
      <w:r>
        <w:rPr>
          <w:color w:val="EE2724"/>
        </w:rPr>
        <w:t xml:space="preserve"> </w:t>
      </w:r>
      <w:r>
        <w:rPr>
          <w:rFonts w:ascii="Times New Roman;serif" w:hAnsi="Times New Roman;serif"/>
          <w:b w:val="false"/>
          <w:color w:val="000000"/>
          <w:sz w:val="20"/>
        </w:rPr>
        <w:t>quarter ended June 30, 2026.</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color w:val="000000"/>
          <w:sz w:val="20"/>
        </w:rPr>
      </w:pPr>
      <w:r>
        <w:rPr>
          <w:rFonts w:ascii="Times New Roman;serif" w:hAnsi="Times New Roman;serif"/>
          <w:b/>
          <w:color w:val="000000"/>
          <w:sz w:val="20"/>
        </w:rPr>
        <w:t>Highlights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color w:val="000000"/>
          <w:sz w:val="20"/>
        </w:rPr>
      </w:pPr>
      <w:r>
        <w:rPr>
          <w:rFonts w:ascii="Times New Roman;serif" w:hAnsi="Times New Roman;serif"/>
          <w:b/>
          <w:color w:val="000000"/>
          <w:sz w:val="20"/>
        </w:rPr>
        <w:t xml:space="preserve">Second Quarter </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Diluted earnings per share of $2.23 versus $1.56 in 2025</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Adjusted diluted earnings per share increased 16% to $2.49 compared to $2.15 in 2025</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Global beverage can volumes increased 5%</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Share repurchases of $305 million during the quarter. Total share repurchases almost 7% of outstanding Company shares over previous twelve months</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Net leverage ratio of 2.5x adjusted EBITDA</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color w:val="000000"/>
          <w:sz w:val="20"/>
        </w:rPr>
      </w:pPr>
      <w:r>
        <w:rPr>
          <w:rFonts w:ascii="Times New Roman;serif" w:hAnsi="Times New Roman;serif"/>
          <w:b/>
          <w:color w:val="000000"/>
          <w:sz w:val="20"/>
        </w:rPr>
        <w:t>2026 Outlook</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Full year guidance range for adjusted diluted earnings per share increased to $8.30 to $8.50 with adjusted free cash flow of at least $900 million</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Commenting on the quarter, Timothy J. Donahue, Chairman, President and Chief Executive Officer, stated, “The Company continued its strong 2026 performance with excellent second quarter results. Global beverage can volume growth of 5% in the quarter was driven by double-digit gains in Asia and increases of 7% and 5% in Europe and North America, respectively, which more than offset softer demand in Latin America. Second quarter segment income results also reflect robust results across the Company’s beverage can equipment and North American Tinplate businesses. The Transit business performed well despite a continuing tepid global industrial production environment.</w:t>
      </w:r>
    </w:p>
    <w:p>
      <w:pPr>
        <w:pStyle w:val="TextBody"/>
        <w:bidi w:val="0"/>
        <w:spacing w:before="0" w:after="0"/>
        <w:jc w:val="left"/>
        <w:rPr/>
      </w:pPr>
      <w:r>
        <w:rPr/>
      </w:r>
    </w:p>
    <w:p>
      <w:pPr>
        <w:pStyle w:val="TextBody"/>
        <w:bidi w:val="0"/>
        <w:spacing w:lineRule="auto" w:line="268" w:before="0" w:after="0"/>
        <w:jc w:val="both"/>
        <w:rPr/>
      </w:pPr>
      <w:r>
        <w:rPr>
          <w:color w:val="000000"/>
        </w:rPr>
        <w:t>“</w:t>
      </w:r>
      <w:r>
        <w:rPr>
          <w:rFonts w:ascii="Times New Roman;serif" w:hAnsi="Times New Roman;serif"/>
          <w:b w:val="false"/>
          <w:color w:val="000000"/>
          <w:sz w:val="20"/>
        </w:rPr>
        <w:t>The Company is on pace for another exceptional year in 2026.</w:t>
      </w:r>
      <w:r>
        <w:rPr>
          <w:color w:val="000000"/>
        </w:rPr>
        <w:t xml:space="preserve"> </w:t>
      </w:r>
      <w:r>
        <w:rPr>
          <w:rFonts w:ascii="Times New Roman;serif" w:hAnsi="Times New Roman;serif"/>
          <w:b w:val="false"/>
          <w:color w:val="000000"/>
          <w:sz w:val="20"/>
        </w:rPr>
        <w:t>Notably, we expect that global beverage can demand will continue to thrive, as customers and consumers alike continue to increasingly prefer aluminum cans as the most sustainable and responsible beverage packaging option. Cans are the ideal package for brands in both the alcoholic and non-alcoholic segments and continue to be the choice for new beverage product introductions around the world. To meet this expanded demand, the Company is advancing as planned with previously announced capacity expansion projects in Brazil, Greece and Spain as well as the construction of a state-of-the-art facility in Northern India, marking Crown’s entry into one of the world’s fastest growing beverage markets.</w:t>
      </w:r>
    </w:p>
    <w:p>
      <w:pPr>
        <w:pStyle w:val="TextBody"/>
        <w:bidi w:val="0"/>
        <w:spacing w:before="0" w:after="0"/>
        <w:jc w:val="left"/>
        <w:rPr/>
      </w:pPr>
      <w:r>
        <w:rPr/>
      </w:r>
    </w:p>
    <w:p>
      <w:pPr>
        <w:pStyle w:val="TextBody"/>
        <w:bidi w:val="0"/>
        <w:spacing w:lineRule="auto" w:line="268" w:before="0" w:after="0"/>
        <w:jc w:val="both"/>
        <w:rPr/>
      </w:pPr>
      <w:r>
        <w:rPr>
          <w:color w:val="000000"/>
        </w:rPr>
        <w:t>“</w:t>
      </w:r>
      <w:r>
        <w:rPr>
          <w:rFonts w:ascii="Times New Roman;serif" w:hAnsi="Times New Roman;serif"/>
          <w:b w:val="false"/>
          <w:color w:val="000000"/>
          <w:sz w:val="20"/>
        </w:rPr>
        <w:t>The Company has repurchased more than $500 million in stock during the first six months of the year, reflecting both our confidence in the long-term outlook for the Company and the continued strength of free cash flow generation. We remain committed to a disciplined and opportunistic approach to share repurchases while balancing investment opportunities and maintaining financial flexibility through a strong balance sheet.</w:t>
      </w:r>
      <w:r>
        <w:rPr>
          <w:color w:val="000000"/>
        </w:rPr>
        <w:t xml:space="preserve"> </w:t>
      </w:r>
      <w:r>
        <w:rPr>
          <w:rFonts w:ascii="Times New Roman;serif" w:hAnsi="Times New Roman;serif"/>
          <w:b w:val="false"/>
          <w:color w:val="000000"/>
          <w:sz w:val="20"/>
        </w:rPr>
        <w:t xml:space="preserve">The net leverage ratio was 2.5x at the end of the second quarter of 2026.” </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Net sales in the second quarter were $3,668 million compared to $3,149 million in the second quarter of 2025 reflecting higher global beverage can shipments, the pass-through of $395 million in higher material costs and favorable foreign currency translation of $32 million.</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Income from operations was $464 million in the second quarter of 2026 compared to $391 million in the second quarter of 2025. Segment income in the second quarter of 2026 was $501 million compared to $476 million in the prior year second quarter driven by 5% higher global beverage can shipments and strong results across the beverage can equipment and North American tinplate businesses offset by inflationary cost increases.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Net income attributable to Crown Holdings in the second quarter of 2026 was $245 million compared to $181 million in the second quarter of 2025. Reported diluted earnings per share were $2.23 in the second quarter of 2026 compared to $1.56 in 2025 and adjusted diluted earnings per share were $2.49 compared to $2.15 in 2025. </w:t>
      </w:r>
    </w:p>
    <w:p>
      <w:pPr>
        <w:pStyle w:val="TextBody"/>
        <w:bidi w:val="0"/>
        <w:jc w:val="both"/>
        <w:rPr/>
      </w:pPr>
      <w:r>
        <w:rPr/>
      </w:r>
    </w:p>
    <w:p>
      <w:pPr>
        <w:pStyle w:val="TextBody"/>
        <w:bidi w:val="0"/>
        <w:spacing w:before="120" w:after="120"/>
        <w:jc w:val="center"/>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6"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Page 1 of 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Page 1 of 9</w:t>
                      </w:r>
                    </w:p>
                  </w:txbxContent>
                </v:textbox>
                <w10:wrap type="none"/>
              </v:rect>
            </w:pict>
          </mc:Fallback>
        </mc:AlternateContent>
      </w:r>
    </w:p>
    <w:tbl>
      <w:tblPr>
        <w:tblW w:w="5738" w:type="dxa"/>
        <w:jc w:val="center"/>
        <w:tblInd w:w="0" w:type="dxa"/>
        <w:tblLayout w:type="fixed"/>
        <w:tblCellMar>
          <w:top w:w="28" w:type="dxa"/>
          <w:left w:w="28" w:type="dxa"/>
          <w:bottom w:w="28" w:type="dxa"/>
          <w:right w:w="28" w:type="dxa"/>
        </w:tblCellMar>
      </w:tblPr>
      <w:tblGrid>
        <w:gridCol w:w="929"/>
        <w:gridCol w:w="817"/>
        <w:gridCol w:w="819"/>
        <w:gridCol w:w="109"/>
        <w:gridCol w:w="109"/>
        <w:gridCol w:w="109"/>
        <w:gridCol w:w="833"/>
        <w:gridCol w:w="833"/>
        <w:gridCol w:w="1180"/>
      </w:tblGrid>
      <w:tr>
        <w:trPr/>
        <w:tc>
          <w:tcPr>
            <w:tcW w:w="929"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8"/>
                <w:u w:val="single"/>
              </w:rPr>
            </w:pPr>
            <w:r>
              <w:rPr>
                <w:rFonts w:ascii="Arial;sans-serif" w:hAnsi="Arial;sans-serif"/>
                <w:b/>
                <w:color w:val="000000"/>
                <w:sz w:val="28"/>
                <w:u w:val="single"/>
              </w:rPr>
              <w:t>News Release</w:t>
            </w:r>
          </w:p>
          <w:p>
            <w:pPr>
              <w:pStyle w:val="TableContents"/>
              <w:bidi w:val="0"/>
              <w:spacing w:before="0" w:after="0"/>
              <w:jc w:val="left"/>
              <w:rPr/>
            </w:pPr>
            <w:r>
              <w:rPr/>
            </w:r>
          </w:p>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Corporate Headquarters</w:t>
            </w:r>
          </w:p>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14025 Riveredge Drive, Suite 300</w:t>
            </w:r>
          </w:p>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Tampa, FL 33637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1724025" cy="609600"/>
                  <wp:effectExtent l="0" t="0" r="0" b="0"/>
                  <wp:docPr id="7"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2" descr=""/>
                          <pic:cNvPicPr>
                            <a:picLocks noChangeAspect="1" noChangeArrowheads="1"/>
                          </pic:cNvPicPr>
                        </pic:nvPicPr>
                        <pic:blipFill>
                          <a:blip r:embed="rId3"/>
                          <a:stretch>
                            <a:fillRect/>
                          </a:stretch>
                        </pic:blipFill>
                        <pic:spPr bwMode="auto">
                          <a:xfrm>
                            <a:off x="0" y="0"/>
                            <a:ext cx="1724025" cy="609600"/>
                          </a:xfrm>
                          <a:prstGeom prst="rect">
                            <a:avLst/>
                          </a:prstGeom>
                        </pic:spPr>
                      </pic:pic>
                    </a:graphicData>
                  </a:graphic>
                </wp:inline>
              </w:drawing>
            </w:r>
          </w:p>
        </w:tc>
      </w:tr>
    </w:tbl>
    <w:p>
      <w:pPr>
        <w:pStyle w:val="TextBody"/>
        <w:bidi w:val="0"/>
        <w:spacing w:lineRule="auto" w:line="268" w:before="0" w:after="0"/>
        <w:jc w:val="both"/>
        <w:rPr>
          <w:rFonts w:ascii="Times New Roman;serif" w:hAnsi="Times New Roman;serif"/>
          <w:b/>
          <w:color w:val="000000"/>
          <w:sz w:val="20"/>
        </w:rPr>
      </w:pPr>
      <w:r>
        <w:rPr>
          <w:rFonts w:ascii="Times New Roman;serif" w:hAnsi="Times New Roman;serif"/>
          <w:b/>
          <w:color w:val="000000"/>
          <w:sz w:val="20"/>
        </w:rPr>
        <w:t>Six Month Results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Net sales for the first six months of 2026 were $6,927 million compared to $6,036 million in the first six months of 2025, reflecting the pass-through of $629 million in higher material costs, favorable foreign currency translation of $106 million and higher global beverage can shipments.</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Income from operations was $829 million in the first half of 2026 compared to $756 million in the first half of 2025. Segment income in the first half of 2026 was $906 million compared to $874 million in the prior year period driven by 5% higher global beverage can shipments partially offset by inflationary cost pressures.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Net income attributable to Crown Holdings in the first six months of 2026 was $420 million compared to $374 million in the first six months of 2025. Reported diluted earnings per share were $3.78 compared to $3.21 in 2025. Adjusted diluted earnings per share were $4.34 compared to $3.81 in 2025.</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color w:val="000000"/>
          <w:sz w:val="20"/>
        </w:rPr>
      </w:pPr>
      <w:r>
        <w:rPr>
          <w:rFonts w:ascii="Times New Roman;serif" w:hAnsi="Times New Roman;serif"/>
          <w:b/>
          <w:color w:val="000000"/>
          <w:sz w:val="20"/>
        </w:rPr>
        <w:t>Outlook</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Kevin C. Clothier, Senior Vice President and Chief Financial Officer, commented “The global beverage can market remains healthy, our manufacturing network continues to perform at a high level and our balance sheet remains strong. As a result, the Company is raising 2026 adjusted diluted earnings per share guidance from a range of $7.90 to $8.30 to a range of $8.30 to $8.50 and expects third quarter adjusted diluted earnings per share in the range of $2.20 to $2.30.”</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expects to generate adjusted free cash flow of at least $900 million in 2026 after capital spending of approximately $550 million.</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color w:val="000000"/>
          <w:sz w:val="20"/>
        </w:rPr>
      </w:pPr>
      <w:r>
        <w:rPr>
          <w:rFonts w:ascii="Times New Roman;serif" w:hAnsi="Times New Roman;serif"/>
          <w:b/>
          <w:color w:val="000000"/>
          <w:sz w:val="20"/>
        </w:rPr>
        <w:t>Non-GAAP Measures</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Segment income, adjusted free cash flow, net debt, adjusted net leverage ratio, adjusted net income, the adjusted effective tax rate, adjusted diluted earnings per share, net interest expense, EBITDA and adjusted EBITDA are not defined terms under U.S. generally accepted accounting principles (non-GAAP measures). Non-GAAP measures should not be considered in isolation or as a substitute for income from operations, cash flow, leverage ratio, net income, effective tax rates, diluted earnings per share or interest expense and interest income prepared in accordance with U.S. GAAP and may not be comparable to calculations of similarly titled measures by other companies.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views segment income as the principal measure of the performance of its operations and adjusted free cash flow and adjusted net leverage ratio as the principal measures of its liquidity. The Company considers all of these measures in the allocation of resources. Adjusted free cash flow has certain limitations, however, including that it does not represent the residual cash flow available for discretionary expenditures since other non-discretionary expenditures, such as mandatory debt service requirements, are not deducted from the measure. The amount of mandatory versus discretionary expenditures can vary significantly between periods. The Company believes that adjusted free cash flow and adjusted net leverage ratio provide meaningful measures of liquidity and a useful basis for assessing the Company’s ability to fund its activities, including the financing of acquisitions, debt repayments, share repurchases or dividends. The Company believes that adjusted net income, segment income, the adjusted effective tax rate and adjusted diluted earnings per share are useful in evaluating the Company’s operations as these measures are adjusted for items that affect comparability between periods. Segment income, adjusted free cash flow, net debt, adjusted net leverage ratio, adjusted net income, the adjusted effective tax rate, adjusted diluted earnings per share, net interest expense, EBITDA and adjusted EBITDA are derived from the Company’s Consolidated Statements of Operations, Cash Flows and Consolidated Balance Sheets, as applicable, and reconciliations to segment income, adjusted free cash flow, net debt, adjusted net leverage ratio, adjusted net income, the adjusted effective tax rate, adjusted diluted earnings per share and adjusted EBITDA can be found within this release. Reconciliations of estimated adjusted diluted earnings per share, adjusted free cash flow, the adjusted effective tax rates and adjusted net leverage ratio for the third quarter and full year of 2026 to estimated diluted earnings per share, operating cash flow, the effective tax rate and income from operations on a GAAP basis are not provided in this release due to the unavailability of estimates of the following, the timing and magnitude of which the Company is unable to reliably forecast without unreasonable efforts, which are excluded from estimated adjusted diluted earnings per share, the adjusted effective tax rates and adjusted net leverage ratio, and could have a significant impact on earnings per share, the effective tax rate and income from operations on a GAAP basis: gains or losses on the sale of businesses or other assets, restructuring and other costs, asset impairment charges, asbestos-related charges, losses from early extinguishment of debt, pension settlement and curtailment charges, the tax and noncontrolling interest impact of the items above, and the impact of tax law changes or other tax matters.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color w:val="000000"/>
          <w:sz w:val="20"/>
        </w:rPr>
      </w:pPr>
      <w:r>
        <w:rPr>
          <w:rFonts w:ascii="Times New Roman;serif" w:hAnsi="Times New Roman;serif"/>
          <w:b/>
          <w:color w:val="000000"/>
          <w:sz w:val="20"/>
        </w:rPr>
        <w:t>Conference Call</w:t>
      </w:r>
    </w:p>
    <w:p>
      <w:pPr>
        <w:pStyle w:val="TextBody"/>
        <w:bidi w:val="0"/>
        <w:spacing w:lineRule="auto" w:line="268"/>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will hold a conference call tomorrow, July 21, 2026, at 9:00 a.m. (EDT) to discuss this news release. Forward-looking and other material information may be discussed on the conference call. The dial-in numbers for the conference call are 630-395-0194 or toll-free 888-324-8108 and the access password is “packaging.” A live webcast of the call will be made available to the public on </w:t>
      </w:r>
    </w:p>
    <w:p>
      <w:pPr>
        <w:pStyle w:val="TextBody"/>
        <w:bidi w:val="0"/>
        <w:spacing w:before="120" w:after="120"/>
        <w:jc w:val="center"/>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8"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Page 2 of 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Page 2 of 9</w:t>
                      </w:r>
                    </w:p>
                  </w:txbxContent>
                </v:textbox>
                <w10:wrap type="none"/>
              </v:rect>
            </w:pict>
          </mc:Fallback>
        </mc:AlternateContent>
      </w:r>
    </w:p>
    <w:tbl>
      <w:tblPr>
        <w:tblW w:w="5738" w:type="dxa"/>
        <w:jc w:val="center"/>
        <w:tblInd w:w="0" w:type="dxa"/>
        <w:tblLayout w:type="fixed"/>
        <w:tblCellMar>
          <w:top w:w="28" w:type="dxa"/>
          <w:left w:w="28" w:type="dxa"/>
          <w:bottom w:w="28" w:type="dxa"/>
          <w:right w:w="28" w:type="dxa"/>
        </w:tblCellMar>
      </w:tblPr>
      <w:tblGrid>
        <w:gridCol w:w="929"/>
        <w:gridCol w:w="817"/>
        <w:gridCol w:w="819"/>
        <w:gridCol w:w="109"/>
        <w:gridCol w:w="109"/>
        <w:gridCol w:w="109"/>
        <w:gridCol w:w="833"/>
        <w:gridCol w:w="833"/>
        <w:gridCol w:w="1180"/>
      </w:tblGrid>
      <w:tr>
        <w:trPr/>
        <w:tc>
          <w:tcPr>
            <w:tcW w:w="929"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8"/>
                <w:u w:val="single"/>
              </w:rPr>
            </w:pPr>
            <w:r>
              <w:rPr>
                <w:rFonts w:ascii="Arial;sans-serif" w:hAnsi="Arial;sans-serif"/>
                <w:b/>
                <w:color w:val="000000"/>
                <w:sz w:val="28"/>
                <w:u w:val="single"/>
              </w:rPr>
              <w:t>News Release</w:t>
            </w:r>
          </w:p>
          <w:p>
            <w:pPr>
              <w:pStyle w:val="TableContents"/>
              <w:bidi w:val="0"/>
              <w:spacing w:before="0" w:after="0"/>
              <w:jc w:val="left"/>
              <w:rPr/>
            </w:pPr>
            <w:r>
              <w:rPr/>
            </w:r>
          </w:p>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Corporate Headquarters</w:t>
            </w:r>
          </w:p>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14025 Riveredge Drive, Suite 300</w:t>
            </w:r>
          </w:p>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Tampa, FL 33637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1724025" cy="609600"/>
                  <wp:effectExtent l="0" t="0" r="0" b="0"/>
                  <wp:docPr id="9"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3" descr=""/>
                          <pic:cNvPicPr>
                            <a:picLocks noChangeAspect="1" noChangeArrowheads="1"/>
                          </pic:cNvPicPr>
                        </pic:nvPicPr>
                        <pic:blipFill>
                          <a:blip r:embed="rId4"/>
                          <a:stretch>
                            <a:fillRect/>
                          </a:stretch>
                        </pic:blipFill>
                        <pic:spPr bwMode="auto">
                          <a:xfrm>
                            <a:off x="0" y="0"/>
                            <a:ext cx="1724025" cy="609600"/>
                          </a:xfrm>
                          <a:prstGeom prst="rect">
                            <a:avLst/>
                          </a:prstGeom>
                        </pic:spPr>
                      </pic:pic>
                    </a:graphicData>
                  </a:graphic>
                </wp:inline>
              </w:drawing>
            </w:r>
          </w:p>
        </w:tc>
      </w:tr>
    </w:tbl>
    <w:p>
      <w:pPr>
        <w:pStyle w:val="TextBody"/>
        <w:bidi w:val="0"/>
        <w:spacing w:lineRule="auto" w:line="268" w:before="0" w:after="0"/>
        <w:jc w:val="both"/>
        <w:rPr/>
      </w:pPr>
      <w:r>
        <w:rPr>
          <w:rFonts w:ascii="Times New Roman;serif" w:hAnsi="Times New Roman;serif"/>
          <w:b w:val="false"/>
          <w:color w:val="000000"/>
          <w:sz w:val="20"/>
        </w:rPr>
        <w:t xml:space="preserve">the internet at the Company’s website, </w:t>
      </w:r>
      <w:r>
        <w:rPr>
          <w:rFonts w:ascii="Times New Roman;serif" w:hAnsi="Times New Roman;serif"/>
          <w:b w:val="false"/>
          <w:color w:val="0000FF"/>
          <w:sz w:val="20"/>
        </w:rPr>
        <w:t>www.crowncork.com</w:t>
      </w:r>
      <w:r>
        <w:rPr>
          <w:rFonts w:ascii="Times New Roman;serif" w:hAnsi="Times New Roman;serif"/>
          <w:b w:val="false"/>
          <w:color w:val="000000"/>
          <w:sz w:val="20"/>
        </w:rPr>
        <w:t>. A replay of the conference call will be available for a one-week period ending at midnight on July 28, 2026. The telephone numbers for the replay are 203-369-0896 or toll free 866-427-6407.</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color w:val="000000"/>
          <w:sz w:val="20"/>
        </w:rPr>
      </w:pPr>
      <w:r>
        <w:rPr>
          <w:rFonts w:ascii="Times New Roman;serif" w:hAnsi="Times New Roman;serif"/>
          <w:b/>
          <w:color w:val="000000"/>
          <w:sz w:val="20"/>
        </w:rPr>
        <w:t>Cautionary Note Regarding Forward-Looking Statements</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Except for historical information, all other information in this press release consists of forward-looking statements. These forward-looking statements involve a number of risks, uncertainties and other factors, including expected levels of capital expenditures, free cash flow and earnings; the Company’s ability to continue to operate its plants, distribute its products, and maintain its supply chain, including any impact of the ongoing Middle East conflict; the Company’s ability to complete the projects in Brazil, Greece, Spain and Northern India; the future impact of currency translation; the continuation of performance and market trends in 2026, including consumer preference for beverage cans and global beverage can demand; the future impact of inflation, including the potential for higher interest rates and energy and transportation prices and the Company’s ability to recover raw material and other inflationary costs, including tariffs and retaliatory trade measures; future demand for food cans; the Company’s ability to deliver continuous operational improvement and future demand in the Transit Packaging segment that may cause actual results to be materially different from those expressed or implied in the forward-looking statements. Important factors that could cause the statements made in this press release or the actual results of operations or financial condition of the Company to differ are discussed under the caption "Forward Looking Statements" in the Company's Form 10-K Annual Report for the year ended December 31, 2025 and in subsequent filings made prior to or after the date hereof. The Company does not intend to review or revise any particular forward-looking statement in light of future events.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Crown Holdings, Inc., through its subsidiaries, is a leading global supplier of rigid packaging products to consumer marketing companies, as well as transit and protective packaging products, equipment and services to a broad range of end markets. World headquarters are located in Tampa, Florida.</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For more information, contact:</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Kevin C. Clothier, Senior Vice President and Chief Financial Officer, (215) 698-5281</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Thomas T. Fischer, Vice President, Investor Relations and Corporate Affairs, (215) 552-3720</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color w:val="000000"/>
          <w:sz w:val="20"/>
        </w:rPr>
      </w:pPr>
      <w:r>
        <w:rPr>
          <w:rFonts w:ascii="Times New Roman;serif" w:hAnsi="Times New Roman;serif"/>
          <w:b/>
          <w:color w:val="000000"/>
          <w:sz w:val="20"/>
        </w:rPr>
        <w:t>Unaudited Consolidated Statements of Operations, Balance Sheets, Statements of Cash Flows, Segment Information and Supplemental Data follow.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120"/>
        <w:jc w:val="center"/>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0"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Page 3 of 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Page 3 of 9</w:t>
                      </w:r>
                    </w:p>
                  </w:txbxContent>
                </v:textbox>
                <w10:wrap type="none"/>
              </v:rect>
            </w:pict>
          </mc:Fallback>
        </mc:AlternateContent>
      </w:r>
    </w:p>
    <w:tbl>
      <w:tblPr>
        <w:tblW w:w="5738" w:type="dxa"/>
        <w:jc w:val="center"/>
        <w:tblInd w:w="0" w:type="dxa"/>
        <w:tblLayout w:type="fixed"/>
        <w:tblCellMar>
          <w:top w:w="28" w:type="dxa"/>
          <w:left w:w="28" w:type="dxa"/>
          <w:bottom w:w="28" w:type="dxa"/>
          <w:right w:w="28" w:type="dxa"/>
        </w:tblCellMar>
      </w:tblPr>
      <w:tblGrid>
        <w:gridCol w:w="929"/>
        <w:gridCol w:w="817"/>
        <w:gridCol w:w="819"/>
        <w:gridCol w:w="109"/>
        <w:gridCol w:w="109"/>
        <w:gridCol w:w="109"/>
        <w:gridCol w:w="833"/>
        <w:gridCol w:w="833"/>
        <w:gridCol w:w="1180"/>
      </w:tblGrid>
      <w:tr>
        <w:trPr/>
        <w:tc>
          <w:tcPr>
            <w:tcW w:w="929"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8"/>
                <w:u w:val="single"/>
              </w:rPr>
            </w:pPr>
            <w:r>
              <w:rPr>
                <w:rFonts w:ascii="Arial;sans-serif" w:hAnsi="Arial;sans-serif"/>
                <w:b/>
                <w:color w:val="000000"/>
                <w:sz w:val="28"/>
                <w:u w:val="single"/>
              </w:rPr>
              <w:t>News Release</w:t>
            </w:r>
          </w:p>
          <w:p>
            <w:pPr>
              <w:pStyle w:val="TableContents"/>
              <w:bidi w:val="0"/>
              <w:spacing w:before="0" w:after="0"/>
              <w:jc w:val="left"/>
              <w:rPr/>
            </w:pPr>
            <w:r>
              <w:rPr/>
            </w:r>
          </w:p>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Corporate Headquarters</w:t>
            </w:r>
          </w:p>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14025 Riveredge Drive, Suite 300</w:t>
            </w:r>
          </w:p>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Tampa, FL 33637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1724025" cy="609600"/>
                  <wp:effectExtent l="0" t="0" r="0" b="0"/>
                  <wp:docPr id="11"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4" descr=""/>
                          <pic:cNvPicPr>
                            <a:picLocks noChangeAspect="1" noChangeArrowheads="1"/>
                          </pic:cNvPicPr>
                        </pic:nvPicPr>
                        <pic:blipFill>
                          <a:blip r:embed="rId5"/>
                          <a:stretch>
                            <a:fillRect/>
                          </a:stretch>
                        </pic:blipFill>
                        <pic:spPr bwMode="auto">
                          <a:xfrm>
                            <a:off x="0" y="0"/>
                            <a:ext cx="1724025" cy="609600"/>
                          </a:xfrm>
                          <a:prstGeom prst="rect">
                            <a:avLst/>
                          </a:prstGeom>
                        </pic:spPr>
                      </pic:pic>
                    </a:graphicData>
                  </a:graphic>
                </wp:inline>
              </w:drawing>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2"/>
          <w:u w:val="single"/>
        </w:rPr>
      </w:pPr>
      <w:r>
        <w:rPr>
          <w:rFonts w:ascii="Times New Roman;serif" w:hAnsi="Times New Roman;serif"/>
          <w:b/>
          <w:color w:val="000000"/>
          <w:sz w:val="22"/>
          <w:u w:val="single"/>
        </w:rPr>
        <w:t>Consolidated Statements of Operations (Unaudited)</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millions, except share and per share data)</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500"/>
        <w:gridCol w:w="1033"/>
        <w:gridCol w:w="1029"/>
        <w:gridCol w:w="297"/>
        <w:gridCol w:w="889"/>
        <w:gridCol w:w="109"/>
        <w:gridCol w:w="109"/>
        <w:gridCol w:w="109"/>
        <w:gridCol w:w="109"/>
        <w:gridCol w:w="297"/>
        <w:gridCol w:w="889"/>
        <w:gridCol w:w="109"/>
        <w:gridCol w:w="109"/>
        <w:gridCol w:w="109"/>
        <w:gridCol w:w="109"/>
        <w:gridCol w:w="297"/>
        <w:gridCol w:w="889"/>
        <w:gridCol w:w="109"/>
        <w:gridCol w:w="109"/>
        <w:gridCol w:w="109"/>
        <w:gridCol w:w="109"/>
        <w:gridCol w:w="297"/>
        <w:gridCol w:w="889"/>
        <w:gridCol w:w="109"/>
        <w:gridCol w:w="109"/>
        <w:gridCol w:w="109"/>
        <w:gridCol w:w="109"/>
        <w:gridCol w:w="155"/>
      </w:tblGrid>
      <w:tr>
        <w:trPr/>
        <w:tc>
          <w:tcPr>
            <w:tcW w:w="1500"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5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gridSpan w:val="2"/>
            <w:tcBorders/>
          </w:tcPr>
          <w:p>
            <w:pPr>
              <w:pStyle w:val="TableContents"/>
              <w:bidi w:val="0"/>
              <w:spacing w:before="0" w:after="283"/>
              <w:jc w:val="left"/>
              <w:rPr>
                <w:sz w:val="4"/>
                <w:szCs w:val="4"/>
              </w:rPr>
            </w:pPr>
            <w:r>
              <w:rPr>
                <w:sz w:val="4"/>
                <w:szCs w:val="4"/>
              </w:rPr>
            </w:r>
          </w:p>
        </w:tc>
      </w:tr>
      <w:tr>
        <w:trPr/>
        <w:tc>
          <w:tcPr>
            <w:tcW w:w="35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5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sales</w:t>
            </w:r>
          </w:p>
        </w:tc>
        <w:tc>
          <w:tcPr>
            <w:tcW w:w="29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8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3,668</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8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3,149</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8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6,927</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8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6,036</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5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5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products sold</w:t>
            </w:r>
          </w:p>
        </w:tc>
        <w:tc>
          <w:tcPr>
            <w:tcW w:w="11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5,535 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4,698 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5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1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5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and administrative expense</w:t>
            </w:r>
          </w:p>
        </w:tc>
        <w:tc>
          <w:tcPr>
            <w:tcW w:w="11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5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and other</w:t>
            </w:r>
          </w:p>
        </w:tc>
        <w:tc>
          <w:tcPr>
            <w:tcW w:w="11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562"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Income from operations</w:t>
            </w:r>
            <w:r>
              <w:rPr>
                <w:color w:val="000000"/>
              </w:rPr>
              <w:t xml:space="preserve"> </w:t>
            </w:r>
            <w:r>
              <w:rPr>
                <w:rFonts w:ascii="Times New Roman;serif" w:hAnsi="Times New Roman;serif"/>
                <w:b/>
                <w:color w:val="000000"/>
                <w:sz w:val="13"/>
              </w:rPr>
              <w:t>(1)</w:t>
            </w:r>
            <w:r>
              <w:rPr>
                <w:color w:val="000000"/>
              </w:rPr>
              <w:t xml:space="preserve"> </w:t>
            </w:r>
          </w:p>
        </w:tc>
        <w:tc>
          <w:tcPr>
            <w:tcW w:w="118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464</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391</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829</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756</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5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debt extinguishment</w:t>
            </w:r>
          </w:p>
        </w:tc>
        <w:tc>
          <w:tcPr>
            <w:tcW w:w="1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562"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5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pension and postretirement</w:t>
            </w:r>
          </w:p>
        </w:tc>
        <w:tc>
          <w:tcPr>
            <w:tcW w:w="11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562"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5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exchange</w:t>
            </w:r>
          </w:p>
        </w:tc>
        <w:tc>
          <w:tcPr>
            <w:tcW w:w="11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5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Earnings before interest and taxes</w:t>
            </w:r>
          </w:p>
        </w:tc>
        <w:tc>
          <w:tcPr>
            <w:tcW w:w="118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456</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382</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816</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740</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5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1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5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1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562"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5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Income from operations before income taxes</w:t>
            </w:r>
          </w:p>
        </w:tc>
        <w:tc>
          <w:tcPr>
            <w:tcW w:w="118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365</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293</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640</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565</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5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11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5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Equity earnings </w:t>
            </w:r>
          </w:p>
        </w:tc>
        <w:tc>
          <w:tcPr>
            <w:tcW w:w="1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562"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562"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562"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562"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5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w:t>
            </w:r>
          </w:p>
        </w:tc>
        <w:tc>
          <w:tcPr>
            <w:tcW w:w="118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276</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216</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482</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443</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ind w:left="0" w:right="0" w:hanging="90"/>
              <w:jc w:val="left"/>
              <w:rPr>
                <w:sz w:val="4"/>
                <w:szCs w:val="4"/>
              </w:rPr>
            </w:pPr>
            <w:r>
              <w:rPr>
                <w:sz w:val="4"/>
                <w:szCs w:val="4"/>
              </w:rPr>
            </w:r>
          </w:p>
        </w:tc>
      </w:tr>
      <w:tr>
        <w:trPr/>
        <w:tc>
          <w:tcPr>
            <w:tcW w:w="35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noncontrolling interests</w:t>
            </w:r>
          </w:p>
        </w:tc>
        <w:tc>
          <w:tcPr>
            <w:tcW w:w="118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562"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5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 attributable to Crown Holdings</w:t>
            </w:r>
          </w:p>
        </w:tc>
        <w:tc>
          <w:tcPr>
            <w:tcW w:w="29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8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245</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8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181</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8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420</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8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374</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5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5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Earnings per share attributable to Crown Holdings common shareholders:</w:t>
            </w:r>
          </w:p>
        </w:tc>
        <w:tc>
          <w:tcPr>
            <w:tcW w:w="1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56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Basic</w:t>
            </w:r>
          </w:p>
        </w:tc>
        <w:tc>
          <w:tcPr>
            <w:tcW w:w="29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56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Diluted</w:t>
            </w:r>
          </w:p>
        </w:tc>
        <w:tc>
          <w:tcPr>
            <w:tcW w:w="297"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9"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2.23 </w:t>
            </w:r>
          </w:p>
        </w:tc>
        <w:tc>
          <w:tcPr>
            <w:tcW w:w="109"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9"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1.56 </w:t>
            </w:r>
          </w:p>
        </w:tc>
        <w:tc>
          <w:tcPr>
            <w:tcW w:w="109"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9"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3.78 </w:t>
            </w:r>
          </w:p>
        </w:tc>
        <w:tc>
          <w:tcPr>
            <w:tcW w:w="109"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9"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3.21 </w:t>
            </w:r>
          </w:p>
        </w:tc>
        <w:tc>
          <w:tcPr>
            <w:tcW w:w="109"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5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5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Weighted average common shares outstanding:</w:t>
            </w:r>
          </w:p>
        </w:tc>
        <w:tc>
          <w:tcPr>
            <w:tcW w:w="12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56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Basic</w:t>
            </w:r>
          </w:p>
        </w:tc>
        <w:tc>
          <w:tcPr>
            <w:tcW w:w="11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109,358,347 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115,329,354 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110,663,255 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115,997,384 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56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Diluted</w:t>
            </w:r>
          </w:p>
        </w:tc>
        <w:tc>
          <w:tcPr>
            <w:tcW w:w="11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109,798,634 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115,841,544 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111,154,898 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116,462,524 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56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Actual common shares outstanding at quarter end</w:t>
            </w:r>
          </w:p>
        </w:tc>
        <w:tc>
          <w:tcPr>
            <w:tcW w:w="11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108,766,371 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116,393,989 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108,766,371 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116,393,989 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5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ind w:left="0" w:right="0" w:hanging="1620"/>
        <w:jc w:val="both"/>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Reconciliation from income from operations to segment income follows.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120"/>
        <w:jc w:val="center"/>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2"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Page 4 of 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Page 4 of 9</w:t>
                      </w:r>
                    </w:p>
                  </w:txbxContent>
                </v:textbox>
                <w10:wrap type="none"/>
              </v:rect>
            </w:pict>
          </mc:Fallback>
        </mc:AlternateContent>
      </w:r>
    </w:p>
    <w:tbl>
      <w:tblPr>
        <w:tblW w:w="5738" w:type="dxa"/>
        <w:jc w:val="center"/>
        <w:tblInd w:w="0" w:type="dxa"/>
        <w:tblLayout w:type="fixed"/>
        <w:tblCellMar>
          <w:top w:w="28" w:type="dxa"/>
          <w:left w:w="28" w:type="dxa"/>
          <w:bottom w:w="28" w:type="dxa"/>
          <w:right w:w="28" w:type="dxa"/>
        </w:tblCellMar>
      </w:tblPr>
      <w:tblGrid>
        <w:gridCol w:w="929"/>
        <w:gridCol w:w="817"/>
        <w:gridCol w:w="819"/>
        <w:gridCol w:w="109"/>
        <w:gridCol w:w="109"/>
        <w:gridCol w:w="109"/>
        <w:gridCol w:w="833"/>
        <w:gridCol w:w="833"/>
        <w:gridCol w:w="1180"/>
      </w:tblGrid>
      <w:tr>
        <w:trPr/>
        <w:tc>
          <w:tcPr>
            <w:tcW w:w="929"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8"/>
                <w:u w:val="single"/>
              </w:rPr>
            </w:pPr>
            <w:r>
              <w:rPr>
                <w:rFonts w:ascii="Arial;sans-serif" w:hAnsi="Arial;sans-serif"/>
                <w:b/>
                <w:color w:val="000000"/>
                <w:sz w:val="28"/>
                <w:u w:val="single"/>
              </w:rPr>
              <w:t>News Release</w:t>
            </w:r>
          </w:p>
          <w:p>
            <w:pPr>
              <w:pStyle w:val="TableContents"/>
              <w:bidi w:val="0"/>
              <w:spacing w:before="0" w:after="0"/>
              <w:jc w:val="left"/>
              <w:rPr/>
            </w:pPr>
            <w:r>
              <w:rPr/>
            </w:r>
          </w:p>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Corporate Headquarters</w:t>
            </w:r>
          </w:p>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14025 Riveredge Drive, Suite 300</w:t>
            </w:r>
          </w:p>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Tampa, FL 33637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1724025" cy="609600"/>
                  <wp:effectExtent l="0" t="0" r="0" b="0"/>
                  <wp:docPr id="13"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5" descr=""/>
                          <pic:cNvPicPr>
                            <a:picLocks noChangeAspect="1" noChangeArrowheads="1"/>
                          </pic:cNvPicPr>
                        </pic:nvPicPr>
                        <pic:blipFill>
                          <a:blip r:embed="rId6"/>
                          <a:stretch>
                            <a:fillRect/>
                          </a:stretch>
                        </pic:blipFill>
                        <pic:spPr bwMode="auto">
                          <a:xfrm>
                            <a:off x="0" y="0"/>
                            <a:ext cx="1724025" cy="609600"/>
                          </a:xfrm>
                          <a:prstGeom prst="rect">
                            <a:avLst/>
                          </a:prstGeom>
                        </pic:spPr>
                      </pic:pic>
                    </a:graphicData>
                  </a:graphic>
                </wp:inline>
              </w:drawing>
            </w:r>
          </w:p>
        </w:tc>
      </w:tr>
    </w:tbl>
    <w:p>
      <w:pPr>
        <w:pStyle w:val="TextBody"/>
        <w:bidi w:val="0"/>
        <w:spacing w:before="0" w:after="0"/>
        <w:ind w:left="0" w:right="0" w:firstLine="720"/>
        <w:jc w:val="center"/>
        <w:rPr/>
      </w:pPr>
      <w:r>
        <w:rPr/>
      </w:r>
    </w:p>
    <w:p>
      <w:pPr>
        <w:pStyle w:val="TextBody"/>
        <w:bidi w:val="0"/>
        <w:spacing w:lineRule="auto" w:line="288" w:before="0" w:after="0"/>
        <w:ind w:left="0" w:right="0" w:firstLine="720"/>
        <w:jc w:val="center"/>
        <w:rPr>
          <w:rFonts w:ascii="Times New Roman;serif" w:hAnsi="Times New Roman;serif"/>
          <w:b/>
          <w:color w:val="000000"/>
          <w:sz w:val="20"/>
          <w:u w:val="single"/>
        </w:rPr>
      </w:pPr>
      <w:r>
        <w:rPr>
          <w:rFonts w:ascii="Times New Roman;serif" w:hAnsi="Times New Roman;serif"/>
          <w:b/>
          <w:color w:val="000000"/>
          <w:sz w:val="20"/>
          <w:u w:val="single"/>
        </w:rPr>
        <w:t>Consolidated Supplemental Financial Data (Unaudited)</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millions)</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Reconciliation from Income from Operations to Segment Income</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views segment income, as defined below, as a principal measure of performance of its operations and for the allocation of resources. Segment income is defined by the Company as income from operations adjusted to exclude intangibles amortization charges and provisions for restructuring and other.</w:t>
      </w:r>
    </w:p>
    <w:p>
      <w:pPr>
        <w:pStyle w:val="TextBody"/>
        <w:bidi w:val="0"/>
        <w:spacing w:before="0" w:after="0"/>
        <w:jc w:val="both"/>
        <w:rPr/>
      </w:pPr>
      <w:r>
        <w:rPr/>
      </w:r>
    </w:p>
    <w:tbl>
      <w:tblPr>
        <w:tblW w:w="6345" w:type="dxa"/>
        <w:jc w:val="center"/>
        <w:tblInd w:w="0" w:type="dxa"/>
        <w:tblLayout w:type="fixed"/>
        <w:tblCellMar>
          <w:top w:w="28" w:type="dxa"/>
          <w:left w:w="28" w:type="dxa"/>
          <w:bottom w:w="28" w:type="dxa"/>
          <w:right w:w="28" w:type="dxa"/>
        </w:tblCellMar>
      </w:tblPr>
      <w:tblGrid>
        <w:gridCol w:w="765"/>
        <w:gridCol w:w="674"/>
        <w:gridCol w:w="676"/>
        <w:gridCol w:w="211"/>
        <w:gridCol w:w="481"/>
        <w:gridCol w:w="109"/>
        <w:gridCol w:w="109"/>
        <w:gridCol w:w="109"/>
        <w:gridCol w:w="109"/>
        <w:gridCol w:w="211"/>
        <w:gridCol w:w="481"/>
        <w:gridCol w:w="109"/>
        <w:gridCol w:w="109"/>
        <w:gridCol w:w="109"/>
        <w:gridCol w:w="109"/>
        <w:gridCol w:w="211"/>
        <w:gridCol w:w="481"/>
        <w:gridCol w:w="109"/>
        <w:gridCol w:w="109"/>
        <w:gridCol w:w="109"/>
        <w:gridCol w:w="109"/>
        <w:gridCol w:w="211"/>
        <w:gridCol w:w="481"/>
        <w:gridCol w:w="154"/>
      </w:tblGrid>
      <w:tr>
        <w:trPr/>
        <w:tc>
          <w:tcPr>
            <w:tcW w:w="765"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2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21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operations</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829 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756 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Intangibles amortization</w:t>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2115"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21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and other</w:t>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Segment income</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501</w:t>
            </w:r>
            <w:r>
              <w:rPr>
                <w:color w:val="000000"/>
              </w:rPr>
              <w:t>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476</w:t>
            </w:r>
            <w:r>
              <w:rPr>
                <w:color w:val="000000"/>
              </w:rPr>
              <w:t>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906</w:t>
            </w:r>
            <w:r>
              <w:rPr>
                <w:color w:val="000000"/>
              </w:rPr>
              <w:t>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874</w:t>
            </w:r>
            <w:r>
              <w:rPr>
                <w:color w:val="000000"/>
              </w:rPr>
              <w:t>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2"/>
          <w:u w:val="single"/>
        </w:rPr>
      </w:pPr>
      <w:r>
        <w:rPr>
          <w:rFonts w:ascii="Times New Roman;serif" w:hAnsi="Times New Roman;serif"/>
          <w:b/>
          <w:color w:val="000000"/>
          <w:sz w:val="22"/>
          <w:u w:val="single"/>
        </w:rPr>
        <w:t>Segment Information</w:t>
      </w:r>
    </w:p>
    <w:tbl>
      <w:tblPr>
        <w:tblW w:w="6539" w:type="dxa"/>
        <w:jc w:val="center"/>
        <w:tblInd w:w="0" w:type="dxa"/>
        <w:tblLayout w:type="fixed"/>
        <w:tblCellMar>
          <w:top w:w="28" w:type="dxa"/>
          <w:left w:w="28" w:type="dxa"/>
          <w:bottom w:w="28" w:type="dxa"/>
          <w:right w:w="28" w:type="dxa"/>
        </w:tblCellMar>
      </w:tblPr>
      <w:tblGrid>
        <w:gridCol w:w="618"/>
        <w:gridCol w:w="544"/>
        <w:gridCol w:w="547"/>
        <w:gridCol w:w="211"/>
        <w:gridCol w:w="631"/>
        <w:gridCol w:w="109"/>
        <w:gridCol w:w="109"/>
        <w:gridCol w:w="109"/>
        <w:gridCol w:w="109"/>
        <w:gridCol w:w="211"/>
        <w:gridCol w:w="631"/>
        <w:gridCol w:w="109"/>
        <w:gridCol w:w="109"/>
        <w:gridCol w:w="109"/>
        <w:gridCol w:w="109"/>
        <w:gridCol w:w="211"/>
        <w:gridCol w:w="631"/>
        <w:gridCol w:w="109"/>
        <w:gridCol w:w="109"/>
        <w:gridCol w:w="109"/>
        <w:gridCol w:w="109"/>
        <w:gridCol w:w="211"/>
        <w:gridCol w:w="631"/>
        <w:gridCol w:w="154"/>
      </w:tblGrid>
      <w:tr>
        <w:trPr/>
        <w:tc>
          <w:tcPr>
            <w:tcW w:w="618"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Net Sales</w:t>
            </w:r>
          </w:p>
        </w:tc>
        <w:tc>
          <w:tcPr>
            <w:tcW w:w="22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1709"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Americas Beverage</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1,699 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1,405 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3,229 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2,725 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European Beverage</w:t>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1,147 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Asia Pacific</w:t>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Transit Packaging</w:t>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1,008 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Other </w:t>
            </w:r>
            <w:r>
              <w:rPr>
                <w:rFonts w:ascii="Times New Roman;serif" w:hAnsi="Times New Roman;serif"/>
                <w:b w:val="false"/>
                <w:color w:val="000000"/>
                <w:sz w:val="13"/>
              </w:rPr>
              <w:t>(1)</w:t>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color w:val="000000"/>
                <w:sz w:val="20"/>
              </w:rPr>
              <w:t>Total net sales</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3,668</w:t>
            </w:r>
            <w:r>
              <w:rPr>
                <w:color w:val="000000"/>
              </w:rPr>
              <w:t>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3,149</w:t>
            </w:r>
            <w:r>
              <w:rPr>
                <w:color w:val="000000"/>
              </w:rPr>
              <w:t>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6,927</w:t>
            </w:r>
            <w:r>
              <w:rPr>
                <w:color w:val="000000"/>
              </w:rPr>
              <w:t>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6,036</w:t>
            </w:r>
            <w:r>
              <w:rPr>
                <w:color w:val="000000"/>
              </w:rPr>
              <w:t>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center"/>
        <w:rPr/>
      </w:pPr>
      <w:r>
        <w:rPr/>
      </w:r>
    </w:p>
    <w:tbl>
      <w:tblPr>
        <w:tblW w:w="7499" w:type="dxa"/>
        <w:jc w:val="center"/>
        <w:tblInd w:w="0" w:type="dxa"/>
        <w:tblLayout w:type="fixed"/>
        <w:tblCellMar>
          <w:top w:w="28" w:type="dxa"/>
          <w:left w:w="28" w:type="dxa"/>
          <w:bottom w:w="28" w:type="dxa"/>
          <w:right w:w="28" w:type="dxa"/>
        </w:tblCellMar>
      </w:tblPr>
      <w:tblGrid>
        <w:gridCol w:w="1181"/>
        <w:gridCol w:w="1043"/>
        <w:gridCol w:w="1045"/>
        <w:gridCol w:w="211"/>
        <w:gridCol w:w="481"/>
        <w:gridCol w:w="109"/>
        <w:gridCol w:w="109"/>
        <w:gridCol w:w="109"/>
        <w:gridCol w:w="109"/>
        <w:gridCol w:w="211"/>
        <w:gridCol w:w="481"/>
        <w:gridCol w:w="109"/>
        <w:gridCol w:w="109"/>
        <w:gridCol w:w="109"/>
        <w:gridCol w:w="109"/>
        <w:gridCol w:w="211"/>
        <w:gridCol w:w="481"/>
        <w:gridCol w:w="109"/>
        <w:gridCol w:w="109"/>
        <w:gridCol w:w="109"/>
        <w:gridCol w:w="109"/>
        <w:gridCol w:w="211"/>
        <w:gridCol w:w="481"/>
        <w:gridCol w:w="154"/>
      </w:tblGrid>
      <w:tr>
        <w:trPr/>
        <w:tc>
          <w:tcPr>
            <w:tcW w:w="1181"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Segment Income</w:t>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Americas Beverage</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European Beverage </w:t>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32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Asia Pacific</w:t>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Transit Packaging</w:t>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326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Other </w:t>
            </w:r>
            <w:r>
              <w:rPr>
                <w:rFonts w:ascii="Times New Roman;serif" w:hAnsi="Times New Roman;serif"/>
                <w:b w:val="false"/>
                <w:color w:val="000000"/>
                <w:sz w:val="13"/>
              </w:rPr>
              <w:t>(1)</w:t>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Corporate and other unallocated items </w:t>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color w:val="000000"/>
                <w:sz w:val="20"/>
              </w:rPr>
              <w:t>Total segment income</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501</w:t>
            </w:r>
            <w:r>
              <w:rPr>
                <w:color w:val="000000"/>
              </w:rPr>
              <w:t>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476</w:t>
            </w:r>
            <w:r>
              <w:rPr>
                <w:color w:val="000000"/>
              </w:rPr>
              <w:t>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906</w:t>
            </w:r>
            <w:r>
              <w:rPr>
                <w:color w:val="000000"/>
              </w:rPr>
              <w:t>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874</w:t>
            </w:r>
            <w:r>
              <w:rPr>
                <w:color w:val="000000"/>
              </w:rPr>
              <w:t>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360"/>
        <w:jc w:val="both"/>
        <w:rPr/>
      </w:pPr>
      <w:r>
        <w:rPr/>
      </w:r>
    </w:p>
    <w:p>
      <w:pPr>
        <w:pStyle w:val="TextBody"/>
        <w:bidi w:val="0"/>
        <w:spacing w:lineRule="auto" w:line="268" w:before="0" w:after="0"/>
        <w:ind w:left="0" w:right="0" w:hanging="270"/>
        <w:jc w:val="both"/>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Includes the Company’s North America tinplate businesses: food can, aerosol can and closures, and beverage tooling and equipment operations in the U.S. and United Kingdom.</w:t>
      </w:r>
    </w:p>
    <w:p>
      <w:pPr>
        <w:pStyle w:val="TextBody"/>
        <w:bidi w:val="0"/>
        <w:spacing w:before="0" w:after="0"/>
        <w:ind w:left="0" w:right="0" w:hanging="270"/>
        <w:jc w:val="left"/>
        <w:rPr/>
      </w:pPr>
      <w:r>
        <w:rPr/>
      </w:r>
    </w:p>
    <w:p>
      <w:pPr>
        <w:pStyle w:val="TextBody"/>
        <w:bidi w:val="0"/>
        <w:spacing w:before="0" w:after="0"/>
        <w:ind w:left="0" w:right="0" w:hanging="270"/>
        <w:jc w:val="left"/>
        <w:rPr/>
      </w:pPr>
      <w:r>
        <w:rPr/>
      </w:r>
    </w:p>
    <w:p>
      <w:pPr>
        <w:pStyle w:val="TextBody"/>
        <w:bidi w:val="0"/>
        <w:spacing w:before="0" w:after="0"/>
        <w:ind w:left="0" w:right="0" w:hanging="270"/>
        <w:jc w:val="left"/>
        <w:rPr/>
      </w:pPr>
      <w:r>
        <w:rPr/>
      </w:r>
    </w:p>
    <w:p>
      <w:pPr>
        <w:pStyle w:val="TextBody"/>
        <w:bidi w:val="0"/>
        <w:spacing w:before="0" w:after="0"/>
        <w:ind w:left="0" w:right="0" w:hanging="270"/>
        <w:jc w:val="left"/>
        <w:rPr/>
      </w:pPr>
      <w:r>
        <w:rPr/>
      </w:r>
    </w:p>
    <w:p>
      <w:pPr>
        <w:pStyle w:val="TextBody"/>
        <w:bidi w:val="0"/>
        <w:spacing w:before="0" w:after="0"/>
        <w:ind w:left="0" w:right="0" w:hanging="270"/>
        <w:jc w:val="left"/>
        <w:rPr/>
      </w:pPr>
      <w:r>
        <w:rPr/>
      </w:r>
    </w:p>
    <w:p>
      <w:pPr>
        <w:pStyle w:val="TextBody"/>
        <w:bidi w:val="0"/>
        <w:spacing w:before="0" w:after="0"/>
        <w:ind w:left="0" w:right="0" w:hanging="270"/>
        <w:jc w:val="left"/>
        <w:rPr/>
      </w:pPr>
      <w:r>
        <w:rPr/>
      </w:r>
    </w:p>
    <w:p>
      <w:pPr>
        <w:pStyle w:val="TextBody"/>
        <w:bidi w:val="0"/>
        <w:spacing w:before="0" w:after="0"/>
        <w:ind w:left="0" w:right="0" w:hanging="270"/>
        <w:jc w:val="both"/>
        <w:rPr/>
      </w:pPr>
      <w:r>
        <w:rPr/>
      </w:r>
    </w:p>
    <w:p>
      <w:pPr>
        <w:pStyle w:val="TextBody"/>
        <w:bidi w:val="0"/>
        <w:spacing w:before="0" w:after="0"/>
        <w:ind w:left="0" w:right="0" w:hanging="270"/>
        <w:jc w:val="center"/>
        <w:rPr/>
      </w:pPr>
      <w:r>
        <w:rPr/>
      </w:r>
    </w:p>
    <w:p>
      <w:pPr>
        <w:pStyle w:val="TextBody"/>
        <w:bidi w:val="0"/>
        <w:ind w:left="0" w:right="0" w:hanging="270"/>
        <w:jc w:val="center"/>
        <w:rPr/>
      </w:pPr>
      <w:r>
        <w:rPr/>
      </w:r>
    </w:p>
    <w:p>
      <w:pPr>
        <w:pStyle w:val="TextBody"/>
        <w:bidi w:val="0"/>
        <w:spacing w:before="120" w:after="120"/>
        <w:jc w:val="center"/>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4"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Page 5 of 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Page 5 of 9</w:t>
                      </w:r>
                    </w:p>
                  </w:txbxContent>
                </v:textbox>
                <w10:wrap type="none"/>
              </v:rect>
            </w:pict>
          </mc:Fallback>
        </mc:AlternateContent>
      </w:r>
    </w:p>
    <w:tbl>
      <w:tblPr>
        <w:tblW w:w="5738" w:type="dxa"/>
        <w:jc w:val="center"/>
        <w:tblInd w:w="0" w:type="dxa"/>
        <w:tblLayout w:type="fixed"/>
        <w:tblCellMar>
          <w:top w:w="28" w:type="dxa"/>
          <w:left w:w="28" w:type="dxa"/>
          <w:bottom w:w="28" w:type="dxa"/>
          <w:right w:w="28" w:type="dxa"/>
        </w:tblCellMar>
      </w:tblPr>
      <w:tblGrid>
        <w:gridCol w:w="929"/>
        <w:gridCol w:w="817"/>
        <w:gridCol w:w="819"/>
        <w:gridCol w:w="109"/>
        <w:gridCol w:w="109"/>
        <w:gridCol w:w="109"/>
        <w:gridCol w:w="833"/>
        <w:gridCol w:w="833"/>
        <w:gridCol w:w="1180"/>
      </w:tblGrid>
      <w:tr>
        <w:trPr/>
        <w:tc>
          <w:tcPr>
            <w:tcW w:w="929"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8"/>
                <w:u w:val="single"/>
              </w:rPr>
            </w:pPr>
            <w:r>
              <w:rPr>
                <w:rFonts w:ascii="Arial;sans-serif" w:hAnsi="Arial;sans-serif"/>
                <w:b/>
                <w:color w:val="000000"/>
                <w:sz w:val="28"/>
                <w:u w:val="single"/>
              </w:rPr>
              <w:t>News Release</w:t>
            </w:r>
          </w:p>
          <w:p>
            <w:pPr>
              <w:pStyle w:val="TableContents"/>
              <w:bidi w:val="0"/>
              <w:spacing w:before="0" w:after="0"/>
              <w:jc w:val="left"/>
              <w:rPr/>
            </w:pPr>
            <w:r>
              <w:rPr/>
            </w:r>
          </w:p>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Corporate Headquarters</w:t>
            </w:r>
          </w:p>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14025 Riveredge Drive, Suite 300</w:t>
            </w:r>
          </w:p>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Tampa, FL 33637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1724025" cy="609600"/>
                  <wp:effectExtent l="0" t="0" r="0" b="0"/>
                  <wp:docPr id="15"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6" descr=""/>
                          <pic:cNvPicPr>
                            <a:picLocks noChangeAspect="1" noChangeArrowheads="1"/>
                          </pic:cNvPicPr>
                        </pic:nvPicPr>
                        <pic:blipFill>
                          <a:blip r:embed="rId7"/>
                          <a:stretch>
                            <a:fillRect/>
                          </a:stretch>
                        </pic:blipFill>
                        <pic:spPr bwMode="auto">
                          <a:xfrm>
                            <a:off x="0" y="0"/>
                            <a:ext cx="1724025" cy="609600"/>
                          </a:xfrm>
                          <a:prstGeom prst="rect">
                            <a:avLst/>
                          </a:prstGeom>
                        </pic:spPr>
                      </pic:pic>
                    </a:graphicData>
                  </a:graphic>
                </wp:inline>
              </w:drawing>
            </w:r>
          </w:p>
        </w:tc>
      </w:tr>
    </w:tbl>
    <w:p>
      <w:pPr>
        <w:pStyle w:val="TextBody"/>
        <w:bidi w:val="0"/>
        <w:spacing w:before="0" w:after="0"/>
        <w:ind w:left="0" w:right="0" w:hanging="270"/>
        <w:jc w:val="center"/>
        <w:rPr/>
      </w:pPr>
      <w:r>
        <w:rPr/>
      </w:r>
    </w:p>
    <w:p>
      <w:pPr>
        <w:pStyle w:val="TextBody"/>
        <w:bidi w:val="0"/>
        <w:spacing w:lineRule="auto" w:line="288" w:before="0" w:after="0"/>
        <w:ind w:left="0" w:right="0" w:hanging="270"/>
        <w:jc w:val="center"/>
        <w:rPr>
          <w:rFonts w:ascii="Times New Roman;serif" w:hAnsi="Times New Roman;serif"/>
          <w:b/>
          <w:color w:val="000000"/>
          <w:sz w:val="20"/>
          <w:u w:val="single"/>
        </w:rPr>
      </w:pPr>
      <w:r>
        <w:rPr>
          <w:rFonts w:ascii="Times New Roman;serif" w:hAnsi="Times New Roman;serif"/>
          <w:b/>
          <w:color w:val="000000"/>
          <w:sz w:val="20"/>
          <w:u w:val="single"/>
        </w:rPr>
        <w:t>Consolidated Supplemental Data (Unaudited)</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millions, except per share data)</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Reconciliation from Net Income and Diluted Earnings Per Share to Adjusted Net Income and Adjusted Diluted Earnings Per Share</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val="false"/>
          <w:color w:val="000000"/>
          <w:sz w:val="20"/>
        </w:rPr>
        <w:t>The following table reconciles reported net income and diluted earnings per share attributable to the Company to adjusted net income and adjusted diluted earnings per share, as used elsewhere in this release.</w:t>
      </w:r>
      <w:r>
        <w:rPr>
          <w:color w:val="000000"/>
        </w:rPr>
        <w:t xml:space="preserve"> </w:t>
      </w:r>
    </w:p>
    <w:p>
      <w:pPr>
        <w:pStyle w:val="TextBody"/>
        <w:bidi w:val="0"/>
        <w:spacing w:before="0" w:after="0"/>
        <w:jc w:val="both"/>
        <w:rPr/>
      </w:pPr>
      <w:r>
        <w:rPr/>
      </w:r>
    </w:p>
    <w:tbl>
      <w:tblPr>
        <w:tblW w:w="10205" w:type="dxa"/>
        <w:jc w:val="center"/>
        <w:tblInd w:w="0" w:type="dxa"/>
        <w:tblLayout w:type="fixed"/>
        <w:tblCellMar>
          <w:top w:w="28" w:type="dxa"/>
          <w:left w:w="28" w:type="dxa"/>
          <w:bottom w:w="28" w:type="dxa"/>
          <w:right w:w="28" w:type="dxa"/>
        </w:tblCellMar>
      </w:tblPr>
      <w:tblGrid>
        <w:gridCol w:w="1456"/>
        <w:gridCol w:w="939"/>
        <w:gridCol w:w="944"/>
        <w:gridCol w:w="185"/>
        <w:gridCol w:w="185"/>
        <w:gridCol w:w="186"/>
        <w:gridCol w:w="109"/>
        <w:gridCol w:w="109"/>
        <w:gridCol w:w="109"/>
        <w:gridCol w:w="191"/>
        <w:gridCol w:w="191"/>
        <w:gridCol w:w="192"/>
        <w:gridCol w:w="109"/>
        <w:gridCol w:w="109"/>
        <w:gridCol w:w="109"/>
        <w:gridCol w:w="185"/>
        <w:gridCol w:w="185"/>
        <w:gridCol w:w="186"/>
        <w:gridCol w:w="109"/>
        <w:gridCol w:w="109"/>
        <w:gridCol w:w="109"/>
        <w:gridCol w:w="191"/>
        <w:gridCol w:w="191"/>
        <w:gridCol w:w="192"/>
        <w:gridCol w:w="109"/>
        <w:gridCol w:w="109"/>
        <w:gridCol w:w="109"/>
        <w:gridCol w:w="185"/>
        <w:gridCol w:w="185"/>
        <w:gridCol w:w="186"/>
        <w:gridCol w:w="109"/>
        <w:gridCol w:w="109"/>
        <w:gridCol w:w="109"/>
        <w:gridCol w:w="191"/>
        <w:gridCol w:w="191"/>
        <w:gridCol w:w="192"/>
        <w:gridCol w:w="109"/>
        <w:gridCol w:w="109"/>
        <w:gridCol w:w="109"/>
        <w:gridCol w:w="185"/>
        <w:gridCol w:w="185"/>
        <w:gridCol w:w="186"/>
        <w:gridCol w:w="109"/>
        <w:gridCol w:w="109"/>
        <w:gridCol w:w="109"/>
        <w:gridCol w:w="181"/>
        <w:gridCol w:w="181"/>
        <w:gridCol w:w="269"/>
      </w:tblGrid>
      <w:tr>
        <w:trPr/>
        <w:tc>
          <w:tcPr>
            <w:tcW w:w="1456"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r>
      <w:tr>
        <w:trPr/>
        <w:tc>
          <w:tcPr>
            <w:tcW w:w="3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1"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Three Months Ended </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8"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Six Months Ended </w:t>
              <w:br/>
              <w:t>June 30,</w:t>
            </w:r>
          </w:p>
        </w:tc>
      </w:tr>
      <w:tr>
        <w:trPr/>
        <w:tc>
          <w:tcPr>
            <w:tcW w:w="3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2025</w:t>
            </w:r>
          </w:p>
        </w:tc>
      </w:tr>
      <w:tr>
        <w:trPr/>
        <w:tc>
          <w:tcPr>
            <w:tcW w:w="33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Net income/diluted earnings per share attributable to Crown Holdings, as reported </w:t>
            </w:r>
          </w:p>
        </w:tc>
        <w:tc>
          <w:tcPr>
            <w:tcW w:w="5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$245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$181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$1.56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$420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$3.78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$374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$3.21</w:t>
            </w:r>
          </w:p>
        </w:tc>
      </w:tr>
      <w:tr>
        <w:trPr/>
        <w:tc>
          <w:tcPr>
            <w:tcW w:w="333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Times New Roman;serif" w:hAnsi="Times New Roman;serif"/>
                <w:b w:val="false"/>
                <w:color w:val="000000"/>
                <w:sz w:val="20"/>
              </w:rPr>
              <w:t xml:space="preserve">Intangibles amortization </w:t>
            </w:r>
            <w:r>
              <w:rPr>
                <w:rFonts w:ascii="Times New Roman;serif" w:hAnsi="Times New Roman;serif"/>
                <w:b w:val="false"/>
                <w:color w:val="000000"/>
                <w:sz w:val="13"/>
              </w:rPr>
              <w:t>(1)</w:t>
            </w:r>
          </w:p>
        </w:tc>
        <w:tc>
          <w:tcPr>
            <w:tcW w:w="5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73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0.66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73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0.62</w:t>
            </w:r>
          </w:p>
        </w:tc>
      </w:tr>
      <w:tr>
        <w:trPr/>
        <w:tc>
          <w:tcPr>
            <w:tcW w:w="333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Times New Roman;serif" w:hAnsi="Times New Roman;serif"/>
                <w:b w:val="false"/>
                <w:color w:val="000000"/>
                <w:sz w:val="20"/>
              </w:rPr>
              <w:t xml:space="preserve">Restructuring and other </w:t>
            </w:r>
            <w:r>
              <w:rPr>
                <w:rFonts w:ascii="Times New Roman;serif" w:hAnsi="Times New Roman;serif"/>
                <w:b w:val="false"/>
                <w:color w:val="000000"/>
                <w:sz w:val="13"/>
              </w:rPr>
              <w:t>(2)</w:t>
            </w:r>
          </w:p>
        </w:tc>
        <w:tc>
          <w:tcPr>
            <w:tcW w:w="5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0.40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0.04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45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0.39</w:t>
            </w:r>
          </w:p>
        </w:tc>
      </w:tr>
      <w:tr>
        <w:trPr/>
        <w:tc>
          <w:tcPr>
            <w:tcW w:w="33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 xml:space="preserve">Loss on debt extinguishment </w:t>
            </w:r>
          </w:p>
        </w:tc>
        <w:tc>
          <w:tcPr>
            <w:tcW w:w="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0.02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0.01</w:t>
            </w:r>
          </w:p>
        </w:tc>
      </w:tr>
      <w:tr>
        <w:trPr/>
        <w:tc>
          <w:tcPr>
            <w:tcW w:w="333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Times New Roman;serif" w:hAnsi="Times New Roman;serif"/>
                <w:b w:val="false"/>
                <w:color w:val="000000"/>
                <w:sz w:val="20"/>
              </w:rPr>
              <w:t xml:space="preserve">Other pension and postretirement </w:t>
            </w:r>
            <w:r>
              <w:rPr>
                <w:rFonts w:ascii="Times New Roman;serif" w:hAnsi="Times New Roman;serif"/>
                <w:b w:val="false"/>
                <w:color w:val="000000"/>
                <w:sz w:val="13"/>
              </w:rPr>
              <w:t>(3)</w:t>
            </w:r>
          </w:p>
        </w:tc>
        <w:tc>
          <w:tcPr>
            <w:tcW w:w="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(0.04)</w:t>
            </w:r>
          </w:p>
        </w:tc>
      </w:tr>
      <w:tr>
        <w:trPr/>
        <w:tc>
          <w:tcPr>
            <w:tcW w:w="3339" w:type="dxa"/>
            <w:gridSpan w:val="3"/>
            <w:tcBorders/>
            <w:vAlign w:val="center"/>
          </w:tcPr>
          <w:p>
            <w:pPr>
              <w:pStyle w:val="TableContents"/>
              <w:bidi w:val="0"/>
              <w:spacing w:before="0" w:after="283"/>
              <w:jc w:val="left"/>
              <w:rPr>
                <w:sz w:val="4"/>
                <w:szCs w:val="4"/>
              </w:rPr>
            </w:pPr>
            <w:r>
              <w:rPr>
                <w:sz w:val="4"/>
                <w:szCs w:val="4"/>
              </w:rPr>
            </w:r>
          </w:p>
        </w:tc>
        <w:tc>
          <w:tcPr>
            <w:tcW w:w="5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r>
      <w:tr>
        <w:trPr/>
        <w:tc>
          <w:tcPr>
            <w:tcW w:w="333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Times New Roman;serif" w:hAnsi="Times New Roman;serif"/>
                <w:b w:val="false"/>
                <w:color w:val="000000"/>
                <w:sz w:val="20"/>
              </w:rPr>
              <w:t xml:space="preserve">Income taxes </w:t>
            </w:r>
            <w:r>
              <w:rPr>
                <w:rFonts w:ascii="Times New Roman;serif" w:hAnsi="Times New Roman;serif"/>
                <w:b w:val="false"/>
                <w:color w:val="000000"/>
                <w:sz w:val="13"/>
              </w:rPr>
              <w:t>(4)</w:t>
            </w:r>
          </w:p>
        </w:tc>
        <w:tc>
          <w:tcPr>
            <w:tcW w:w="5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(17)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(0.15)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(44)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(0.38)</w:t>
            </w:r>
          </w:p>
        </w:tc>
      </w:tr>
      <w:tr>
        <w:trPr/>
        <w:tc>
          <w:tcPr>
            <w:tcW w:w="3339" w:type="dxa"/>
            <w:gridSpan w:val="3"/>
            <w:tcBorders/>
            <w:vAlign w:val="center"/>
          </w:tcPr>
          <w:p>
            <w:pPr>
              <w:pStyle w:val="TableContents"/>
              <w:bidi w:val="0"/>
              <w:spacing w:before="0" w:after="283"/>
              <w:jc w:val="left"/>
              <w:rPr>
                <w:sz w:val="4"/>
                <w:szCs w:val="4"/>
              </w:rPr>
            </w:pPr>
            <w:r>
              <w:rPr>
                <w:sz w:val="4"/>
                <w:szCs w:val="4"/>
              </w:rPr>
            </w:r>
          </w:p>
        </w:tc>
        <w:tc>
          <w:tcPr>
            <w:tcW w:w="5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r>
      <w:tr>
        <w:trPr/>
        <w:tc>
          <w:tcPr>
            <w:tcW w:w="333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Times New Roman;serif" w:hAnsi="Times New Roman;serif"/>
                <w:b w:val="false"/>
                <w:color w:val="000000"/>
                <w:sz w:val="20"/>
              </w:rPr>
              <w:t xml:space="preserve">Noncontrolling interests </w:t>
            </w:r>
            <w:r>
              <w:rPr>
                <w:rFonts w:ascii="Times New Roman;serif" w:hAnsi="Times New Roman;serif"/>
                <w:b w:val="false"/>
                <w:color w:val="000000"/>
                <w:sz w:val="13"/>
              </w:rPr>
              <w:t>(5)</w:t>
            </w:r>
            <w:r>
              <w:rPr>
                <w:color w:val="000000"/>
              </w:rPr>
              <w:t xml:space="preserve"> </w:t>
            </w:r>
          </w:p>
        </w:tc>
        <w:tc>
          <w:tcPr>
            <w:tcW w:w="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(0.01)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net income/diluted earnings per share</w:t>
            </w:r>
          </w:p>
        </w:tc>
        <w:tc>
          <w:tcPr>
            <w:tcW w:w="5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$273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$2.49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$249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$482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$4.34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$444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$3.81</w:t>
            </w:r>
          </w:p>
        </w:tc>
      </w:tr>
      <w:tr>
        <w:trPr/>
        <w:tc>
          <w:tcPr>
            <w:tcW w:w="3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Effective tax rate as reported</w:t>
            </w:r>
            <w:r>
              <w:rPr>
                <w:color w:val="000000"/>
              </w:rPr>
              <w:t xml:space="preserve"> </w:t>
            </w:r>
          </w:p>
        </w:tc>
        <w:tc>
          <w:tcPr>
            <w:tcW w:w="5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24.4%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26.6%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24.8%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21.9%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Adjusted effective tax rate </w:t>
            </w:r>
          </w:p>
        </w:tc>
        <w:tc>
          <w:tcPr>
            <w:tcW w:w="5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24.4%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24.3%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24.4%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24.7%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Adjusted net income, adjusted diluted earnings per share and the adjusted effective tax rate are non-GAAP measures and are not meant to be considered in isolation or as a substitute for net income, diluted earnings per share and effective tax rates determined in accordance with U.S. generally accepted accounting principles. The Company believes these non-GAAP measures provide useful information to evaluate the performance of the Company’s ongoing business.</w:t>
      </w:r>
    </w:p>
    <w:p>
      <w:pPr>
        <w:pStyle w:val="TextBody"/>
        <w:bidi w:val="0"/>
        <w:spacing w:before="0" w:after="0"/>
        <w:jc w:val="both"/>
        <w:rPr/>
      </w:pPr>
      <w:r>
        <w:rPr/>
      </w:r>
    </w:p>
    <w:p>
      <w:pPr>
        <w:pStyle w:val="TextBody"/>
        <w:bidi w:val="0"/>
        <w:spacing w:lineRule="auto" w:line="268" w:before="0" w:after="0"/>
        <w:ind w:left="0" w:right="0" w:hanging="360"/>
        <w:jc w:val="both"/>
        <w:rPr/>
      </w:pPr>
      <w:r>
        <w:rPr>
          <w:rFonts w:ascii="Times New Roman;serif" w:hAnsi="Times New Roman;serif"/>
          <w:b w:val="false"/>
          <w:color w:val="000000"/>
          <w:sz w:val="13"/>
        </w:rPr>
        <w:t>(1)</w:t>
      </w:r>
      <w:r>
        <w:rPr>
          <w:rFonts w:ascii="Times New Roman;serif" w:hAnsi="Times New Roman;serif"/>
          <w:b w:val="false"/>
          <w:color w:val="000000"/>
          <w:sz w:val="20"/>
        </w:rPr>
        <w:t>In the second quarter and first six months of 2026, the Company recorded charges of $35 million ($27 million net of tax) and $73 million ($56 million net of tax) for intangibles amortization arising from prior acquisitions. In the second quarter and first six months of 2025, the Company recorded charges of $38 million ($29 million net of tax) and $73 million ($56 million net of tax) for intangibles amortization arising from prior acquisitions.</w:t>
      </w:r>
    </w:p>
    <w:p>
      <w:pPr>
        <w:pStyle w:val="TextBody"/>
        <w:bidi w:val="0"/>
        <w:spacing w:before="0" w:after="0"/>
        <w:jc w:val="both"/>
        <w:rPr/>
      </w:pPr>
      <w:r>
        <w:rPr/>
      </w:r>
    </w:p>
    <w:p>
      <w:pPr>
        <w:pStyle w:val="TextBody"/>
        <w:bidi w:val="0"/>
        <w:spacing w:lineRule="auto" w:line="268" w:before="0" w:after="0"/>
        <w:ind w:left="0" w:right="0" w:hanging="360"/>
        <w:jc w:val="both"/>
        <w:rPr/>
      </w:pPr>
      <w:r>
        <w:rPr>
          <w:rFonts w:ascii="Times New Roman;serif" w:hAnsi="Times New Roman;serif"/>
          <w:b w:val="false"/>
          <w:color w:val="000000"/>
          <w:sz w:val="13"/>
        </w:rPr>
        <w:t>(2)</w:t>
      </w:r>
      <w:r>
        <w:rPr>
          <w:rFonts w:ascii="Times New Roman;serif" w:hAnsi="Times New Roman;serif"/>
          <w:b w:val="false"/>
          <w:color w:val="000000"/>
          <w:sz w:val="20"/>
        </w:rPr>
        <w:t>In the second quarter and first six months of 2026, the Company recorded net restructuring and other charges of $2 million ($1 million net of tax) and $4 million ($5 million net of tax). In the second quarter and first six months of 2025, the Company recorded net restructuring and other charges of $47 million ($42 million net of tax) and $45 million ($40 million net of tax) primarily related to asset impairment charges in Asia Pacific, severance costs in the Transit Packaging segment and a reserve for a legal dispute.</w:t>
      </w:r>
    </w:p>
    <w:p>
      <w:pPr>
        <w:pStyle w:val="TextBody"/>
        <w:bidi w:val="0"/>
        <w:spacing w:before="0" w:after="0"/>
        <w:jc w:val="both"/>
        <w:rPr/>
      </w:pPr>
      <w:r>
        <w:rPr/>
      </w:r>
    </w:p>
    <w:p>
      <w:pPr>
        <w:pStyle w:val="TextBody"/>
        <w:bidi w:val="0"/>
        <w:spacing w:lineRule="auto" w:line="268" w:before="0" w:after="0"/>
        <w:ind w:left="0" w:right="0" w:hanging="360"/>
        <w:jc w:val="both"/>
        <w:rPr/>
      </w:pPr>
      <w:r>
        <w:rPr>
          <w:rFonts w:ascii="Times New Roman;serif" w:hAnsi="Times New Roman;serif"/>
          <w:b w:val="false"/>
          <w:color w:val="000000"/>
          <w:sz w:val="13"/>
        </w:rPr>
        <w:t>(3)</w:t>
      </w:r>
      <w:r>
        <w:rPr>
          <w:rFonts w:ascii="Times New Roman;serif" w:hAnsi="Times New Roman;serif"/>
          <w:b w:val="false"/>
          <w:color w:val="000000"/>
          <w:sz w:val="20"/>
        </w:rPr>
        <w:t>In the second quarter of 2025, the Company recorded a pension settlement gain of $5 million ($4 million net of tax), related to repayment of the contribution the Company made in 2021 to settle the U.K. defined pension plan.</w:t>
      </w:r>
    </w:p>
    <w:p>
      <w:pPr>
        <w:pStyle w:val="TextBody"/>
        <w:bidi w:val="0"/>
        <w:spacing w:before="0" w:after="0"/>
        <w:jc w:val="both"/>
        <w:rPr/>
      </w:pPr>
      <w:r>
        <w:rPr/>
      </w:r>
    </w:p>
    <w:p>
      <w:pPr>
        <w:pStyle w:val="TextBody"/>
        <w:bidi w:val="0"/>
        <w:spacing w:lineRule="auto" w:line="268" w:before="0" w:after="0"/>
        <w:ind w:left="0" w:right="0" w:hanging="360"/>
        <w:jc w:val="both"/>
        <w:rPr/>
      </w:pPr>
      <w:r>
        <w:rPr>
          <w:rFonts w:ascii="Times New Roman;serif" w:hAnsi="Times New Roman;serif"/>
          <w:b w:val="false"/>
          <w:color w:val="000000"/>
          <w:sz w:val="13"/>
        </w:rPr>
        <w:t>(4)</w:t>
      </w:r>
      <w:r>
        <w:rPr>
          <w:rFonts w:ascii="Times New Roman;serif" w:hAnsi="Times New Roman;serif"/>
          <w:b w:val="false"/>
          <w:color w:val="000000"/>
          <w:sz w:val="20"/>
        </w:rPr>
        <w:t>The Company recorded income tax benefits of $9 million and $17 million in the second quarter and first six months of 2026, primarily related to the items described above. The Company recorded income tax benefits of $13 million and $44 million in the second quarter and first six months of 2025, primarily related to an income tax benefit of $22 million from an internal reorganization in the first quarter of 2025 and the items described above.</w:t>
      </w:r>
    </w:p>
    <w:p>
      <w:pPr>
        <w:pStyle w:val="TextBody"/>
        <w:bidi w:val="0"/>
        <w:spacing w:before="0" w:after="0"/>
        <w:jc w:val="both"/>
        <w:rPr/>
      </w:pPr>
      <w:r>
        <w:rPr/>
      </w:r>
    </w:p>
    <w:p>
      <w:pPr>
        <w:pStyle w:val="TextBody"/>
        <w:bidi w:val="0"/>
        <w:spacing w:lineRule="auto" w:line="268" w:before="0" w:after="0"/>
        <w:ind w:left="0" w:right="0" w:hanging="360"/>
        <w:jc w:val="both"/>
        <w:rPr/>
      </w:pPr>
      <w:r>
        <w:rPr>
          <w:rFonts w:ascii="Times New Roman;serif" w:hAnsi="Times New Roman;serif"/>
          <w:b w:val="false"/>
          <w:color w:val="000000"/>
          <w:sz w:val="13"/>
        </w:rPr>
        <w:t>(5)</w:t>
      </w:r>
      <w:r>
        <w:rPr>
          <w:rFonts w:ascii="Times New Roman;serif" w:hAnsi="Times New Roman;serif"/>
          <w:b w:val="false"/>
          <w:color w:val="000000"/>
          <w:sz w:val="20"/>
        </w:rPr>
        <w:t>In the first six months of 2026, the Company recorded noncontrolling interest related to the items described above.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120"/>
        <w:jc w:val="center"/>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6"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Page 6 of 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Page 6 of 9</w:t>
                      </w:r>
                    </w:p>
                  </w:txbxContent>
                </v:textbox>
                <w10:wrap type="none"/>
              </v:rect>
            </w:pict>
          </mc:Fallback>
        </mc:AlternateContent>
      </w:r>
    </w:p>
    <w:tbl>
      <w:tblPr>
        <w:tblW w:w="5738" w:type="dxa"/>
        <w:jc w:val="center"/>
        <w:tblInd w:w="0" w:type="dxa"/>
        <w:tblLayout w:type="fixed"/>
        <w:tblCellMar>
          <w:top w:w="28" w:type="dxa"/>
          <w:left w:w="28" w:type="dxa"/>
          <w:bottom w:w="28" w:type="dxa"/>
          <w:right w:w="28" w:type="dxa"/>
        </w:tblCellMar>
      </w:tblPr>
      <w:tblGrid>
        <w:gridCol w:w="929"/>
        <w:gridCol w:w="817"/>
        <w:gridCol w:w="819"/>
        <w:gridCol w:w="109"/>
        <w:gridCol w:w="109"/>
        <w:gridCol w:w="109"/>
        <w:gridCol w:w="833"/>
        <w:gridCol w:w="833"/>
        <w:gridCol w:w="1180"/>
      </w:tblGrid>
      <w:tr>
        <w:trPr/>
        <w:tc>
          <w:tcPr>
            <w:tcW w:w="929"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8"/>
                <w:u w:val="single"/>
              </w:rPr>
            </w:pPr>
            <w:r>
              <w:rPr>
                <w:rFonts w:ascii="Arial;sans-serif" w:hAnsi="Arial;sans-serif"/>
                <w:b/>
                <w:color w:val="000000"/>
                <w:sz w:val="28"/>
                <w:u w:val="single"/>
              </w:rPr>
              <w:t>News Release</w:t>
            </w:r>
          </w:p>
          <w:p>
            <w:pPr>
              <w:pStyle w:val="TableContents"/>
              <w:bidi w:val="0"/>
              <w:spacing w:before="0" w:after="0"/>
              <w:jc w:val="left"/>
              <w:rPr/>
            </w:pPr>
            <w:r>
              <w:rPr/>
            </w:r>
          </w:p>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Corporate Headquarters</w:t>
            </w:r>
          </w:p>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14025 Riveredge Drive, Suite 300</w:t>
            </w:r>
          </w:p>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Tampa, FL 33637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1724025" cy="609600"/>
                  <wp:effectExtent l="0" t="0" r="0" b="0"/>
                  <wp:docPr id="1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7" descr=""/>
                          <pic:cNvPicPr>
                            <a:picLocks noChangeAspect="1" noChangeArrowheads="1"/>
                          </pic:cNvPicPr>
                        </pic:nvPicPr>
                        <pic:blipFill>
                          <a:blip r:embed="rId8"/>
                          <a:stretch>
                            <a:fillRect/>
                          </a:stretch>
                        </pic:blipFill>
                        <pic:spPr bwMode="auto">
                          <a:xfrm>
                            <a:off x="0" y="0"/>
                            <a:ext cx="1724025" cy="609600"/>
                          </a:xfrm>
                          <a:prstGeom prst="rect">
                            <a:avLst/>
                          </a:prstGeom>
                        </pic:spPr>
                      </pic:pic>
                    </a:graphicData>
                  </a:graphic>
                </wp:inline>
              </w:drawing>
            </w:r>
          </w:p>
        </w:tc>
      </w:tr>
    </w:tbl>
    <w:p>
      <w:pPr>
        <w:pStyle w:val="TextBody"/>
        <w:bidi w:val="0"/>
        <w:spacing w:before="0" w:after="0"/>
        <w:jc w:val="center"/>
        <w:rPr/>
      </w:pPr>
      <w:r>
        <w:rPr/>
      </w:r>
    </w:p>
    <w:tbl>
      <w:tblPr>
        <w:tblW w:w="7967" w:type="dxa"/>
        <w:jc w:val="center"/>
        <w:tblInd w:w="0" w:type="dxa"/>
        <w:tblLayout w:type="fixed"/>
        <w:tblCellMar>
          <w:top w:w="28" w:type="dxa"/>
          <w:left w:w="28" w:type="dxa"/>
          <w:bottom w:w="28" w:type="dxa"/>
          <w:right w:w="28" w:type="dxa"/>
        </w:tblCellMar>
      </w:tblPr>
      <w:tblGrid>
        <w:gridCol w:w="1369"/>
        <w:gridCol w:w="1198"/>
        <w:gridCol w:w="1198"/>
        <w:gridCol w:w="357"/>
        <w:gridCol w:w="1246"/>
        <w:gridCol w:w="184"/>
        <w:gridCol w:w="184"/>
        <w:gridCol w:w="184"/>
        <w:gridCol w:w="184"/>
        <w:gridCol w:w="357"/>
        <w:gridCol w:w="1246"/>
        <w:gridCol w:w="260"/>
      </w:tblGrid>
      <w:tr>
        <w:trPr/>
        <w:tc>
          <w:tcPr>
            <w:tcW w:w="1369" w:type="dxa"/>
            <w:tcBorders/>
            <w:vAlign w:val="center"/>
          </w:tcPr>
          <w:p>
            <w:pPr>
              <w:pStyle w:val="TableContents"/>
              <w:bidi w:val="0"/>
              <w:spacing w:before="0" w:after="283"/>
              <w:jc w:val="left"/>
              <w:rPr>
                <w:sz w:val="4"/>
                <w:szCs w:val="4"/>
              </w:rPr>
            </w:pPr>
            <w:r>
              <w:rPr>
                <w:sz w:val="4"/>
                <w:szCs w:val="4"/>
              </w:rPr>
            </w:r>
          </w:p>
        </w:tc>
        <w:tc>
          <w:tcPr>
            <w:tcW w:w="1198" w:type="dxa"/>
            <w:tcBorders/>
            <w:vAlign w:val="center"/>
          </w:tcPr>
          <w:p>
            <w:pPr>
              <w:pStyle w:val="TableContents"/>
              <w:bidi w:val="0"/>
              <w:spacing w:before="0" w:after="283"/>
              <w:jc w:val="left"/>
              <w:rPr>
                <w:sz w:val="4"/>
                <w:szCs w:val="4"/>
              </w:rPr>
            </w:pPr>
            <w:r>
              <w:rPr>
                <w:sz w:val="4"/>
                <w:szCs w:val="4"/>
              </w:rPr>
            </w:r>
          </w:p>
        </w:tc>
        <w:tc>
          <w:tcPr>
            <w:tcW w:w="1198"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r>
      <w:tr>
        <w:trPr/>
        <w:tc>
          <w:tcPr>
            <w:tcW w:w="7967"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Consolidated Balance Sheets (Condensed &amp; Unaudited)</w:t>
            </w:r>
          </w:p>
        </w:tc>
      </w:tr>
      <w:tr>
        <w:trPr/>
        <w:tc>
          <w:tcPr>
            <w:tcW w:w="7967"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 millions)</w:t>
            </w:r>
          </w:p>
        </w:tc>
      </w:tr>
      <w:tr>
        <w:trPr/>
        <w:tc>
          <w:tcPr>
            <w:tcW w:w="37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June 30,</w:t>
            </w:r>
          </w:p>
        </w:tc>
        <w:tc>
          <w:tcPr>
            <w:tcW w:w="17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7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7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Current assets</w:t>
            </w:r>
          </w:p>
        </w:tc>
        <w:tc>
          <w:tcPr>
            <w:tcW w:w="17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Cash and cash equivalents</w:t>
            </w:r>
          </w:p>
        </w:tc>
        <w:tc>
          <w:tcPr>
            <w:tcW w:w="35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4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656 </w:t>
            </w:r>
          </w:p>
        </w:tc>
        <w:tc>
          <w:tcPr>
            <w:tcW w:w="1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4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936 </w:t>
            </w:r>
          </w:p>
        </w:tc>
        <w:tc>
          <w:tcPr>
            <w:tcW w:w="2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Receivables, net</w:t>
            </w:r>
          </w:p>
        </w:tc>
        <w:tc>
          <w:tcPr>
            <w:tcW w:w="16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1,999 </w:t>
            </w:r>
          </w:p>
        </w:tc>
        <w:tc>
          <w:tcPr>
            <w:tcW w:w="1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1,864 </w:t>
            </w:r>
          </w:p>
        </w:tc>
        <w:tc>
          <w:tcPr>
            <w:tcW w:w="2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Inventories</w:t>
            </w:r>
          </w:p>
        </w:tc>
        <w:tc>
          <w:tcPr>
            <w:tcW w:w="16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1,795 </w:t>
            </w:r>
          </w:p>
        </w:tc>
        <w:tc>
          <w:tcPr>
            <w:tcW w:w="1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1,629 </w:t>
            </w:r>
          </w:p>
        </w:tc>
        <w:tc>
          <w:tcPr>
            <w:tcW w:w="2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Prepaid expenses and other current assets</w:t>
            </w:r>
          </w:p>
        </w:tc>
        <w:tc>
          <w:tcPr>
            <w:tcW w:w="16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322 </w:t>
            </w:r>
          </w:p>
        </w:tc>
        <w:tc>
          <w:tcPr>
            <w:tcW w:w="1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223 </w:t>
            </w:r>
          </w:p>
        </w:tc>
        <w:tc>
          <w:tcPr>
            <w:tcW w:w="2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vAlign w:val="center"/>
          </w:tcPr>
          <w:p>
            <w:pPr>
              <w:pStyle w:val="TableContents"/>
              <w:bidi w:val="0"/>
              <w:spacing w:before="0" w:after="283"/>
              <w:jc w:val="left"/>
              <w:rPr>
                <w:sz w:val="4"/>
                <w:szCs w:val="4"/>
              </w:rPr>
            </w:pPr>
            <w:r>
              <w:rPr>
                <w:sz w:val="4"/>
                <w:szCs w:val="4"/>
              </w:rPr>
            </w:r>
          </w:p>
        </w:tc>
        <w:tc>
          <w:tcPr>
            <w:tcW w:w="1787" w:type="dxa"/>
            <w:gridSpan w:val="3"/>
            <w:tcBorders/>
            <w:vAlign w:val="center"/>
          </w:tcPr>
          <w:p>
            <w:pPr>
              <w:pStyle w:val="TableContents"/>
              <w:bidi w:val="0"/>
              <w:spacing w:before="0" w:after="283"/>
              <w:jc w:val="left"/>
              <w:rPr>
                <w:sz w:val="4"/>
                <w:szCs w:val="4"/>
              </w:rPr>
            </w:pPr>
            <w:r>
              <w:rPr>
                <w:sz w:val="4"/>
                <w:szCs w:val="4"/>
              </w:rPr>
            </w:r>
          </w:p>
        </w:tc>
        <w:tc>
          <w:tcPr>
            <w:tcW w:w="552" w:type="dxa"/>
            <w:gridSpan w:val="3"/>
            <w:tcBorders/>
            <w:vAlign w:val="center"/>
          </w:tcPr>
          <w:p>
            <w:pPr>
              <w:pStyle w:val="TableContents"/>
              <w:bidi w:val="0"/>
              <w:spacing w:before="0" w:after="283"/>
              <w:jc w:val="left"/>
              <w:rPr>
                <w:sz w:val="4"/>
                <w:szCs w:val="4"/>
              </w:rPr>
            </w:pPr>
            <w:r>
              <w:rPr>
                <w:sz w:val="4"/>
                <w:szCs w:val="4"/>
              </w:rPr>
            </w:r>
          </w:p>
        </w:tc>
        <w:tc>
          <w:tcPr>
            <w:tcW w:w="1863" w:type="dxa"/>
            <w:gridSpan w:val="3"/>
            <w:tcBorders/>
            <w:vAlign w:val="center"/>
          </w:tcPr>
          <w:p>
            <w:pPr>
              <w:pStyle w:val="TableContents"/>
              <w:bidi w:val="0"/>
              <w:spacing w:before="0" w:after="283"/>
              <w:jc w:val="left"/>
              <w:rPr>
                <w:sz w:val="4"/>
                <w:szCs w:val="4"/>
              </w:rPr>
            </w:pPr>
            <w:r>
              <w:rPr>
                <w:sz w:val="4"/>
                <w:szCs w:val="4"/>
              </w:rPr>
            </w:r>
          </w:p>
        </w:tc>
      </w:tr>
      <w:tr>
        <w:trPr/>
        <w:tc>
          <w:tcPr>
            <w:tcW w:w="37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color w:val="000000"/>
                <w:sz w:val="20"/>
              </w:rPr>
              <w:t>Total current assets</w:t>
            </w:r>
          </w:p>
        </w:tc>
        <w:tc>
          <w:tcPr>
            <w:tcW w:w="160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4,772</w:t>
            </w:r>
            <w:r>
              <w:rPr>
                <w:color w:val="000000"/>
              </w:rPr>
              <w:t> </w:t>
            </w:r>
          </w:p>
        </w:tc>
        <w:tc>
          <w:tcPr>
            <w:tcW w:w="18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4,652</w:t>
            </w:r>
            <w:r>
              <w:rPr>
                <w:color w:val="000000"/>
              </w:rPr>
              <w:t> </w:t>
            </w:r>
          </w:p>
        </w:tc>
        <w:tc>
          <w:tcPr>
            <w:tcW w:w="26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 and intangible assets, net</w:t>
            </w:r>
          </w:p>
        </w:tc>
        <w:tc>
          <w:tcPr>
            <w:tcW w:w="16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4,014 </w:t>
            </w:r>
          </w:p>
        </w:tc>
        <w:tc>
          <w:tcPr>
            <w:tcW w:w="1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4,169 </w:t>
            </w:r>
          </w:p>
        </w:tc>
        <w:tc>
          <w:tcPr>
            <w:tcW w:w="2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 net</w:t>
            </w:r>
          </w:p>
        </w:tc>
        <w:tc>
          <w:tcPr>
            <w:tcW w:w="16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5,205 </w:t>
            </w:r>
          </w:p>
        </w:tc>
        <w:tc>
          <w:tcPr>
            <w:tcW w:w="1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5,041 </w:t>
            </w:r>
          </w:p>
        </w:tc>
        <w:tc>
          <w:tcPr>
            <w:tcW w:w="2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assets</w:t>
            </w:r>
          </w:p>
        </w:tc>
        <w:tc>
          <w:tcPr>
            <w:tcW w:w="16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565 </w:t>
            </w:r>
          </w:p>
        </w:tc>
        <w:tc>
          <w:tcPr>
            <w:tcW w:w="1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616 </w:t>
            </w:r>
          </w:p>
        </w:tc>
        <w:tc>
          <w:tcPr>
            <w:tcW w:w="2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vAlign w:val="center"/>
          </w:tcPr>
          <w:p>
            <w:pPr>
              <w:pStyle w:val="TableContents"/>
              <w:bidi w:val="0"/>
              <w:spacing w:before="0" w:after="283"/>
              <w:jc w:val="left"/>
              <w:rPr>
                <w:sz w:val="4"/>
                <w:szCs w:val="4"/>
              </w:rPr>
            </w:pPr>
            <w:r>
              <w:rPr>
                <w:sz w:val="4"/>
                <w:szCs w:val="4"/>
              </w:rPr>
            </w:r>
          </w:p>
        </w:tc>
        <w:tc>
          <w:tcPr>
            <w:tcW w:w="1787" w:type="dxa"/>
            <w:gridSpan w:val="3"/>
            <w:tcBorders/>
            <w:vAlign w:val="center"/>
          </w:tcPr>
          <w:p>
            <w:pPr>
              <w:pStyle w:val="TableContents"/>
              <w:bidi w:val="0"/>
              <w:spacing w:before="0" w:after="283"/>
              <w:jc w:val="left"/>
              <w:rPr>
                <w:sz w:val="4"/>
                <w:szCs w:val="4"/>
              </w:rPr>
            </w:pPr>
            <w:r>
              <w:rPr>
                <w:sz w:val="4"/>
                <w:szCs w:val="4"/>
              </w:rPr>
            </w:r>
          </w:p>
        </w:tc>
        <w:tc>
          <w:tcPr>
            <w:tcW w:w="552" w:type="dxa"/>
            <w:gridSpan w:val="3"/>
            <w:tcBorders/>
            <w:vAlign w:val="center"/>
          </w:tcPr>
          <w:p>
            <w:pPr>
              <w:pStyle w:val="TableContents"/>
              <w:bidi w:val="0"/>
              <w:spacing w:before="0" w:after="283"/>
              <w:jc w:val="left"/>
              <w:rPr>
                <w:sz w:val="4"/>
                <w:szCs w:val="4"/>
              </w:rPr>
            </w:pPr>
            <w:r>
              <w:rPr>
                <w:sz w:val="4"/>
                <w:szCs w:val="4"/>
              </w:rPr>
            </w:r>
          </w:p>
        </w:tc>
        <w:tc>
          <w:tcPr>
            <w:tcW w:w="1863" w:type="dxa"/>
            <w:gridSpan w:val="3"/>
            <w:tcBorders/>
            <w:vAlign w:val="center"/>
          </w:tcPr>
          <w:p>
            <w:pPr>
              <w:pStyle w:val="TableContents"/>
              <w:bidi w:val="0"/>
              <w:spacing w:before="0" w:after="283"/>
              <w:jc w:val="left"/>
              <w:rPr>
                <w:sz w:val="4"/>
                <w:szCs w:val="4"/>
              </w:rPr>
            </w:pPr>
            <w:r>
              <w:rPr>
                <w:sz w:val="4"/>
                <w:szCs w:val="4"/>
              </w:rPr>
            </w:r>
          </w:p>
        </w:tc>
      </w:tr>
      <w:tr>
        <w:trPr/>
        <w:tc>
          <w:tcPr>
            <w:tcW w:w="37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color w:val="000000"/>
                <w:sz w:val="20"/>
              </w:rPr>
              <w:t>Total assets</w:t>
            </w:r>
          </w:p>
        </w:tc>
        <w:tc>
          <w:tcPr>
            <w:tcW w:w="35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2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14,556</w:t>
            </w:r>
            <w:r>
              <w:rPr>
                <w:color w:val="000000"/>
              </w:rPr>
              <w:t> </w:t>
            </w:r>
          </w:p>
        </w:tc>
        <w:tc>
          <w:tcPr>
            <w:tcW w:w="18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2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14,478</w:t>
            </w:r>
            <w:r>
              <w:rPr>
                <w:color w:val="000000"/>
              </w:rPr>
              <w:t> </w:t>
            </w:r>
          </w:p>
        </w:tc>
        <w:tc>
          <w:tcPr>
            <w:tcW w:w="26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 and equity</w:t>
            </w:r>
          </w:p>
        </w:tc>
        <w:tc>
          <w:tcPr>
            <w:tcW w:w="17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Current liabilities</w:t>
            </w:r>
          </w:p>
        </w:tc>
        <w:tc>
          <w:tcPr>
            <w:tcW w:w="17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Short-term debt</w:t>
            </w:r>
          </w:p>
        </w:tc>
        <w:tc>
          <w:tcPr>
            <w:tcW w:w="35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4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1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4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201 </w:t>
            </w:r>
          </w:p>
        </w:tc>
        <w:tc>
          <w:tcPr>
            <w:tcW w:w="2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Current maturities of long-term debt</w:t>
            </w:r>
          </w:p>
        </w:tc>
        <w:tc>
          <w:tcPr>
            <w:tcW w:w="16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519 </w:t>
            </w:r>
          </w:p>
        </w:tc>
        <w:tc>
          <w:tcPr>
            <w:tcW w:w="1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671 </w:t>
            </w:r>
          </w:p>
        </w:tc>
        <w:tc>
          <w:tcPr>
            <w:tcW w:w="2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Accounts payable and accrued liabilities</w:t>
            </w:r>
          </w:p>
        </w:tc>
        <w:tc>
          <w:tcPr>
            <w:tcW w:w="16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3,988 </w:t>
            </w:r>
          </w:p>
        </w:tc>
        <w:tc>
          <w:tcPr>
            <w:tcW w:w="1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3,501 </w:t>
            </w:r>
          </w:p>
        </w:tc>
        <w:tc>
          <w:tcPr>
            <w:tcW w:w="2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vAlign w:val="center"/>
          </w:tcPr>
          <w:p>
            <w:pPr>
              <w:pStyle w:val="TableContents"/>
              <w:bidi w:val="0"/>
              <w:spacing w:before="0" w:after="283"/>
              <w:jc w:val="left"/>
              <w:rPr>
                <w:sz w:val="4"/>
                <w:szCs w:val="4"/>
              </w:rPr>
            </w:pPr>
            <w:r>
              <w:rPr>
                <w:sz w:val="4"/>
                <w:szCs w:val="4"/>
              </w:rPr>
            </w:r>
          </w:p>
        </w:tc>
        <w:tc>
          <w:tcPr>
            <w:tcW w:w="1787" w:type="dxa"/>
            <w:gridSpan w:val="3"/>
            <w:tcBorders/>
            <w:vAlign w:val="center"/>
          </w:tcPr>
          <w:p>
            <w:pPr>
              <w:pStyle w:val="TableContents"/>
              <w:bidi w:val="0"/>
              <w:spacing w:before="0" w:after="283"/>
              <w:jc w:val="left"/>
              <w:rPr>
                <w:sz w:val="4"/>
                <w:szCs w:val="4"/>
              </w:rPr>
            </w:pPr>
            <w:r>
              <w:rPr>
                <w:sz w:val="4"/>
                <w:szCs w:val="4"/>
              </w:rPr>
            </w:r>
          </w:p>
        </w:tc>
        <w:tc>
          <w:tcPr>
            <w:tcW w:w="552" w:type="dxa"/>
            <w:gridSpan w:val="3"/>
            <w:tcBorders/>
            <w:vAlign w:val="center"/>
          </w:tcPr>
          <w:p>
            <w:pPr>
              <w:pStyle w:val="TableContents"/>
              <w:bidi w:val="0"/>
              <w:spacing w:before="0" w:after="283"/>
              <w:jc w:val="left"/>
              <w:rPr>
                <w:sz w:val="4"/>
                <w:szCs w:val="4"/>
              </w:rPr>
            </w:pPr>
            <w:r>
              <w:rPr>
                <w:sz w:val="4"/>
                <w:szCs w:val="4"/>
              </w:rPr>
            </w:r>
          </w:p>
        </w:tc>
        <w:tc>
          <w:tcPr>
            <w:tcW w:w="1863" w:type="dxa"/>
            <w:gridSpan w:val="3"/>
            <w:tcBorders/>
            <w:vAlign w:val="center"/>
          </w:tcPr>
          <w:p>
            <w:pPr>
              <w:pStyle w:val="TableContents"/>
              <w:bidi w:val="0"/>
              <w:spacing w:before="0" w:after="283"/>
              <w:jc w:val="left"/>
              <w:rPr>
                <w:sz w:val="4"/>
                <w:szCs w:val="4"/>
              </w:rPr>
            </w:pPr>
            <w:r>
              <w:rPr>
                <w:sz w:val="4"/>
                <w:szCs w:val="4"/>
              </w:rPr>
            </w:r>
          </w:p>
        </w:tc>
      </w:tr>
      <w:tr>
        <w:trPr/>
        <w:tc>
          <w:tcPr>
            <w:tcW w:w="376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Times New Roman;serif" w:hAnsi="Times New Roman;serif"/>
                <w:b/>
                <w:color w:val="000000"/>
                <w:sz w:val="20"/>
              </w:rPr>
              <w:t>Total current liabilities</w:t>
            </w:r>
          </w:p>
        </w:tc>
        <w:tc>
          <w:tcPr>
            <w:tcW w:w="160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4,551</w:t>
            </w:r>
            <w:r>
              <w:rPr>
                <w:color w:val="000000"/>
              </w:rPr>
              <w:t> </w:t>
            </w:r>
          </w:p>
        </w:tc>
        <w:tc>
          <w:tcPr>
            <w:tcW w:w="18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4,373</w:t>
            </w:r>
            <w:r>
              <w:rPr>
                <w:color w:val="000000"/>
              </w:rPr>
              <w:t> </w:t>
            </w:r>
          </w:p>
        </w:tc>
        <w:tc>
          <w:tcPr>
            <w:tcW w:w="26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 excluding current maturities</w:t>
            </w:r>
          </w:p>
        </w:tc>
        <w:tc>
          <w:tcPr>
            <w:tcW w:w="16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5,499 </w:t>
            </w:r>
          </w:p>
        </w:tc>
        <w:tc>
          <w:tcPr>
            <w:tcW w:w="1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5,618 </w:t>
            </w:r>
          </w:p>
        </w:tc>
        <w:tc>
          <w:tcPr>
            <w:tcW w:w="2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liabilities</w:t>
            </w:r>
          </w:p>
        </w:tc>
        <w:tc>
          <w:tcPr>
            <w:tcW w:w="16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1,140 </w:t>
            </w:r>
          </w:p>
        </w:tc>
        <w:tc>
          <w:tcPr>
            <w:tcW w:w="1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1,115 </w:t>
            </w:r>
          </w:p>
        </w:tc>
        <w:tc>
          <w:tcPr>
            <w:tcW w:w="2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vAlign w:val="center"/>
          </w:tcPr>
          <w:p>
            <w:pPr>
              <w:pStyle w:val="TableContents"/>
              <w:bidi w:val="0"/>
              <w:spacing w:before="0" w:after="283"/>
              <w:jc w:val="left"/>
              <w:rPr>
                <w:sz w:val="4"/>
                <w:szCs w:val="4"/>
              </w:rPr>
            </w:pPr>
            <w:r>
              <w:rPr>
                <w:sz w:val="4"/>
                <w:szCs w:val="4"/>
              </w:rPr>
            </w:r>
          </w:p>
        </w:tc>
        <w:tc>
          <w:tcPr>
            <w:tcW w:w="1787" w:type="dxa"/>
            <w:gridSpan w:val="3"/>
            <w:tcBorders/>
            <w:vAlign w:val="center"/>
          </w:tcPr>
          <w:p>
            <w:pPr>
              <w:pStyle w:val="TableContents"/>
              <w:bidi w:val="0"/>
              <w:spacing w:before="0" w:after="283"/>
              <w:jc w:val="left"/>
              <w:rPr>
                <w:sz w:val="4"/>
                <w:szCs w:val="4"/>
              </w:rPr>
            </w:pPr>
            <w:r>
              <w:rPr>
                <w:sz w:val="4"/>
                <w:szCs w:val="4"/>
              </w:rPr>
            </w:r>
          </w:p>
        </w:tc>
        <w:tc>
          <w:tcPr>
            <w:tcW w:w="552" w:type="dxa"/>
            <w:gridSpan w:val="3"/>
            <w:tcBorders/>
            <w:vAlign w:val="center"/>
          </w:tcPr>
          <w:p>
            <w:pPr>
              <w:pStyle w:val="TableContents"/>
              <w:bidi w:val="0"/>
              <w:spacing w:before="0" w:after="283"/>
              <w:jc w:val="left"/>
              <w:rPr>
                <w:sz w:val="4"/>
                <w:szCs w:val="4"/>
              </w:rPr>
            </w:pPr>
            <w:r>
              <w:rPr>
                <w:sz w:val="4"/>
                <w:szCs w:val="4"/>
              </w:rPr>
            </w:r>
          </w:p>
        </w:tc>
        <w:tc>
          <w:tcPr>
            <w:tcW w:w="1863" w:type="dxa"/>
            <w:gridSpan w:val="3"/>
            <w:tcBorders/>
            <w:vAlign w:val="center"/>
          </w:tcPr>
          <w:p>
            <w:pPr>
              <w:pStyle w:val="TableContents"/>
              <w:bidi w:val="0"/>
              <w:spacing w:before="0" w:after="283"/>
              <w:jc w:val="left"/>
              <w:rPr>
                <w:sz w:val="4"/>
                <w:szCs w:val="4"/>
              </w:rPr>
            </w:pPr>
            <w:r>
              <w:rPr>
                <w:sz w:val="4"/>
                <w:szCs w:val="4"/>
              </w:rPr>
            </w:r>
          </w:p>
        </w:tc>
      </w:tr>
      <w:tr>
        <w:trPr/>
        <w:tc>
          <w:tcPr>
            <w:tcW w:w="3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Noncontrolling interests</w:t>
            </w:r>
          </w:p>
        </w:tc>
        <w:tc>
          <w:tcPr>
            <w:tcW w:w="16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499 </w:t>
            </w:r>
          </w:p>
        </w:tc>
        <w:tc>
          <w:tcPr>
            <w:tcW w:w="1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481 </w:t>
            </w:r>
          </w:p>
        </w:tc>
        <w:tc>
          <w:tcPr>
            <w:tcW w:w="2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Crown Holdings shareholders’ equity</w:t>
            </w:r>
          </w:p>
        </w:tc>
        <w:tc>
          <w:tcPr>
            <w:tcW w:w="16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2,867 </w:t>
            </w:r>
          </w:p>
        </w:tc>
        <w:tc>
          <w:tcPr>
            <w:tcW w:w="1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2,891 </w:t>
            </w:r>
          </w:p>
        </w:tc>
        <w:tc>
          <w:tcPr>
            <w:tcW w:w="2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equity</w:t>
            </w:r>
          </w:p>
        </w:tc>
        <w:tc>
          <w:tcPr>
            <w:tcW w:w="160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3,366 </w:t>
            </w:r>
          </w:p>
        </w:tc>
        <w:tc>
          <w:tcPr>
            <w:tcW w:w="18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3,372 </w:t>
            </w:r>
          </w:p>
        </w:tc>
        <w:tc>
          <w:tcPr>
            <w:tcW w:w="26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Times New Roman;serif" w:hAnsi="Times New Roman;serif"/>
                <w:b/>
                <w:color w:val="000000"/>
                <w:sz w:val="20"/>
              </w:rPr>
              <w:t>Total liabilities and equity</w:t>
            </w:r>
          </w:p>
        </w:tc>
        <w:tc>
          <w:tcPr>
            <w:tcW w:w="35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24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14,556</w:t>
            </w:r>
            <w:r>
              <w:rPr>
                <w:color w:val="000000"/>
              </w:rPr>
              <w:t> </w:t>
            </w:r>
          </w:p>
        </w:tc>
        <w:tc>
          <w:tcPr>
            <w:tcW w:w="18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24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14,478</w:t>
            </w:r>
            <w:r>
              <w:rPr>
                <w:color w:val="000000"/>
              </w:rPr>
              <w:t> </w:t>
            </w:r>
          </w:p>
        </w:tc>
        <w:tc>
          <w:tcPr>
            <w:tcW w:w="26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ind w:left="0" w:right="0" w:hanging="360"/>
        <w:jc w:val="left"/>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120"/>
        <w:jc w:val="center"/>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18"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Page 7 of 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Page 7 of 9</w:t>
                      </w:r>
                    </w:p>
                  </w:txbxContent>
                </v:textbox>
                <w10:wrap type="none"/>
              </v:rect>
            </w:pict>
          </mc:Fallback>
        </mc:AlternateContent>
      </w:r>
    </w:p>
    <w:tbl>
      <w:tblPr>
        <w:tblW w:w="5738" w:type="dxa"/>
        <w:jc w:val="center"/>
        <w:tblInd w:w="0" w:type="dxa"/>
        <w:tblLayout w:type="fixed"/>
        <w:tblCellMar>
          <w:top w:w="28" w:type="dxa"/>
          <w:left w:w="28" w:type="dxa"/>
          <w:bottom w:w="28" w:type="dxa"/>
          <w:right w:w="28" w:type="dxa"/>
        </w:tblCellMar>
      </w:tblPr>
      <w:tblGrid>
        <w:gridCol w:w="929"/>
        <w:gridCol w:w="817"/>
        <w:gridCol w:w="819"/>
        <w:gridCol w:w="109"/>
        <w:gridCol w:w="109"/>
        <w:gridCol w:w="109"/>
        <w:gridCol w:w="833"/>
        <w:gridCol w:w="833"/>
        <w:gridCol w:w="1180"/>
      </w:tblGrid>
      <w:tr>
        <w:trPr/>
        <w:tc>
          <w:tcPr>
            <w:tcW w:w="929"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8"/>
                <w:u w:val="single"/>
              </w:rPr>
            </w:pPr>
            <w:r>
              <w:rPr>
                <w:rFonts w:ascii="Arial;sans-serif" w:hAnsi="Arial;sans-serif"/>
                <w:b/>
                <w:color w:val="000000"/>
                <w:sz w:val="28"/>
                <w:u w:val="single"/>
              </w:rPr>
              <w:t>News Release</w:t>
            </w:r>
          </w:p>
          <w:p>
            <w:pPr>
              <w:pStyle w:val="TableContents"/>
              <w:bidi w:val="0"/>
              <w:spacing w:before="0" w:after="0"/>
              <w:jc w:val="left"/>
              <w:rPr/>
            </w:pPr>
            <w:r>
              <w:rPr/>
            </w:r>
          </w:p>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Corporate Headquarters</w:t>
            </w:r>
          </w:p>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14025 Riveredge Drive, Suite 300</w:t>
            </w:r>
          </w:p>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Tampa, FL 33637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1724025" cy="609600"/>
                  <wp:effectExtent l="0" t="0" r="0" b="0"/>
                  <wp:docPr id="19"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8" descr=""/>
                          <pic:cNvPicPr>
                            <a:picLocks noChangeAspect="1" noChangeArrowheads="1"/>
                          </pic:cNvPicPr>
                        </pic:nvPicPr>
                        <pic:blipFill>
                          <a:blip r:embed="rId9"/>
                          <a:stretch>
                            <a:fillRect/>
                          </a:stretch>
                        </pic:blipFill>
                        <pic:spPr bwMode="auto">
                          <a:xfrm>
                            <a:off x="0" y="0"/>
                            <a:ext cx="1724025" cy="609600"/>
                          </a:xfrm>
                          <a:prstGeom prst="rect">
                            <a:avLst/>
                          </a:prstGeom>
                        </pic:spPr>
                      </pic:pic>
                    </a:graphicData>
                  </a:graphic>
                </wp:inline>
              </w:drawing>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Consolidated Statements of Cash Flows (Condensed &amp; Unaudited)</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millions)</w:t>
      </w:r>
    </w:p>
    <w:tbl>
      <w:tblPr>
        <w:tblW w:w="7208" w:type="dxa"/>
        <w:jc w:val="center"/>
        <w:tblInd w:w="0" w:type="dxa"/>
        <w:tblLayout w:type="fixed"/>
        <w:tblCellMar>
          <w:top w:w="28" w:type="dxa"/>
          <w:left w:w="28" w:type="dxa"/>
          <w:bottom w:w="28" w:type="dxa"/>
          <w:right w:w="28" w:type="dxa"/>
        </w:tblCellMar>
      </w:tblPr>
      <w:tblGrid>
        <w:gridCol w:w="1842"/>
        <w:gridCol w:w="1617"/>
        <w:gridCol w:w="1625"/>
        <w:gridCol w:w="211"/>
        <w:gridCol w:w="481"/>
        <w:gridCol w:w="109"/>
        <w:gridCol w:w="109"/>
        <w:gridCol w:w="109"/>
        <w:gridCol w:w="109"/>
        <w:gridCol w:w="211"/>
        <w:gridCol w:w="631"/>
        <w:gridCol w:w="154"/>
      </w:tblGrid>
      <w:tr>
        <w:trPr/>
        <w:tc>
          <w:tcPr>
            <w:tcW w:w="1842" w:type="dxa"/>
            <w:tcBorders/>
            <w:vAlign w:val="center"/>
          </w:tcPr>
          <w:p>
            <w:pPr>
              <w:pStyle w:val="TableContents"/>
              <w:bidi w:val="0"/>
              <w:spacing w:before="0" w:after="283"/>
              <w:jc w:val="left"/>
              <w:rPr>
                <w:sz w:val="4"/>
                <w:szCs w:val="4"/>
              </w:rPr>
            </w:pPr>
            <w:r>
              <w:rPr>
                <w:sz w:val="4"/>
                <w:szCs w:val="4"/>
              </w:rPr>
            </w:r>
          </w:p>
        </w:tc>
        <w:tc>
          <w:tcPr>
            <w:tcW w:w="1617" w:type="dxa"/>
            <w:tcBorders/>
            <w:vAlign w:val="center"/>
          </w:tcPr>
          <w:p>
            <w:pPr>
              <w:pStyle w:val="TableContents"/>
              <w:bidi w:val="0"/>
              <w:spacing w:before="0" w:after="283"/>
              <w:jc w:val="left"/>
              <w:rPr>
                <w:sz w:val="4"/>
                <w:szCs w:val="4"/>
              </w:rPr>
            </w:pPr>
            <w:r>
              <w:rPr>
                <w:sz w:val="4"/>
                <w:szCs w:val="4"/>
              </w:rPr>
            </w:r>
          </w:p>
        </w:tc>
        <w:tc>
          <w:tcPr>
            <w:tcW w:w="162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Six Months Ended June 30,</w:t>
            </w:r>
          </w:p>
        </w:tc>
        <w:tc>
          <w:tcPr>
            <w:tcW w:w="8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5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operating activities</w:t>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 xml:space="preserve">Net income </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Depreciation and amortization</w:t>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Restructuring and other</w:t>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50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Pension and postretirement expense</w:t>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Pension contributions</w:t>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50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Stock-based compensation</w:t>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Loss on debt extinguishment</w:t>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Working capital changes and other</w:t>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Times New Roman;serif" w:hAnsi="Times New Roman;serif"/>
                <w:b/>
                <w:color w:val="000000"/>
                <w:sz w:val="20"/>
              </w:rPr>
              <w:t>Net cash provided by operating activities</w:t>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659</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463</w:t>
            </w: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investing activities</w:t>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20"/>
              </w:rPr>
              <w:t>Capital expenditures</w:t>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5084"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5084"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5084"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5084"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5084"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5084"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20"/>
              </w:rPr>
              <w:t>Other</w:t>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Times New Roman;serif" w:hAnsi="Times New Roman;serif"/>
                <w:b/>
                <w:color w:val="000000"/>
                <w:sz w:val="20"/>
              </w:rPr>
              <w:t>Net cash used for investing activities</w:t>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(194)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(44)</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financing activities</w:t>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 xml:space="preserve">Net change in debt </w:t>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50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Dividends paid to shareholders</w:t>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Common stock repurchased</w:t>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Dividends paid to noncontrolling interests</w:t>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Times New Roman;serif" w:hAnsi="Times New Roman;serif"/>
                <w:b w:val="false"/>
                <w:color w:val="000000"/>
                <w:sz w:val="20"/>
              </w:rPr>
              <w:t xml:space="preserve">Other, net </w:t>
            </w:r>
            <w:r>
              <w:rPr>
                <w:rFonts w:ascii="Times New Roman;serif" w:hAnsi="Times New Roman;serif"/>
                <w:b w:val="false"/>
                <w:color w:val="000000"/>
                <w:sz w:val="13"/>
              </w:rPr>
              <w:t>(1)</w:t>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Times New Roman;serif" w:hAnsi="Times New Roman;serif"/>
                <w:b/>
                <w:color w:val="000000"/>
                <w:sz w:val="20"/>
              </w:rPr>
              <w:t>Net cash used for financing activities</w:t>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(562)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(427)</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exchange rate changes on cash and cash equivalents</w:t>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change in cash and cash equivalents</w:t>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at January 1</w:t>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 xml:space="preserve">Cash, cash equivalents and restricted cash at June 30 </w:t>
            </w:r>
            <w:r>
              <w:rPr>
                <w:rFonts w:ascii="Times New Roman;serif" w:hAnsi="Times New Roman;serif"/>
                <w:b/>
                <w:color w:val="000000"/>
                <w:sz w:val="13"/>
              </w:rPr>
              <w:t>(2)</w:t>
            </w:r>
          </w:p>
        </w:tc>
        <w:tc>
          <w:tcPr>
            <w:tcW w:w="211" w:type="dxa"/>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779</w:t>
            </w:r>
            <w:r>
              <w:rPr>
                <w:color w:val="000000"/>
              </w:rPr>
              <w:t> </w:t>
            </w:r>
          </w:p>
        </w:tc>
        <w:tc>
          <w:tcPr>
            <w:tcW w:w="109" w:type="dxa"/>
            <w:tcBorders>
              <w:bottom w:val="doub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1,038</w:t>
            </w:r>
            <w:r>
              <w:rPr>
                <w:color w:val="000000"/>
              </w:rPr>
              <w:t> </w:t>
            </w:r>
          </w:p>
        </w:tc>
        <w:tc>
          <w:tcPr>
            <w:tcW w:w="154" w:type="dxa"/>
            <w:tcBorders>
              <w:bottom w:val="doub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0"/>
        <w:ind w:left="0" w:right="0" w:hanging="360"/>
        <w:jc w:val="both"/>
        <w:rPr/>
      </w:pPr>
      <w:r>
        <w:rPr>
          <w:rFonts w:ascii="Times New Roman;serif" w:hAnsi="Times New Roman;serif"/>
          <w:b w:val="false"/>
          <w:color w:val="000000"/>
          <w:sz w:val="16"/>
        </w:rPr>
        <w:t>(1)</w:t>
      </w:r>
      <w:r>
        <w:rPr>
          <w:rFonts w:ascii="Times New Roman;serif" w:hAnsi="Times New Roman;serif"/>
          <w:b w:val="false"/>
          <w:color w:val="000000"/>
          <w:sz w:val="20"/>
        </w:rPr>
        <w:t>Primarily consists of payments for assets financed in 2025.</w:t>
      </w:r>
    </w:p>
    <w:p>
      <w:pPr>
        <w:pStyle w:val="TextBody"/>
        <w:bidi w:val="0"/>
        <w:spacing w:lineRule="auto" w:line="268" w:before="0" w:after="0"/>
        <w:ind w:left="0" w:right="0" w:hanging="360"/>
        <w:jc w:val="both"/>
        <w:rPr/>
      </w:pPr>
      <w:r>
        <w:rPr>
          <w:rFonts w:ascii="Times New Roman;serif" w:hAnsi="Times New Roman;serif"/>
          <w:b w:val="false"/>
          <w:color w:val="000000"/>
          <w:sz w:val="13"/>
        </w:rPr>
        <w:t>(2)</w:t>
      </w:r>
      <w:r>
        <w:rPr>
          <w:rFonts w:ascii="Times New Roman;serif" w:hAnsi="Times New Roman;serif"/>
          <w:b w:val="false"/>
          <w:color w:val="000000"/>
          <w:sz w:val="20"/>
        </w:rPr>
        <w:t xml:space="preserve">Cash and cash equivalents include $123 million and $102 million of restricted cash at June 30, 2026 and 2025.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Adjusted free cash flow is defined by the Company as net cash from operating activities less capital expenditures and certain other items. A reconciliation of net cash used for operating activities to adjusted free cash flow for the three and six months ended June 30, 2026 and 2025 follows. </w:t>
      </w:r>
    </w:p>
    <w:tbl>
      <w:tblPr>
        <w:tblW w:w="7799" w:type="dxa"/>
        <w:jc w:val="left"/>
        <w:tblInd w:w="0" w:type="dxa"/>
        <w:tblLayout w:type="fixed"/>
        <w:tblCellMar>
          <w:top w:w="28" w:type="dxa"/>
          <w:left w:w="28" w:type="dxa"/>
          <w:bottom w:w="28" w:type="dxa"/>
          <w:right w:w="28" w:type="dxa"/>
        </w:tblCellMar>
      </w:tblPr>
      <w:tblGrid>
        <w:gridCol w:w="1290"/>
        <w:gridCol w:w="1136"/>
        <w:gridCol w:w="1143"/>
        <w:gridCol w:w="211"/>
        <w:gridCol w:w="481"/>
        <w:gridCol w:w="109"/>
        <w:gridCol w:w="109"/>
        <w:gridCol w:w="109"/>
        <w:gridCol w:w="109"/>
        <w:gridCol w:w="211"/>
        <w:gridCol w:w="481"/>
        <w:gridCol w:w="109"/>
        <w:gridCol w:w="109"/>
        <w:gridCol w:w="109"/>
        <w:gridCol w:w="109"/>
        <w:gridCol w:w="211"/>
        <w:gridCol w:w="481"/>
        <w:gridCol w:w="109"/>
        <w:gridCol w:w="109"/>
        <w:gridCol w:w="109"/>
        <w:gridCol w:w="109"/>
        <w:gridCol w:w="211"/>
        <w:gridCol w:w="481"/>
        <w:gridCol w:w="154"/>
      </w:tblGrid>
      <w:tr>
        <w:trPr/>
        <w:tc>
          <w:tcPr>
            <w:tcW w:w="1290" w:type="dxa"/>
            <w:tcBorders/>
            <w:vAlign w:val="center"/>
          </w:tcPr>
          <w:p>
            <w:pPr>
              <w:pStyle w:val="TableContents"/>
              <w:bidi w:val="0"/>
              <w:spacing w:before="0" w:after="283"/>
              <w:jc w:val="left"/>
              <w:rPr>
                <w:sz w:val="4"/>
                <w:szCs w:val="4"/>
              </w:rPr>
            </w:pPr>
            <w:r>
              <w:rPr>
                <w:sz w:val="4"/>
                <w:szCs w:val="4"/>
              </w:rPr>
            </w:r>
          </w:p>
        </w:tc>
        <w:tc>
          <w:tcPr>
            <w:tcW w:w="1136"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69"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1173" w:type="dxa"/>
            <w:gridSpan w:val="6"/>
            <w:tcBorders/>
          </w:tcPr>
          <w:p>
            <w:pPr>
              <w:pStyle w:val="TableContents"/>
              <w:bidi w:val="0"/>
              <w:spacing w:before="0" w:after="283"/>
              <w:jc w:val="left"/>
              <w:rPr>
                <w:sz w:val="4"/>
                <w:szCs w:val="4"/>
              </w:rPr>
            </w:pPr>
            <w:r>
              <w:rPr>
                <w:sz w:val="4"/>
                <w:szCs w:val="4"/>
              </w:rPr>
            </w:r>
          </w:p>
        </w:tc>
      </w:tr>
      <w:tr>
        <w:trPr/>
        <w:tc>
          <w:tcPr>
            <w:tcW w:w="35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Three Months Ended </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Six Months Ended </w:t>
              <w:br/>
              <w:t>June 30,</w:t>
            </w:r>
          </w:p>
        </w:tc>
      </w:tr>
      <w:tr>
        <w:trPr/>
        <w:tc>
          <w:tcPr>
            <w:tcW w:w="35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5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cash provided by operating activities</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713</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449</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659</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463</w:t>
            </w:r>
            <w:r>
              <w:rPr>
                <w:color w:val="000000"/>
              </w:rPr>
              <w:t>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356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Interest included in investing activities </w:t>
            </w:r>
            <w:r>
              <w:rPr>
                <w:rFonts w:ascii="Times New Roman;serif" w:hAnsi="Times New Roman;serif"/>
                <w:b w:val="false"/>
                <w:color w:val="000000"/>
                <w:sz w:val="13"/>
              </w:rPr>
              <w:t>(3)</w:t>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expenditures</w:t>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3569"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35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free cash flow</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601</w:t>
            </w:r>
            <w:r>
              <w:rPr>
                <w:color w:val="000000"/>
              </w:rPr>
              <w:t>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393</w:t>
            </w:r>
            <w:r>
              <w:rPr>
                <w:color w:val="000000"/>
              </w:rPr>
              <w:t>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472</w:t>
            </w:r>
            <w:r>
              <w:rPr>
                <w:color w:val="000000"/>
              </w:rPr>
              <w:t>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387</w:t>
            </w:r>
            <w:r>
              <w:rPr>
                <w:color w:val="000000"/>
              </w:rPr>
              <w:t>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68"/>
        <w:ind w:left="0" w:right="0" w:hanging="360"/>
        <w:jc w:val="both"/>
        <w:rPr/>
      </w:pPr>
      <w:r>
        <w:rPr>
          <w:rFonts w:ascii="Times New Roman;serif" w:hAnsi="Times New Roman;serif"/>
          <w:b w:val="false"/>
          <w:color w:val="000000"/>
          <w:sz w:val="13"/>
        </w:rPr>
        <w:t>(3)</w:t>
      </w:r>
      <w:r>
        <w:rPr>
          <w:rFonts w:ascii="Times New Roman;serif" w:hAnsi="Times New Roman;serif"/>
          <w:b w:val="false"/>
          <w:color w:val="000000"/>
          <w:sz w:val="20"/>
        </w:rPr>
        <w:t>Interest benefit of cross currency swaps included in investing activities.</w:t>
      </w:r>
    </w:p>
    <w:p>
      <w:pPr>
        <w:pStyle w:val="TextBody"/>
        <w:bidi w:val="0"/>
        <w:spacing w:before="120" w:after="120"/>
        <w:jc w:val="center"/>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0"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Page 8 of 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Page 8 of 9</w:t>
                      </w:r>
                    </w:p>
                  </w:txbxContent>
                </v:textbox>
                <w10:wrap type="none"/>
              </v:rect>
            </w:pict>
          </mc:Fallback>
        </mc:AlternateContent>
      </w:r>
    </w:p>
    <w:tbl>
      <w:tblPr>
        <w:tblW w:w="5738" w:type="dxa"/>
        <w:jc w:val="center"/>
        <w:tblInd w:w="0" w:type="dxa"/>
        <w:tblLayout w:type="fixed"/>
        <w:tblCellMar>
          <w:top w:w="28" w:type="dxa"/>
          <w:left w:w="28" w:type="dxa"/>
          <w:bottom w:w="28" w:type="dxa"/>
          <w:right w:w="28" w:type="dxa"/>
        </w:tblCellMar>
      </w:tblPr>
      <w:tblGrid>
        <w:gridCol w:w="929"/>
        <w:gridCol w:w="817"/>
        <w:gridCol w:w="819"/>
        <w:gridCol w:w="109"/>
        <w:gridCol w:w="109"/>
        <w:gridCol w:w="109"/>
        <w:gridCol w:w="833"/>
        <w:gridCol w:w="833"/>
        <w:gridCol w:w="1180"/>
      </w:tblGrid>
      <w:tr>
        <w:trPr/>
        <w:tc>
          <w:tcPr>
            <w:tcW w:w="929"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8"/>
                <w:u w:val="single"/>
              </w:rPr>
            </w:pPr>
            <w:r>
              <w:rPr>
                <w:rFonts w:ascii="Arial;sans-serif" w:hAnsi="Arial;sans-serif"/>
                <w:b/>
                <w:color w:val="000000"/>
                <w:sz w:val="28"/>
                <w:u w:val="single"/>
              </w:rPr>
              <w:t>News Release</w:t>
            </w:r>
          </w:p>
          <w:p>
            <w:pPr>
              <w:pStyle w:val="TableContents"/>
              <w:bidi w:val="0"/>
              <w:spacing w:before="0" w:after="0"/>
              <w:jc w:val="left"/>
              <w:rPr/>
            </w:pPr>
            <w:r>
              <w:rPr/>
            </w:r>
          </w:p>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Corporate Headquarters</w:t>
            </w:r>
          </w:p>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14025 Riveredge Drive, Suite 300</w:t>
            </w:r>
          </w:p>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Tampa, FL 33637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1724025" cy="609600"/>
                  <wp:effectExtent l="0" t="0" r="0" b="0"/>
                  <wp:docPr id="21"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9" descr=""/>
                          <pic:cNvPicPr>
                            <a:picLocks noChangeAspect="1" noChangeArrowheads="1"/>
                          </pic:cNvPicPr>
                        </pic:nvPicPr>
                        <pic:blipFill>
                          <a:blip r:embed="rId10"/>
                          <a:stretch>
                            <a:fillRect/>
                          </a:stretch>
                        </pic:blipFill>
                        <pic:spPr bwMode="auto">
                          <a:xfrm>
                            <a:off x="0" y="0"/>
                            <a:ext cx="1724025" cy="609600"/>
                          </a:xfrm>
                          <a:prstGeom prst="rect">
                            <a:avLst/>
                          </a:prstGeom>
                        </pic:spPr>
                      </pic:pic>
                    </a:graphicData>
                  </a:graphic>
                </wp:inline>
              </w:drawing>
            </w:r>
          </w:p>
        </w:tc>
      </w:tr>
    </w:tbl>
    <w:p>
      <w:pPr>
        <w:pStyle w:val="TextBody"/>
        <w:bidi w:val="0"/>
        <w:spacing w:before="0" w:after="0"/>
        <w:jc w:val="both"/>
        <w:rPr/>
      </w:pPr>
      <w:r>
        <w:rPr/>
      </w:r>
    </w:p>
    <w:p>
      <w:pPr>
        <w:pStyle w:val="TextBody"/>
        <w:bidi w:val="0"/>
        <w:spacing w:lineRule="auto" w:line="26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Consolidated Supplemental Data (Unaudited)</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millions)</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76" w:before="0" w:after="0"/>
        <w:jc w:val="left"/>
        <w:rPr/>
      </w:pPr>
      <w:r>
        <w:rPr>
          <w:rFonts w:ascii="Times New Roman;serif" w:hAnsi="Times New Roman;serif"/>
          <w:b/>
          <w:color w:val="000000"/>
          <w:sz w:val="20"/>
          <w:u w:val="single"/>
        </w:rPr>
        <w:t>Impact of Foreign Currency Translation – Favorable/(Unfavorable)</w:t>
      </w:r>
      <w:r>
        <w:rPr>
          <w:color w:val="000000"/>
        </w:rPr>
        <w:t xml:space="preserve"> </w:t>
      </w:r>
      <w:r>
        <w:rPr>
          <w:rFonts w:ascii="Times New Roman;serif" w:hAnsi="Times New Roman;serif"/>
          <w:b/>
          <w:color w:val="000000"/>
          <w:sz w:val="13"/>
        </w:rPr>
        <w:t>(1)</w:t>
      </w:r>
    </w:p>
    <w:p>
      <w:pPr>
        <w:pStyle w:val="TextBody"/>
        <w:bidi w:val="0"/>
        <w:spacing w:before="0" w:after="0"/>
        <w:jc w:val="left"/>
        <w:rPr/>
      </w:pPr>
      <w:r>
        <w:rPr/>
      </w:r>
    </w:p>
    <w:tbl>
      <w:tblPr>
        <w:tblW w:w="7899" w:type="dxa"/>
        <w:jc w:val="center"/>
        <w:tblInd w:w="0" w:type="dxa"/>
        <w:tblLayout w:type="fixed"/>
        <w:tblCellMar>
          <w:top w:w="28" w:type="dxa"/>
          <w:left w:w="28" w:type="dxa"/>
          <w:bottom w:w="28" w:type="dxa"/>
          <w:right w:w="28" w:type="dxa"/>
        </w:tblCellMar>
      </w:tblPr>
      <w:tblGrid>
        <w:gridCol w:w="642"/>
        <w:gridCol w:w="563"/>
        <w:gridCol w:w="564"/>
        <w:gridCol w:w="263"/>
        <w:gridCol w:w="470"/>
        <w:gridCol w:w="136"/>
        <w:gridCol w:w="122"/>
        <w:gridCol w:w="122"/>
        <w:gridCol w:w="122"/>
        <w:gridCol w:w="534"/>
        <w:gridCol w:w="686"/>
        <w:gridCol w:w="279"/>
        <w:gridCol w:w="109"/>
        <w:gridCol w:w="109"/>
        <w:gridCol w:w="109"/>
        <w:gridCol w:w="229"/>
        <w:gridCol w:w="523"/>
        <w:gridCol w:w="118"/>
        <w:gridCol w:w="109"/>
        <w:gridCol w:w="109"/>
        <w:gridCol w:w="109"/>
        <w:gridCol w:w="454"/>
        <w:gridCol w:w="810"/>
        <w:gridCol w:w="236"/>
        <w:gridCol w:w="109"/>
        <w:gridCol w:w="109"/>
        <w:gridCol w:w="154"/>
      </w:tblGrid>
      <w:tr>
        <w:trPr/>
        <w:tc>
          <w:tcPr>
            <w:tcW w:w="642"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4" w:type="dxa"/>
            <w:gridSpan w:val="9"/>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Three Months Ended</w:t>
              <w:b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7" w:type="dxa"/>
            <w:gridSpan w:val="9"/>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 xml:space="preserve">Six Months Ended </w:t>
              <w:br/>
              <w:t>June 30, 2026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Net Sales</w:t>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Segment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Net Sales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Segment Income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9"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Americas Beverage</w:t>
            </w:r>
          </w:p>
        </w:tc>
        <w:tc>
          <w:tcPr>
            <w:tcW w:w="263" w:type="dxa"/>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0" w:type="dxa"/>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3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6" w:type="dxa"/>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27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3" w:type="dxa"/>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1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0" w:type="dxa"/>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23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9"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European Beverage</w:t>
            </w:r>
          </w:p>
        </w:tc>
        <w:tc>
          <w:tcPr>
            <w:tcW w:w="733" w:type="dxa"/>
            <w:gridSpan w:val="2"/>
            <w:tcBorders/>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2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2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9"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Asia Pacific</w:t>
            </w:r>
          </w:p>
        </w:tc>
        <w:tc>
          <w:tcPr>
            <w:tcW w:w="733" w:type="dxa"/>
            <w:gridSpan w:val="2"/>
            <w:tcBorders/>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9"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Transit Packaging</w:t>
            </w:r>
          </w:p>
        </w:tc>
        <w:tc>
          <w:tcPr>
            <w:tcW w:w="733" w:type="dxa"/>
            <w:gridSpan w:val="2"/>
            <w:tcBorders/>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2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9"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Corporate and Other</w:t>
            </w:r>
          </w:p>
        </w:tc>
        <w:tc>
          <w:tcPr>
            <w:tcW w:w="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2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70" w:type="dxa"/>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right"/>
              <w:rPr/>
            </w:pPr>
            <w:r>
              <w:rPr>
                <w:rFonts w:ascii="Times New Roman;serif" w:hAnsi="Times New Roman;serif"/>
                <w:b/>
                <w:color w:val="000000"/>
                <w:sz w:val="20"/>
              </w:rPr>
              <w:t>32</w:t>
            </w:r>
            <w:r>
              <w:rPr>
                <w:color w:val="000000"/>
              </w:rPr>
              <w:t> </w:t>
            </w:r>
          </w:p>
        </w:tc>
        <w:tc>
          <w:tcPr>
            <w:tcW w:w="13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86" w:type="dxa"/>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right"/>
              <w:rPr/>
            </w:pPr>
            <w:r>
              <w:rPr>
                <w:rFonts w:ascii="Times New Roman;serif" w:hAnsi="Times New Roman;serif"/>
                <w:b/>
                <w:color w:val="000000"/>
                <w:sz w:val="20"/>
              </w:rPr>
              <w:t>2</w:t>
            </w:r>
            <w:r>
              <w:rPr>
                <w:color w:val="000000"/>
              </w:rPr>
              <w:t> </w:t>
            </w:r>
          </w:p>
        </w:tc>
        <w:tc>
          <w:tcPr>
            <w:tcW w:w="27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23" w:type="dxa"/>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right"/>
              <w:rPr/>
            </w:pPr>
            <w:r>
              <w:rPr>
                <w:rFonts w:ascii="Times New Roman;serif" w:hAnsi="Times New Roman;serif"/>
                <w:b/>
                <w:color w:val="000000"/>
                <w:sz w:val="20"/>
              </w:rPr>
              <w:t>106</w:t>
            </w:r>
            <w:r>
              <w:rPr>
                <w:color w:val="000000"/>
              </w:rPr>
              <w:t> </w:t>
            </w:r>
          </w:p>
        </w:tc>
        <w:tc>
          <w:tcPr>
            <w:tcW w:w="11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10" w:type="dxa"/>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right"/>
              <w:rPr/>
            </w:pPr>
            <w:r>
              <w:rPr>
                <w:rFonts w:ascii="Times New Roman;serif" w:hAnsi="Times New Roman;serif"/>
                <w:b/>
                <w:color w:val="000000"/>
                <w:sz w:val="20"/>
              </w:rPr>
              <w:t>11</w:t>
            </w:r>
            <w:r>
              <w:rPr>
                <w:color w:val="000000"/>
              </w:rPr>
              <w:t> </w:t>
            </w:r>
          </w:p>
        </w:tc>
        <w:tc>
          <w:tcPr>
            <w:tcW w:w="23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0"/>
        <w:ind w:left="0" w:right="0" w:hanging="360"/>
        <w:jc w:val="both"/>
        <w:rPr/>
      </w:pPr>
      <w:r>
        <w:rPr>
          <w:rFonts w:ascii="Times New Roman;serif" w:hAnsi="Times New Roman;serif"/>
          <w:b w:val="false"/>
          <w:color w:val="000000"/>
          <w:sz w:val="13"/>
        </w:rPr>
        <w:t>(1)</w:t>
      </w:r>
      <w:r>
        <w:rPr>
          <w:rFonts w:ascii="Times New Roman;serif" w:hAnsi="Times New Roman;serif"/>
          <w:b w:val="false"/>
          <w:color w:val="000000"/>
          <w:sz w:val="20"/>
        </w:rPr>
        <w:t>The impact of foreign currency translation represents the difference between actual current year U.S. dollar results and pro forma amounts assuming constant foreign currency exchange rates for translation in both periods. In order to compute the difference, the Company compares actual U.S. dollar results to an amount calculated by dividing the current U.S. dollar results by current year average foreign exchange rates and then multiplying those amounts by the applicable prior year average foreign exchange rates.</w:t>
      </w:r>
    </w:p>
    <w:p>
      <w:pPr>
        <w:pStyle w:val="TextBody"/>
        <w:bidi w:val="0"/>
        <w:spacing w:before="0" w:after="0"/>
        <w:ind w:left="0" w:right="0" w:hanging="360"/>
        <w:jc w:val="both"/>
        <w:rPr/>
      </w:pPr>
      <w:r>
        <w:rPr/>
      </w:r>
    </w:p>
    <w:p>
      <w:pPr>
        <w:pStyle w:val="TextBody"/>
        <w:bidi w:val="0"/>
        <w:spacing w:before="0" w:after="0"/>
        <w:jc w:val="both"/>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68" w:before="0" w:after="0"/>
        <w:jc w:val="left"/>
        <w:rPr>
          <w:rFonts w:ascii="Times New Roman;serif" w:hAnsi="Times New Roman;serif"/>
          <w:b/>
          <w:color w:val="000000"/>
          <w:sz w:val="20"/>
          <w:u w:val="single"/>
        </w:rPr>
      </w:pPr>
      <w:r>
        <w:rPr>
          <w:rFonts w:ascii="Times New Roman;serif" w:hAnsi="Times New Roman;serif"/>
          <w:b/>
          <w:color w:val="000000"/>
          <w:sz w:val="20"/>
          <w:u w:val="single"/>
        </w:rPr>
        <w:t>Reconciliation of Adjusted EBITDA and Adjusted Net Leverage Ratio</w:t>
      </w:r>
    </w:p>
    <w:tbl>
      <w:tblPr>
        <w:tblW w:w="10205" w:type="dxa"/>
        <w:jc w:val="left"/>
        <w:tblInd w:w="0" w:type="dxa"/>
        <w:tblLayout w:type="fixed"/>
        <w:tblCellMar>
          <w:top w:w="28" w:type="dxa"/>
          <w:left w:w="28" w:type="dxa"/>
          <w:bottom w:w="28" w:type="dxa"/>
          <w:right w:w="28" w:type="dxa"/>
        </w:tblCellMar>
      </w:tblPr>
      <w:tblGrid>
        <w:gridCol w:w="811"/>
        <w:gridCol w:w="674"/>
        <w:gridCol w:w="676"/>
        <w:gridCol w:w="294"/>
        <w:gridCol w:w="882"/>
        <w:gridCol w:w="152"/>
        <w:gridCol w:w="109"/>
        <w:gridCol w:w="109"/>
        <w:gridCol w:w="109"/>
        <w:gridCol w:w="294"/>
        <w:gridCol w:w="882"/>
        <w:gridCol w:w="152"/>
        <w:gridCol w:w="109"/>
        <w:gridCol w:w="109"/>
        <w:gridCol w:w="109"/>
        <w:gridCol w:w="286"/>
        <w:gridCol w:w="858"/>
        <w:gridCol w:w="148"/>
        <w:gridCol w:w="109"/>
        <w:gridCol w:w="109"/>
        <w:gridCol w:w="109"/>
        <w:gridCol w:w="607"/>
        <w:gridCol w:w="1817"/>
        <w:gridCol w:w="313"/>
        <w:gridCol w:w="109"/>
        <w:gridCol w:w="109"/>
        <w:gridCol w:w="160"/>
      </w:tblGrid>
      <w:tr>
        <w:trPr/>
        <w:tc>
          <w:tcPr>
            <w:tcW w:w="811"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1817"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YTD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YTD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Full Year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Twelve Months Ended June 30, 2026</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Income from operations</w:t>
            </w:r>
          </w:p>
        </w:tc>
        <w:tc>
          <w:tcPr>
            <w:tcW w:w="29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8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829</w:t>
            </w:r>
            <w:r>
              <w:rPr>
                <w:color w:val="000000"/>
              </w:rPr>
              <w:t> </w:t>
            </w:r>
          </w:p>
        </w:tc>
        <w:tc>
          <w:tcPr>
            <w:tcW w:w="15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8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756</w:t>
            </w:r>
            <w:r>
              <w:rPr>
                <w:color w:val="000000"/>
              </w:rPr>
              <w:t> </w:t>
            </w:r>
          </w:p>
        </w:tc>
        <w:tc>
          <w:tcPr>
            <w:tcW w:w="15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5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1,553</w:t>
            </w:r>
            <w:r>
              <w:rPr>
                <w:color w:val="000000"/>
              </w:rPr>
              <w:t> </w:t>
            </w:r>
          </w:p>
        </w:tc>
        <w:tc>
          <w:tcPr>
            <w:tcW w:w="14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81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1,626</w:t>
            </w:r>
            <w:r>
              <w:rPr>
                <w:color w:val="000000"/>
              </w:rPr>
              <w:t> </w:t>
            </w:r>
          </w:p>
        </w:tc>
        <w:tc>
          <w:tcPr>
            <w:tcW w:w="31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w:t>
            </w:r>
          </w:p>
        </w:tc>
        <w:tc>
          <w:tcPr>
            <w:tcW w:w="13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Intangibles amortization</w:t>
            </w:r>
          </w:p>
        </w:tc>
        <w:tc>
          <w:tcPr>
            <w:tcW w:w="11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1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1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148 </w:t>
            </w:r>
          </w:p>
        </w:tc>
        <w:tc>
          <w:tcPr>
            <w:tcW w:w="3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vAlign w:val="center"/>
          </w:tcPr>
          <w:p>
            <w:pPr>
              <w:pStyle w:val="TableContents"/>
              <w:bidi w:val="0"/>
              <w:spacing w:before="0" w:after="283"/>
              <w:jc w:val="left"/>
              <w:rPr>
                <w:sz w:val="4"/>
                <w:szCs w:val="4"/>
              </w:rPr>
            </w:pPr>
            <w:r>
              <w:rPr>
                <w:sz w:val="4"/>
                <w:szCs w:val="4"/>
              </w:rPr>
            </w:r>
          </w:p>
        </w:tc>
        <w:tc>
          <w:tcPr>
            <w:tcW w:w="13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37"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r>
      <w:tr>
        <w:trPr/>
        <w:tc>
          <w:tcPr>
            <w:tcW w:w="21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and other</w:t>
            </w:r>
          </w:p>
        </w:tc>
        <w:tc>
          <w:tcPr>
            <w:tcW w:w="11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1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3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income</w:t>
            </w:r>
          </w:p>
        </w:tc>
        <w:tc>
          <w:tcPr>
            <w:tcW w:w="117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906 </w:t>
            </w:r>
          </w:p>
        </w:tc>
        <w:tc>
          <w:tcPr>
            <w:tcW w:w="15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874 </w:t>
            </w:r>
          </w:p>
        </w:tc>
        <w:tc>
          <w:tcPr>
            <w:tcW w:w="15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1,784 </w:t>
            </w:r>
          </w:p>
        </w:tc>
        <w:tc>
          <w:tcPr>
            <w:tcW w:w="14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1,816 </w:t>
            </w:r>
          </w:p>
        </w:tc>
        <w:tc>
          <w:tcPr>
            <w:tcW w:w="31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vAlign w:val="center"/>
          </w:tcPr>
          <w:p>
            <w:pPr>
              <w:pStyle w:val="TableContents"/>
              <w:bidi w:val="0"/>
              <w:spacing w:before="0" w:after="283"/>
              <w:jc w:val="left"/>
              <w:rPr>
                <w:sz w:val="4"/>
                <w:szCs w:val="4"/>
              </w:rPr>
            </w:pPr>
            <w:r>
              <w:rPr>
                <w:sz w:val="4"/>
                <w:szCs w:val="4"/>
              </w:rPr>
            </w:r>
          </w:p>
        </w:tc>
        <w:tc>
          <w:tcPr>
            <w:tcW w:w="13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37"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r>
      <w:tr>
        <w:trPr/>
        <w:tc>
          <w:tcPr>
            <w:tcW w:w="21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w:t>
            </w:r>
          </w:p>
        </w:tc>
        <w:tc>
          <w:tcPr>
            <w:tcW w:w="11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161 </w:t>
            </w:r>
          </w:p>
        </w:tc>
        <w:tc>
          <w:tcPr>
            <w:tcW w:w="1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151 </w:t>
            </w:r>
          </w:p>
        </w:tc>
        <w:tc>
          <w:tcPr>
            <w:tcW w:w="1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318 </w:t>
            </w:r>
          </w:p>
        </w:tc>
        <w:tc>
          <w:tcPr>
            <w:tcW w:w="3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EBITDA</w:t>
            </w:r>
          </w:p>
        </w:tc>
        <w:tc>
          <w:tcPr>
            <w:tcW w:w="29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8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1,067</w:t>
            </w:r>
            <w:r>
              <w:rPr>
                <w:color w:val="000000"/>
              </w:rPr>
              <w:t> </w:t>
            </w:r>
          </w:p>
        </w:tc>
        <w:tc>
          <w:tcPr>
            <w:tcW w:w="15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8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1,025</w:t>
            </w:r>
            <w:r>
              <w:rPr>
                <w:color w:val="000000"/>
              </w:rPr>
              <w:t> </w:t>
            </w:r>
          </w:p>
        </w:tc>
        <w:tc>
          <w:tcPr>
            <w:tcW w:w="15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5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2,092</w:t>
            </w:r>
            <w:r>
              <w:rPr>
                <w:color w:val="000000"/>
              </w:rPr>
              <w:t> </w:t>
            </w:r>
          </w:p>
        </w:tc>
        <w:tc>
          <w:tcPr>
            <w:tcW w:w="14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81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2,134</w:t>
            </w:r>
            <w:r>
              <w:rPr>
                <w:color w:val="000000"/>
              </w:rPr>
              <w:t> </w:t>
            </w:r>
          </w:p>
        </w:tc>
        <w:tc>
          <w:tcPr>
            <w:tcW w:w="31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debt</w:t>
            </w:r>
          </w:p>
        </w:tc>
        <w:tc>
          <w:tcPr>
            <w:tcW w:w="13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5,964 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1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6,062 </w:t>
            </w:r>
          </w:p>
        </w:tc>
        <w:tc>
          <w:tcPr>
            <w:tcW w:w="3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cash</w:t>
            </w:r>
          </w:p>
        </w:tc>
        <w:tc>
          <w:tcPr>
            <w:tcW w:w="13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764 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656 </w:t>
            </w:r>
          </w:p>
        </w:tc>
        <w:tc>
          <w:tcPr>
            <w:tcW w:w="3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Net debt </w:t>
            </w:r>
          </w:p>
        </w:tc>
        <w:tc>
          <w:tcPr>
            <w:tcW w:w="13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5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5,200</w:t>
            </w:r>
            <w:r>
              <w:rPr>
                <w:color w:val="000000"/>
              </w:rPr>
              <w:t> </w:t>
            </w:r>
          </w:p>
        </w:tc>
        <w:tc>
          <w:tcPr>
            <w:tcW w:w="14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81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5,406</w:t>
            </w:r>
            <w:r>
              <w:rPr>
                <w:color w:val="000000"/>
              </w:rPr>
              <w:t> </w:t>
            </w:r>
          </w:p>
        </w:tc>
        <w:tc>
          <w:tcPr>
            <w:tcW w:w="31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net leverage ratio</w:t>
            </w:r>
          </w:p>
        </w:tc>
        <w:tc>
          <w:tcPr>
            <w:tcW w:w="13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2.5x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7" w:type="dxa"/>
            <w:gridSpan w:val="3"/>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2.5x</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Page 9 of 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Page 9 of 9</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image" Target="media/image1.png"/><Relationship Id="rId4" Type="http://schemas.openxmlformats.org/officeDocument/2006/relationships/image" Target="media/image1.png"/><Relationship Id="rId5" Type="http://schemas.openxmlformats.org/officeDocument/2006/relationships/image" Target="media/image1.png"/><Relationship Id="rId6" Type="http://schemas.openxmlformats.org/officeDocument/2006/relationships/image" Target="media/image1.png"/><Relationship Id="rId7" Type="http://schemas.openxmlformats.org/officeDocument/2006/relationships/image" Target="media/image1.png"/><Relationship Id="rId8" Type="http://schemas.openxmlformats.org/officeDocument/2006/relationships/image" Target="media/image1.png"/><Relationship Id="rId9" Type="http://schemas.openxmlformats.org/officeDocument/2006/relationships/image" Target="media/image1.png"/><Relationship Id="rId10" Type="http://schemas.openxmlformats.org/officeDocument/2006/relationships/image" Target="media/image1.png"/><Relationship Id="rId11" Type="http://schemas.openxmlformats.org/officeDocument/2006/relationships/fontTable" Target="fontTable.xml"/><Relationship Id="rId1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4250</Words>
  <Characters>22603</Characters>
  <CharactersWithSpaces>26593</CharactersWithSpaces>
  <Paragraphs>817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