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44"/>
          </w:cols>
          <w:pgMar w:left="436" w:top="443" w:right="7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364"/>
        <w:spacing w:after="0"/>
        <w:rPr>
          <w:sz w:val="20"/>
          <w:szCs w:val="20"/>
          <w:color w:val="auto"/>
        </w:rPr>
      </w:pPr>
      <w:r>
        <w:rPr>
          <w:rFonts w:ascii="Times New Roman" w:cs="Times New Roman" w:eastAsia="Times New Roman" w:hAnsi="Times New Roman"/>
          <w:sz w:val="17"/>
          <w:szCs w:val="17"/>
          <w:b w:val="1"/>
          <w:bCs w:val="1"/>
          <w:color w:val="auto"/>
        </w:rPr>
        <w:t>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000-41550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75-3099507</w:t>
      </w:r>
    </w:p>
    <w:p>
      <w:pPr>
        <w:spacing w:after="0" w:line="24" w:lineRule="exact"/>
        <w:rPr>
          <w:sz w:val="24"/>
          <w:szCs w:val="24"/>
          <w:color w:val="auto"/>
        </w:rPr>
      </w:pPr>
    </w:p>
    <w:p>
      <w:pPr>
        <w:sectPr>
          <w:pgSz w:w="11900" w:h="16838" w:orient="portrait"/>
          <w:cols w:equalWidth="0" w:num="3">
            <w:col w:w="4504" w:space="720"/>
            <w:col w:w="2880" w:space="720"/>
            <w:col w:w="1920"/>
          </w:cols>
          <w:pgMar w:left="436" w:top="443" w:right="71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060"/>
          </w:cols>
          <w:pgMar w:left="436" w:top="443" w:right="719" w:bottom="1440" w:gutter="0" w:footer="0" w:header="0"/>
          <w:type w:val="continuous"/>
        </w:sectPr>
      </w:pPr>
    </w:p>
    <w:p>
      <w:pPr>
        <w:spacing w:after="0" w:line="28" w:lineRule="exact"/>
        <w:rPr>
          <w:sz w:val="24"/>
          <w:szCs w:val="24"/>
          <w:color w:val="auto"/>
        </w:rPr>
      </w:pPr>
    </w:p>
    <w:p>
      <w:pPr>
        <w:ind w:left="864"/>
        <w:spacing w:after="0"/>
        <w:rPr>
          <w:sz w:val="20"/>
          <w:szCs w:val="20"/>
          <w:color w:val="auto"/>
        </w:rPr>
      </w:pPr>
      <w:r>
        <w:rPr>
          <w:rFonts w:ascii="Times New Roman" w:cs="Times New Roman" w:eastAsia="Times New Roman" w:hAnsi="Times New Roman"/>
          <w:sz w:val="17"/>
          <w:szCs w:val="17"/>
          <w:b w:val="1"/>
          <w:bCs w:val="1"/>
          <w:color w:val="auto"/>
        </w:rPr>
        <w:t>14025 Riveredge Drive, Suite 300, Tampa, Florida</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33637</w:t>
      </w:r>
    </w:p>
    <w:p>
      <w:pPr>
        <w:spacing w:after="0" w:line="43" w:lineRule="exact"/>
        <w:rPr>
          <w:sz w:val="24"/>
          <w:szCs w:val="24"/>
          <w:color w:val="auto"/>
        </w:rPr>
      </w:pPr>
    </w:p>
    <w:p>
      <w:pPr>
        <w:sectPr>
          <w:pgSz w:w="11900" w:h="16838" w:orient="portrait"/>
          <w:cols w:equalWidth="0" w:num="2">
            <w:col w:w="7404" w:space="720"/>
            <w:col w:w="2620"/>
          </w:cols>
          <w:pgMar w:left="436" w:top="443" w:right="71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2740"/>
          </w:cols>
          <w:pgMar w:left="436" w:top="443" w:right="719" w:bottom="1440" w:gutter="0" w:footer="0" w:header="0"/>
          <w:type w:val="continuous"/>
        </w:sect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Christy L. Kalaus</w:t>
      </w:r>
    </w:p>
    <w:p>
      <w:pPr>
        <w:spacing w:after="0" w:line="3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2" w:lineRule="exact"/>
        <w:rPr>
          <w:sz w:val="24"/>
          <w:szCs w:val="24"/>
          <w:color w:val="auto"/>
        </w:rPr>
      </w:pPr>
    </w:p>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2024.</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44"/>
          </w:cols>
          <w:pgMar w:left="436" w:top="443" w:right="7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21"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 xml:space="preserve">This Specialized Disclosure Report on Form SD and the Conflict Minerals Report, filed as Exhibit 1.01 hereto, are publicly available at </w:t>
      </w:r>
      <w:r>
        <w:rPr>
          <w:rFonts w:ascii="Times New Roman" w:cs="Times New Roman" w:eastAsia="Times New Roman" w:hAnsi="Times New Roman"/>
          <w:sz w:val="17"/>
          <w:szCs w:val="17"/>
          <w:u w:val="single" w:color="auto"/>
          <w:color w:val="auto"/>
        </w:rPr>
        <w:t>www.crowncork.com/investors/reports-filings/sec-filings</w:t>
      </w:r>
      <w:r>
        <w:rPr>
          <w:rFonts w:ascii="Times New Roman" w:cs="Times New Roman" w:eastAsia="Times New Roman" w:hAnsi="Times New Roman"/>
          <w:sz w:val="17"/>
          <w:szCs w:val="17"/>
          <w:color w:val="auto"/>
        </w:rPr>
        <w:t xml:space="preserve"> as well as the Securities and Exchange Commission’s EDGAR database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required by Item 1.01 is filed as Exhibit 1.01 to this Form SD.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 Conflict Minerals Report as required by Items 1.01 and 1.02 of this Form SD.</w:t>
      </w:r>
    </w:p>
    <w:p>
      <w:pPr>
        <w:sectPr>
          <w:pgSz w:w="11900" w:h="16838" w:orient="portrait"/>
          <w:cols w:equalWidth="0" w:num="1">
            <w:col w:w="10580"/>
          </w:cols>
          <w:pgMar w:left="440" w:top="266" w:right="8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CROWN HOLDINGS, INC.</w:t>
            </w:r>
          </w:p>
        </w:tc>
        <w:tc>
          <w:tcPr>
            <w:tcW w:w="5740" w:type="dxa"/>
            <w:vAlign w:val="bottom"/>
          </w:tcPr>
          <w:p>
            <w:pPr>
              <w:spacing w:after="0"/>
              <w:rPr>
                <w:sz w:val="20"/>
                <w:szCs w:val="20"/>
                <w:color w:val="auto"/>
              </w:rPr>
            </w:pPr>
          </w:p>
        </w:tc>
      </w:tr>
      <w:tr>
        <w:trPr>
          <w:trHeight w:val="432"/>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Christy L. Kalaus</w:t>
            </w:r>
          </w:p>
        </w:tc>
        <w:tc>
          <w:tcPr>
            <w:tcW w:w="5740" w:type="dxa"/>
            <w:vAlign w:val="bottom"/>
          </w:tcPr>
          <w:p>
            <w:pPr>
              <w:ind w:left="4720"/>
              <w:spacing w:after="0"/>
              <w:rPr>
                <w:sz w:val="20"/>
                <w:szCs w:val="20"/>
                <w:color w:val="auto"/>
              </w:rPr>
            </w:pPr>
            <w:r>
              <w:rPr>
                <w:rFonts w:ascii="Times New Roman" w:cs="Times New Roman" w:eastAsia="Times New Roman" w:hAnsi="Times New Roman"/>
                <w:sz w:val="18"/>
                <w:szCs w:val="18"/>
                <w:color w:val="auto"/>
                <w:w w:val="99"/>
              </w:rPr>
              <w:t>May 30, 2025</w:t>
            </w:r>
          </w:p>
        </w:tc>
      </w:tr>
      <w:tr>
        <w:trPr>
          <w:trHeight w:val="191"/>
        </w:trPr>
        <w:tc>
          <w:tcPr>
            <w:tcW w:w="320" w:type="dxa"/>
            <w:vAlign w:val="bottom"/>
          </w:tcPr>
          <w:p>
            <w:pPr>
              <w:spacing w:after="0"/>
              <w:rPr>
                <w:sz w:val="16"/>
                <w:szCs w:val="16"/>
                <w:color w:val="auto"/>
              </w:rPr>
            </w:pPr>
          </w:p>
        </w:tc>
        <w:tc>
          <w:tcPr>
            <w:tcW w:w="49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Christy L. Kalaus</w:t>
            </w:r>
          </w:p>
        </w:tc>
        <w:tc>
          <w:tcPr>
            <w:tcW w:w="5740" w:type="dxa"/>
            <w:vAlign w:val="bottom"/>
          </w:tcPr>
          <w:p>
            <w:pPr>
              <w:spacing w:after="0"/>
              <w:rPr>
                <w:sz w:val="16"/>
                <w:szCs w:val="16"/>
                <w:color w:val="auto"/>
              </w:rPr>
            </w:pPr>
          </w:p>
        </w:tc>
      </w:tr>
      <w:tr>
        <w:trPr>
          <w:trHeight w:val="234"/>
        </w:trPr>
        <w:tc>
          <w:tcPr>
            <w:tcW w:w="32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and Corporate Controller</w:t>
            </w:r>
          </w:p>
        </w:tc>
        <w:tc>
          <w:tcPr>
            <w:tcW w:w="574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 of Crown Holdings, Inc.</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Conflict Minerals Report (“</w:t>
      </w:r>
      <w:r>
        <w:rPr>
          <w:rFonts w:ascii="Times New Roman" w:cs="Times New Roman" w:eastAsia="Times New Roman" w:hAnsi="Times New Roman"/>
          <w:sz w:val="18"/>
          <w:szCs w:val="18"/>
          <w:u w:val="single" w:color="auto"/>
          <w:color w:val="auto"/>
        </w:rPr>
        <w:t>CMR</w:t>
      </w:r>
      <w:r>
        <w:rPr>
          <w:rFonts w:ascii="Times New Roman" w:cs="Times New Roman" w:eastAsia="Times New Roman" w:hAnsi="Times New Roman"/>
          <w:sz w:val="18"/>
          <w:szCs w:val="18"/>
          <w:color w:val="auto"/>
        </w:rPr>
        <w:t>”) of Crown Holdings, Inc. (“</w:t>
      </w:r>
      <w:r>
        <w:rPr>
          <w:rFonts w:ascii="Times New Roman" w:cs="Times New Roman" w:eastAsia="Times New Roman" w:hAnsi="Times New Roman"/>
          <w:sz w:val="18"/>
          <w:szCs w:val="18"/>
          <w:u w:val="single" w:color="auto"/>
          <w:color w:val="auto"/>
        </w:rPr>
        <w:t>Crown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calendar year 2024 was prepared in accordance with Rule 13p-1 under the Securities Exchange Act of 1934 and the Company’s Conflict Minerals Policy. Numerous terms in this CMR are defined in Rule 13p-1 or in the related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Release No. 34-67716 (August 22, 2012) and the reader is referred to the same for such definitions. Throughout this report, the minerals tin, tantalum, tungsten and gold (collectively, “</w:t>
      </w:r>
      <w:r>
        <w:rPr>
          <w:rFonts w:ascii="Times New Roman" w:cs="Times New Roman" w:eastAsia="Times New Roman" w:hAnsi="Times New Roman"/>
          <w:sz w:val="18"/>
          <w:szCs w:val="18"/>
          <w:u w:val="single" w:color="auto"/>
          <w:color w:val="auto"/>
        </w:rPr>
        <w:t>3TG</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u w:val="single" w:color="auto"/>
          <w:color w:val="auto"/>
        </w:rPr>
        <w:t>3TG mineral</w:t>
      </w:r>
      <w:r>
        <w:rPr>
          <w:rFonts w:ascii="Times New Roman" w:cs="Times New Roman" w:eastAsia="Times New Roman" w:hAnsi="Times New Roman"/>
          <w:sz w:val="18"/>
          <w:szCs w:val="18"/>
          <w:color w:val="auto"/>
        </w:rPr>
        <w:t>”), when sourced in a way that directly or indirectly finances or benefits armed groups in Covered Countries, are referred to as “</w:t>
      </w:r>
      <w:r>
        <w:rPr>
          <w:rFonts w:ascii="Times New Roman" w:cs="Times New Roman" w:eastAsia="Times New Roman" w:hAnsi="Times New Roman"/>
          <w:sz w:val="18"/>
          <w:szCs w:val="18"/>
          <w:u w:val="single" w:color="auto"/>
          <w:color w:val="auto"/>
        </w:rPr>
        <w:t>conflict minerals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Crown Holdings, Inc., through its subsidiaries, is a leading global supplier of rigid packaging products to consumer marketing companies, as well as transit and protective packaging products, equipment and services to a broad range of end markets. The Company has determined that (i) tin is contained in the tinplate steel it purchases for its metal packaging businesses and (ii) 3TG may be contained in certain purchased components for its can-making and transit packaging machinery and equipment products, as well as the tools (and spare parts) that it makes for transit packaging (such potentially 3TG-containing products and tools, the “</w:t>
      </w:r>
      <w:r>
        <w:rPr>
          <w:rFonts w:ascii="Times New Roman" w:cs="Times New Roman" w:eastAsia="Times New Roman" w:hAnsi="Times New Roman"/>
          <w:sz w:val="18"/>
          <w:szCs w:val="18"/>
          <w:u w:val="single" w:color="auto"/>
          <w:color w:val="auto"/>
        </w:rPr>
        <w:t>In-Scope Products</w:t>
      </w:r>
      <w:r>
        <w:rPr>
          <w:rFonts w:ascii="Times New Roman" w:cs="Times New Roman" w:eastAsia="Times New Roman" w:hAnsi="Times New Roman"/>
          <w:sz w:val="18"/>
          <w:szCs w:val="18"/>
          <w:color w:val="auto"/>
        </w:rPr>
        <w:t>” and the Company’s business units that produce such In-Scope Products, the “</w:t>
      </w:r>
      <w:r>
        <w:rPr>
          <w:rFonts w:ascii="Times New Roman" w:cs="Times New Roman" w:eastAsia="Times New Roman" w:hAnsi="Times New Roman"/>
          <w:sz w:val="18"/>
          <w:szCs w:val="18"/>
          <w:u w:val="single" w:color="auto"/>
          <w:color w:val="auto"/>
        </w:rPr>
        <w:t>In-Scope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Business Units</w:t>
      </w:r>
      <w:r>
        <w:rPr>
          <w:rFonts w:ascii="Times New Roman" w:cs="Times New Roman" w:eastAsia="Times New Roman" w:hAnsi="Times New Roman"/>
          <w:sz w:val="18"/>
          <w:szCs w:val="18"/>
          <w:color w:val="auto"/>
        </w:rPr>
        <w:t>”). The Company has determined that 3TG is not present in the aluminum beverage cans or any other products that it produces.</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Crown does not directly purchase any 3TG. Crown’s supply chain is complex, and Crown is typically several tiers removed from the smelter or refiner and mineral origins of the components of the In-Scope Products. Crown has limited visibility beyond its direct suppliers to entities within the supply chain. Therefore, Crown relies primarily on its suppliers to provide information on the origin of the 3TG necessary to the functionality or production of Crown’s products.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Design Overview</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Consistent with the Company’s position as a downstream company, Crown’s due diligence processes for tracing 3TG in its products and for tracking the sourcing thereof have been designed in conformance with the “</w:t>
      </w:r>
      <w:r>
        <w:rPr>
          <w:rFonts w:ascii="Times New Roman" w:cs="Times New Roman" w:eastAsia="Times New Roman" w:hAnsi="Times New Roman"/>
          <w:sz w:val="18"/>
          <w:szCs w:val="18"/>
          <w:i w:val="1"/>
          <w:iCs w:val="1"/>
          <w:color w:val="auto"/>
        </w:rPr>
        <w:t>Due Diligence Guidance for Responsible Supply Chains of Minerals from Conflict-Affected and High-Risk Areas (Third Edition)</w:t>
      </w:r>
      <w:r>
        <w:rPr>
          <w:rFonts w:ascii="Times New Roman" w:cs="Times New Roman" w:eastAsia="Times New Roman" w:hAnsi="Times New Roman"/>
          <w:sz w:val="18"/>
          <w:szCs w:val="18"/>
          <w:color w:val="auto"/>
        </w:rPr>
        <w:t>” framework prepared by The Organisation for Economic Co-operation and Development (“</w:t>
      </w:r>
      <w:r>
        <w:rPr>
          <w:rFonts w:ascii="Times New Roman" w:cs="Times New Roman" w:eastAsia="Times New Roman" w:hAnsi="Times New Roman"/>
          <w:sz w:val="18"/>
          <w:szCs w:val="18"/>
          <w:u w:val="single" w:color="auto"/>
          <w:color w:val="auto"/>
        </w:rPr>
        <w:t>OECD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designing its due diligence framework, Crown also relied on information from the Responsible Minerals Assurance Process (“</w:t>
      </w:r>
      <w:r>
        <w:rPr>
          <w:rFonts w:ascii="Times New Roman" w:cs="Times New Roman" w:eastAsia="Times New Roman" w:hAnsi="Times New Roman"/>
          <w:sz w:val="18"/>
          <w:szCs w:val="18"/>
          <w:u w:val="single" w:color="auto"/>
          <w:color w:val="auto"/>
        </w:rPr>
        <w:t>RMAP</w:t>
      </w:r>
      <w:r>
        <w:rPr>
          <w:rFonts w:ascii="Times New Roman" w:cs="Times New Roman" w:eastAsia="Times New Roman" w:hAnsi="Times New Roman"/>
          <w:sz w:val="18"/>
          <w:szCs w:val="18"/>
          <w:color w:val="auto"/>
        </w:rPr>
        <w:t>”), a voluntary initiative managed by the Responsible Minerals Initiative (the “</w:t>
      </w:r>
      <w:r>
        <w:rPr>
          <w:rFonts w:ascii="Times New Roman" w:cs="Times New Roman" w:eastAsia="Times New Roman" w:hAnsi="Times New Roman"/>
          <w:sz w:val="18"/>
          <w:szCs w:val="18"/>
          <w:u w:val="single" w:color="auto"/>
          <w:color w:val="auto"/>
        </w:rPr>
        <w:t>RMI</w:t>
      </w:r>
      <w:r>
        <w:rPr>
          <w:rFonts w:ascii="Times New Roman" w:cs="Times New Roman" w:eastAsia="Times New Roman" w:hAnsi="Times New Roman"/>
          <w:sz w:val="18"/>
          <w:szCs w:val="18"/>
          <w:color w:val="auto"/>
        </w:rPr>
        <w:t>”), in which an independent third party audits the procurement activities of a smelter or refiner to determine with reasonable confidence whether the minerals processed by such smelter or refiner originated from conflict-free sources. Upon completion of a successful audit, the smelter or refiner is designated by the RMI as “Conformant.” Since the Company does not have any direct relationships with smelters or refiners that process 3TG or a mechanism to directly audit them, information collected and provided by independent third-party audit programs, such as the RMAP, is useful in the Company’s due diligence process.</w:t>
      </w:r>
    </w:p>
    <w:p>
      <w:pPr>
        <w:spacing w:after="0" w:line="18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Where information from the RMI is not available, the Company conducts its own diligence, which generally includes contacting its first-tier suppliers for additional information and reviewing publicly available information about the smelter or refiner. In addition, Crown has engaged Assent Compliance (“</w:t>
      </w:r>
      <w:r>
        <w:rPr>
          <w:rFonts w:ascii="Times New Roman" w:cs="Times New Roman" w:eastAsia="Times New Roman" w:hAnsi="Times New Roman"/>
          <w:sz w:val="17"/>
          <w:szCs w:val="17"/>
          <w:u w:val="single" w:color="auto"/>
          <w:color w:val="auto"/>
        </w:rPr>
        <w:t>Assent</w:t>
      </w:r>
      <w:r>
        <w:rPr>
          <w:rFonts w:ascii="Times New Roman" w:cs="Times New Roman" w:eastAsia="Times New Roman" w:hAnsi="Times New Roman"/>
          <w:sz w:val="17"/>
          <w:szCs w:val="17"/>
          <w:color w:val="auto"/>
        </w:rPr>
        <w:t>”), a third-party service provider, to assist with the contacting of and processing of responses received from suppliers to the In-Scope Business Units of its transit packaging machinery, equipment, tool and spare parts-making businesses (collectively, the “</w:t>
      </w:r>
      <w:r>
        <w:rPr>
          <w:rFonts w:ascii="Times New Roman" w:cs="Times New Roman" w:eastAsia="Times New Roman" w:hAnsi="Times New Roman"/>
          <w:sz w:val="17"/>
          <w:szCs w:val="17"/>
          <w:u w:val="single" w:color="auto"/>
          <w:color w:val="auto"/>
        </w:rPr>
        <w:t>In-Scope Transit Business Units</w:t>
      </w:r>
      <w:r>
        <w:rPr>
          <w:rFonts w:ascii="Times New Roman" w:cs="Times New Roman" w:eastAsia="Times New Roman" w:hAnsi="Times New Roman"/>
          <w:sz w:val="17"/>
          <w:szCs w:val="17"/>
          <w:color w:val="auto"/>
        </w:rPr>
        <w: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guide its due diligence, the Company has also established a due diligence compliance process that includes a documentation and record maintenance mechanism to ensure the retention of relevant documentation in a structured electronic database. Documentation with respect to the Company’s In-Scope Transit Business Units is first separately collected and stored using the Assent Compliance Platform before being integrated in the rest of the Company’s due diligence compliance process. The Company expects to continue to refine, revise and improve its due diligence compliance process as appropriate.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Due Diligence Process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due diligence process on the source and chain of custody of any 3TG minerals contained in its In-Scope Products includes the following measures: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OECD Step 1 – Establish Strong Company Management Systems</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Policy</w:t>
      </w:r>
      <w:r>
        <w:rPr>
          <w:rFonts w:ascii="Times New Roman" w:cs="Times New Roman" w:eastAsia="Times New Roman" w:hAnsi="Times New Roman"/>
          <w:sz w:val="18"/>
          <w:szCs w:val="18"/>
          <w:color w:val="auto"/>
        </w:rPr>
        <w:t>. Crown aims to avoid the use of conflict minerals in the manufacture of its products and is committed to complying with its reporting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applicable law. Crown has adopted a company-wide Conflict Minerals Policy which is set forth on its website at </w:t>
      </w:r>
      <w:r>
        <w:rPr>
          <w:rFonts w:ascii="Times New Roman" w:cs="Times New Roman" w:eastAsia="Times New Roman" w:hAnsi="Times New Roman"/>
          <w:sz w:val="18"/>
          <w:szCs w:val="18"/>
          <w:u w:val="single" w:color="auto"/>
          <w:color w:val="auto"/>
        </w:rPr>
        <w:t>https://www.crowncork.com/investors/policies/conflict-minerals-policy</w:t>
      </w:r>
      <w:r>
        <w:rPr>
          <w:rFonts w:ascii="Times New Roman" w:cs="Times New Roman" w:eastAsia="Times New Roman" w:hAnsi="Times New Roman"/>
          <w:sz w:val="18"/>
          <w:szCs w:val="18"/>
          <w:color w:val="auto"/>
        </w:rPr>
        <w:t>. In addition, Crown’s Supplier Code of Conduct includes a provision regarding responsible sourcing (which appears in the Supplier Code under the heading “Origin Mapping”).</w:t>
      </w:r>
    </w:p>
    <w:p>
      <w:pPr>
        <w:spacing w:after="0" w:line="180"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Personnel</w:t>
      </w:r>
      <w:r>
        <w:rPr>
          <w:rFonts w:ascii="Times New Roman" w:cs="Times New Roman" w:eastAsia="Times New Roman" w:hAnsi="Times New Roman"/>
          <w:sz w:val="18"/>
          <w:szCs w:val="18"/>
          <w:color w:val="auto"/>
        </w:rPr>
        <w:t>. The Company’s conflict minerals compliance efforts involve a cross-functional group of personnel from the legal, finance,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and sustainability functions. This team is responsible for implementing Crown’s conflict minerals compliance strategy.</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Application of Policy to Suppliers</w:t>
      </w:r>
      <w:r>
        <w:rPr>
          <w:rFonts w:ascii="Times New Roman" w:cs="Times New Roman" w:eastAsia="Times New Roman" w:hAnsi="Times New Roman"/>
          <w:sz w:val="18"/>
          <w:szCs w:val="18"/>
          <w:color w:val="auto"/>
        </w:rPr>
        <w:t>. Crown’s written contracts with its tinplate steel suppliers, and most of Crown’s written contracts with suppliers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can-making machinery and equipment business, contain an obligation of the supplier to cooperate with Crown in its efforts to eliminate conflict minerals from the supply chain. The Company’s In-Scope Transit Business Units’ suppliers are also expected to cooperate with these efforts, and the Company reserves the right to require proof of such compliance. Suppliers who do not comply with Crown’s Conflict Minerals Policy may be denied future business, and those who violate contractual provisions or policies are subject to enforcement actions by Crown.</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Supplier Engagement and Accountability</w:t>
      </w:r>
      <w:r>
        <w:rPr>
          <w:rFonts w:ascii="Times New Roman" w:cs="Times New Roman" w:eastAsia="Times New Roman" w:hAnsi="Times New Roman"/>
          <w:sz w:val="18"/>
          <w:szCs w:val="18"/>
          <w:color w:val="auto"/>
        </w:rPr>
        <w:t>. The Company contacts (or arranges for Assent to contact) the first-tier suppliers of the In-Scope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to provide them with a notice of the relevant SEC requirements and to advise them of the Company’s commitment to responsibly source materials and of its due diligence expectations. The Company archives the received supplier responses as part of its reasonable country of origin inquiry (“</w:t>
      </w:r>
      <w:r>
        <w:rPr>
          <w:rFonts w:ascii="Times New Roman" w:cs="Times New Roman" w:eastAsia="Times New Roman" w:hAnsi="Times New Roman"/>
          <w:sz w:val="18"/>
          <w:szCs w:val="18"/>
          <w:u w:val="single" w:color="auto"/>
          <w:color w:val="auto"/>
        </w:rPr>
        <w:t>RCOI</w:t>
      </w:r>
      <w:r>
        <w:rPr>
          <w:rFonts w:ascii="Times New Roman" w:cs="Times New Roman" w:eastAsia="Times New Roman" w:hAnsi="Times New Roman"/>
          <w:sz w:val="18"/>
          <w:szCs w:val="18"/>
          <w:color w:val="auto"/>
        </w:rPr>
        <w:t>”) and due diligence. Feedback from this process is used to modify, where appropriate, the design of the Company’s conflict minerals due diligence compliance process.</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also requests information, directly or through Assent, from the first-tier suppliers of the In-Scope Business Units regarding the source and chain of custody of 3TG in its supply chain. To facilitate the collection of complete, accurate, standardized and verifiable information, the Company relies primarily on the Conflict Minerals Reporting Template (the “</w:t>
      </w:r>
      <w:r>
        <w:rPr>
          <w:rFonts w:ascii="Times New Roman" w:cs="Times New Roman" w:eastAsia="Times New Roman" w:hAnsi="Times New Roman"/>
          <w:sz w:val="18"/>
          <w:szCs w:val="18"/>
          <w:u w:val="single" w:color="auto"/>
          <w:color w:val="auto"/>
        </w:rPr>
        <w:t>CMRT</w:t>
      </w:r>
      <w:r>
        <w:rPr>
          <w:rFonts w:ascii="Times New Roman" w:cs="Times New Roman" w:eastAsia="Times New Roman" w:hAnsi="Times New Roman"/>
          <w:sz w:val="18"/>
          <w:szCs w:val="18"/>
          <w:color w:val="auto"/>
        </w:rPr>
        <w:t>”) made available by RMI. The CMRT facilitates the transfer of information through the supply chain regarding country of origin, mine location and smelters and refiners used. Written instructions and recorded training illustrating the use of the CMRT are available on the RMI’s website.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OECD Step 2 – Identify and Assess Risk in the Supply Chain</w:t>
      </w:r>
    </w:p>
    <w:p>
      <w:pPr>
        <w:spacing w:after="0" w:line="11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Identification of Risk</w:t>
      </w:r>
      <w:r>
        <w:rPr>
          <w:rFonts w:ascii="Times New Roman" w:cs="Times New Roman" w:eastAsia="Times New Roman" w:hAnsi="Times New Roman"/>
          <w:sz w:val="18"/>
          <w:szCs w:val="18"/>
          <w:color w:val="auto"/>
        </w:rPr>
        <w:t>. To identify risks in its supply chain, the Company assesses the likelihood of the presence of conflict minerals in each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If a product clearly does not contain any 3TG (e.g., aluminum cans), the inquiry ends. For each of its other products, the Company uses its own and outside resources to determine whether such product likely contains any 3TG. At the end of this year’s process, the Company has determined that the In-Scope Products contain 3TG minerals.</w:t>
      </w:r>
    </w:p>
    <w:p>
      <w:pPr>
        <w:spacing w:after="0" w:line="18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i w:val="1"/>
          <w:iCs w:val="1"/>
          <w:color w:val="auto"/>
        </w:rPr>
        <w:t>Assessment of Risk</w:t>
      </w:r>
      <w:r>
        <w:rPr>
          <w:rFonts w:ascii="Times New Roman" w:cs="Times New Roman" w:eastAsia="Times New Roman" w:hAnsi="Times New Roman"/>
          <w:sz w:val="18"/>
          <w:szCs w:val="18"/>
          <w:color w:val="auto"/>
        </w:rPr>
        <w:t>. Upon receipt of completed CMRTs from its suppliers, the Company assesses the risks associated with any identified smelter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refiner by examining the information provided in the CMRT and determining if such smelter or refiner has been validated under the RMI’s RMAP as “Conformant.” The RMAP provides information regarding those smelters or refiners that, following an independent third-party audit, have been found to be compliant with the RMAP’s assessment protocols to assure sourcing of only conflict-free materials. Where information from the RMI is not available, or where the supplier provides information in a form other than the CMRT, the Company conducts its own diligence, which may include contacting its first-tier suppliers for additional information and reviewing publicly available information about the smelter or refiner. In addition, the Company engages Assent to conduct CMRT validation checks as part of the due diligence of its In-Scope Transit Business Units. Assent evaluates supplier responses for plausibility, consistency, and gaps, and conducts additional supplier inquiries to address issues such as incomplete data on CMRTs, responses that did not identify smelters or refiners for listed metals, and responses that identified organizations as smelters or refiners which were not verified as such through further analysis and research.</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OECD Step 3 – Design and Implement a Strategy to Respond to Identified Risks</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Annual Re-Evaluation of Response Strategy</w:t>
      </w:r>
      <w:r>
        <w:rPr>
          <w:rFonts w:ascii="Times New Roman" w:cs="Times New Roman" w:eastAsia="Times New Roman" w:hAnsi="Times New Roman"/>
          <w:sz w:val="18"/>
          <w:szCs w:val="18"/>
          <w:color w:val="auto"/>
        </w:rPr>
        <w:t>. The Company reviews the results of its due diligence compliance process each year in the course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preparing this CMR and determines whether to make any improvements or other changes to its strategy for enforcing and achieving compliance with its Conflict Minerals Policy. A summary of the improvements and other changes the Company expects to take on the basis of this CMR and the Company’s due diligence efforts for calendar year 2024 is included later in this CMR under the caption “</w:t>
      </w:r>
      <w:r>
        <w:rPr>
          <w:rFonts w:ascii="Times New Roman" w:cs="Times New Roman" w:eastAsia="Times New Roman" w:hAnsi="Times New Roman"/>
          <w:sz w:val="18"/>
          <w:szCs w:val="18"/>
          <w:i w:val="1"/>
          <w:iCs w:val="1"/>
          <w:color w:val="auto"/>
        </w:rPr>
        <w:t>Future Due Diligence Improvements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Grievance Mechanism</w:t>
      </w:r>
      <w:r>
        <w:rPr>
          <w:rFonts w:ascii="Times New Roman" w:cs="Times New Roman" w:eastAsia="Times New Roman" w:hAnsi="Times New Roman"/>
          <w:sz w:val="18"/>
          <w:szCs w:val="18"/>
          <w:color w:val="auto"/>
        </w:rPr>
        <w:t>. The Company’s existing procedures for reporting violations of its Code of Business Conduct and Ethics, its Supplier Code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 or other ethics-related policies are also available for reporting conflict minerals compliance problems.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OECD Step 4 – Carry Out an Independent Third-Party Audit of Supply Chain Due Diligence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have any direct relationships with smelters or refiners that process 3TG, and it does not perform or direct audits of these entities within its supply chain. As an alternative, the Company intends to rely on information collected and provided by independent third-party audit programs, such as the RMAP, when necessary.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8" w:right="45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OECD Step 5 – Report on Supply Chain Due Diligence</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Crown files this CMR on Form SD with the SEC. Crown also publishes this CMR on its website at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www.crowncork.com/investors/reports-filings/sec-filings.</w:t>
      </w:r>
    </w:p>
    <w:p>
      <w:pPr>
        <w:spacing w:after="0" w:line="311" w:lineRule="exact"/>
        <w:rPr>
          <w:sz w:val="20"/>
          <w:szCs w:val="20"/>
          <w:color w:val="auto"/>
        </w:rPr>
      </w:pPr>
    </w:p>
    <w:p>
      <w:pPr>
        <w:ind w:left="4" w:right="46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Due Diligence Findings for the Year 2024 - Facilities and Country of Origin of 3TG </w:t>
      </w:r>
      <w:r>
        <w:rPr>
          <w:rFonts w:ascii="Times New Roman" w:cs="Times New Roman" w:eastAsia="Times New Roman" w:hAnsi="Times New Roman"/>
          <w:sz w:val="18"/>
          <w:szCs w:val="18"/>
          <w:i w:val="1"/>
          <w:iCs w:val="1"/>
          <w:color w:val="auto"/>
        </w:rPr>
        <w:t>Metal Packaging Products</w:t>
      </w:r>
    </w:p>
    <w:p>
      <w:pPr>
        <w:spacing w:after="0" w:line="2"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Excluding purchases from recyclers, Crown purchased tinplate steel from thirty-seven (37) suppliers for its metal packaging businesses, all of whom have provided Crown with a list of their tin smelters in connection with Crown’s due diligence compliance process.</w:t>
      </w:r>
    </w:p>
    <w:p>
      <w:pPr>
        <w:spacing w:after="0" w:line="162"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Tinplate steel from any of these thirty-seven (37) suppliers may be used in Crown’s metal packaging products. Tin is the only 3TG mineral identified in the Company’s metal packaging business. The Company contacted all of these suppliers as part of its due diligence compliance process. Of the suppliers who provided complete responses to the Company’s inquiry, four (4) suppliers indicated the intentional addition or use of 3TG in their products or production process which was sourced from a Covered Country, but the minerals came from a smelter or refiner that has been validated under the RMI’s RMAP as “Conformant”.</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Can-Making Machinery and Equipment Products</w:t>
      </w:r>
    </w:p>
    <w:p>
      <w:pPr>
        <w:spacing w:after="0" w:line="119" w:lineRule="exact"/>
        <w:rPr>
          <w:sz w:val="20"/>
          <w:szCs w:val="20"/>
          <w:color w:val="auto"/>
        </w:rPr>
      </w:pPr>
    </w:p>
    <w:p>
      <w:pPr>
        <w:ind w:left="4" w:right="200"/>
        <w:spacing w:after="0" w:line="266" w:lineRule="auto"/>
        <w:rPr>
          <w:sz w:val="20"/>
          <w:szCs w:val="20"/>
          <w:color w:val="auto"/>
        </w:rPr>
      </w:pPr>
      <w:r>
        <w:rPr>
          <w:rFonts w:ascii="Times New Roman" w:cs="Times New Roman" w:eastAsia="Times New Roman" w:hAnsi="Times New Roman"/>
          <w:sz w:val="18"/>
          <w:szCs w:val="18"/>
          <w:color w:val="auto"/>
        </w:rPr>
        <w:t>None of Crown’s direct suppliers are 3TG smelters and Crown does not purchase any 3TG directly for its can-making machinery and equipment products. Any 3TG that may be part of Crown’s can-making machinery products are incorporated into components (or components of components) or raw materials that are purchased by Crown and included into the machinery and equipment products.</w:t>
      </w:r>
    </w:p>
    <w:p>
      <w:pPr>
        <w:spacing w:after="0" w:line="176"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As a result of Crown’s RCOI process and due diligence for its can-making machinery and equipment business products, which account for less than 1% of Crown’s net sales in fiscal year 2024, Crown identified as in-scope and contacted a total of one hundred seventy-five (175) suppliers, representing, collectively, 96% of the can-making machinery and equipment business’s annual purchases of raw materials and components. Of that group, one hundred seventy (170) suppliers, representing 95% of the business’s annual purchases, responded to Crown’s inquiry.</w:t>
      </w:r>
    </w:p>
    <w:p>
      <w:pPr>
        <w:spacing w:after="0" w:line="180"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Of those suppliers who responded to Crown’s inquiry, forty-nine (49) suppliers indicated the intentional addition or use of 3TG in their products or production process. Ten (10) of those forty-nine (49) suppliers indicated that one or more of their products (including, potentially, the products they sell to Crown), may contain 3TG sourced from a Covered Country. Based on the completed CMRTs submitted and Crown’s own due diligence, Crown determined that three (3) of the approximately five hundred fifteen (515) smelters identified by these suppliers require additional diligence, and that these smelters were identified by three (3) of the ten (10) suppliers who indicated that one or more of their products may contain 3TG sourced from a Covered Country. The presence of these smelters in the supply chain creates a risk that Crown may have unintentionally acquired conflict minerals. As part of Crown’s continued due diligence, Crown has contacted each of these suppliers to confirm the actual presence of these smelters in Crown’s supply chain. If that is confirmed, and Crown is unable to validate, through additional diligence, these smelters as conformant, Crown will work to remove these smelters from its supply chain. It will request that these three (3) suppliers discontinue selling products to Crown containing 3TG sourced from these smelters, and will consider, where feasible, adding contractual covenants for the supplier to prevent such sourcing. Note, none of these three</w:t>
      </w:r>
    </w:p>
    <w:p>
      <w:pPr>
        <w:spacing w:after="0" w:line="5" w:lineRule="exact"/>
        <w:rPr>
          <w:sz w:val="20"/>
          <w:szCs w:val="20"/>
          <w:color w:val="auto"/>
        </w:rPr>
      </w:pPr>
    </w:p>
    <w:p>
      <w:pPr>
        <w:ind w:left="4" w:right="180" w:hanging="4"/>
        <w:spacing w:after="0" w:line="260"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who each sell a wide range of general supply products such as hardware, controllers and other components, had the capability to identify the country of origin of the 3TG found in the products that they specifically sold to Crown</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8" w:right="459" w:bottom="1440" w:gutter="0" w:footer="0" w:header="0"/>
        </w:sectPr>
      </w:pPr>
    </w:p>
    <w:bookmarkStart w:id="7" w:name="page8"/>
    <w:bookmarkEnd w:id="7"/>
    <w:p>
      <w:pPr>
        <w:ind w:left="4" w:right="3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because of the nature of the products sold to Crown. Crown undertook similar efforts last year concerning seven (7) suppliers that may have sourced conflict minerals from a smelter that required additional diligence. Through these efforts, Crown was able to confirm that the products provided to Crown by one (1) of the suppliers did not contain 3TG sourced from this smelter. Crown was unable to determine whether the remaining six</w:t>
      </w:r>
    </w:p>
    <w:p>
      <w:pPr>
        <w:spacing w:after="0" w:line="2" w:lineRule="exact"/>
        <w:rPr>
          <w:sz w:val="20"/>
          <w:szCs w:val="20"/>
          <w:color w:val="auto"/>
        </w:rPr>
      </w:pPr>
    </w:p>
    <w:p>
      <w:pPr>
        <w:jc w:val="both"/>
        <w:ind w:left="4" w:hanging="4"/>
        <w:spacing w:after="0" w:line="250"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actually supplied products to Crown containing 3TG sourced from this smelter as these suppliers each provided a list of smelters identified across their entire product portfolios, and was not limited to the specific products supplied to Crown. Of the forty-nine (49) suppliers who indicated the intentional addition or use of 3TG in their products or production process, twelve (12) indicated that none of the smelters that provided the 3TG found in the products sold to Crown sourced from a Covered Country and provided their smelter list. Every one of the smelters identified by these twelve</w:t>
      </w:r>
    </w:p>
    <w:p>
      <w:pPr>
        <w:spacing w:after="0" w:line="1"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has been identified by the RMI as “Conformant” or was cleared by the Company’s own due diligence investigation.</w:t>
      </w:r>
    </w:p>
    <w:p>
      <w:pPr>
        <w:spacing w:after="0" w:line="207"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The remaining twenty-seven (27) of the forty-nine (49) suppliers either (i) provided their respective Conflict Minerals Policy Statements as their responses or indicated that 3TG found in the products sold to Crown was not sourced from a Covered Country but did not provide a smelter list to verify the declaration or (ii) indicated that they were unable to confirm that one or more of the smelters that provided the 3TG minerals found in the products sold to Crown did not source from a Covered Country because of the nature of the products sold to Crown. The information provided by the responding suppliers was often incomplete or unverifiable. Additionally, based on the information provided by many of Crown’s suppliers who are engaged in general supply industries such as hardware, controllers and other components, it cannot be verified that all the smelters identified contributed to parts that ended up in Crown products or even that the 3TG was incorporated in Crown products, since some of these responses cover the entire product range of the supplier’s products and not just those sold to Crown.</w:t>
      </w:r>
    </w:p>
    <w:p>
      <w:pPr>
        <w:spacing w:after="0" w:line="192"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Because of the long supply chain from most smelters to the component suppliers to Crown’s can-making machinery and equipment business, information provided to Crown by its component suppliers did not enable Crown to verify the country of origin for all of the 3TG added to the specific parts that ended up in Crown’s can-making machinery and equipment products.</w:t>
      </w: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In-Scope Transit Business Units</w:t>
      </w:r>
    </w:p>
    <w:p>
      <w:pPr>
        <w:spacing w:after="0" w:line="119"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The Company has assessed the likelihood of the presence of conflict minerals in each of the products of its In-Scope Transit Business Units as part of its due diligence compliance process described above. At the end of this process, the Company determined that its transit packaging metal strapping business and plastic and paperboard businesses do not use or manufacture products that contain any 3TG mineral. Certain products of In-Scope Transit Business Units, however, may contain 3TG.</w:t>
      </w:r>
    </w:p>
    <w:p>
      <w:pPr>
        <w:spacing w:after="0" w:line="180"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As a result of Crown’s RCOI process and due diligence for its In-Scope Transit Business Units, Crown identified as in-scope a total of three hundred eighty (380) suppliers and delivered this list of in-scope suppliers to Assent. Assent then attempted to verify, for each of the in-scope suppliers, whether that supplier is active and self-certifies that its products do not contain 3TG. Assent contacted and solicited the completion of CMRTs (much like Crown does for its can-making machinery and equipment business) from each of the in-scope suppliers that is active and not certified.</w:t>
      </w:r>
    </w:p>
    <w:p>
      <w:pPr>
        <w:spacing w:after="0" w:line="180" w:lineRule="exact"/>
        <w:rPr>
          <w:sz w:val="20"/>
          <w:szCs w:val="20"/>
          <w:color w:val="auto"/>
        </w:rPr>
      </w:pPr>
    </w:p>
    <w:p>
      <w:pPr>
        <w:jc w:val="both"/>
        <w:ind w:left="4" w:right="280"/>
        <w:spacing w:after="0" w:line="261" w:lineRule="auto"/>
        <w:rPr>
          <w:sz w:val="20"/>
          <w:szCs w:val="20"/>
          <w:color w:val="auto"/>
        </w:rPr>
      </w:pPr>
      <w:r>
        <w:rPr>
          <w:rFonts w:ascii="Times New Roman" w:cs="Times New Roman" w:eastAsia="Times New Roman" w:hAnsi="Times New Roman"/>
          <w:sz w:val="18"/>
          <w:szCs w:val="18"/>
          <w:color w:val="auto"/>
        </w:rPr>
        <w:t>For calendar year 2024, three hundred fifty-five (355) suppliers of Crown’s transit packaging business, representing more than 93% of the number of suppliers to Crown’s In-Scope Transit Business Units contacted and, collectively, over 95% of the In-Scope Transit Business Units’ annual purchase value of raw materials and components, responded to Assent’s inquiry. Of the suppliers who provided CMRTs, one hundred nineteen (119) suppliers indicated the intentional addition or use of 3TG in their products or production process. Twenty-seven (27) of those one hundred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8" w:name="page9"/>
    <w:bookmarkEnd w:id="8"/>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nineteen (119) suppliers indicated that the smelters that provided the 3TG found in the products sold to Crown did not source from a Covered Country. Of the remaining ninety-two (92) suppliers, fourteen (14) suppliers sourced their 3TG from smelters identified by the RMI as “Conformant” or were cleared by the Company’s due diligence investigation. None of the remaining suppliers, who all sell a wide range of general supply products such as hardware, controllers and other components, had the capability to identify the country of origin of all the 3TG found in the products specifically sold to the In-Scope Transit Business Units because of the nature of the products sold to the Company. The information provided by the responding suppliers is, by nature, unverifiable. Of the hundreds of smelters identified by the suppliers to Crown’s In-Scope Transit Business Units, Crown identified three</w:t>
      </w:r>
    </w:p>
    <w:p>
      <w:pPr>
        <w:spacing w:after="0" w:line="5" w:lineRule="exact"/>
        <w:rPr>
          <w:sz w:val="20"/>
          <w:szCs w:val="20"/>
          <w:color w:val="auto"/>
        </w:rPr>
      </w:pPr>
    </w:p>
    <w:p>
      <w:pPr>
        <w:ind w:left="264" w:hanging="264"/>
        <w:spacing w:after="0"/>
        <w:tabs>
          <w:tab w:leader="none" w:pos="2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smelters for additional diligence. Those smelters are the same smelters that were identified for additional diligence in Crown’s can-making</w:t>
      </w:r>
    </w:p>
    <w:p>
      <w:pPr>
        <w:spacing w:after="0" w:line="9" w:lineRule="exact"/>
        <w:rPr>
          <w:rFonts w:ascii="Times New Roman" w:cs="Times New Roman" w:eastAsia="Times New Roman" w:hAnsi="Times New Roman"/>
          <w:sz w:val="18"/>
          <w:szCs w:val="18"/>
          <w:color w:val="auto"/>
        </w:rPr>
      </w:pPr>
    </w:p>
    <w:p>
      <w:pPr>
        <w:ind w:left="4"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machinery and equipment business. The Company will further investigate to determine whether those smelters, in fact, supplied 3TG for products purchased by Crown. If so, Crown will work to remove the smelters from its supply chain. Similar efforts undertaken last year, enabled the Company to confirm with approximately 18% of the In-Scope Transit Business Units suppliers contacted for additional diligence that the smelter at issue was no longer present in the Company’s supply chain. The Company’s due diligence activities concerning the remaining suppliers are ongoing. Additionally, as it relates to Crown’s suppliers who are engaged in general supply industries such as hardware, controllers and other components, it cannot be verified that all the smelters identified contributed to parts that ended up in Crown products, or even that the 3TG were incorporated in Crown products, since some of these responses cover the entire product range of the supplier’s products and not just those sold to Crown.</w:t>
      </w:r>
    </w:p>
    <w:p>
      <w:pPr>
        <w:spacing w:after="0" w:line="2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Future Due Diligence Improvements</w:t>
      </w:r>
    </w:p>
    <w:p>
      <w:pPr>
        <w:spacing w:after="0" w:line="121"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The Company intends to take the following steps, among others, to continue to improve its due diligence measures, increase supply chain transparency and further mitigate the risk that any 3TG contained in its products may finance or benefit armed groups in the Covered Countries:</w:t>
      </w:r>
    </w:p>
    <w:p>
      <w:pPr>
        <w:spacing w:after="0" w:line="67" w:lineRule="exact"/>
        <w:rPr>
          <w:sz w:val="20"/>
          <w:szCs w:val="20"/>
          <w:color w:val="auto"/>
        </w:rPr>
      </w:pPr>
    </w:p>
    <w:p>
      <w:pPr>
        <w:ind w:left="964" w:right="180" w:hanging="424"/>
        <w:spacing w:after="0" w:line="282"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Crown confirms the actual presence of the three (3) smelters requiring additional diligence in its supply chain, and Crown is unable to validate, through further diligence that the smelters are conformant, Crown will actively manage out these smelters;</w:t>
      </w:r>
    </w:p>
    <w:p>
      <w:pPr>
        <w:spacing w:after="0" w:line="67" w:lineRule="exact"/>
        <w:rPr>
          <w:rFonts w:ascii="Times New Roman" w:cs="Times New Roman" w:eastAsia="Times New Roman" w:hAnsi="Times New Roman"/>
          <w:sz w:val="18"/>
          <w:szCs w:val="18"/>
          <w:color w:val="auto"/>
        </w:rPr>
      </w:pPr>
    </w:p>
    <w:p>
      <w:pPr>
        <w:ind w:left="964" w:right="200" w:hanging="424"/>
        <w:spacing w:after="0" w:line="213"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pursue the sustainability goals announced as part of its Twentyby30</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program to reduce the amount of minerals mined from the Earth;</w:t>
      </w:r>
    </w:p>
    <w:p>
      <w:pPr>
        <w:spacing w:after="0" w:line="104" w:lineRule="exact"/>
        <w:rPr>
          <w:rFonts w:ascii="Times New Roman" w:cs="Times New Roman" w:eastAsia="Times New Roman" w:hAnsi="Times New Roman"/>
          <w:sz w:val="18"/>
          <w:szCs w:val="18"/>
          <w:color w:val="auto"/>
        </w:rPr>
      </w:pPr>
    </w:p>
    <w:p>
      <w:pPr>
        <w:ind w:left="964" w:right="500" w:hanging="424"/>
        <w:spacing w:after="0" w:line="282"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engage and document communication with suppliers to increase the response rate and facilitate the collection of current, accurate and complete information about the supply chain, smelters, refiners and mineral origins;</w:t>
      </w:r>
    </w:p>
    <w:p>
      <w:pPr>
        <w:spacing w:after="0" w:line="67" w:lineRule="exact"/>
        <w:rPr>
          <w:rFonts w:ascii="Times New Roman" w:cs="Times New Roman" w:eastAsia="Times New Roman" w:hAnsi="Times New Roman"/>
          <w:sz w:val="18"/>
          <w:szCs w:val="18"/>
          <w:color w:val="auto"/>
        </w:rPr>
      </w:pPr>
    </w:p>
    <w:p>
      <w:pPr>
        <w:ind w:left="964" w:right="40" w:hanging="424"/>
        <w:spacing w:after="0" w:line="282"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encourage suppliers to implement responsible sourcing and request that suppliers encourage smelters and each of their refiners to obtain a “conflict-free” designation from an independent third-party auditor;</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direct suppliers to the RMI for information and encourage them to support the RMI’s efforts through membership;</w:t>
      </w:r>
    </w:p>
    <w:p>
      <w:pPr>
        <w:spacing w:after="0" w:line="130" w:lineRule="exact"/>
        <w:rPr>
          <w:rFonts w:ascii="Times New Roman" w:cs="Times New Roman" w:eastAsia="Times New Roman" w:hAnsi="Times New Roman"/>
          <w:sz w:val="18"/>
          <w:szCs w:val="18"/>
          <w:color w:val="auto"/>
        </w:rPr>
      </w:pPr>
    </w:p>
    <w:p>
      <w:pPr>
        <w:ind w:left="964" w:right="340" w:hanging="424"/>
        <w:spacing w:after="0" w:line="282"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its efforts toward 100% supplier vendor adherence to its Supplier Code of Conduct and continue enforcing its rights under its Supplier Code of Conduct regarding responsible sourcing;</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9" w:name="page10"/>
    <w:bookmarkEnd w:id="9"/>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continue to report findings from Crown’s conflict minerals due diligence compliance process to senior management;</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refine its due diligence process for suppliers who indicate the intentional addition or use of 3TG in their products or production process but who (i) are unable to confirm whether the smelters that provided the 3TG found in the products sold to Crown businesses source from a Covered Country or (ii) did not provide a smelter list so that their responses could be verified; and</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engage with suppliers that did not respond to the request for information for calendar year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All information contained in this CMR, other than statements of historical fact, are forward-looking statements within the meaning of federal securities laws. These forward-looking statements involve a number of risks, uncertainties, assumptions and other factors including, among other things, Crown’s suppliers’ responsiveness and cooperation with Crown’s due diligence efforts, Crown’s ability to implement improvements in its conflict minerals due diligence compliance process, changes to the sourcing status of smelters and refiners in Crown’s supply chain, changes to the conflict minerals rules, Crown’s ability to identify and mitigate related risks in Crown’s supply chain, and risks and uncertainties related to significant events affecting the market generally, such as the war in Ukraine and in the Middle East, the impact of foreign trade laws and practices, including tariffs, retaliatory measures and further trade restrictions, and high interest rates. Other risks, uncertainties, assumptions and other factors relevant to our forward-looking statements are discussed in greater detail in our reports filed with the SEC. All forward-looking statements speak only as of the date of this report, and Crown undertakes no obligation to review or update any forward-looking statements to reflect events, circumstances or changes in expectations occurring after filing this CMR with the SEC.</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6"/>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2025-05-30T15:32:24Z</dcterms:created>
  <dcterms:modified xsi:type="dcterms:W3CDTF">2025-05-30T15:32:24Z</dcterms:modified>
</cp:coreProperties>
</file>