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9"/>
          <w:szCs w:val="29"/>
          <w:b w:val="1"/>
          <w:bCs w:val="1"/>
          <w:color w:val="auto"/>
        </w:rPr>
        <w:t>FORM 11-K</w:t>
      </w:r>
    </w:p>
    <w:p>
      <w:pPr>
        <w:sectPr>
          <w:pgSz w:w="11900" w:h="16838" w:orient="portrait"/>
          <w:cols w:equalWidth="0" w:num="1">
            <w:col w:w="9559"/>
          </w:cols>
          <w:pgMar w:left="900" w:top="1440" w:right="1440" w:bottom="1440" w:gutter="0" w:footer="0" w:header="0"/>
        </w:sect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 ]</w:t>
      </w:r>
    </w:p>
    <w:p>
      <w:pPr>
        <w:spacing w:after="0" w:line="20" w:lineRule="exact"/>
        <w:rPr>
          <w:sz w:val="24"/>
          <w:szCs w:val="24"/>
          <w:color w:val="auto"/>
        </w:rPr>
      </w:pPr>
      <w:r>
        <w:rPr>
          <w:sz w:val="24"/>
          <w:szCs w:val="24"/>
          <w:color w:val="auto"/>
        </w:rPr>
        <w:br w:type="column"/>
      </w: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ANNUAL REPORT PURSUANT TO SECTION 15(d)</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0" w:lineRule="exact"/>
        <w:rPr>
          <w:sz w:val="24"/>
          <w:szCs w:val="24"/>
          <w:color w:val="auto"/>
        </w:rPr>
      </w:pPr>
    </w:p>
    <w:p>
      <w:pPr>
        <w:sectPr>
          <w:pgSz w:w="11900" w:h="16838" w:orient="portrait"/>
          <w:cols w:equalWidth="0" w:num="2">
            <w:col w:w="920" w:space="720"/>
            <w:col w:w="7919"/>
          </w:cols>
          <w:pgMar w:left="900" w:top="1440" w:right="1440" w:bottom="1440" w:gutter="0" w:footer="0" w:header="0"/>
          <w:type w:val="continuous"/>
        </w:sectPr>
      </w:pPr>
    </w:p>
    <w:p>
      <w:pPr>
        <w:spacing w:after="0" w:line="34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21"/>
          <w:szCs w:val="21"/>
          <w:b w:val="1"/>
          <w:bCs w:val="1"/>
          <w:color w:val="auto"/>
        </w:rPr>
        <w:t>For the fiscal year ended December 31, 2025</w:t>
      </w:r>
    </w:p>
    <w:p>
      <w:pPr>
        <w:spacing w:after="0" w:line="299"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22"/>
          <w:szCs w:val="22"/>
          <w:b w:val="1"/>
          <w:bCs w:val="1"/>
          <w:color w:val="auto"/>
        </w:rPr>
        <w:t>Commission File Number 0-50189</w:t>
      </w:r>
    </w:p>
    <w:p>
      <w:pPr>
        <w:sectPr>
          <w:pgSz w:w="11900" w:h="16838" w:orient="portrait"/>
          <w:cols w:equalWidth="0" w:num="1">
            <w:col w:w="9559"/>
          </w:cols>
          <w:pgMar w:left="900" w:top="1440" w:right="1440"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left="2200" w:hanging="469"/>
        <w:spacing w:after="0"/>
        <w:tabs>
          <w:tab w:leader="none" w:pos="220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Full title of the plan:</w:t>
      </w:r>
    </w:p>
    <w:p>
      <w:pPr>
        <w:spacing w:after="0" w:line="287" w:lineRule="exact"/>
        <w:rPr>
          <w:rFonts w:ascii="Times New Roman" w:cs="Times New Roman" w:eastAsia="Times New Roman" w:hAnsi="Times New Roman"/>
          <w:sz w:val="22"/>
          <w:szCs w:val="22"/>
          <w:b w:val="1"/>
          <w:bCs w:val="1"/>
          <w:color w:val="auto"/>
        </w:rPr>
      </w:pPr>
    </w:p>
    <w:p>
      <w:pPr>
        <w:ind w:left="2200" w:right="4119"/>
        <w:spacing w:after="0" w:line="28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Crown Cork &amp; Seal Company, Inc. Retirement Thrift Plan</w:t>
      </w:r>
    </w:p>
    <w:p>
      <w:pPr>
        <w:spacing w:after="0" w:line="204" w:lineRule="exact"/>
        <w:rPr>
          <w:rFonts w:ascii="Times New Roman" w:cs="Times New Roman" w:eastAsia="Times New Roman" w:hAnsi="Times New Roman"/>
          <w:sz w:val="22"/>
          <w:szCs w:val="22"/>
          <w:b w:val="1"/>
          <w:bCs w:val="1"/>
          <w:color w:val="auto"/>
        </w:rPr>
      </w:pPr>
    </w:p>
    <w:p>
      <w:pPr>
        <w:ind w:left="2200" w:right="2079" w:hanging="457"/>
        <w:spacing w:after="0" w:line="287" w:lineRule="auto"/>
        <w:tabs>
          <w:tab w:leader="none" w:pos="220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 of the Securities held pursuant to the plan and the address of its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CROWN HOLDINGS, INC.</w:t>
      </w:r>
    </w:p>
    <w:p>
      <w:pPr>
        <w:spacing w:after="0" w:line="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14025 Riveredge Drive, Suite 300</w:t>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Tampa, FL 33637-2015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-375285</wp:posOffset>
            </wp:positionH>
            <wp:positionV relativeFrom="paragraph">
              <wp:posOffset>1362075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40"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Retirement Thrift Plan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9"/>
          <w:szCs w:val="19"/>
          <w:color w:val="auto"/>
        </w:rPr>
        <w:t>Page(s)</w:t>
      </w:r>
    </w:p>
    <w:p>
      <w:pPr>
        <w:spacing w:after="0" w:line="308" w:lineRule="exact"/>
        <w:rPr>
          <w:sz w:val="20"/>
          <w:szCs w:val="20"/>
          <w:color w:val="auto"/>
        </w:rPr>
      </w:pPr>
    </w:p>
    <w:p>
      <w:pPr>
        <w:ind w:left="1080" w:right="1640"/>
        <w:spacing w:after="0" w:line="423" w:lineRule="auto"/>
        <w:rPr>
          <w:sz w:val="20"/>
          <w:szCs w:val="20"/>
          <w:color w:val="auto"/>
        </w:rPr>
      </w:pPr>
      <w:r>
        <w:rPr>
          <w:rFonts w:ascii="Times New Roman" w:cs="Times New Roman" w:eastAsia="Times New Roman" w:hAnsi="Times New Roman"/>
          <w:sz w:val="20"/>
          <w:szCs w:val="20"/>
          <w:color w:val="auto"/>
        </w:rPr>
        <w:t>Report of Independent Registered Public Accounting Firm 1 Financial Statements</w:t>
      </w:r>
    </w:p>
    <w:p>
      <w:pPr>
        <w:sectPr>
          <w:pgSz w:w="11900" w:h="16838" w:orient="portrait"/>
          <w:cols w:equalWidth="0" w:num="1">
            <w:col w:w="11240"/>
          </w:cols>
          <w:pgMar w:left="320" w:top="10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9"/>
          <w:szCs w:val="19"/>
          <w:color w:val="auto"/>
        </w:rPr>
        <w:t>Statements of Net Assets Available for Benefits as of December 31, 2025 and 2024</w:t>
      </w:r>
    </w:p>
    <w:p>
      <w:pPr>
        <w:spacing w:after="0" w:line="335" w:lineRule="exact"/>
        <w:rPr>
          <w:sz w:val="20"/>
          <w:szCs w:val="20"/>
          <w:color w:val="auto"/>
        </w:rPr>
      </w:pPr>
    </w:p>
    <w:p>
      <w:pPr>
        <w:ind w:left="1540" w:right="840"/>
        <w:spacing w:after="0"/>
        <w:rPr>
          <w:sz w:val="20"/>
          <w:szCs w:val="20"/>
          <w:color w:val="auto"/>
        </w:rPr>
      </w:pPr>
      <w:r>
        <w:rPr>
          <w:rFonts w:ascii="Times New Roman" w:cs="Times New Roman" w:eastAsia="Times New Roman" w:hAnsi="Times New Roman"/>
          <w:sz w:val="20"/>
          <w:szCs w:val="20"/>
          <w:color w:val="auto"/>
        </w:rPr>
        <w:t>Statements of Changes in Net Assets Available for Benefits for the years ended December 31, 2025 and 2024</w:t>
      </w:r>
    </w:p>
    <w:p>
      <w:pPr>
        <w:spacing w:after="0" w:line="26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31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Supplemental Information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3</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5-10</w:t>
      </w:r>
    </w:p>
    <w:p>
      <w:pPr>
        <w:spacing w:after="0" w:line="765" w:lineRule="exact"/>
        <w:rPr>
          <w:sz w:val="20"/>
          <w:szCs w:val="20"/>
          <w:color w:val="auto"/>
        </w:rPr>
      </w:pPr>
    </w:p>
    <w:p>
      <w:pPr>
        <w:sectPr>
          <w:pgSz w:w="11900" w:h="16838" w:orient="portrait"/>
          <w:cols w:equalWidth="0" w:num="2">
            <w:col w:w="8660" w:space="720"/>
            <w:col w:w="1860"/>
          </w:cols>
          <w:pgMar w:left="320" w:top="1083" w:right="339" w:bottom="1440" w:gutter="0" w:footer="0" w:header="0"/>
          <w:type w:val="continuous"/>
        </w:sectPr>
      </w:pPr>
    </w:p>
    <w:p>
      <w:pPr>
        <w:spacing w:after="0" w:line="97" w:lineRule="exact"/>
        <w:rPr>
          <w:sz w:val="20"/>
          <w:szCs w:val="20"/>
          <w:color w:val="auto"/>
        </w:rPr>
      </w:pPr>
    </w:p>
    <w:tbl>
      <w:tblPr>
        <w:tblLayout w:type="fixed"/>
        <w:tblInd w:w="1540" w:type="dxa"/>
        <w:tblCellMar>
          <w:top w:w="0" w:type="dxa"/>
          <w:left w:w="0" w:type="dxa"/>
          <w:bottom w:w="0" w:type="dxa"/>
          <w:right w:w="0" w:type="dxa"/>
        </w:tblCellMar>
      </w:tblPr>
      <w:tr>
        <w:trPr>
          <w:trHeight w:val="272"/>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Schedule H, Line 4a – Schedule of Delinquent Participant Contributions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540"/>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Schedule H, Line 4i – Schedule of Assets (Held at End of Year)</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540"/>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Exhibit Index</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540"/>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0" w:hanging="172"/>
        <w:spacing w:after="0" w:line="282" w:lineRule="auto"/>
        <w:tabs>
          <w:tab w:leader="none" w:pos="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supplemental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2038985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00" w:lineRule="exact"/>
        <w:rPr>
          <w:sz w:val="20"/>
          <w:szCs w:val="20"/>
          <w:color w:val="auto"/>
        </w:rPr>
      </w:pPr>
    </w:p>
    <w:p>
      <w:pPr>
        <w:spacing w:after="0" w:line="29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To the Participants of Crown Cork &amp; Seal Company, Inc. Retirement Thrift Plan and Members of the Audit Committee and Benefit Plans Committee: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7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We have audited the accompanying statements of net assets available for benefits of Crown Cork &amp; Seal Company, Inc. Retirement Thrift Plan (the "Plan") as of December 31, 2025 and 2024, and the related statements of changes in net assets available for benefits for each of the two years in the period ended December 31, 2025, and the related notes and schedules (collectively referred to as the "financial statements"). In our opinion, the financial statements present fairly, in all material respects, the net assets available for benefits of the Plan as of December 31, 2025 and 2024, and the changes in net assets available for benefits for each of the two years in the period ended December 31, 2025, in conformity with accounting principles generally accepted in the United States of America.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These financial statements are the responsibility of the Plan’s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0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ectPr>
          <w:pgSz w:w="11900" w:h="16838" w:orient="portrait"/>
          <w:cols w:equalWidth="0" w:num="1">
            <w:col w:w="11240"/>
          </w:cols>
          <w:pgMar w:left="320" w:top="8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color w:val="auto"/>
        </w:rPr>
        <w:t>Supplemental Information</w:t>
      </w:r>
    </w:p>
    <w:p>
      <w:pPr>
        <w:spacing w:after="0" w:line="2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color w:val="auto"/>
        </w:rPr>
        <w:t>The supplemental information in the accompanying Schedule of Assets (Held at End of Year) as of December 31, 2025, and the Schedule of Delinquent Participant Contributions for the year ended December 31, 2025, have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WithumSmith+Brown, PC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auditor of the Crown Cork &amp; Seal Company, Inc. Retirement Thrift Plan since 2024.</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Whippany, New Jersey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18,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PCAOB ID Number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bookmarkStart w:id="4" w:name="page5"/>
    <w:bookmarkEnd w:id="4"/>
    <w:p>
      <w:pPr>
        <w:ind w:left="180"/>
        <w:spacing w:after="0"/>
        <w:rPr>
          <w:sz w:val="20"/>
          <w:szCs w:val="20"/>
          <w:color w:val="auto"/>
        </w:rPr>
      </w:pPr>
      <w:r>
        <w:rPr>
          <w:rFonts w:ascii="Times New Roman" w:cs="Times New Roman" w:eastAsia="Times New Roman" w:hAnsi="Times New Roman"/>
          <w:sz w:val="22"/>
          <w:szCs w:val="22"/>
          <w:b w:val="1"/>
          <w:bCs w:val="1"/>
          <w:color w:val="auto"/>
        </w:rPr>
        <w:t>CROWN CORK &amp; SEAL COMPANY, INC.</w:t>
      </w:r>
    </w:p>
    <w:p>
      <w:pPr>
        <w:spacing w:after="0" w:line="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RETIREMENT THRIFT PLAN</w:t>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Statements of Net Assets Available for Benefits</w:t>
      </w:r>
    </w:p>
    <w:p>
      <w:pPr>
        <w:spacing w:after="0" w:line="17" w:lineRule="exact"/>
        <w:rPr>
          <w:sz w:val="20"/>
          <w:szCs w:val="20"/>
          <w:color w:val="auto"/>
        </w:rPr>
      </w:pPr>
    </w:p>
    <w:tbl>
      <w:tblPr>
        <w:tblLayout w:type="fixed"/>
        <w:tblInd w:w="160" w:type="dxa"/>
        <w:tblCellMar>
          <w:top w:w="0" w:type="dxa"/>
          <w:left w:w="0" w:type="dxa"/>
          <w:bottom w:w="0" w:type="dxa"/>
          <w:right w:w="0" w:type="dxa"/>
        </w:tblCellMar>
      </w:tblPr>
      <w:tr>
        <w:trPr>
          <w:trHeight w:val="272"/>
        </w:trPr>
        <w:tc>
          <w:tcPr>
            <w:tcW w:w="600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2880" w:type="dxa"/>
            <w:vAlign w:val="bottom"/>
            <w:tcBorders>
              <w:top w:val="single" w:sz="8" w:color="auto"/>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1240" w:type="dxa"/>
            <w:vAlign w:val="bottom"/>
            <w:tcBorders>
              <w:top w:val="single" w:sz="8" w:color="auto"/>
              <w:bottom w:val="single" w:sz="8" w:color="auto"/>
            </w:tcBorders>
          </w:tcPr>
          <w:p>
            <w:pPr>
              <w:spacing w:after="0"/>
              <w:rPr>
                <w:sz w:val="23"/>
                <w:szCs w:val="23"/>
                <w:color w:val="auto"/>
              </w:rPr>
            </w:pPr>
          </w:p>
        </w:tc>
      </w:tr>
      <w:tr>
        <w:trPr>
          <w:trHeight w:val="263"/>
        </w:trPr>
        <w:tc>
          <w:tcPr>
            <w:tcW w:w="60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3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4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57"/>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Investments, at fair value</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118,443,016</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152,859,735</w:t>
            </w:r>
          </w:p>
        </w:tc>
      </w:tr>
      <w:tr>
        <w:trPr>
          <w:trHeight w:val="256"/>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Collective investment trusts</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72,378,553</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18,643,886</w:t>
            </w:r>
          </w:p>
        </w:tc>
      </w:tr>
      <w:tr>
        <w:trPr>
          <w:trHeight w:val="25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Crown Holdings, Inc. Stock Fund</w:t>
            </w: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5,064,837</w:t>
            </w:r>
          </w:p>
        </w:tc>
        <w:tc>
          <w:tcPr>
            <w:tcW w:w="13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4,154,160</w:t>
            </w:r>
          </w:p>
        </w:tc>
      </w:tr>
      <w:tr>
        <w:trPr>
          <w:trHeight w:val="250"/>
        </w:trPr>
        <w:tc>
          <w:tcPr>
            <w:tcW w:w="600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20"/>
                <w:szCs w:val="20"/>
                <w:b w:val="1"/>
                <w:bCs w:val="1"/>
                <w:color w:val="auto"/>
              </w:rPr>
              <w:t>Total investments, at fair value</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195,886,406</w:t>
            </w:r>
          </w:p>
        </w:tc>
        <w:tc>
          <w:tcPr>
            <w:tcW w:w="13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175,657,781</w:t>
            </w:r>
          </w:p>
        </w:tc>
      </w:tr>
      <w:tr>
        <w:trPr>
          <w:trHeight w:val="142"/>
        </w:trPr>
        <w:tc>
          <w:tcPr>
            <w:tcW w:w="6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57"/>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Receivables</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4,144,745</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3,670,209</w:t>
            </w:r>
          </w:p>
        </w:tc>
      </w:tr>
      <w:tr>
        <w:trPr>
          <w:trHeight w:val="257"/>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Employer contributions receivable</w:t>
            </w:r>
          </w:p>
        </w:tc>
        <w:tc>
          <w:tcPr>
            <w:tcW w:w="30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705,990</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649,544</w:t>
            </w:r>
          </w:p>
        </w:tc>
      </w:tr>
      <w:tr>
        <w:trPr>
          <w:trHeight w:val="25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Participant contributions receivable</w:t>
            </w: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6,229</w:t>
            </w:r>
          </w:p>
        </w:tc>
        <w:tc>
          <w:tcPr>
            <w:tcW w:w="13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600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20"/>
                <w:szCs w:val="20"/>
                <w:b w:val="1"/>
                <w:bCs w:val="1"/>
                <w:color w:val="auto"/>
              </w:rPr>
              <w:t>Total receivables</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4,856,964</w:t>
            </w:r>
          </w:p>
        </w:tc>
        <w:tc>
          <w:tcPr>
            <w:tcW w:w="13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4,319,753</w:t>
            </w:r>
          </w:p>
        </w:tc>
      </w:tr>
      <w:tr>
        <w:trPr>
          <w:trHeight w:val="142"/>
        </w:trPr>
        <w:tc>
          <w:tcPr>
            <w:tcW w:w="6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57"/>
        </w:trPr>
        <w:tc>
          <w:tcPr>
            <w:tcW w:w="6000" w:type="dxa"/>
            <w:vAlign w:val="bottom"/>
          </w:tcPr>
          <w:p>
            <w:pPr>
              <w:ind w:left="82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200,743,370</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179,977,534</w:t>
            </w:r>
          </w:p>
        </w:tc>
      </w:tr>
      <w:tr>
        <w:trPr>
          <w:trHeight w:val="162"/>
        </w:trPr>
        <w:tc>
          <w:tcPr>
            <w:tcW w:w="6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57"/>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300" w:type="dxa"/>
            <w:vAlign w:val="bottom"/>
          </w:tcPr>
          <w:p>
            <w:pPr>
              <w:spacing w:after="0"/>
              <w:rPr>
                <w:sz w:val="22"/>
                <w:szCs w:val="22"/>
                <w:color w:val="auto"/>
              </w:rPr>
            </w:pPr>
          </w:p>
        </w:tc>
        <w:tc>
          <w:tcPr>
            <w:tcW w:w="2560" w:type="dxa"/>
            <w:vAlign w:val="bottom"/>
            <w:gridSpan w:val="2"/>
          </w:tcPr>
          <w:p>
            <w:pPr>
              <w:jc w:val="right"/>
              <w:ind w:right="13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162"/>
        </w:trPr>
        <w:tc>
          <w:tcPr>
            <w:tcW w:w="60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r>
      <w:tr>
        <w:trPr>
          <w:trHeight w:val="250"/>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200,743,370</w:t>
            </w:r>
          </w:p>
        </w:tc>
        <w:tc>
          <w:tcPr>
            <w:tcW w:w="1300" w:type="dxa"/>
            <w:vAlign w:val="bottom"/>
          </w:tcPr>
          <w:p>
            <w:pPr>
              <w:spacing w:after="0"/>
              <w:rPr>
                <w:sz w:val="21"/>
                <w:szCs w:val="21"/>
                <w:color w:val="auto"/>
              </w:rPr>
            </w:pP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179,977,534</w:t>
            </w:r>
          </w:p>
        </w:tc>
      </w:tr>
      <w:tr>
        <w:trPr>
          <w:trHeight w:val="21"/>
        </w:trPr>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580" w:top="1161" w:right="7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22"/>
          <w:szCs w:val="22"/>
          <w:b w:val="1"/>
          <w:bCs w:val="1"/>
          <w:color w:val="auto"/>
        </w:rPr>
        <w:t>CROWN CORK &amp; SEAL COMPANY, INC.</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RETIREMENT THRIFT PLAN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Statements of Changes in Net Assets Available for Benefits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18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3900" w:type="dxa"/>
            <w:vAlign w:val="bottom"/>
            <w:tcBorders>
              <w:top w:val="single" w:sz="8" w:color="auto"/>
              <w:bottom w:val="single" w:sz="8" w:color="auto"/>
            </w:tcBorders>
            <w:gridSpan w:val="4"/>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For the Year Ended December 31,</w:t>
            </w:r>
          </w:p>
        </w:tc>
        <w:tc>
          <w:tcPr>
            <w:tcW w:w="0" w:type="dxa"/>
            <w:vAlign w:val="bottom"/>
          </w:tcPr>
          <w:p>
            <w:pPr>
              <w:spacing w:after="0"/>
              <w:rPr>
                <w:sz w:val="1"/>
                <w:szCs w:val="1"/>
                <w:color w:val="auto"/>
              </w:rPr>
            </w:pPr>
          </w:p>
        </w:tc>
      </w:tr>
      <w:tr>
        <w:trPr>
          <w:trHeight w:val="263"/>
        </w:trPr>
        <w:tc>
          <w:tcPr>
            <w:tcW w:w="61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4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Additions: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 income:</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Interest and dividend income</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5,139,065</w:t>
            </w: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5,511,256</w:t>
            </w: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20"/>
                <w:szCs w:val="20"/>
                <w:color w:val="auto"/>
              </w:rPr>
              <w:t>Net appreciation in fair value of investments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21,856,728</w:t>
            </w:r>
          </w:p>
        </w:tc>
        <w:tc>
          <w:tcPr>
            <w:tcW w:w="1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16,133,498</w:t>
            </w:r>
          </w:p>
        </w:tc>
        <w:tc>
          <w:tcPr>
            <w:tcW w:w="0" w:type="dxa"/>
            <w:vAlign w:val="bottom"/>
          </w:tcPr>
          <w:p>
            <w:pPr>
              <w:spacing w:after="0"/>
              <w:rPr>
                <w:sz w:val="1"/>
                <w:szCs w:val="1"/>
                <w:color w:val="auto"/>
              </w:rPr>
            </w:pPr>
          </w:p>
        </w:tc>
      </w:tr>
      <w:tr>
        <w:trPr>
          <w:trHeight w:val="250"/>
        </w:trPr>
        <w:tc>
          <w:tcPr>
            <w:tcW w:w="61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20"/>
                <w:szCs w:val="20"/>
                <w:b w:val="1"/>
                <w:bCs w:val="1"/>
                <w:color w:val="auto"/>
              </w:rPr>
              <w:t>Total investment income</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26,995,793</w:t>
            </w:r>
          </w:p>
        </w:tc>
        <w:tc>
          <w:tcPr>
            <w:tcW w:w="10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21,644,754</w:t>
            </w:r>
          </w:p>
        </w:tc>
        <w:tc>
          <w:tcPr>
            <w:tcW w:w="0" w:type="dxa"/>
            <w:vAlign w:val="bottom"/>
          </w:tcPr>
          <w:p>
            <w:pPr>
              <w:spacing w:after="0"/>
              <w:rPr>
                <w:sz w:val="1"/>
                <w:szCs w:val="1"/>
                <w:color w:val="auto"/>
              </w:rPr>
            </w:pPr>
          </w:p>
        </w:tc>
      </w:tr>
      <w:tr>
        <w:trPr>
          <w:trHeight w:val="250"/>
        </w:trPr>
        <w:tc>
          <w:tcPr>
            <w:tcW w:w="6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Interest income, notes receivable from participants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328,185</w:t>
            </w: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288,516</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Contributions: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Employer</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2,573,869</w:t>
            </w: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2,319,834</w:t>
            </w: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Participant</w:t>
            </w: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10,064,802</w:t>
            </w:r>
          </w:p>
        </w:tc>
        <w:tc>
          <w:tcPr>
            <w:tcW w:w="10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8,611,505</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20"/>
                <w:szCs w:val="20"/>
                <w:b w:val="1"/>
                <w:bCs w:val="1"/>
                <w:color w:val="auto"/>
              </w:rPr>
              <w:t>Total contributions</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12,638,671</w:t>
            </w:r>
          </w:p>
        </w:tc>
        <w:tc>
          <w:tcPr>
            <w:tcW w:w="10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10,931,339</w:t>
            </w:r>
          </w:p>
        </w:tc>
        <w:tc>
          <w:tcPr>
            <w:tcW w:w="0" w:type="dxa"/>
            <w:vAlign w:val="bottom"/>
          </w:tcPr>
          <w:p>
            <w:pPr>
              <w:spacing w:after="0"/>
              <w:rPr>
                <w:sz w:val="1"/>
                <w:szCs w:val="1"/>
                <w:color w:val="auto"/>
              </w:rPr>
            </w:pPr>
          </w:p>
        </w:tc>
      </w:tr>
      <w:tr>
        <w:trPr>
          <w:trHeight w:val="250"/>
        </w:trPr>
        <w:tc>
          <w:tcPr>
            <w:tcW w:w="6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Other additions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13,009</w:t>
            </w:r>
          </w:p>
        </w:tc>
        <w:tc>
          <w:tcPr>
            <w:tcW w:w="1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12,552</w:t>
            </w:r>
          </w:p>
        </w:tc>
        <w:tc>
          <w:tcPr>
            <w:tcW w:w="0" w:type="dxa"/>
            <w:vAlign w:val="bottom"/>
          </w:tcPr>
          <w:p>
            <w:pPr>
              <w:spacing w:after="0"/>
              <w:rPr>
                <w:sz w:val="1"/>
                <w:szCs w:val="1"/>
                <w:color w:val="auto"/>
              </w:rPr>
            </w:pPr>
          </w:p>
        </w:tc>
      </w:tr>
      <w:tr>
        <w:trPr>
          <w:trHeight w:val="250"/>
        </w:trPr>
        <w:tc>
          <w:tcPr>
            <w:tcW w:w="61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20"/>
                <w:szCs w:val="20"/>
                <w:b w:val="1"/>
                <w:bCs w:val="1"/>
                <w:color w:val="auto"/>
              </w:rPr>
              <w:t>Total additions</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39,975,658</w:t>
            </w:r>
          </w:p>
        </w:tc>
        <w:tc>
          <w:tcPr>
            <w:tcW w:w="10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32,877,161</w:t>
            </w:r>
          </w:p>
        </w:tc>
        <w:tc>
          <w:tcPr>
            <w:tcW w:w="0" w:type="dxa"/>
            <w:vAlign w:val="bottom"/>
          </w:tcPr>
          <w:p>
            <w:pPr>
              <w:spacing w:after="0"/>
              <w:rPr>
                <w:sz w:val="1"/>
                <w:szCs w:val="1"/>
                <w:color w:val="auto"/>
              </w:rPr>
            </w:pPr>
          </w:p>
        </w:tc>
      </w:tr>
      <w:tr>
        <w:trPr>
          <w:trHeight w:val="250"/>
        </w:trPr>
        <w:tc>
          <w:tcPr>
            <w:tcW w:w="6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Deductions: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Benefits paid to participants</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18,324,032</w:t>
            </w: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22,129,465</w:t>
            </w: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Administrative expenses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155,699</w:t>
            </w: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185,300</w:t>
            </w:r>
          </w:p>
        </w:tc>
        <w:tc>
          <w:tcPr>
            <w:tcW w:w="0" w:type="dxa"/>
            <w:vAlign w:val="bottom"/>
          </w:tcPr>
          <w:p>
            <w:pPr>
              <w:spacing w:after="0"/>
              <w:rPr>
                <w:sz w:val="1"/>
                <w:szCs w:val="1"/>
                <w:color w:val="auto"/>
              </w:rPr>
            </w:pPr>
          </w:p>
        </w:tc>
      </w:tr>
      <w:tr>
        <w:trPr>
          <w:trHeight w:val="256"/>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Other deductions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19,804</w:t>
            </w:r>
          </w:p>
        </w:tc>
        <w:tc>
          <w:tcPr>
            <w:tcW w:w="1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1,535</w:t>
            </w:r>
          </w:p>
        </w:tc>
        <w:tc>
          <w:tcPr>
            <w:tcW w:w="0" w:type="dxa"/>
            <w:vAlign w:val="bottom"/>
          </w:tcPr>
          <w:p>
            <w:pPr>
              <w:spacing w:after="0"/>
              <w:rPr>
                <w:sz w:val="1"/>
                <w:szCs w:val="1"/>
                <w:color w:val="auto"/>
              </w:rPr>
            </w:pPr>
          </w:p>
        </w:tc>
      </w:tr>
      <w:tr>
        <w:trPr>
          <w:trHeight w:val="250"/>
        </w:trPr>
        <w:tc>
          <w:tcPr>
            <w:tcW w:w="61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20"/>
                <w:szCs w:val="20"/>
                <w:b w:val="1"/>
                <w:bCs w:val="1"/>
                <w:color w:val="auto"/>
              </w:rPr>
              <w:t>Total deductions</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18,499,535</w:t>
            </w:r>
          </w:p>
        </w:tc>
        <w:tc>
          <w:tcPr>
            <w:tcW w:w="10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22,316,300</w:t>
            </w:r>
          </w:p>
        </w:tc>
        <w:tc>
          <w:tcPr>
            <w:tcW w:w="0" w:type="dxa"/>
            <w:vAlign w:val="bottom"/>
          </w:tcPr>
          <w:p>
            <w:pPr>
              <w:spacing w:after="0"/>
              <w:rPr>
                <w:sz w:val="1"/>
                <w:szCs w:val="1"/>
                <w:color w:val="auto"/>
              </w:rPr>
            </w:pPr>
          </w:p>
        </w:tc>
      </w:tr>
      <w:tr>
        <w:trPr>
          <w:trHeight w:val="250"/>
        </w:trPr>
        <w:tc>
          <w:tcPr>
            <w:tcW w:w="6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increase</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21,476,123</w:t>
            </w: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10,560,861</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618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20"/>
                <w:szCs w:val="20"/>
                <w:color w:val="auto"/>
              </w:rPr>
              <w:t>Transfers from Crown Cork &amp; Seal Company Inc. 401(k)</w:t>
            </w:r>
          </w:p>
        </w:tc>
        <w:tc>
          <w:tcPr>
            <w:tcW w:w="30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26,320</w:t>
            </w: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2,946</w:t>
            </w:r>
          </w:p>
        </w:tc>
        <w:tc>
          <w:tcPr>
            <w:tcW w:w="0" w:type="dxa"/>
            <w:vAlign w:val="bottom"/>
          </w:tcPr>
          <w:p>
            <w:pPr>
              <w:spacing w:after="0"/>
              <w:rPr>
                <w:sz w:val="1"/>
                <w:szCs w:val="1"/>
                <w:color w:val="auto"/>
              </w:rPr>
            </w:pPr>
          </w:p>
        </w:tc>
      </w:tr>
      <w:tr>
        <w:trPr>
          <w:trHeight w:val="252"/>
        </w:trPr>
        <w:tc>
          <w:tcPr>
            <w:tcW w:w="6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rPr>
              <w:t>Retirement Savings Plan</w:t>
            </w:r>
          </w:p>
        </w:tc>
        <w:tc>
          <w:tcPr>
            <w:tcW w:w="30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618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20"/>
                <w:szCs w:val="20"/>
                <w:color w:val="auto"/>
              </w:rPr>
              <w:t>Transfers to Crown Cork &amp; Seal Company Inc. 401(k)</w:t>
            </w:r>
          </w:p>
        </w:tc>
        <w:tc>
          <w:tcPr>
            <w:tcW w:w="30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(736,607)</w:t>
            </w: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(628,315)</w:t>
            </w:r>
          </w:p>
        </w:tc>
        <w:tc>
          <w:tcPr>
            <w:tcW w:w="0" w:type="dxa"/>
            <w:vAlign w:val="bottom"/>
          </w:tcPr>
          <w:p>
            <w:pPr>
              <w:spacing w:after="0"/>
              <w:rPr>
                <w:sz w:val="1"/>
                <w:szCs w:val="1"/>
                <w:color w:val="auto"/>
              </w:rPr>
            </w:pPr>
          </w:p>
        </w:tc>
      </w:tr>
      <w:tr>
        <w:trPr>
          <w:trHeight w:val="252"/>
        </w:trPr>
        <w:tc>
          <w:tcPr>
            <w:tcW w:w="6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rPr>
              <w:t>Retirement Savings Plan</w:t>
            </w:r>
          </w:p>
        </w:tc>
        <w:tc>
          <w:tcPr>
            <w:tcW w:w="30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20"/>
                <w:szCs w:val="20"/>
                <w:color w:val="auto"/>
              </w:rPr>
              <w:t>Beginning of year</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179,977,534</w:t>
            </w:r>
          </w:p>
        </w:tc>
        <w:tc>
          <w:tcPr>
            <w:tcW w:w="1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170,042,042</w:t>
            </w:r>
          </w:p>
        </w:tc>
        <w:tc>
          <w:tcPr>
            <w:tcW w:w="0" w:type="dxa"/>
            <w:vAlign w:val="bottom"/>
          </w:tcPr>
          <w:p>
            <w:pPr>
              <w:spacing w:after="0"/>
              <w:rPr>
                <w:sz w:val="1"/>
                <w:szCs w:val="1"/>
                <w:color w:val="auto"/>
              </w:rPr>
            </w:pPr>
          </w:p>
        </w:tc>
      </w:tr>
      <w:tr>
        <w:trPr>
          <w:trHeight w:val="275"/>
        </w:trPr>
        <w:tc>
          <w:tcPr>
            <w:tcW w:w="6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End of year</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200,743,370</w:t>
            </w:r>
          </w:p>
        </w:tc>
        <w:tc>
          <w:tcPr>
            <w:tcW w:w="10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179,977,534</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0380"/>
          </w:cols>
          <w:pgMar w:left="760" w:top="918"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760" w:top="918" w:right="7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8834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340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DESCRIPTION OF PLAN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description of the Crown Cork &amp; Seal Company, Inc. Retirement Thrift Plan (the "Plan") provides only general information.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Participants should refer to the Plan document for a more complete description of the Plan's provisions.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w:t>
      </w:r>
    </w:p>
    <w:p>
      <w:pPr>
        <w:spacing w:after="0" w:line="3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Plan is a voluntary defined contribution plan. The purpose of the Plan is to provide a convenient method by which eligible employees may save regularly through salary deferrals. Participation in the Plan is determined by an agreement among recognized collective bargaining units and Crown Holdings, Inc. and subsidiaries (the “Company”) or as otherwise agreed upon between the Company and non-organized hourly employees. Generally, employees are eligible to participate in the Plan upon date of hire. Employees are automatically enrolled on the first of the month following 30 days of service with a before-tax contribution rate of 6% unless they affirmatively elect not to participate in the Plan or elect to contribute at a different rate. The Plan is subject to the provisions of the Employee Retirement Income Security Act of 1974 (“ERISA”).</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Plan is administered by the Crown Cork &amp; Seal Company, Inc. Benefit Plans Committee (the “Committee”). The Committee has appointed Vanguard Fiduciary Trust Company (“VFTC”) as the trustee and recordkeeper of the Plan.</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SECURE 2.0 Act of 2022 was signed into law on December 29, 2022. This legislation includes a vast array of provisional changes to retirement plans. Plan management is adopting any mandatory provisions as they become applicable and evaluating those provisions deemed discretionary. There were no plan changes adopted in 2025 as a result of this legislation. During 2024, the automatic cash out limit was increased to $7,000 in accordance with SECURE 2.0.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Contributions</w:t>
      </w:r>
    </w:p>
    <w:p>
      <w:pPr>
        <w:spacing w:after="0" w:line="3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Plan allows before-tax and Roth participant contributions of 2% to 75% of eligible compensation. The Plan also allows after-tax participant contributions of 1% to 10% of eligible compensation. Catch-up contributions are permitted by the Plan. Participants direct the investment of their contributions into various investment options offered by the Plan. Company contributions, where applicable, are invested in accordance with participant investment directions. Before-tax and Roth contributions may be matched by the Company at various rates as determined by the employer company, as defined in the Plan document. In addition, certain participants receive profit sharing contributions, some of which are discretionary, from the Company at varying rates as determined by the employer company, as defined in the Plan document. Discretionary contributions in 2025 and 2024 totaled $703,784 and $649,544, respectively. Contribution amounts are subject to certain Internal Revenue Service (“IRS”) limitations.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Participant Accounts</w:t>
      </w:r>
    </w:p>
    <w:p>
      <w:pPr>
        <w:spacing w:after="0" w:line="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Each participant’s account is credited with (a) the participant’s contributions, (b) the Company’s contribution and (c) Plan earnings, and charged with administrative fees. The benefit to which a participant is entitled is the benefit that can be provided from the participant’s vested account.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Vesting</w:t>
      </w:r>
    </w:p>
    <w:p>
      <w:pPr>
        <w:spacing w:after="0" w:line="3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Participants are immediately vested in their contributions plus actual earnings thereon. Vesting in the Company’s matching and profit sharing contribution portions of their accounts plus earnings thereon is based on various rates established in the collective bargaining agreements or in the Plan document. The Plan uses graded vesting that results in a participant becoming 100% vested in the matching contribution portion after completing 4 or 5 years of credited service depending on the employer company and as defined in the Plan document. If eligible, a participant becomes 100% vested in the profit sharing contribution portion either immediately or after completing 5 years of credited service depending on the employer company and as defined in the Plan document.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8834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340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Notes Receivable from Participants</w:t>
      </w:r>
    </w:p>
    <w:p>
      <w:pPr>
        <w:spacing w:after="0" w:line="2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Participants may borrow from their account a minimum of $1,000 up to a maximum of the lesser of $50,000 or 50% of their vested account balance. Notes receivable terms range from 1 to 5 years or up to 10 years for the purchase of a primary residence. The notes receivable are secured by the balance in the participant’s account and bear interest at prevailing interest rates. Interest rates on notes receivable outstanding as of December 31, 2025 and 2024 range from 4.25% to 9.50%. Principal and interest are paid ratably through monthly payroll deductions.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Payment of Benefits</w:t>
      </w:r>
    </w:p>
    <w:p>
      <w:pPr>
        <w:spacing w:after="0" w:line="3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On termination of service due to retirement, attainment of age 65, permanent plant shutdown, permanent disability, or death, the participant, or his or her beneficiary, automatically becomes fully vested in the Company contributions. For termination of service due to these or any other reasons, a participant may receive the value of the vested interest in his or her account as a lump-sum distribution. If the vested interest is $7,000 or less at the time of termination, a participant will be cashed out. An active employee may take an in-service withdrawal if he or she has attained age 59.5 or if other criteria are met as defined in the Plan document. All distributions are paid in either cash or Company stock at the participant’s election.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Forfeited Accounts</w:t>
      </w:r>
    </w:p>
    <w:p>
      <w:pPr>
        <w:spacing w:after="0" w:line="3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When certain terminations of participation in the Plan occur, the non-vested portion of the participant’s account, as defined, represents a forfeiture. The balance of unallocated forfeitures, which will be used to reduce future Company contributions, were $628 and $12 at December 31, 2025 and 2024, respectively. Forfeitures used to offset Company contributions in 2025 and 2024 totaled $121,850 and $163,606,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Plan Transfers</w:t>
      </w:r>
    </w:p>
    <w:p>
      <w:pPr>
        <w:spacing w:after="0" w:line="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 participant’s balance may be transferred to or from the Crown Cork &amp; Seal Company, Inc. 401(k) Retirement Savings Plan due to an employee’s eligibility changing as a result of a promotion or relocation.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Plan Termination</w:t>
      </w:r>
    </w:p>
    <w:p>
      <w:pPr>
        <w:spacing w:after="0" w:line="2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Company reserves the right to retroactively amend or modify any of the provisions of the Plan in any respect in order to qualify or maintain the Plan as a plan meeting the requirements of ERISA or any other applicable legislation. Although it has not expressed any intent to do so, the Company has the right under the Plan to discontinue its contributions at any time and to terminate the Plan subject to the provisions of ERISA. In the event of Plan termination, participants will become 100% vested in their Company contributions.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Delinquent Participant Contributions</w:t>
      </w:r>
    </w:p>
    <w:p>
      <w:pPr>
        <w:spacing w:after="0" w:line="2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Company did not remit certain participant contributions in 2025 to the Plan on a timely basis as defined by the Department of Labor’s Rules and Regulations for Reporting and Disclosure under ERISA. Untimely remittances identified on the Schedule of Delinquent Participant Contributions, which totaled $35,004, were corrected in 2025. Additionally, the Company compensated participants for lost earnings resulting from the delay in contributions.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w:t>
      </w:r>
    </w:p>
    <w:p>
      <w:pPr>
        <w:spacing w:after="0" w:line="2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following significant accounting policies, which conform with accounting principles generally accepted in the United States of America, have been used consistently in the preparation of the Plan’s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Basis of Accounting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financial statements of the Plan are prepared under the accrual basis of accounting.</w:t>
      </w:r>
    </w:p>
    <w:p>
      <w:pPr>
        <w:sectPr>
          <w:pgSz w:w="11900" w:h="16838" w:orient="portrait"/>
          <w:cols w:equalWidth="0" w:num="1">
            <w:col w:w="11240"/>
          </w:cols>
          <w:pgMar w:left="320" w:top="10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8834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340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Use of Estimates</w:t>
      </w:r>
    </w:p>
    <w:p>
      <w:pPr>
        <w:spacing w:after="0" w:line="2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as well as reported amounts of additions and deductions during the reporting period. Actual results could differ from those estimates.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Investment Valuation and Income Recognition</w:t>
      </w:r>
    </w:p>
    <w:p>
      <w:pPr>
        <w:spacing w:after="0" w:line="32"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0"/>
          <w:szCs w:val="20"/>
          <w:color w:val="auto"/>
        </w:rPr>
        <w:t>The Plan’s investments are reported at fair value. Fair value is the price that would be received to sell an asset or paid to transfer a liability in an orderly transaction between market participants at the measurement date. See Note 3 for a discussion of fair value measurements.</w:t>
      </w:r>
    </w:p>
    <w:p>
      <w:pPr>
        <w:spacing w:after="0" w:line="20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Purchases and sales of securities are recorded on the trade-date basis. Interest income is recorded on the accrual basis. Dividends are recorded on the ex-dividend date. Net appreciation includes the Plan’s gains and losses on investments bought and sold as well as held during the year.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Notes Receivable From Participants</w:t>
      </w:r>
    </w:p>
    <w:p>
      <w:pPr>
        <w:spacing w:after="0" w:line="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Notes receivable from participants are measured at their unpaid principal balance plus any accrued but unpaid interest. Related fees are recorded as administrative expenses and are expensed when they are incurred. Interest income is recorded on the accrual basis.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Payment of Benefits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Benefits are recorded when paid.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Expenses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Recordkeeping expenses, investment advisory fees, and miscellaneous administrative fees</w:t>
      </w:r>
    </w:p>
    <w:p>
      <w:pPr>
        <w:jc w:val="both"/>
        <w:spacing w:after="0" w:line="236" w:lineRule="auto"/>
        <w:rPr>
          <w:sz w:val="20"/>
          <w:szCs w:val="20"/>
          <w:color w:val="auto"/>
        </w:rPr>
      </w:pPr>
      <w:r>
        <w:rPr>
          <w:rFonts w:ascii="Times New Roman" w:cs="Times New Roman" w:eastAsia="Times New Roman" w:hAnsi="Times New Roman"/>
          <w:sz w:val="20"/>
          <w:szCs w:val="20"/>
          <w:color w:val="auto"/>
        </w:rPr>
        <w:t>are charged directly to the participant’s account and are included in administrative expenses. Investment related expenses are included in net appreciation in fair value of investments. Expenses paid by the Company are excluded from these financial statements.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FAIR VALUE MEASUREMENTS</w:t>
      </w:r>
    </w:p>
    <w:p>
      <w:pPr>
        <w:spacing w:after="0" w:line="24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under authoritative guidance are described as follows:</w:t>
      </w:r>
    </w:p>
    <w:p>
      <w:pPr>
        <w:spacing w:after="0" w:line="199"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Level 1 - Inputs to the valuation methodology are unadjusted quoted prices for identical assets or liabilities in active markets that the Plan has the ability to access.</w:t>
      </w:r>
    </w:p>
    <w:p>
      <w:pPr>
        <w:spacing w:after="0" w:line="173"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Level 2 - Inputs other than quoted prices included within Level 1 that are observable for the asset or liability, either directly or indirectly, such as:</w:t>
      </w:r>
    </w:p>
    <w:p>
      <w:pPr>
        <w:spacing w:after="0" w:line="173"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quoted prices for similar assets or liabilities in active markets;</w:t>
      </w:r>
    </w:p>
    <w:p>
      <w:pPr>
        <w:spacing w:after="0" w:line="28"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quoted prices for identical or similar assets or liabilities in inactive markets;</w:t>
      </w:r>
    </w:p>
    <w:p>
      <w:pPr>
        <w:spacing w:after="0" w:line="1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inputs other than quoted prices that are observable for the asset or liability;</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inputs that are derived principally from or corroborated by observable market data by correlation or other means.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88340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340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660"/>
        <w:spacing w:after="0"/>
        <w:tabs>
          <w:tab w:leader="none" w:pos="9160" w:val="left"/>
        </w:tabs>
        <w:rPr>
          <w:sz w:val="20"/>
          <w:szCs w:val="20"/>
          <w:color w:val="auto"/>
        </w:rPr>
      </w:pPr>
      <w:r>
        <w:rPr>
          <w:rFonts w:ascii="Times New Roman" w:cs="Times New Roman" w:eastAsia="Times New Roman" w:hAnsi="Times New Roman"/>
          <w:sz w:val="20"/>
          <w:szCs w:val="20"/>
          <w:color w:val="auto"/>
        </w:rPr>
        <w:t>If the asset or liability has a specified (contractual) term, the Level 2 input must be observable for</w:t>
      </w:r>
      <w:r>
        <w:rPr>
          <w:sz w:val="20"/>
          <w:szCs w:val="20"/>
          <w:color w:val="auto"/>
        </w:rPr>
        <w:tab/>
      </w:r>
      <w:r>
        <w:rPr>
          <w:rFonts w:ascii="Times New Roman" w:cs="Times New Roman" w:eastAsia="Times New Roman" w:hAnsi="Times New Roman"/>
          <w:sz w:val="19"/>
          <w:szCs w:val="19"/>
          <w:color w:val="auto"/>
        </w:rPr>
        <w:t>substantially the full term</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of the asset or liability.</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Level 3 - Inputs to the valuation methodology are unobservable and significant to the fair value measurement.</w:t>
      </w:r>
    </w:p>
    <w:p>
      <w:pPr>
        <w:spacing w:after="0" w:line="2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instruments measured at fair value on a recurring basis for the Plan:</w:t>
      </w:r>
    </w:p>
    <w:p>
      <w:pPr>
        <w:spacing w:after="0" w:line="374" w:lineRule="exact"/>
        <w:rPr>
          <w:sz w:val="20"/>
          <w:szCs w:val="20"/>
          <w:color w:val="auto"/>
        </w:rPr>
      </w:pPr>
    </w:p>
    <w:tbl>
      <w:tblPr>
        <w:tblLayout w:type="fixed"/>
        <w:tblInd w:w="120" w:type="dxa"/>
        <w:tblCellMar>
          <w:top w:w="0" w:type="dxa"/>
          <w:left w:w="0" w:type="dxa"/>
          <w:bottom w:w="0" w:type="dxa"/>
          <w:right w:w="0" w:type="dxa"/>
        </w:tblCellMar>
      </w:tblPr>
      <w:tr>
        <w:trPr>
          <w:trHeight w:val="266"/>
        </w:trPr>
        <w:tc>
          <w:tcPr>
            <w:tcW w:w="44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3960" w:type="dxa"/>
            <w:vAlign w:val="bottom"/>
            <w:tcBorders>
              <w:bottom w:val="single" w:sz="8" w:color="auto"/>
            </w:tcBorders>
            <w:gridSpan w:val="8"/>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w w:val="98"/>
              </w:rPr>
              <w:t>Assets at Fair Value as of December 31, 2025</w:t>
            </w:r>
          </w:p>
        </w:tc>
        <w:tc>
          <w:tcPr>
            <w:tcW w:w="1240" w:type="dxa"/>
            <w:vAlign w:val="bottom"/>
            <w:tcBorders>
              <w:bottom w:val="single" w:sz="8" w:color="auto"/>
            </w:tcBorders>
          </w:tcPr>
          <w:p>
            <w:pPr>
              <w:spacing w:after="0"/>
              <w:rPr>
                <w:sz w:val="23"/>
                <w:szCs w:val="23"/>
                <w:color w:val="auto"/>
              </w:rPr>
            </w:pPr>
          </w:p>
        </w:tc>
      </w:tr>
      <w:tr>
        <w:trPr>
          <w:trHeight w:val="254"/>
        </w:trPr>
        <w:tc>
          <w:tcPr>
            <w:tcW w:w="4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12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460" w:type="dxa"/>
            <w:vAlign w:val="bottom"/>
          </w:tcPr>
          <w:p>
            <w:pPr>
              <w:spacing w:after="0"/>
              <w:rPr>
                <w:sz w:val="22"/>
                <w:szCs w:val="22"/>
                <w:color w:val="auto"/>
              </w:rPr>
            </w:pPr>
          </w:p>
        </w:tc>
        <w:tc>
          <w:tcPr>
            <w:tcW w:w="1240" w:type="dxa"/>
            <w:vAlign w:val="bottom"/>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36"/>
        </w:trPr>
        <w:tc>
          <w:tcPr>
            <w:tcW w:w="44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r>
      <w:tr>
        <w:trPr>
          <w:trHeight w:val="257"/>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118,443,016</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118,443,016</w:t>
            </w:r>
          </w:p>
        </w:tc>
      </w:tr>
      <w:tr>
        <w:trPr>
          <w:trHeight w:val="257"/>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Collective investment trusts</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54,018,304</w:t>
            </w: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54,018,304</w:t>
            </w:r>
          </w:p>
        </w:tc>
      </w:tr>
      <w:tr>
        <w:trPr>
          <w:trHeight w:val="257"/>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Company common stock fund</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5,064,837</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5,064,837</w:t>
            </w:r>
          </w:p>
        </w:tc>
      </w:tr>
      <w:tr>
        <w:trPr>
          <w:trHeight w:val="196"/>
        </w:trPr>
        <w:tc>
          <w:tcPr>
            <w:tcW w:w="4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56"/>
        </w:trPr>
        <w:tc>
          <w:tcPr>
            <w:tcW w:w="4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assets in fair value hierarchy</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123,507,853</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54,018,304</w:t>
            </w:r>
          </w:p>
        </w:tc>
        <w:tc>
          <w:tcPr>
            <w:tcW w:w="4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177,526,157</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4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6"/>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Investments measured at net asset value (a)</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18,360,249</w:t>
            </w:r>
          </w:p>
        </w:tc>
      </w:tr>
      <w:tr>
        <w:trPr>
          <w:trHeight w:val="257"/>
        </w:trPr>
        <w:tc>
          <w:tcPr>
            <w:tcW w:w="44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6"/>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Investments at fair value</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195,886,406</w:t>
            </w:r>
          </w:p>
        </w:tc>
      </w:tr>
      <w:tr>
        <w:trPr>
          <w:trHeight w:val="21"/>
        </w:trPr>
        <w:tc>
          <w:tcPr>
            <w:tcW w:w="4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57"/>
        </w:trPr>
        <w:tc>
          <w:tcPr>
            <w:tcW w:w="4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980" w:type="dxa"/>
            <w:vAlign w:val="bottom"/>
            <w:gridSpan w:val="9"/>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Assets at Fair Value as of December 31, 2024</w:t>
            </w:r>
          </w:p>
        </w:tc>
        <w:tc>
          <w:tcPr>
            <w:tcW w:w="1240" w:type="dxa"/>
            <w:vAlign w:val="bottom"/>
          </w:tcPr>
          <w:p>
            <w:pPr>
              <w:spacing w:after="0"/>
              <w:rPr>
                <w:sz w:val="22"/>
                <w:szCs w:val="22"/>
                <w:color w:val="auto"/>
              </w:rPr>
            </w:pPr>
          </w:p>
        </w:tc>
      </w:tr>
      <w:tr>
        <w:trPr>
          <w:trHeight w:val="266"/>
        </w:trPr>
        <w:tc>
          <w:tcPr>
            <w:tcW w:w="4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2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120" w:type="dxa"/>
            <w:vAlign w:val="bottom"/>
          </w:tcPr>
          <w:p>
            <w:pPr>
              <w:spacing w:after="0"/>
              <w:rPr>
                <w:sz w:val="23"/>
                <w:szCs w:val="23"/>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120" w:type="dxa"/>
            <w:vAlign w:val="bottom"/>
          </w:tcPr>
          <w:p>
            <w:pPr>
              <w:spacing w:after="0"/>
              <w:rPr>
                <w:sz w:val="23"/>
                <w:szCs w:val="23"/>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480" w:type="dxa"/>
            <w:vAlign w:val="bottom"/>
          </w:tcPr>
          <w:p>
            <w:pPr>
              <w:spacing w:after="0"/>
              <w:rPr>
                <w:sz w:val="23"/>
                <w:szCs w:val="23"/>
                <w:color w:val="auto"/>
              </w:rPr>
            </w:pPr>
          </w:p>
        </w:tc>
        <w:tc>
          <w:tcPr>
            <w:tcW w:w="1240" w:type="dxa"/>
            <w:vAlign w:val="bottom"/>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40"/>
        </w:trPr>
        <w:tc>
          <w:tcPr>
            <w:tcW w:w="44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r>
      <w:tr>
        <w:trPr>
          <w:trHeight w:val="257"/>
        </w:trPr>
        <w:tc>
          <w:tcPr>
            <w:tcW w:w="4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3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152,859,735</w:t>
            </w:r>
          </w:p>
        </w:tc>
        <w:tc>
          <w:tcPr>
            <w:tcW w:w="4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152,859,735</w:t>
            </w:r>
          </w:p>
        </w:tc>
      </w:tr>
      <w:tr>
        <w:trPr>
          <w:trHeight w:val="25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Company common stock fund</w:t>
            </w: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4,154,160</w:t>
            </w: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4,154,160</w:t>
            </w:r>
          </w:p>
        </w:tc>
      </w:tr>
      <w:tr>
        <w:trPr>
          <w:trHeight w:val="237"/>
        </w:trPr>
        <w:tc>
          <w:tcPr>
            <w:tcW w:w="44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316"/>
        </w:trPr>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Total assets in fair value hierarchy</w:t>
            </w:r>
          </w:p>
        </w:tc>
        <w:tc>
          <w:tcPr>
            <w:tcW w:w="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157,013,895</w:t>
            </w: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157,013,895</w:t>
            </w:r>
          </w:p>
        </w:tc>
      </w:tr>
      <w:tr>
        <w:trPr>
          <w:trHeight w:val="204"/>
        </w:trPr>
        <w:tc>
          <w:tcPr>
            <w:tcW w:w="44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5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Investments measured at net asset value (a)</w:t>
            </w: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18,643,886</w:t>
            </w:r>
          </w:p>
        </w:tc>
      </w:tr>
      <w:tr>
        <w:trPr>
          <w:trHeight w:val="257"/>
        </w:trPr>
        <w:tc>
          <w:tcPr>
            <w:tcW w:w="4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1"/>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Investments at fair value</w:t>
            </w:r>
          </w:p>
        </w:tc>
        <w:tc>
          <w:tcPr>
            <w:tcW w:w="3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175,657,781</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left="980" w:hanging="324"/>
        <w:spacing w:after="0" w:line="268" w:lineRule="auto"/>
        <w:tabs>
          <w:tab w:leader="none" w:pos="9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collective investment trusts that were measured at net asset value ("NAV") per share (or its equivalent) have not been classified in the fair value hierarchy. The amounts presented in this table are intended to permit reconciliation of the fair value hierarchy to the line items presented in the Statements of Net Assets Available for Benefits.</w:t>
      </w:r>
    </w:p>
    <w:p>
      <w:pPr>
        <w:spacing w:after="0" w:line="188"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following is a description of the valuation methodologies used for assets measured at fair value. There have been no transfers between levels and no changes in the methodologies used at December 31, 2025 and 2024.</w:t>
      </w:r>
    </w:p>
    <w:p>
      <w:pPr>
        <w:sectPr>
          <w:pgSz w:w="11900" w:h="16838" w:orient="portrait"/>
          <w:cols w:equalWidth="0" w:num="1">
            <w:col w:w="11240"/>
          </w:cols>
          <w:pgMar w:left="320" w:top="10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88340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340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Registered investment companies are valued at the daily closing price as reported by the fund, which represents the NAV of shares held by the Plan at year end. Mutual funds held by the Plan are open-end mutual funds that are registered with the U.S. Securities and Exchange Commission. These funds are required to publish their daily NAV and to transact at that price. The mutual funds held by the Plan are deemed to be actively traded.</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collective investment trusts are Vanguard Target Retirement Trusts that are valued daily. The unit values are based upon significant observable inputs, although they are not based upon quoted market prices in an active market. The trusts invest in Vanguard mutual funds using a balanced asset allocation strategy designed for investors planning to retire and leave the workforce in or within a few years of the target year. The trusts' asset allocation will become more conservative over time. The trusts hold a diversified mix of indirect bond and indirect stock holdings.</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underlying investments of the collective investment trusts consist primarily of Level 2 inputs, consisting of inputs either directly or indirectly observable for substantially the full term of the asset through corroboration with observable market data. The collective investment trusts are not subject to any withdrawal or redemption restrictions, and there are no unfunded commitments.</w:t>
      </w:r>
    </w:p>
    <w:p>
      <w:pPr>
        <w:spacing w:after="0" w:line="20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Vanguard Retirement Savings Trust III is a collective investment trust that is valued at the NAV of the units of the collective investment trust held by the Plan at year end multiplied by the respective unit value. The NAV, as provided by the trustee, is used as a practical expedient to estimate fair value. The NAV of the collective investment trust is based upon significant observable inputs, although it is not based upon quoted market prices in an active market. The collective investment trust’s investment objective is to seek the preservation of capital and to provide a competitive level of income over time that is consistent with the preservation of capital. To achieve its investment objective, the collective investment trust invests in assets (typically contracts issued by insurance companies and banks, synthetic investment contracts, and short term investments) and enters into “wrapper” contracts issued by third parties and invests in cash equivalents represented by shares in a money market fund. The collective investment trust invests solely in the Vanguard Retirement Savings Master Trust (the “VRST Master Trust”) and is allocated net investment income based on its ownership percentage in the master trust. The underlying investments of the VRST Master Trust are primarily in a pool of investment contracts that are issued by insurance companies and commercial banks and in contracts that are backed by bond funds.</w:t>
      </w:r>
    </w:p>
    <w:p>
      <w:pPr>
        <w:spacing w:after="0" w:line="2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fair value of the Company’s common stock fund is measured at the closing price reported on the active market on which the security held by the fund is traded.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Investments Measured Using NAV per Share Practical Expedient</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following table summarizes investments for which fair value is measured using NAV per share practical expedient as of December 31, 2025 and 2024. There are no participant redemption restrictions for these investments; the redemption notice period is applicable only to the Plan.</w:t>
      </w:r>
    </w:p>
    <w:p>
      <w:pPr>
        <w:spacing w:after="0" w:line="83" w:lineRule="exact"/>
        <w:rPr>
          <w:sz w:val="20"/>
          <w:szCs w:val="20"/>
          <w:color w:val="auto"/>
        </w:rPr>
      </w:pPr>
    </w:p>
    <w:tbl>
      <w:tblPr>
        <w:tblLayout w:type="fixed"/>
        <w:tblInd w:w="340" w:type="dxa"/>
        <w:tblCellMar>
          <w:top w:w="0" w:type="dxa"/>
          <w:left w:w="0" w:type="dxa"/>
          <w:bottom w:w="0" w:type="dxa"/>
          <w:right w:w="0" w:type="dxa"/>
        </w:tblCellMar>
      </w:tblPr>
      <w:tr>
        <w:trPr>
          <w:trHeight w:val="266"/>
        </w:trPr>
        <w:tc>
          <w:tcPr>
            <w:tcW w:w="40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26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6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680" w:type="dxa"/>
            <w:vAlign w:val="bottom"/>
            <w:gridSpan w:val="2"/>
          </w:tcPr>
          <w:p>
            <w:pPr>
              <w:jc w:val="center"/>
              <w:ind w:right="160"/>
              <w:spacing w:after="0" w:line="186" w:lineRule="exact"/>
              <w:rPr>
                <w:sz w:val="20"/>
                <w:szCs w:val="20"/>
                <w:color w:val="auto"/>
              </w:rPr>
            </w:pPr>
            <w:r>
              <w:rPr>
                <w:rFonts w:ascii="Times New Roman" w:cs="Times New Roman" w:eastAsia="Times New Roman" w:hAnsi="Times New Roman"/>
                <w:sz w:val="20"/>
                <w:szCs w:val="20"/>
                <w:b w:val="1"/>
                <w:bCs w:val="1"/>
                <w:color w:val="auto"/>
                <w:w w:val="98"/>
              </w:rPr>
              <w:t>Unfunded</w:t>
            </w:r>
          </w:p>
        </w:tc>
        <w:tc>
          <w:tcPr>
            <w:tcW w:w="1580" w:type="dxa"/>
            <w:vAlign w:val="bottom"/>
            <w:gridSpan w:val="2"/>
          </w:tcPr>
          <w:p>
            <w:pPr>
              <w:jc w:val="center"/>
              <w:ind w:right="160"/>
              <w:spacing w:after="0" w:line="186" w:lineRule="exact"/>
              <w:rPr>
                <w:sz w:val="20"/>
                <w:szCs w:val="20"/>
                <w:color w:val="auto"/>
              </w:rPr>
            </w:pPr>
            <w:r>
              <w:rPr>
                <w:rFonts w:ascii="Times New Roman" w:cs="Times New Roman" w:eastAsia="Times New Roman" w:hAnsi="Times New Roman"/>
                <w:sz w:val="20"/>
                <w:szCs w:val="20"/>
                <w:b w:val="1"/>
                <w:bCs w:val="1"/>
                <w:color w:val="auto"/>
                <w:w w:val="97"/>
              </w:rPr>
              <w:t>Redemption</w:t>
            </w:r>
          </w:p>
        </w:tc>
        <w:tc>
          <w:tcPr>
            <w:tcW w:w="164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9"/>
              </w:rPr>
              <w:t>Redemption</w:t>
            </w:r>
          </w:p>
        </w:tc>
        <w:tc>
          <w:tcPr>
            <w:tcW w:w="0" w:type="dxa"/>
            <w:vAlign w:val="bottom"/>
          </w:tcPr>
          <w:p>
            <w:pPr>
              <w:spacing w:after="0"/>
              <w:rPr>
                <w:sz w:val="1"/>
                <w:szCs w:val="1"/>
                <w:color w:val="auto"/>
              </w:rPr>
            </w:pPr>
          </w:p>
        </w:tc>
      </w:tr>
      <w:tr>
        <w:trPr>
          <w:trHeight w:val="256"/>
        </w:trPr>
        <w:tc>
          <w:tcPr>
            <w:tcW w:w="4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2"/>
            <w:vMerge w:val="continue"/>
          </w:tcPr>
          <w:p>
            <w:pPr>
              <w:spacing w:after="0"/>
              <w:rPr>
                <w:sz w:val="22"/>
                <w:szCs w:val="22"/>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Commitments</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8"/>
              </w:rPr>
              <w:t>Frequency</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Notice Period</w:t>
            </w:r>
          </w:p>
        </w:tc>
        <w:tc>
          <w:tcPr>
            <w:tcW w:w="0" w:type="dxa"/>
            <w:vAlign w:val="bottom"/>
          </w:tcPr>
          <w:p>
            <w:pPr>
              <w:spacing w:after="0"/>
              <w:rPr>
                <w:sz w:val="1"/>
                <w:szCs w:val="1"/>
                <w:color w:val="auto"/>
              </w:rPr>
            </w:pPr>
          </w:p>
        </w:tc>
      </w:tr>
      <w:tr>
        <w:trPr>
          <w:trHeight w:val="25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Vanguard Retirement Savings Trust III</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18,360,249</w:t>
            </w:r>
          </w:p>
        </w:tc>
        <w:tc>
          <w:tcPr>
            <w:tcW w:w="16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14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Daily</w:t>
            </w:r>
          </w:p>
        </w:tc>
        <w:tc>
          <w:tcPr>
            <w:tcW w:w="14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r>
        <w:trPr>
          <w:trHeight w:val="523"/>
        </w:trPr>
        <w:tc>
          <w:tcPr>
            <w:tcW w:w="4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680" w:type="dxa"/>
            <w:vAlign w:val="bottom"/>
            <w:gridSpan w:val="2"/>
          </w:tcPr>
          <w:p>
            <w:pPr>
              <w:jc w:val="center"/>
              <w:ind w:right="160"/>
              <w:spacing w:after="0" w:line="186" w:lineRule="exact"/>
              <w:rPr>
                <w:sz w:val="20"/>
                <w:szCs w:val="20"/>
                <w:color w:val="auto"/>
              </w:rPr>
            </w:pPr>
            <w:r>
              <w:rPr>
                <w:rFonts w:ascii="Times New Roman" w:cs="Times New Roman" w:eastAsia="Times New Roman" w:hAnsi="Times New Roman"/>
                <w:sz w:val="20"/>
                <w:szCs w:val="20"/>
                <w:b w:val="1"/>
                <w:bCs w:val="1"/>
                <w:color w:val="auto"/>
                <w:w w:val="98"/>
              </w:rPr>
              <w:t>Unfunded</w:t>
            </w:r>
          </w:p>
        </w:tc>
        <w:tc>
          <w:tcPr>
            <w:tcW w:w="1580" w:type="dxa"/>
            <w:vAlign w:val="bottom"/>
            <w:gridSpan w:val="2"/>
          </w:tcPr>
          <w:p>
            <w:pPr>
              <w:jc w:val="center"/>
              <w:ind w:right="160"/>
              <w:spacing w:after="0" w:line="186" w:lineRule="exact"/>
              <w:rPr>
                <w:sz w:val="20"/>
                <w:szCs w:val="20"/>
                <w:color w:val="auto"/>
              </w:rPr>
            </w:pPr>
            <w:r>
              <w:rPr>
                <w:rFonts w:ascii="Times New Roman" w:cs="Times New Roman" w:eastAsia="Times New Roman" w:hAnsi="Times New Roman"/>
                <w:sz w:val="20"/>
                <w:szCs w:val="20"/>
                <w:b w:val="1"/>
                <w:bCs w:val="1"/>
                <w:color w:val="auto"/>
                <w:w w:val="97"/>
              </w:rPr>
              <w:t>Redemption</w:t>
            </w:r>
          </w:p>
        </w:tc>
        <w:tc>
          <w:tcPr>
            <w:tcW w:w="164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9"/>
              </w:rPr>
              <w:t>Redemption</w:t>
            </w:r>
          </w:p>
        </w:tc>
        <w:tc>
          <w:tcPr>
            <w:tcW w:w="0" w:type="dxa"/>
            <w:vAlign w:val="bottom"/>
          </w:tcPr>
          <w:p>
            <w:pPr>
              <w:spacing w:after="0"/>
              <w:rPr>
                <w:sz w:val="1"/>
                <w:szCs w:val="1"/>
                <w:color w:val="auto"/>
              </w:rPr>
            </w:pPr>
          </w:p>
        </w:tc>
      </w:tr>
      <w:tr>
        <w:trPr>
          <w:trHeight w:val="256"/>
        </w:trPr>
        <w:tc>
          <w:tcPr>
            <w:tcW w:w="4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2"/>
            <w:vMerge w:val="continue"/>
          </w:tcPr>
          <w:p>
            <w:pPr>
              <w:spacing w:after="0"/>
              <w:rPr>
                <w:sz w:val="22"/>
                <w:szCs w:val="22"/>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Commitments</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8"/>
              </w:rPr>
              <w:t>Frequency</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Notice Period</w:t>
            </w:r>
          </w:p>
        </w:tc>
        <w:tc>
          <w:tcPr>
            <w:tcW w:w="0" w:type="dxa"/>
            <w:vAlign w:val="bottom"/>
          </w:tcPr>
          <w:p>
            <w:pPr>
              <w:spacing w:after="0"/>
              <w:rPr>
                <w:sz w:val="1"/>
                <w:szCs w:val="1"/>
                <w:color w:val="auto"/>
              </w:rPr>
            </w:pPr>
          </w:p>
        </w:tc>
      </w:tr>
      <w:tr>
        <w:trPr>
          <w:trHeight w:val="25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Vanguard Retirement Savings Trust III</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18,643,886</w:t>
            </w:r>
          </w:p>
        </w:tc>
        <w:tc>
          <w:tcPr>
            <w:tcW w:w="16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14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Daily</w:t>
            </w:r>
          </w:p>
        </w:tc>
        <w:tc>
          <w:tcPr>
            <w:tcW w:w="14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88340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340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RELATED PARTY TRANSACTIONS</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Plan participants invest in shares of registered investment companies and collective investment trusts managed by affiliates of VFTC. VFTC acts as trustee for investments of the Plan. Plan assets managed by affiliates of VFTC were $172,788,411 and $153,755,573 as of December 31, 2025 and 2024, respectively. Transactions in these investments qualify as party-in-interest transactions and are exempt from the prohibited transaction rules.</w:t>
      </w:r>
    </w:p>
    <w:p>
      <w:pPr>
        <w:spacing w:after="0" w:line="2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Plan participants also invest in shares of the Company’s common stock through the Crown Holdings, Inc. Stock Fund. The Company’s common stock fund held 49,187 and 50,238 shares of Crown Holdings, Inc. common stock representing 2.5% and 2.3% of Plan assets as of December 31, 2025 and 2024, respectively. For the years ended December 31, 2025 and 2024, the Company common stock fund had purchases of $222,230 and $263,911, respectively, and sales of $323,747 and $1,017,624, respectively. Dividend income from the Company’s common stock fund totaled $51,468 and $54,351 for the years ended December 31, 2025 and 2024, respectively. The Plan also issues loans to participants, which are secured by the balances in the respective participant accounts. Transactions in such investments and notes receivable from participants qualify as party-in-interest transactions and are exempt from the prohibited transaction rules.</w:t>
      </w:r>
    </w:p>
    <w:p>
      <w:pPr>
        <w:spacing w:after="0" w:line="2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Certain administrative functions of the Plan are performed by officers or employees of the Company. No such officer or employee receives compensation from the Plan.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TAX STATUS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IRS determined and informed the Company by letter dated October 13, 2015 that the Plan was qualified under Internal Revenue Code (“IRC”) Section 401(k). The Company believes the Plan is designed and is currently being operated in compliance with the applicable requirements of the IRC and therefore, believes that the Plan is qualified, and the related trust is tax exempt.</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RISKS AND UNCERTAINTIES</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Investment securities,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such changes could materially affect participants’ account balances and the amounts reported in the Statements of Net Assets Available for Benefits.</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Plan had investments of $61,299,801 concentrated in one fund as of December 31, 2025 and $75,050,823 concentrated in two funds as of December 31, 2024.</w:t>
      </w:r>
    </w:p>
    <w:p>
      <w:pPr>
        <w:sectPr>
          <w:pgSz w:w="11900" w:h="16838" w:orient="portrait"/>
          <w:cols w:equalWidth="0" w:num="1">
            <w:col w:w="11240"/>
          </w:cols>
          <w:pgMar w:left="320" w:top="8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Supplemental Information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Required for Form 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5073650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color w:val="auto"/>
        </w:rPr>
        <w:t>CROWN CORK &amp; SEAL COMPANY, INC. RETIREMENT THRIFT PLAN</w:t>
      </w:r>
    </w:p>
    <w:p>
      <w:pPr>
        <w:spacing w:after="0" w:line="21" w:lineRule="exact"/>
        <w:rPr>
          <w:sz w:val="20"/>
          <w:szCs w:val="20"/>
          <w:color w:val="auto"/>
        </w:rPr>
      </w:pPr>
    </w:p>
    <w:p>
      <w:pPr>
        <w:ind w:right="5500"/>
        <w:spacing w:after="0" w:line="236" w:lineRule="auto"/>
        <w:rPr>
          <w:sz w:val="20"/>
          <w:szCs w:val="20"/>
          <w:color w:val="auto"/>
        </w:rPr>
      </w:pPr>
      <w:r>
        <w:rPr>
          <w:rFonts w:ascii="Times New Roman" w:cs="Times New Roman" w:eastAsia="Times New Roman" w:hAnsi="Times New Roman"/>
          <w:sz w:val="20"/>
          <w:szCs w:val="20"/>
          <w:color w:val="auto"/>
        </w:rPr>
        <w:t>Schedule H, Line 4a – Schedule of Delinquent Participant Contributions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Cork &amp; Seal Company, Inc. Retirement Thrift Plan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23-1526444 Plan No. 105</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480" w:type="dxa"/>
            <w:vAlign w:val="bottom"/>
          </w:tcPr>
          <w:p>
            <w:pPr>
              <w:spacing w:after="0"/>
              <w:rPr>
                <w:sz w:val="23"/>
                <w:szCs w:val="23"/>
                <w:color w:val="auto"/>
              </w:rPr>
            </w:pPr>
          </w:p>
        </w:tc>
        <w:tc>
          <w:tcPr>
            <w:tcW w:w="2200" w:type="dxa"/>
            <w:vAlign w:val="bottom"/>
            <w:vMerge w:val="restart"/>
          </w:tcPr>
          <w:p>
            <w:pPr>
              <w:jc w:val="center"/>
              <w:ind w:left="241"/>
              <w:spacing w:after="0"/>
              <w:rPr>
                <w:sz w:val="20"/>
                <w:szCs w:val="20"/>
                <w:color w:val="auto"/>
              </w:rPr>
            </w:pPr>
            <w:r>
              <w:rPr>
                <w:rFonts w:ascii="Times New Roman" w:cs="Times New Roman" w:eastAsia="Times New Roman" w:hAnsi="Times New Roman"/>
                <w:sz w:val="20"/>
                <w:szCs w:val="20"/>
                <w:color w:val="auto"/>
                <w:w w:val="99"/>
              </w:rPr>
              <w:t>Participant</w:t>
            </w:r>
          </w:p>
        </w:tc>
        <w:tc>
          <w:tcPr>
            <w:tcW w:w="5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Total that Constitutes Nonexempt Prohibited Transactions</w:t>
            </w:r>
          </w:p>
        </w:tc>
        <w:tc>
          <w:tcPr>
            <w:tcW w:w="1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1480" w:type="dxa"/>
            <w:vAlign w:val="bottom"/>
          </w:tcPr>
          <w:p>
            <w:pPr>
              <w:spacing w:after="0"/>
              <w:rPr>
                <w:sz w:val="15"/>
                <w:szCs w:val="15"/>
                <w:color w:val="auto"/>
              </w:rPr>
            </w:pPr>
          </w:p>
        </w:tc>
        <w:tc>
          <w:tcPr>
            <w:tcW w:w="220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1880" w:type="dxa"/>
            <w:vAlign w:val="bottom"/>
            <w:vMerge w:val="restart"/>
          </w:tcPr>
          <w:p>
            <w:pPr>
              <w:jc w:val="center"/>
              <w:ind w:left="103"/>
              <w:spacing w:after="0"/>
              <w:rPr>
                <w:sz w:val="20"/>
                <w:szCs w:val="20"/>
                <w:color w:val="auto"/>
              </w:rPr>
            </w:pPr>
            <w:r>
              <w:rPr>
                <w:rFonts w:ascii="Times New Roman" w:cs="Times New Roman" w:eastAsia="Times New Roman" w:hAnsi="Times New Roman"/>
                <w:sz w:val="20"/>
                <w:szCs w:val="20"/>
                <w:color w:val="auto"/>
                <w:w w:val="98"/>
              </w:rPr>
              <w:t>Contributions</w:t>
            </w:r>
          </w:p>
        </w:tc>
        <w:tc>
          <w:tcPr>
            <w:tcW w:w="1940" w:type="dxa"/>
            <w:vAlign w:val="bottom"/>
          </w:tcPr>
          <w:p>
            <w:pPr>
              <w:spacing w:after="0"/>
              <w:rPr>
                <w:sz w:val="15"/>
                <w:szCs w:val="15"/>
                <w:color w:val="auto"/>
              </w:rPr>
            </w:pPr>
          </w:p>
        </w:tc>
        <w:tc>
          <w:tcPr>
            <w:tcW w:w="1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Total Fully Corrected</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2200" w:type="dxa"/>
            <w:vAlign w:val="bottom"/>
          </w:tcPr>
          <w:p>
            <w:pPr>
              <w:jc w:val="center"/>
              <w:ind w:left="261"/>
              <w:spacing w:after="0" w:line="203" w:lineRule="exact"/>
              <w:rPr>
                <w:sz w:val="20"/>
                <w:szCs w:val="20"/>
                <w:color w:val="auto"/>
              </w:rPr>
            </w:pPr>
            <w:r>
              <w:rPr>
                <w:rFonts w:ascii="Times New Roman" w:cs="Times New Roman" w:eastAsia="Times New Roman" w:hAnsi="Times New Roman"/>
                <w:sz w:val="20"/>
                <w:szCs w:val="20"/>
                <w:color w:val="auto"/>
                <w:w w:val="98"/>
              </w:rPr>
              <w:t>Contributions</w:t>
            </w:r>
          </w:p>
        </w:tc>
        <w:tc>
          <w:tcPr>
            <w:tcW w:w="1760" w:type="dxa"/>
            <w:vAlign w:val="bottom"/>
            <w:vMerge w:val="restart"/>
          </w:tcPr>
          <w:p>
            <w:pPr>
              <w:jc w:val="center"/>
              <w:ind w:left="1"/>
              <w:spacing w:after="0"/>
              <w:rPr>
                <w:sz w:val="20"/>
                <w:szCs w:val="20"/>
                <w:color w:val="auto"/>
              </w:rPr>
            </w:pPr>
            <w:r>
              <w:rPr>
                <w:rFonts w:ascii="Times New Roman" w:cs="Times New Roman" w:eastAsia="Times New Roman" w:hAnsi="Times New Roman"/>
                <w:sz w:val="20"/>
                <w:szCs w:val="20"/>
                <w:color w:val="auto"/>
                <w:w w:val="97"/>
              </w:rPr>
              <w:t>Contributions Not</w:t>
            </w:r>
          </w:p>
        </w:tc>
        <w:tc>
          <w:tcPr>
            <w:tcW w:w="188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1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480" w:type="dxa"/>
            <w:vAlign w:val="bottom"/>
          </w:tcPr>
          <w:p>
            <w:pPr>
              <w:spacing w:after="0"/>
              <w:rPr>
                <w:sz w:val="17"/>
                <w:szCs w:val="17"/>
                <w:color w:val="auto"/>
              </w:rPr>
            </w:pPr>
          </w:p>
        </w:tc>
        <w:tc>
          <w:tcPr>
            <w:tcW w:w="2200" w:type="dxa"/>
            <w:vAlign w:val="bottom"/>
          </w:tcPr>
          <w:p>
            <w:pPr>
              <w:jc w:val="center"/>
              <w:ind w:left="241"/>
              <w:spacing w:after="0" w:line="198" w:lineRule="exact"/>
              <w:rPr>
                <w:sz w:val="20"/>
                <w:szCs w:val="20"/>
                <w:color w:val="auto"/>
              </w:rPr>
            </w:pPr>
            <w:r>
              <w:rPr>
                <w:rFonts w:ascii="Times New Roman" w:cs="Times New Roman" w:eastAsia="Times New Roman" w:hAnsi="Times New Roman"/>
                <w:sz w:val="20"/>
                <w:szCs w:val="20"/>
                <w:color w:val="auto"/>
                <w:w w:val="98"/>
              </w:rPr>
              <w:t>Transferred Late to the</w:t>
            </w:r>
          </w:p>
        </w:tc>
        <w:tc>
          <w:tcPr>
            <w:tcW w:w="1760" w:type="dxa"/>
            <w:vAlign w:val="bottom"/>
            <w:vMerge w:val="continue"/>
          </w:tcPr>
          <w:p>
            <w:pPr>
              <w:spacing w:after="0"/>
              <w:rPr>
                <w:sz w:val="17"/>
                <w:szCs w:val="17"/>
                <w:color w:val="auto"/>
              </w:rPr>
            </w:pPr>
          </w:p>
        </w:tc>
        <w:tc>
          <w:tcPr>
            <w:tcW w:w="1880" w:type="dxa"/>
            <w:vAlign w:val="bottom"/>
          </w:tcPr>
          <w:p>
            <w:pPr>
              <w:jc w:val="center"/>
              <w:ind w:left="103"/>
              <w:spacing w:after="0" w:line="198" w:lineRule="exact"/>
              <w:rPr>
                <w:sz w:val="20"/>
                <w:szCs w:val="20"/>
                <w:color w:val="auto"/>
              </w:rPr>
            </w:pPr>
            <w:r>
              <w:rPr>
                <w:rFonts w:ascii="Times New Roman" w:cs="Times New Roman" w:eastAsia="Times New Roman" w:hAnsi="Times New Roman"/>
                <w:sz w:val="20"/>
                <w:szCs w:val="20"/>
                <w:color w:val="auto"/>
                <w:w w:val="98"/>
              </w:rPr>
              <w:t>Corrected Outside</w:t>
            </w:r>
          </w:p>
        </w:tc>
        <w:tc>
          <w:tcPr>
            <w:tcW w:w="392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20"/>
                <w:szCs w:val="20"/>
                <w:color w:val="auto"/>
              </w:rPr>
              <w:t>Contributions Pending Under VFCP and PTE</w:t>
            </w: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2"/>
                <w:szCs w:val="22"/>
                <w:color w:val="auto"/>
              </w:rPr>
            </w:pPr>
          </w:p>
        </w:tc>
        <w:tc>
          <w:tcPr>
            <w:tcW w:w="2200" w:type="dxa"/>
            <w:vAlign w:val="bottom"/>
          </w:tcPr>
          <w:p>
            <w:pPr>
              <w:jc w:val="center"/>
              <w:ind w:left="261"/>
              <w:spacing w:after="0"/>
              <w:rPr>
                <w:sz w:val="20"/>
                <w:szCs w:val="20"/>
                <w:color w:val="auto"/>
              </w:rPr>
            </w:pPr>
            <w:r>
              <w:rPr>
                <w:rFonts w:ascii="Times New Roman" w:cs="Times New Roman" w:eastAsia="Times New Roman" w:hAnsi="Times New Roman"/>
                <w:sz w:val="20"/>
                <w:szCs w:val="20"/>
                <w:color w:val="auto"/>
              </w:rPr>
              <w:t>Plan</w:t>
            </w:r>
          </w:p>
        </w:tc>
        <w:tc>
          <w:tcPr>
            <w:tcW w:w="17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8"/>
              </w:rPr>
              <w:t>Corrected</w:t>
            </w:r>
          </w:p>
        </w:tc>
        <w:tc>
          <w:tcPr>
            <w:tcW w:w="1880" w:type="dxa"/>
            <w:vAlign w:val="bottom"/>
          </w:tcPr>
          <w:p>
            <w:pPr>
              <w:jc w:val="center"/>
              <w:ind w:left="83"/>
              <w:spacing w:after="0"/>
              <w:rPr>
                <w:sz w:val="20"/>
                <w:szCs w:val="20"/>
                <w:color w:val="auto"/>
              </w:rPr>
            </w:pPr>
            <w:r>
              <w:rPr>
                <w:rFonts w:ascii="Times New Roman" w:cs="Times New Roman" w:eastAsia="Times New Roman" w:hAnsi="Times New Roman"/>
                <w:sz w:val="20"/>
                <w:szCs w:val="20"/>
                <w:color w:val="auto"/>
                <w:w w:val="99"/>
              </w:rPr>
              <w:t>VFCP</w:t>
            </w:r>
          </w:p>
        </w:tc>
        <w:tc>
          <w:tcPr>
            <w:tcW w:w="194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9"/>
              </w:rPr>
              <w:t>Correction in VFCP</w:t>
            </w:r>
          </w:p>
        </w:tc>
        <w:tc>
          <w:tcPr>
            <w:tcW w:w="18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auto"/>
              </w:rPr>
              <w:t>2002-51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8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rPr>
              <w:t>2025</w:t>
            </w:r>
          </w:p>
        </w:tc>
        <w:tc>
          <w:tcPr>
            <w:tcW w:w="2200" w:type="dxa"/>
            <w:vAlign w:val="bottom"/>
            <w:shd w:val="clear" w:color="auto" w:fill="CCEEFF"/>
          </w:tcPr>
          <w:p>
            <w:pPr>
              <w:jc w:val="center"/>
              <w:ind w:left="261"/>
              <w:spacing w:after="0"/>
              <w:rPr>
                <w:sz w:val="20"/>
                <w:szCs w:val="20"/>
                <w:color w:val="auto"/>
              </w:rPr>
            </w:pPr>
            <w:r>
              <w:rPr>
                <w:rFonts w:ascii="Times New Roman" w:cs="Times New Roman" w:eastAsia="Times New Roman" w:hAnsi="Times New Roman"/>
                <w:sz w:val="20"/>
                <w:szCs w:val="20"/>
                <w:color w:val="auto"/>
                <w:w w:val="98"/>
              </w:rPr>
              <w:t>$35,004</w:t>
            </w:r>
          </w:p>
        </w:tc>
        <w:tc>
          <w:tcPr>
            <w:tcW w:w="176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20"/>
                <w:szCs w:val="20"/>
                <w:color w:val="auto"/>
                <w:w w:val="99"/>
              </w:rPr>
              <w:t>$—</w:t>
            </w:r>
          </w:p>
        </w:tc>
        <w:tc>
          <w:tcPr>
            <w:tcW w:w="188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20"/>
                <w:szCs w:val="20"/>
                <w:color w:val="auto"/>
                <w:w w:val="99"/>
              </w:rPr>
              <w:t>$—</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88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20"/>
                <w:szCs w:val="20"/>
                <w:color w:val="auto"/>
              </w:rPr>
              <w:t>$35,004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64"/>
        </w:trPr>
        <w:tc>
          <w:tcPr>
            <w:tcW w:w="14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80" w:type="dxa"/>
            <w:vAlign w:val="bottom"/>
          </w:tcPr>
          <w:p>
            <w:pPr>
              <w:jc w:val="right"/>
              <w:ind w:right="1503"/>
              <w:spacing w:after="0"/>
              <w:rPr>
                <w:sz w:val="20"/>
                <w:szCs w:val="20"/>
                <w:color w:val="auto"/>
              </w:rPr>
            </w:pPr>
            <w:r>
              <w:rPr>
                <w:rFonts w:ascii="Times New Roman" w:cs="Times New Roman" w:eastAsia="Times New Roman" w:hAnsi="Times New Roman"/>
                <w:sz w:val="18"/>
                <w:szCs w:val="18"/>
                <w:color w:val="auto"/>
              </w:rPr>
              <w:t>11</w:t>
            </w:r>
          </w:p>
        </w:tc>
        <w:tc>
          <w:tcPr>
            <w:tcW w:w="19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8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b w:val="1"/>
          <w:bCs w:val="1"/>
          <w:color w:val="auto"/>
        </w:rPr>
        <w:t>CROWN CORK &amp; SEAL COMPANY, INC. RETIREMENT THRIFT PLAN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H, Line 4i - Schedule of Assets (Held at End of Year)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6626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Cork &amp; Seal Company, Inc. Retirement Thrift Plan</w:t>
      </w:r>
    </w:p>
    <w:p>
      <w:pPr>
        <w:spacing w:after="0"/>
        <w:rPr>
          <w:sz w:val="20"/>
          <w:szCs w:val="20"/>
          <w:color w:val="auto"/>
        </w:rPr>
      </w:pPr>
      <w:r>
        <w:rPr>
          <w:rFonts w:ascii="Times New Roman" w:cs="Times New Roman" w:eastAsia="Times New Roman" w:hAnsi="Times New Roman"/>
          <w:sz w:val="18"/>
          <w:szCs w:val="18"/>
          <w:color w:val="auto"/>
        </w:rPr>
        <w:t>EIN 23-1526444 Plan No. 105</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Identity of Participant-Directed Issues</w:t>
            </w:r>
          </w:p>
        </w:tc>
        <w:tc>
          <w:tcPr>
            <w:tcW w:w="44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20"/>
                <w:szCs w:val="20"/>
                <w:b w:val="1"/>
                <w:bCs w:val="1"/>
                <w:color w:val="auto"/>
              </w:rPr>
              <w:t>Investment Type</w:t>
            </w: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7"/>
              </w:rPr>
              <w:t>Current Value</w:t>
            </w:r>
          </w:p>
        </w:tc>
      </w:tr>
      <w:tr>
        <w:trPr>
          <w:trHeight w:val="229"/>
        </w:trPr>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Baird Core Plus Bond Fund</w:t>
            </w:r>
          </w:p>
        </w:tc>
        <w:tc>
          <w:tcPr>
            <w:tcW w:w="4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6,283,740</w:t>
            </w:r>
          </w:p>
        </w:tc>
      </w:tr>
      <w:tr>
        <w:trPr>
          <w:trHeight w:val="229"/>
        </w:trPr>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DFA Emerging Markets Core Equity Portfolio</w:t>
            </w:r>
          </w:p>
        </w:tc>
        <w:tc>
          <w:tcPr>
            <w:tcW w:w="4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243,411</w:t>
            </w:r>
          </w:p>
        </w:tc>
      </w:tr>
      <w:tr>
        <w:trPr>
          <w:trHeight w:val="230"/>
        </w:trPr>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DFA US Targeted Value Portfolio</w:t>
            </w:r>
          </w:p>
        </w:tc>
        <w:tc>
          <w:tcPr>
            <w:tcW w:w="4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705,077</w:t>
            </w:r>
          </w:p>
        </w:tc>
      </w:tr>
      <w:tr>
        <w:trPr>
          <w:trHeight w:val="229"/>
        </w:trPr>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Fidelity Small Cap Growth Fund</w:t>
            </w:r>
          </w:p>
        </w:tc>
        <w:tc>
          <w:tcPr>
            <w:tcW w:w="4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10,545,652</w:t>
            </w:r>
          </w:p>
        </w:tc>
      </w:tr>
      <w:tr>
        <w:trPr>
          <w:trHeight w:val="230"/>
        </w:trPr>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 Rowe Price International Discovery Fund</w:t>
            </w:r>
          </w:p>
        </w:tc>
        <w:tc>
          <w:tcPr>
            <w:tcW w:w="4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255,278</w:t>
            </w: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 Vanguard Developed Markets Index Fund</w:t>
            </w:r>
          </w:p>
        </w:tc>
        <w:tc>
          <w:tcPr>
            <w:tcW w:w="4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8,763,107</w:t>
            </w:r>
          </w:p>
        </w:tc>
      </w:tr>
      <w:tr>
        <w:trPr>
          <w:trHeight w:val="22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International Growth Fund</w:t>
            </w:r>
          </w:p>
        </w:tc>
        <w:tc>
          <w:tcPr>
            <w:tcW w:w="4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7,331,759</w:t>
            </w: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 Vanguard Russell 1000 Growth Index Fund</w:t>
            </w:r>
          </w:p>
        </w:tc>
        <w:tc>
          <w:tcPr>
            <w:tcW w:w="4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3,004,637</w:t>
            </w:r>
          </w:p>
        </w:tc>
      </w:tr>
      <w:tr>
        <w:trPr>
          <w:trHeight w:val="22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Cash Reserve Federal Money Market Fund</w:t>
            </w:r>
          </w:p>
        </w:tc>
        <w:tc>
          <w:tcPr>
            <w:tcW w:w="4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189,525</w:t>
            </w: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 Vanguard Total Bond Market Index Fund</w:t>
            </w:r>
          </w:p>
        </w:tc>
        <w:tc>
          <w:tcPr>
            <w:tcW w:w="4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7,774,037</w:t>
            </w:r>
          </w:p>
        </w:tc>
      </w:tr>
      <w:tr>
        <w:trPr>
          <w:trHeight w:val="23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Institutional Total Stock Market Index Fund</w:t>
            </w:r>
          </w:p>
        </w:tc>
        <w:tc>
          <w:tcPr>
            <w:tcW w:w="4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61,299,801</w:t>
            </w: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 Vanguard Wellington Fund</w:t>
            </w:r>
          </w:p>
        </w:tc>
        <w:tc>
          <w:tcPr>
            <w:tcW w:w="4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8,754,343</w:t>
            </w:r>
          </w:p>
        </w:tc>
      </w:tr>
      <w:tr>
        <w:trPr>
          <w:trHeight w:val="23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Windsor II Fund</w:t>
            </w:r>
          </w:p>
        </w:tc>
        <w:tc>
          <w:tcPr>
            <w:tcW w:w="4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3,292,649</w:t>
            </w: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2020 Trust</w:t>
            </w:r>
          </w:p>
        </w:tc>
        <w:tc>
          <w:tcPr>
            <w:tcW w:w="4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859,836</w:t>
            </w:r>
          </w:p>
        </w:tc>
      </w:tr>
      <w:tr>
        <w:trPr>
          <w:trHeight w:val="22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2025 Trust</w:t>
            </w:r>
          </w:p>
        </w:tc>
        <w:tc>
          <w:tcPr>
            <w:tcW w:w="4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4,549,520</w:t>
            </w: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2030 Trust</w:t>
            </w:r>
          </w:p>
        </w:tc>
        <w:tc>
          <w:tcPr>
            <w:tcW w:w="4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8,960,851</w:t>
            </w:r>
          </w:p>
        </w:tc>
      </w:tr>
      <w:tr>
        <w:trPr>
          <w:trHeight w:val="22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2035 Trust</w:t>
            </w:r>
          </w:p>
        </w:tc>
        <w:tc>
          <w:tcPr>
            <w:tcW w:w="4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8,147,773</w:t>
            </w: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2040 Trust</w:t>
            </w:r>
          </w:p>
        </w:tc>
        <w:tc>
          <w:tcPr>
            <w:tcW w:w="4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6,741,382</w:t>
            </w:r>
          </w:p>
        </w:tc>
      </w:tr>
      <w:tr>
        <w:trPr>
          <w:trHeight w:val="22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2045 Trust</w:t>
            </w:r>
          </w:p>
        </w:tc>
        <w:tc>
          <w:tcPr>
            <w:tcW w:w="4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5,047,461</w:t>
            </w: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2050 Trust</w:t>
            </w:r>
          </w:p>
        </w:tc>
        <w:tc>
          <w:tcPr>
            <w:tcW w:w="4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6,407,200</w:t>
            </w:r>
          </w:p>
        </w:tc>
      </w:tr>
      <w:tr>
        <w:trPr>
          <w:trHeight w:val="22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2055 Trust</w:t>
            </w:r>
          </w:p>
        </w:tc>
        <w:tc>
          <w:tcPr>
            <w:tcW w:w="4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3,876,536</w:t>
            </w: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2060 Trust</w:t>
            </w:r>
          </w:p>
        </w:tc>
        <w:tc>
          <w:tcPr>
            <w:tcW w:w="4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3,712,277</w:t>
            </w:r>
          </w:p>
        </w:tc>
      </w:tr>
      <w:tr>
        <w:trPr>
          <w:trHeight w:val="23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2065 Trust</w:t>
            </w:r>
          </w:p>
        </w:tc>
        <w:tc>
          <w:tcPr>
            <w:tcW w:w="4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1,825,455</w:t>
            </w: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2070 Trust</w:t>
            </w:r>
          </w:p>
        </w:tc>
        <w:tc>
          <w:tcPr>
            <w:tcW w:w="4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260,280</w:t>
            </w:r>
          </w:p>
        </w:tc>
      </w:tr>
      <w:tr>
        <w:trPr>
          <w:trHeight w:val="22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Income Trust</w:t>
            </w:r>
          </w:p>
        </w:tc>
        <w:tc>
          <w:tcPr>
            <w:tcW w:w="4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3,629,733</w:t>
            </w: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 Vanguard Retirement Savings Trust III</w:t>
            </w:r>
          </w:p>
        </w:tc>
        <w:tc>
          <w:tcPr>
            <w:tcW w:w="4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18,360,249</w:t>
            </w:r>
          </w:p>
        </w:tc>
      </w:tr>
      <w:tr>
        <w:trPr>
          <w:trHeight w:val="23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Crown Holdings, Inc. Stock Fund</w:t>
            </w:r>
          </w:p>
        </w:tc>
        <w:tc>
          <w:tcPr>
            <w:tcW w:w="4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Common Stock Fund</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5,064,837</w:t>
            </w:r>
          </w:p>
        </w:tc>
      </w:tr>
      <w:tr>
        <w:trPr>
          <w:trHeight w:val="175"/>
        </w:trPr>
        <w:tc>
          <w:tcPr>
            <w:tcW w:w="4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 Notes receivable from participants</w:t>
            </w:r>
          </w:p>
        </w:tc>
        <w:tc>
          <w:tcPr>
            <w:tcW w:w="4460" w:type="dxa"/>
            <w:vAlign w:val="bottom"/>
          </w:tcPr>
          <w:p>
            <w:pPr>
              <w:ind w:left="640"/>
              <w:spacing w:after="0" w:line="176" w:lineRule="exact"/>
              <w:rPr>
                <w:sz w:val="20"/>
                <w:szCs w:val="20"/>
                <w:color w:val="auto"/>
              </w:rPr>
            </w:pPr>
            <w:r>
              <w:rPr>
                <w:rFonts w:ascii="Times New Roman" w:cs="Times New Roman" w:eastAsia="Times New Roman" w:hAnsi="Times New Roman"/>
                <w:sz w:val="18"/>
                <w:szCs w:val="18"/>
                <w:color w:val="auto"/>
              </w:rPr>
              <w:t>Interest rates: 4.25% - 9.50%, maturing</w:t>
            </w:r>
          </w:p>
        </w:tc>
        <w:tc>
          <w:tcPr>
            <w:tcW w:w="18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4,144,745</w:t>
            </w:r>
          </w:p>
        </w:tc>
      </w:tr>
      <w:tr>
        <w:trPr>
          <w:trHeight w:val="239"/>
        </w:trPr>
        <w:tc>
          <w:tcPr>
            <w:tcW w:w="4720" w:type="dxa"/>
            <w:vAlign w:val="bottom"/>
            <w:tcBorders>
              <w:bottom w:val="single" w:sz="8" w:color="CCEEFF"/>
            </w:tcBorders>
          </w:tcPr>
          <w:p>
            <w:pPr>
              <w:spacing w:after="0"/>
              <w:rPr>
                <w:sz w:val="20"/>
                <w:szCs w:val="20"/>
                <w:color w:val="auto"/>
              </w:rPr>
            </w:pPr>
          </w:p>
        </w:tc>
        <w:tc>
          <w:tcPr>
            <w:tcW w:w="44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through August 4, 2031</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52"/>
        </w:trPr>
        <w:tc>
          <w:tcPr>
            <w:tcW w:w="4720" w:type="dxa"/>
            <w:vAlign w:val="bottom"/>
            <w:tcBorders>
              <w:bottom w:val="single" w:sz="8" w:color="CCEEFF"/>
            </w:tcBorders>
            <w:shd w:val="clear" w:color="auto" w:fill="CCEEFF"/>
          </w:tcPr>
          <w:p>
            <w:pPr>
              <w:ind w:left="160"/>
              <w:spacing w:after="0" w:line="228" w:lineRule="exact"/>
              <w:rPr>
                <w:sz w:val="20"/>
                <w:szCs w:val="20"/>
                <w:color w:val="auto"/>
              </w:rPr>
            </w:pPr>
            <w:r>
              <w:rPr>
                <w:rFonts w:ascii="Times New Roman" w:cs="Times New Roman" w:eastAsia="Times New Roman" w:hAnsi="Times New Roman"/>
                <w:sz w:val="20"/>
                <w:szCs w:val="20"/>
                <w:b w:val="1"/>
                <w:bCs w:val="1"/>
                <w:color w:val="auto"/>
              </w:rPr>
              <w:t>Total (Held at End of Year)</w:t>
            </w:r>
          </w:p>
        </w:tc>
        <w:tc>
          <w:tcPr>
            <w:tcW w:w="4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200,031,151</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Party-in-Interest as defined by ERISA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column not required to be reported as all investments are participant directed.</w:t>
      </w: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740" w:top="729" w:right="7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86"/>
        </w:trPr>
        <w:tc>
          <w:tcPr>
            <w:tcW w:w="22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EXHIBITS</w:t>
            </w:r>
          </w:p>
        </w:tc>
        <w:tc>
          <w:tcPr>
            <w:tcW w:w="19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69"/>
        </w:trPr>
        <w:tc>
          <w:tcPr>
            <w:tcW w:w="4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Number</w:t>
            </w:r>
          </w:p>
        </w:tc>
        <w:tc>
          <w:tcPr>
            <w:tcW w:w="5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23</w:t>
            </w:r>
          </w:p>
        </w:tc>
        <w:tc>
          <w:tcPr>
            <w:tcW w:w="780" w:type="dxa"/>
            <w:vAlign w:val="bottom"/>
          </w:tcPr>
          <w:p>
            <w:pPr>
              <w:spacing w:after="0"/>
              <w:rPr>
                <w:sz w:val="21"/>
                <w:szCs w:val="21"/>
                <w:color w:val="auto"/>
              </w:rPr>
            </w:pPr>
          </w:p>
        </w:tc>
        <w:tc>
          <w:tcPr>
            <w:tcW w:w="5180" w:type="dxa"/>
            <w:vAlign w:val="bottom"/>
            <w:tcBorders>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7"/>
              </w:rPr>
              <w:t>Consent of Independent Registered Public Accounting Firm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Benefit Plans Investment Committee has duly caused this annual report to be signed on its behalf by the undersigned hereto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Crown Cork &amp; Seal Company, Inc.</w:t>
      </w:r>
    </w:p>
    <w:p>
      <w:pPr>
        <w:spacing w:after="0" w:line="2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Retirement Thrift Plan</w:t>
      </w:r>
    </w:p>
    <w:p>
      <w:pPr>
        <w:spacing w:after="0" w:line="200" w:lineRule="exact"/>
        <w:rPr>
          <w:sz w:val="20"/>
          <w:szCs w:val="20"/>
          <w:color w:val="auto"/>
        </w:rPr>
      </w:pPr>
    </w:p>
    <w:p>
      <w:pPr>
        <w:spacing w:after="0" w:line="345" w:lineRule="exact"/>
        <w:rPr>
          <w:sz w:val="20"/>
          <w:szCs w:val="20"/>
          <w:color w:val="auto"/>
        </w:rPr>
      </w:pPr>
    </w:p>
    <w:p>
      <w:pPr>
        <w:ind w:left="5460"/>
        <w:spacing w:after="0"/>
        <w:tabs>
          <w:tab w:leader="none" w:pos="60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Kevin B. Garry</w:t>
      </w:r>
    </w:p>
    <w:p>
      <w:pPr>
        <w:spacing w:after="0" w:line="2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Kevin B. Garry</w:t>
      </w:r>
    </w:p>
    <w:p>
      <w:pPr>
        <w:spacing w:after="0" w:line="1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Vice President and Corporate Controller</w:t>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June 18, 2026</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34" w:right="339" w:bottom="1440" w:gutter="0" w:footer="0" w:header="0"/>
          <w:type w:val="continuous"/>
        </w:sectPr>
      </w:pPr>
    </w:p>
    <w:bookmarkStart w:id="16" w:name="page17"/>
    <w:bookmarkEnd w:id="16"/>
    <w:p>
      <w:pPr>
        <w:jc w:val="right"/>
        <w:spacing w:after="0"/>
        <w:rPr>
          <w:sz w:val="20"/>
          <w:szCs w:val="20"/>
          <w:color w:val="auto"/>
        </w:rPr>
      </w:pPr>
      <w:r>
        <w:rPr>
          <w:rFonts w:ascii="Times New Roman" w:cs="Times New Roman" w:eastAsia="Times New Roman" w:hAnsi="Times New Roman"/>
          <w:sz w:val="25"/>
          <w:szCs w:val="25"/>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consent to the incorporation by reference in the Registration Statement (No. 333-230008) on Form S-8 of our report dated June 18, 2026, relating to the financial statements and supplemental schedules, appearing in this Annual Report on Form 11-K of the Crown Cork &amp; Seal Company, Inc. Retirement Thrift Plan for the year ended December 31, 2025.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Whippany, New Jersey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18, 2026</w:t>
      </w:r>
    </w:p>
    <w:sectPr>
      <w:pgSz w:w="11900" w:h="16838" w:orient="portrait"/>
      <w:cols w:equalWidth="0" w:num="1">
        <w:col w:w="11240"/>
      </w:cols>
      <w:pgMar w:left="320" w:top="1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2026-06-18T10:54:52Z</dcterms:created>
  <dcterms:modified xsi:type="dcterms:W3CDTF">2026-06-18T10:54:52Z</dcterms:modified>
</cp:coreProperties>
</file>