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June 30, 2026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TRANSITION PERIOD FROM  ____  TO 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001-41550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CROWN HOLDINGS,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5520" w:type="dxa"/>
        <w:jc w:val="left"/>
        <w:tblInd w:w="0" w:type="dxa"/>
        <w:tblLayout w:type="fixed"/>
        <w:tblCellMar>
          <w:top w:w="28" w:type="dxa"/>
          <w:left w:w="28" w:type="dxa"/>
          <w:bottom w:w="28" w:type="dxa"/>
          <w:right w:w="28" w:type="dxa"/>
        </w:tblCellMar>
      </w:tblPr>
      <w:tblGrid>
        <w:gridCol w:w="1071"/>
        <w:gridCol w:w="939"/>
        <w:gridCol w:w="944"/>
        <w:gridCol w:w="240"/>
        <w:gridCol w:w="240"/>
        <w:gridCol w:w="241"/>
        <w:gridCol w:w="120"/>
        <w:gridCol w:w="120"/>
        <w:gridCol w:w="121"/>
        <w:gridCol w:w="433"/>
        <w:gridCol w:w="433"/>
        <w:gridCol w:w="618"/>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75-3099507</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14025 Riveredge Drive, Suite 300</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Tampa</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33637</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215-698-5100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$5.00 Par Value</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w:t>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489"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6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Exchange Act Rule 12b-2).    Yes ☐   No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There were 108,760,511</w:t>
      </w:r>
      <w:r>
        <w:rPr>
          <w:color w:val="FF0000"/>
          <w:shd w:fill="FFFFFF" w:val="clear"/>
        </w:rPr>
        <w:t xml:space="preserve"> </w:t>
      </w:r>
      <w:r>
        <w:rPr>
          <w:rFonts w:ascii="Times New Roman;serif" w:hAnsi="Times New Roman;serif"/>
          <w:b w:val="false"/>
          <w:color w:val="000000"/>
          <w:sz w:val="18"/>
          <w:shd w:fill="FFFFFF" w:val="clear"/>
        </w:rPr>
        <w:t>shares of Common Stock outstanding as of July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783" w:type="dxa"/>
        <w:jc w:val="left"/>
        <w:tblInd w:w="0" w:type="dxa"/>
        <w:tblLayout w:type="fixed"/>
        <w:tblCellMar>
          <w:top w:w="28" w:type="dxa"/>
          <w:left w:w="28" w:type="dxa"/>
          <w:bottom w:w="28" w:type="dxa"/>
          <w:right w:w="28" w:type="dxa"/>
        </w:tblCellMar>
      </w:tblPr>
      <w:tblGrid>
        <w:gridCol w:w="124"/>
        <w:gridCol w:w="109"/>
        <w:gridCol w:w="109"/>
        <w:gridCol w:w="689"/>
        <w:gridCol w:w="689"/>
        <w:gridCol w:w="6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OF CONTENTS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8457" w:type="dxa"/>
        <w:jc w:val="left"/>
        <w:tblInd w:w="0" w:type="dxa"/>
        <w:tblLayout w:type="fixed"/>
        <w:tblCellMar>
          <w:top w:w="28" w:type="dxa"/>
          <w:left w:w="28" w:type="dxa"/>
          <w:bottom w:w="28" w:type="dxa"/>
          <w:right w:w="28" w:type="dxa"/>
        </w:tblCellMar>
      </w:tblPr>
      <w:tblGrid>
        <w:gridCol w:w="2926"/>
        <w:gridCol w:w="2576"/>
        <w:gridCol w:w="2583"/>
        <w:gridCol w:w="109"/>
        <w:gridCol w:w="109"/>
        <w:gridCol w:w="154"/>
      </w:tblGrid>
      <w:tr>
        <w:trPr/>
        <w:tc>
          <w:tcPr>
            <w:tcW w:w="2926"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before="0" w:after="0"/>
              <w:ind w:left="0" w:right="0" w:firstLine="18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ind w:left="0" w:right="0" w:firstLine="180"/>
              <w:jc w:val="left"/>
              <w:rPr/>
            </w:pPr>
            <w:r>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48bd0f530a49f9ab7b3985c6ef9b97">
              <w:r>
                <w:rPr>
                  <w:rStyle w:val="InternetLink"/>
                  <w:rFonts w:ascii="Times New Roman;serif" w:hAnsi="Times New Roman;serif"/>
                  <w:b w:val="false"/>
                  <w:strike w:val="false"/>
                  <w:dstrike w:val="false"/>
                  <w:color w:val="000000"/>
                  <w:sz w:val="20"/>
                  <w:u w:val="none"/>
                  <w:effect w:val="non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448bd0f530a49f9ab7b3985c6ef9b97">
              <w:r>
                <w:rPr>
                  <w:rStyle w:val="InternetLink"/>
                  <w:rFonts w:ascii="Times New Roman;serif" w:hAnsi="Times New Roman;serif"/>
                  <w:b w:val="false"/>
                  <w:strike w:val="false"/>
                  <w:dstrike w:val="false"/>
                  <w:color w:val="000000"/>
                  <w:sz w:val="20"/>
                  <w:u w:val="none"/>
                  <w:effect w:val="none"/>
                </w:rPr>
                <w:t>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d54fa47bb848b9ab634ee8c5d08f54">
              <w:r>
                <w:rPr>
                  <w:rStyle w:val="InternetLink"/>
                  <w:rFonts w:ascii="Times New Roman;serif" w:hAnsi="Times New Roman;serif"/>
                  <w:b w:val="false"/>
                  <w:strike w:val="false"/>
                  <w:dstrike w:val="false"/>
                  <w:color w:val="000000"/>
                  <w:sz w:val="20"/>
                  <w:u w:val="none"/>
                  <w:effect w:val="non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8d54fa47bb848b9ab634ee8c5d08f54">
              <w:r>
                <w:rPr>
                  <w:rStyle w:val="InternetLink"/>
                  <w:rFonts w:ascii="Times New Roman;serif" w:hAnsi="Times New Roman;serif"/>
                  <w:b w:val="false"/>
                  <w:strike w:val="false"/>
                  <w:dstrike w:val="false"/>
                  <w:color w:val="000000"/>
                  <w:sz w:val="20"/>
                  <w:u w:val="none"/>
                  <w:effect w:val="none"/>
                </w:rPr>
                <w:t>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494093e1d78a4be6a75ee83d8f8edc87">
              <w:r>
                <w:rPr>
                  <w:rStyle w:val="InternetLink"/>
                  <w:rFonts w:ascii="Times New Roman;serif" w:hAnsi="Times New Roman;serif"/>
                  <w:b w:val="false"/>
                  <w:strike w:val="false"/>
                  <w:dstrike w:val="false"/>
                  <w:color w:val="000000"/>
                  <w:sz w:val="20"/>
                  <w:u w:val="none"/>
                  <w:effect w:val="non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94093e1d78a4be6a75ee83d8f8edc87">
              <w:r>
                <w:rPr>
                  <w:rStyle w:val="InternetLink"/>
                  <w:rFonts w:ascii="Times New Roman;serif" w:hAnsi="Times New Roman;serif"/>
                  <w:b w:val="false"/>
                  <w:strike w:val="false"/>
                  <w:dstrike w:val="false"/>
                  <w:color w:val="000000"/>
                  <w:sz w:val="20"/>
                  <w:u w:val="none"/>
                  <w:effect w:val="none"/>
                </w:rPr>
                <w:t>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f225adf0601e4f8fb58db15d83eb7df2">
              <w:r>
                <w:rPr>
                  <w:rStyle w:val="InternetLink"/>
                  <w:rFonts w:ascii="Times New Roman;serif" w:hAnsi="Times New Roman;serif"/>
                  <w:b w:val="false"/>
                  <w:strike w:val="false"/>
                  <w:dstrike w:val="false"/>
                  <w:color w:val="000000"/>
                  <w:sz w:val="20"/>
                  <w:u w:val="none"/>
                  <w:effect w:val="non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225adf0601e4f8fb58db15d83eb7df2">
              <w:r>
                <w:rPr>
                  <w:rStyle w:val="InternetLink"/>
                  <w:rFonts w:ascii="Times New Roman;serif" w:hAnsi="Times New Roman;serif"/>
                  <w:b w:val="false"/>
                  <w:strike w:val="false"/>
                  <w:dstrike w:val="false"/>
                  <w:color w:val="000000"/>
                  <w:sz w:val="20"/>
                  <w:u w:val="none"/>
                  <w:effect w:val="none"/>
                </w:rPr>
                <w:t>3</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3e09d5c06dce4a6d93d8efaa8c83a767">
              <w:r>
                <w:rPr>
                  <w:rStyle w:val="InternetLink"/>
                  <w:rFonts w:ascii="Times New Roman;serif" w:hAnsi="Times New Roman;serif"/>
                  <w:b w:val="false"/>
                  <w:strike w:val="false"/>
                  <w:dstrike w:val="false"/>
                  <w:color w:val="000000"/>
                  <w:sz w:val="20"/>
                  <w:u w:val="none"/>
                  <w:effect w:val="none"/>
                </w:rPr>
                <w:t>CONSOLIDATED BALANCE SHEETS (Condensed)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e09d5c06dce4a6d93d8efaa8c83a767">
              <w:r>
                <w:rPr>
                  <w:rStyle w:val="InternetLink"/>
                  <w:rFonts w:ascii="Times New Roman;serif" w:hAnsi="Times New Roman;serif"/>
                  <w:b w:val="false"/>
                  <w:strike w:val="false"/>
                  <w:dstrike w:val="false"/>
                  <w:color w:val="000000"/>
                  <w:sz w:val="20"/>
                  <w:u w:val="none"/>
                  <w:effect w:val="none"/>
                </w:rPr>
                <w:t>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d4b4db7e2feb489d809ecf3d870732e7">
              <w:r>
                <w:rPr>
                  <w:rStyle w:val="InternetLink"/>
                  <w:rFonts w:ascii="Times New Roman;serif" w:hAnsi="Times New Roman;serif"/>
                  <w:b w:val="false"/>
                  <w:strike w:val="false"/>
                  <w:dstrike w:val="false"/>
                  <w:color w:val="000000"/>
                  <w:sz w:val="20"/>
                  <w:u w:val="none"/>
                  <w:effect w:val="none"/>
                </w:rPr>
                <w:t>CONSOLIDATED STATEMENTS OF CASH FLOWS (Condensed)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b4db7e2feb489d809ecf3d870732e7">
              <w:r>
                <w:rPr>
                  <w:rStyle w:val="InternetLink"/>
                  <w:rFonts w:ascii="Times New Roman;serif" w:hAnsi="Times New Roman;serif"/>
                  <w:b w:val="false"/>
                  <w:strike w:val="false"/>
                  <w:dstrike w:val="false"/>
                  <w:color w:val="000000"/>
                  <w:sz w:val="20"/>
                  <w:u w:val="none"/>
                  <w:effect w:val="none"/>
                </w:rPr>
                <w:t>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f2116f5096eb45ad95e057efa4d17142">
              <w:r>
                <w:rPr>
                  <w:rStyle w:val="InternetLink"/>
                  <w:rFonts w:ascii="Times New Roman;serif" w:hAnsi="Times New Roman;serif"/>
                  <w:b w:val="false"/>
                  <w:strike w:val="false"/>
                  <w:dstrike w:val="false"/>
                  <w:color w:val="000000"/>
                  <w:sz w:val="20"/>
                  <w:u w:val="none"/>
                  <w:effect w:val="none"/>
                </w:rPr>
                <w:t>CONSOLIDATED STATEMENTS OF CHANGES IN SHAREHOLDERS’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2116f5096eb45ad95e057efa4d17142">
              <w:r>
                <w:rPr>
                  <w:rStyle w:val="InternetLink"/>
                  <w:rFonts w:ascii="Times New Roman;serif" w:hAnsi="Times New Roman;serif"/>
                  <w:b w:val="false"/>
                  <w:strike w:val="false"/>
                  <w:dstrike w:val="false"/>
                  <w:color w:val="000000"/>
                  <w:sz w:val="20"/>
                  <w:u w:val="none"/>
                  <w:effect w:val="none"/>
                </w:rPr>
                <w:t>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left"/>
              <w:rPr/>
            </w:pPr>
            <w:hyperlink w:anchor="ifb9fcb02883f440b920c76c6b7839a4e">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b9fcb02883f440b920c76c6b7839a4e">
              <w:r>
                <w:rPr>
                  <w:rStyle w:val="InternetLink"/>
                  <w:rFonts w:ascii="Times New Roman;serif" w:hAnsi="Times New Roman;serif"/>
                  <w:b w:val="false"/>
                  <w:strike w:val="false"/>
                  <w:dstrike w:val="false"/>
                  <w:color w:val="000000"/>
                  <w:sz w:val="20"/>
                  <w:u w:val="none"/>
                  <w:effect w:val="non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4605ac221fd435d92521e35d56728f4">
              <w:r>
                <w:rPr>
                  <w:rStyle w:val="InternetLink"/>
                  <w:rFonts w:ascii="Times New Roman;serif" w:hAnsi="Times New Roman;serif"/>
                  <w:b w:val="false"/>
                  <w:strike w:val="false"/>
                  <w:dstrike w:val="false"/>
                  <w:color w:val="000000"/>
                  <w:sz w:val="20"/>
                  <w:u w:val="none"/>
                  <w:effect w:val="none"/>
                </w:rPr>
                <w:t>A.    Basis of Presentation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4605ac221fd435d92521e35d56728f4">
              <w:r>
                <w:rPr>
                  <w:rStyle w:val="InternetLink"/>
                  <w:rFonts w:ascii="Times New Roman;serif" w:hAnsi="Times New Roman;serif"/>
                  <w:b w:val="false"/>
                  <w:strike w:val="false"/>
                  <w:dstrike w:val="false"/>
                  <w:color w:val="000000"/>
                  <w:sz w:val="20"/>
                  <w:u w:val="none"/>
                  <w:effect w:val="non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4beed1e09c41a193e440cd2511793e">
              <w:r>
                <w:rPr>
                  <w:rStyle w:val="InternetLink"/>
                  <w:rFonts w:ascii="Times New Roman;serif" w:hAnsi="Times New Roman;serif"/>
                  <w:b w:val="false"/>
                  <w:strike w:val="false"/>
                  <w:dstrike w:val="false"/>
                  <w:color w:val="000000"/>
                  <w:sz w:val="20"/>
                  <w:u w:val="none"/>
                  <w:effect w:val="none"/>
                </w:rPr>
                <w:t>B.    Recent Accounting and Reporting Pronouncements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64beed1e09c41a193e440cd2511793e">
              <w:r>
                <w:rPr>
                  <w:rStyle w:val="InternetLink"/>
                  <w:rFonts w:ascii="Times New Roman;serif" w:hAnsi="Times New Roman;serif"/>
                  <w:b w:val="false"/>
                  <w:strike w:val="false"/>
                  <w:dstrike w:val="false"/>
                  <w:color w:val="000000"/>
                  <w:sz w:val="20"/>
                  <w:u w:val="none"/>
                  <w:effect w:val="non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cd70933c9084a5d86819d1163834797">
              <w:r>
                <w:rPr>
                  <w:rStyle w:val="InternetLink"/>
                  <w:rFonts w:ascii="Times New Roman;serif" w:hAnsi="Times New Roman;serif"/>
                  <w:b w:val="false"/>
                  <w:strike w:val="false"/>
                  <w:dstrike w:val="false"/>
                  <w:color w:val="000000"/>
                  <w:sz w:val="20"/>
                  <w:u w:val="none"/>
                  <w:effect w:val="none"/>
                </w:rPr>
                <w:t>C.    Cash, Cash Equivalents, and Restricted Cash</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cd70933c9084a5d86819d1163834797">
              <w:r>
                <w:rPr>
                  <w:rStyle w:val="InternetLink"/>
                  <w:rFonts w:ascii="Times New Roman;serif" w:hAnsi="Times New Roman;serif"/>
                  <w:b w:val="false"/>
                  <w:strike w:val="false"/>
                  <w:dstrike w:val="false"/>
                  <w:color w:val="000000"/>
                  <w:sz w:val="20"/>
                  <w:u w:val="none"/>
                  <w:effect w:val="non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b7281909e3a4245afd1b423b7772937">
              <w:r>
                <w:rPr>
                  <w:rStyle w:val="InternetLink"/>
                  <w:rFonts w:ascii="Times New Roman;serif" w:hAnsi="Times New Roman;serif"/>
                  <w:b w:val="false"/>
                  <w:strike w:val="false"/>
                  <w:dstrike w:val="false"/>
                  <w:color w:val="000000"/>
                  <w:sz w:val="20"/>
                  <w:u w:val="none"/>
                  <w:effect w:val="none"/>
                </w:rPr>
                <w:t>D.    Receivables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b7281909e3a4245afd1b423b7772937">
              <w:r>
                <w:rPr>
                  <w:rStyle w:val="InternetLink"/>
                  <w:rFonts w:ascii="Times New Roman;serif" w:hAnsi="Times New Roman;serif"/>
                  <w:b w:val="false"/>
                  <w:strike w:val="false"/>
                  <w:dstrike w:val="false"/>
                  <w:color w:val="000000"/>
                  <w:sz w:val="20"/>
                  <w:u w:val="none"/>
                  <w:effect w:val="non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daddaa996b14ef7a8805267c212b916">
              <w:r>
                <w:rPr>
                  <w:rStyle w:val="InternetLink"/>
                  <w:rFonts w:ascii="Times New Roman;serif" w:hAnsi="Times New Roman;serif"/>
                  <w:b w:val="false"/>
                  <w:strike w:val="false"/>
                  <w:dstrike w:val="false"/>
                  <w:color w:val="000000"/>
                  <w:sz w:val="20"/>
                  <w:u w:val="none"/>
                  <w:effect w:val="none"/>
                </w:rPr>
                <w:t>E.    Inventories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daddaa996b14ef7a8805267c212b916">
              <w:r>
                <w:rPr>
                  <w:rStyle w:val="InternetLink"/>
                  <w:rFonts w:ascii="Times New Roman;serif" w:hAnsi="Times New Roman;serif"/>
                  <w:b w:val="false"/>
                  <w:strike w:val="false"/>
                  <w:dstrike w:val="false"/>
                  <w:color w:val="000000"/>
                  <w:sz w:val="20"/>
                  <w:u w:val="none"/>
                  <w:effect w:val="non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f352a2347b481e800172ffca05a660">
              <w:r>
                <w:rPr>
                  <w:rStyle w:val="InternetLink"/>
                  <w:rFonts w:ascii="Times New Roman;serif" w:hAnsi="Times New Roman;serif"/>
                  <w:b w:val="false"/>
                  <w:strike w:val="false"/>
                  <w:dstrike w:val="false"/>
                  <w:color w:val="000000"/>
                  <w:sz w:val="20"/>
                  <w:u w:val="none"/>
                  <w:effect w:val="none"/>
                </w:rPr>
                <w:t>F.    Intangible Assets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f352a2347b481e800172ffca05a660">
              <w:r>
                <w:rPr>
                  <w:rStyle w:val="InternetLink"/>
                  <w:rFonts w:ascii="Times New Roman;serif" w:hAnsi="Times New Roman;serif"/>
                  <w:b w:val="false"/>
                  <w:strike w:val="false"/>
                  <w:dstrike w:val="false"/>
                  <w:color w:val="000000"/>
                  <w:sz w:val="20"/>
                  <w:u w:val="none"/>
                  <w:effect w:val="non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b4f172e2154e4ab615d47c5e1c59a0">
              <w:r>
                <w:rPr>
                  <w:rStyle w:val="InternetLink"/>
                  <w:rFonts w:ascii="Times New Roman;serif" w:hAnsi="Times New Roman;serif"/>
                  <w:b w:val="false"/>
                  <w:strike w:val="false"/>
                  <w:dstrike w:val="false"/>
                  <w:color w:val="000000"/>
                  <w:sz w:val="20"/>
                  <w:u w:val="none"/>
                  <w:effect w:val="none"/>
                </w:rPr>
                <w:t>G.    Supplier Finance Program Obligations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cb4f172e2154e4ab615d47c5e1c59a0">
              <w:r>
                <w:rPr>
                  <w:rStyle w:val="InternetLink"/>
                  <w:rFonts w:ascii="Times New Roman;serif" w:hAnsi="Times New Roman;serif"/>
                  <w:b w:val="false"/>
                  <w:strike w:val="false"/>
                  <w:dstrike w:val="false"/>
                  <w:color w:val="000000"/>
                  <w:sz w:val="20"/>
                  <w:u w:val="none"/>
                  <w:effect w:val="non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1a057a16748f2b5d487f979202eb6">
              <w:r>
                <w:rPr>
                  <w:rStyle w:val="InternetLink"/>
                  <w:rFonts w:ascii="Times New Roman;serif" w:hAnsi="Times New Roman;serif"/>
                  <w:b w:val="false"/>
                  <w:strike w:val="false"/>
                  <w:dstrike w:val="false"/>
                  <w:color w:val="000000"/>
                  <w:sz w:val="20"/>
                  <w:u w:val="none"/>
                  <w:effect w:val="none"/>
                </w:rPr>
                <w:t>H.    Restructuring and Other</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71a057a16748f2b5d487f979202eb6">
              <w:r>
                <w:rPr>
                  <w:rStyle w:val="InternetLink"/>
                  <w:rFonts w:ascii="Times New Roman;serif" w:hAnsi="Times New Roman;serif"/>
                  <w:b w:val="false"/>
                  <w:strike w:val="false"/>
                  <w:dstrike w:val="false"/>
                  <w:color w:val="000000"/>
                  <w:sz w:val="20"/>
                  <w:u w:val="none"/>
                  <w:effect w:val="none"/>
                </w:rPr>
                <w:t>10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f1d552c81f54641bee705563de82365">
              <w:r>
                <w:rPr>
                  <w:rStyle w:val="InternetLink"/>
                  <w:rFonts w:ascii="Times New Roman;serif" w:hAnsi="Times New Roman;serif"/>
                  <w:b w:val="false"/>
                  <w:strike w:val="false"/>
                  <w:dstrike w:val="false"/>
                  <w:color w:val="000000"/>
                  <w:sz w:val="20"/>
                  <w:u w:val="none"/>
                  <w:effect w:val="none"/>
                </w:rPr>
                <w:t>I.    Asbestos-Related Liabilities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f1d552c81f54641bee705563de82365">
              <w:r>
                <w:rPr>
                  <w:rStyle w:val="InternetLink"/>
                  <w:rFonts w:ascii="Times New Roman;serif" w:hAnsi="Times New Roman;serif"/>
                  <w:b w:val="false"/>
                  <w:strike w:val="false"/>
                  <w:dstrike w:val="false"/>
                  <w:color w:val="000000"/>
                  <w:sz w:val="20"/>
                  <w:u w:val="none"/>
                  <w:effect w:val="none"/>
                </w:rPr>
                <w:t>10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4de5c00b55b46839133bbecb22b7217">
              <w:r>
                <w:rPr>
                  <w:rStyle w:val="InternetLink"/>
                  <w:rFonts w:ascii="Times New Roman;serif" w:hAnsi="Times New Roman;serif"/>
                  <w:b w:val="false"/>
                  <w:strike w:val="false"/>
                  <w:dstrike w:val="false"/>
                  <w:color w:val="000000"/>
                  <w:sz w:val="20"/>
                  <w:u w:val="none"/>
                  <w:effect w:val="none"/>
                </w:rPr>
                <w:t>J.    Commitments and Contingent Liabilities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4de5c00b55b46839133bbecb22b7217">
              <w:r>
                <w:rPr>
                  <w:rStyle w:val="InternetLink"/>
                  <w:rFonts w:ascii="Times New Roman;serif" w:hAnsi="Times New Roman;serif"/>
                  <w:b w:val="false"/>
                  <w:strike w:val="false"/>
                  <w:dstrike w:val="false"/>
                  <w:color w:val="000000"/>
                  <w:sz w:val="20"/>
                  <w:u w:val="none"/>
                  <w:effect w:val="none"/>
                </w:rPr>
                <w:t>12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06e5ec2bce5479684b8334f8a6c3929">
              <w:r>
                <w:rPr>
                  <w:rStyle w:val="InternetLink"/>
                  <w:rFonts w:ascii="Times New Roman;serif" w:hAnsi="Times New Roman;serif"/>
                  <w:b w:val="false"/>
                  <w:strike w:val="false"/>
                  <w:dstrike w:val="false"/>
                  <w:color w:val="000000"/>
                  <w:sz w:val="20"/>
                  <w:u w:val="none"/>
                  <w:effect w:val="none"/>
                </w:rPr>
                <w:t>K.    Derivative and Other Financial Instruments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06e5ec2bce5479684b8334f8a6c3929">
              <w:r>
                <w:rPr>
                  <w:rStyle w:val="InternetLink"/>
                  <w:rFonts w:ascii="Times New Roman;serif" w:hAnsi="Times New Roman;serif"/>
                  <w:b w:val="false"/>
                  <w:strike w:val="false"/>
                  <w:dstrike w:val="false"/>
                  <w:color w:val="000000"/>
                  <w:sz w:val="20"/>
                  <w:u w:val="none"/>
                  <w:effect w:val="none"/>
                </w:rPr>
                <w:t>13</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2178161d9c4db5804120f5fa93edc5">
              <w:r>
                <w:rPr>
                  <w:rStyle w:val="InternetLink"/>
                  <w:rFonts w:ascii="Times New Roman;serif" w:hAnsi="Times New Roman;serif"/>
                  <w:b w:val="false"/>
                  <w:strike w:val="false"/>
                  <w:dstrike w:val="false"/>
                  <w:color w:val="000000"/>
                  <w:sz w:val="20"/>
                  <w:u w:val="none"/>
                  <w:effect w:val="none"/>
                </w:rPr>
                <w:t>L.    Debt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2178161d9c4db5804120f5fa93edc5">
              <w:r>
                <w:rPr>
                  <w:rStyle w:val="InternetLink"/>
                  <w:rFonts w:ascii="Times New Roman;serif" w:hAnsi="Times New Roman;serif"/>
                  <w:b w:val="false"/>
                  <w:strike w:val="false"/>
                  <w:dstrike w:val="false"/>
                  <w:color w:val="000000"/>
                  <w:sz w:val="20"/>
                  <w:u w:val="none"/>
                  <w:effect w:val="none"/>
                </w:rPr>
                <w:t>18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b4b51404394011b9a5a87d02b79544">
              <w:r>
                <w:rPr>
                  <w:rStyle w:val="InternetLink"/>
                  <w:rFonts w:ascii="Times New Roman;serif" w:hAnsi="Times New Roman;serif"/>
                  <w:b w:val="false"/>
                  <w:strike w:val="false"/>
                  <w:dstrike w:val="false"/>
                  <w:color w:val="000000"/>
                  <w:sz w:val="20"/>
                  <w:u w:val="none"/>
                  <w:effect w:val="none"/>
                </w:rPr>
                <w:t>M.    Pension and Other Postretirement Benefits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b4b51404394011b9a5a87d02b79544">
              <w:r>
                <w:rPr>
                  <w:rStyle w:val="InternetLink"/>
                  <w:rFonts w:ascii="Times New Roman;serif" w:hAnsi="Times New Roman;serif"/>
                  <w:b w:val="false"/>
                  <w:strike w:val="false"/>
                  <w:dstrike w:val="false"/>
                  <w:color w:val="000000"/>
                  <w:sz w:val="20"/>
                  <w:u w:val="none"/>
                  <w:effect w:val="none"/>
                </w:rPr>
                <w:t>19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751d552040427c9ea71ff214bb0390">
              <w:r>
                <w:rPr>
                  <w:rStyle w:val="InternetLink"/>
                  <w:rFonts w:ascii="Times New Roman;serif" w:hAnsi="Times New Roman;serif"/>
                  <w:b w:val="false"/>
                  <w:strike w:val="false"/>
                  <w:dstrike w:val="false"/>
                  <w:color w:val="000000"/>
                  <w:sz w:val="20"/>
                  <w:u w:val="none"/>
                  <w:effect w:val="none"/>
                </w:rPr>
                <w:t>N.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751d552040427c9ea71ff214bb0390">
              <w:r>
                <w:rPr>
                  <w:rStyle w:val="InternetLink"/>
                  <w:rFonts w:ascii="Times New Roman;serif" w:hAnsi="Times New Roman;serif"/>
                  <w:b w:val="false"/>
                  <w:strike w:val="false"/>
                  <w:dstrike w:val="false"/>
                  <w:color w:val="000000"/>
                  <w:sz w:val="20"/>
                  <w:u w:val="none"/>
                  <w:effect w:val="none"/>
                </w:rPr>
                <w:t>19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136cbb2cbf43cd8c30ee922f8b70da">
              <w:r>
                <w:rPr>
                  <w:rStyle w:val="InternetLink"/>
                  <w:rFonts w:ascii="Times New Roman;serif" w:hAnsi="Times New Roman;serif"/>
                  <w:b w:val="false"/>
                  <w:strike w:val="false"/>
                  <w:dstrike w:val="false"/>
                  <w:color w:val="000000"/>
                  <w:sz w:val="20"/>
                  <w:u w:val="none"/>
                  <w:effect w:val="none"/>
                </w:rPr>
                <w:t>O.    Accumulated Other Comprehensive Loss Attributable to Crown Holdings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136cbb2cbf43cd8c30ee922f8b70da">
              <w:r>
                <w:rPr>
                  <w:rStyle w:val="InternetLink"/>
                  <w:rFonts w:ascii="Times New Roman;serif" w:hAnsi="Times New Roman;serif"/>
                  <w:b w:val="false"/>
                  <w:strike w:val="false"/>
                  <w:dstrike w:val="false"/>
                  <w:color w:val="000000"/>
                  <w:sz w:val="20"/>
                  <w:u w:val="none"/>
                  <w:effect w:val="none"/>
                </w:rPr>
                <w:t>20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899952bcdd4e9a98975835a6ac4cb6">
              <w:r>
                <w:rPr>
                  <w:rStyle w:val="InternetLink"/>
                  <w:rFonts w:ascii="Times New Roman;serif" w:hAnsi="Times New Roman;serif"/>
                  <w:b w:val="false"/>
                  <w:strike w:val="false"/>
                  <w:dstrike w:val="false"/>
                  <w:color w:val="000000"/>
                  <w:sz w:val="20"/>
                  <w:u w:val="none"/>
                  <w:effect w:val="none"/>
                </w:rPr>
                <w:t>P.     Revenue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899952bcdd4e9a98975835a6ac4cb6">
              <w:r>
                <w:rPr>
                  <w:rStyle w:val="InternetLink"/>
                  <w:rFonts w:ascii="Times New Roman;serif" w:hAnsi="Times New Roman;serif"/>
                  <w:b w:val="false"/>
                  <w:strike w:val="false"/>
                  <w:dstrike w:val="false"/>
                  <w:color w:val="000000"/>
                  <w:sz w:val="20"/>
                  <w:u w:val="none"/>
                  <w:effect w:val="none"/>
                </w:rPr>
                <w:t>20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7cb7e1588a4972b79d66833d01f0be">
              <w:r>
                <w:rPr>
                  <w:rStyle w:val="InternetLink"/>
                  <w:rFonts w:ascii="Times New Roman;serif" w:hAnsi="Times New Roman;serif"/>
                  <w:b w:val="false"/>
                  <w:strike w:val="false"/>
                  <w:dstrike w:val="false"/>
                  <w:color w:val="000000"/>
                  <w:sz w:val="20"/>
                  <w:u w:val="none"/>
                  <w:effect w:val="none"/>
                </w:rPr>
                <w:t>Q.    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b7cb7e1588a4972b79d66833d01f0be">
              <w:r>
                <w:rPr>
                  <w:rStyle w:val="InternetLink"/>
                  <w:rFonts w:ascii="Times New Roman;serif" w:hAnsi="Times New Roman;serif"/>
                  <w:b w:val="false"/>
                  <w:strike w:val="false"/>
                  <w:dstrike w:val="false"/>
                  <w:color w:val="000000"/>
                  <w:sz w:val="20"/>
                  <w:u w:val="none"/>
                  <w:effect w:val="none"/>
                </w:rPr>
                <w:t>20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919f21f97c4e0d8959975d40775008">
              <w:r>
                <w:rPr>
                  <w:rStyle w:val="InternetLink"/>
                  <w:rFonts w:ascii="Times New Roman;serif" w:hAnsi="Times New Roman;serif"/>
                  <w:b w:val="false"/>
                  <w:strike w:val="false"/>
                  <w:dstrike w:val="false"/>
                  <w:color w:val="000000"/>
                  <w:sz w:val="20"/>
                  <w:u w:val="none"/>
                  <w:effect w:val="none"/>
                </w:rPr>
                <w:t>R.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919f21f97c4e0d8959975d40775008">
              <w:r>
                <w:rPr>
                  <w:rStyle w:val="InternetLink"/>
                  <w:rFonts w:ascii="Times New Roman;serif" w:hAnsi="Times New Roman;serif"/>
                  <w:b w:val="false"/>
                  <w:strike w:val="false"/>
                  <w:dstrike w:val="false"/>
                  <w:color w:val="000000"/>
                  <w:sz w:val="20"/>
                  <w:u w:val="none"/>
                  <w:effect w:val="none"/>
                </w:rPr>
                <w:t>21</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2653225c8754f019739f4a5c8a02f5a">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2653225c8754f019739f4a5c8a02f5a">
              <w:r>
                <w:rPr>
                  <w:rStyle w:val="InternetLink"/>
                  <w:rFonts w:ascii="Times New Roman;serif" w:hAnsi="Times New Roman;serif"/>
                  <w:b w:val="false"/>
                  <w:strike w:val="false"/>
                  <w:dstrike w:val="false"/>
                  <w:color w:val="000000"/>
                  <w:sz w:val="20"/>
                  <w:u w:val="none"/>
                  <w:effect w:val="none"/>
                </w:rPr>
                <w:t>24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715e1f55d3645638444440f06b8acc6">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715e1f55d3645638444440f06b8acc6">
              <w:r>
                <w:rPr>
                  <w:rStyle w:val="InternetLink"/>
                  <w:rFonts w:ascii="Times New Roman;serif" w:hAnsi="Times New Roman;serif"/>
                  <w:b w:val="false"/>
                  <w:strike w:val="false"/>
                  <w:dstrike w:val="false"/>
                  <w:color w:val="000000"/>
                  <w:sz w:val="20"/>
                  <w:u w:val="none"/>
                  <w:effect w:val="none"/>
                </w:rPr>
                <w:t>32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a5b702f68d4f4ba3ac12869a820115">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1a5b702f68d4f4ba3ac12869a820115">
              <w:r>
                <w:rPr>
                  <w:rStyle w:val="InternetLink"/>
                  <w:rFonts w:ascii="Times New Roman;serif" w:hAnsi="Times New Roman;serif"/>
                  <w:b w:val="false"/>
                  <w:strike w:val="false"/>
                  <w:dstrike w:val="false"/>
                  <w:color w:val="000000"/>
                  <w:sz w:val="20"/>
                  <w:u w:val="none"/>
                  <w:effect w:val="none"/>
                </w:rPr>
                <w:t>32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25f58fa8a72472b899d78590a97f14a">
              <w:r>
                <w:rPr>
                  <w:rStyle w:val="InternetLink"/>
                  <w:rFonts w:ascii="Times New Roman;serif" w:hAnsi="Times New Roman;serif"/>
                  <w:b w:val="false"/>
                  <w:strike w:val="false"/>
                  <w:dstrike w:val="false"/>
                  <w:color w:val="000000"/>
                  <w:sz w:val="20"/>
                  <w:u w:val="none"/>
                  <w:effect w:val="non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5f58fa8a72472b899d78590a97f14a">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80"/>
        <w:jc w:val="center"/>
        <w:rPr>
          <w:rFonts w:ascii="Times New Roman;serif" w:hAnsi="Times New Roman;serif"/>
          <w:b/>
          <w:color w:val="000000"/>
          <w:sz w:val="20"/>
        </w:rPr>
      </w:pPr>
      <w:bookmarkStart w:id="0" w:name="i5448bd0f530a49f9ab7b3985c6ef9b97"/>
      <w:bookmarkEnd w:id="0"/>
      <w:r>
        <w:rPr>
          <w:rFonts w:ascii="Times New Roman;serif" w:hAnsi="Times New Roman;serif"/>
          <w:b/>
          <w:color w:val="000000"/>
          <w:sz w:val="20"/>
        </w:rPr>
        <w:t>PART I – FINANCIAL INFORMATION</w:t>
      </w:r>
    </w:p>
    <w:p>
      <w:pPr>
        <w:pStyle w:val="TextBody"/>
        <w:bidi w:val="0"/>
        <w:spacing w:lineRule="auto" w:line="288" w:before="0" w:after="0"/>
        <w:ind w:left="0" w:right="0" w:hanging="180"/>
        <w:jc w:val="center"/>
        <w:rPr>
          <w:rFonts w:ascii="Times New Roman;serif" w:hAnsi="Times New Roman;serif"/>
          <w:b/>
          <w:color w:val="000000"/>
          <w:sz w:val="20"/>
        </w:rPr>
      </w:pPr>
      <w:bookmarkStart w:id="1" w:name="i28d54fa47bb848b9ab634ee8c5d08f54"/>
      <w:bookmarkEnd w:id="1"/>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center"/>
        <w:rPr>
          <w:rFonts w:ascii="Times New Roman;serif" w:hAnsi="Times New Roman;serif"/>
          <w:b/>
          <w:color w:val="000000"/>
          <w:sz w:val="20"/>
        </w:rPr>
      </w:pPr>
      <w:bookmarkStart w:id="2" w:name="i494093e1d78a4be6a75ee83d8f8edc87"/>
      <w:bookmarkEnd w:id="2"/>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35" w:type="dxa"/>
        <w:jc w:val="center"/>
        <w:tblInd w:w="0" w:type="dxa"/>
        <w:tblLayout w:type="fixed"/>
        <w:tblCellMar>
          <w:top w:w="28" w:type="dxa"/>
          <w:left w:w="28" w:type="dxa"/>
          <w:bottom w:w="28" w:type="dxa"/>
          <w:right w:w="28" w:type="dxa"/>
        </w:tblCellMar>
      </w:tblPr>
      <w:tblGrid>
        <w:gridCol w:w="1899"/>
        <w:gridCol w:w="1672"/>
        <w:gridCol w:w="169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9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early extinguishments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taxes and equity in net earnings of affiliates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Crown Holdings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attributable to Crown Holdings: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3" w:name="if225adf0601e4f8fb58db15d83eb7df2"/>
      <w:bookmarkEnd w:id="3"/>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39" w:type="dxa"/>
        <w:jc w:val="center"/>
        <w:tblInd w:w="0" w:type="dxa"/>
        <w:tblLayout w:type="fixed"/>
        <w:tblCellMar>
          <w:top w:w="28" w:type="dxa"/>
          <w:left w:w="28" w:type="dxa"/>
          <w:bottom w:w="28" w:type="dxa"/>
          <w:right w:w="28" w:type="dxa"/>
        </w:tblCellMar>
      </w:tblPr>
      <w:tblGrid>
        <w:gridCol w:w="2155"/>
        <w:gridCol w:w="1896"/>
        <w:gridCol w:w="1918"/>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2155"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 net of tax:</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qualifying as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comprehensive income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 attributable to noncontrolling interests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qualifying as hedges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Crown Holdings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4" w:name="i3e09d5c06dce4a6d93d8efaa8c83a767"/>
      <w:bookmarkEnd w:id="4"/>
      <w:r>
        <w:rPr>
          <w:rFonts w:ascii="Times New Roman;serif" w:hAnsi="Times New Roman;serif"/>
          <w:b/>
          <w:color w:val="000000"/>
          <w:sz w:val="20"/>
        </w:rPr>
        <w:t>CONSOLIDATED BALANCE SHEETS (Condensed)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723" w:type="dxa"/>
        <w:jc w:val="left"/>
        <w:tblInd w:w="0" w:type="dxa"/>
        <w:tblLayout w:type="fixed"/>
        <w:tblCellMar>
          <w:top w:w="28" w:type="dxa"/>
          <w:left w:w="28" w:type="dxa"/>
          <w:bottom w:w="28" w:type="dxa"/>
          <w:right w:w="28" w:type="dxa"/>
        </w:tblCellMar>
      </w:tblPr>
      <w:tblGrid>
        <w:gridCol w:w="1462"/>
        <w:gridCol w:w="1286"/>
        <w:gridCol w:w="1302"/>
        <w:gridCol w:w="211"/>
        <w:gridCol w:w="721"/>
        <w:gridCol w:w="109"/>
        <w:gridCol w:w="109"/>
        <w:gridCol w:w="109"/>
        <w:gridCol w:w="109"/>
        <w:gridCol w:w="253"/>
        <w:gridCol w:w="867"/>
        <w:gridCol w:w="185"/>
      </w:tblGrid>
      <w:tr>
        <w:trPr/>
        <w:tc>
          <w:tcPr>
            <w:tcW w:w="146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maturities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Commitments and contingent liabilities </w:t>
            </w:r>
            <w:r>
              <w:rPr>
                <w:rFonts w:ascii="Times New Roman;serif" w:hAnsi="Times New Roman;serif"/>
                <w:b w:val="false"/>
                <w:i/>
                <w:color w:val="000000"/>
                <w:sz w:val="20"/>
              </w:rPr>
              <w:t>(</w:t>
            </w:r>
            <w:hyperlink w:anchor="ie8614afb34884945a273560dbb0c079e_70">
              <w:r>
                <w:rPr>
                  <w:rStyle w:val="InternetLink"/>
                  <w:rFonts w:ascii="Times New Roman;serif" w:hAnsi="Times New Roman;serif"/>
                  <w:b w:val="false"/>
                  <w:i/>
                  <w:color w:val="0000FF"/>
                  <w:sz w:val="20"/>
                  <w:u w:val="single"/>
                </w:rPr>
                <w:t>Note J</w:t>
              </w:r>
            </w:hyperlink>
            <w:r>
              <w:rPr>
                <w:rFonts w:ascii="Times New Roman;serif" w:hAnsi="Times New Roman;serif"/>
                <w:b w:val="false"/>
                <w:i/>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Crown Holdings shareholders’ equity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5" w:name="id4b4db7e2feb489d809ecf3d870732e7"/>
      <w:bookmarkEnd w:id="5"/>
      <w:r>
        <w:rPr>
          <w:rFonts w:ascii="Times New Roman;serif" w:hAnsi="Times New Roman;serif"/>
          <w:b/>
          <w:color w:val="000000"/>
          <w:sz w:val="20"/>
        </w:rPr>
        <w:t>CONSOLIDATED STATEMENTS OF CASH FLOWS (Condensed)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423" w:type="dxa"/>
        <w:jc w:val="center"/>
        <w:tblInd w:w="0" w:type="dxa"/>
        <w:tblLayout w:type="fixed"/>
        <w:tblCellMar>
          <w:top w:w="28" w:type="dxa"/>
          <w:left w:w="28" w:type="dxa"/>
          <w:bottom w:w="28" w:type="dxa"/>
          <w:right w:w="28" w:type="dxa"/>
        </w:tblCellMar>
      </w:tblPr>
      <w:tblGrid>
        <w:gridCol w:w="2288"/>
        <w:gridCol w:w="2013"/>
        <w:gridCol w:w="2028"/>
        <w:gridCol w:w="211"/>
        <w:gridCol w:w="466"/>
        <w:gridCol w:w="109"/>
        <w:gridCol w:w="109"/>
        <w:gridCol w:w="109"/>
        <w:gridCol w:w="109"/>
        <w:gridCol w:w="211"/>
        <w:gridCol w:w="616"/>
        <w:gridCol w:w="154"/>
      </w:tblGrid>
      <w:tr>
        <w:trPr/>
        <w:tc>
          <w:tcPr>
            <w:tcW w:w="22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from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early extinguishments of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changes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net investment hedge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for investing activities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revolving credit facility and short-term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short-term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shareholders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from financed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for financing activities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January 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June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6" w:name="if2116f5096eb45ad95e057efa4d17142"/>
      <w:bookmarkEnd w:id="6"/>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55" w:type="dxa"/>
        <w:jc w:val="left"/>
        <w:tblInd w:w="0" w:type="dxa"/>
        <w:tblLayout w:type="fixed"/>
        <w:tblCellMar>
          <w:top w:w="28" w:type="dxa"/>
          <w:left w:w="28" w:type="dxa"/>
          <w:bottom w:w="28" w:type="dxa"/>
          <w:right w:w="28" w:type="dxa"/>
        </w:tblCellMar>
      </w:tblPr>
      <w:tblGrid>
        <w:gridCol w:w="814"/>
        <w:gridCol w:w="268"/>
        <w:gridCol w:w="269"/>
        <w:gridCol w:w="211"/>
        <w:gridCol w:w="466"/>
        <w:gridCol w:w="109"/>
        <w:gridCol w:w="109"/>
        <w:gridCol w:w="109"/>
        <w:gridCol w:w="109"/>
        <w:gridCol w:w="211"/>
        <w:gridCol w:w="406"/>
        <w:gridCol w:w="109"/>
        <w:gridCol w:w="109"/>
        <w:gridCol w:w="109"/>
        <w:gridCol w:w="109"/>
        <w:gridCol w:w="211"/>
        <w:gridCol w:w="616"/>
        <w:gridCol w:w="109"/>
        <w:gridCol w:w="109"/>
        <w:gridCol w:w="109"/>
        <w:gridCol w:w="109"/>
        <w:gridCol w:w="269"/>
        <w:gridCol w:w="806"/>
        <w:gridCol w:w="141"/>
        <w:gridCol w:w="109"/>
        <w:gridCol w:w="109"/>
        <w:gridCol w:w="109"/>
        <w:gridCol w:w="211"/>
        <w:gridCol w:w="616"/>
        <w:gridCol w:w="109"/>
        <w:gridCol w:w="109"/>
        <w:gridCol w:w="109"/>
        <w:gridCol w:w="109"/>
        <w:gridCol w:w="322"/>
        <w:gridCol w:w="712"/>
        <w:gridCol w:w="167"/>
        <w:gridCol w:w="109"/>
        <w:gridCol w:w="109"/>
        <w:gridCol w:w="109"/>
        <w:gridCol w:w="245"/>
        <w:gridCol w:w="716"/>
        <w:gridCol w:w="180"/>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Crown Holdings, Inc.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Crown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awarded</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awarded</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55" w:type="dxa"/>
        <w:jc w:val="left"/>
        <w:tblInd w:w="0" w:type="dxa"/>
        <w:tblLayout w:type="fixed"/>
        <w:tblCellMar>
          <w:top w:w="28" w:type="dxa"/>
          <w:left w:w="28" w:type="dxa"/>
          <w:bottom w:w="28" w:type="dxa"/>
          <w:right w:w="28" w:type="dxa"/>
        </w:tblCellMar>
      </w:tblPr>
      <w:tblGrid>
        <w:gridCol w:w="814"/>
        <w:gridCol w:w="268"/>
        <w:gridCol w:w="269"/>
        <w:gridCol w:w="211"/>
        <w:gridCol w:w="466"/>
        <w:gridCol w:w="109"/>
        <w:gridCol w:w="109"/>
        <w:gridCol w:w="109"/>
        <w:gridCol w:w="109"/>
        <w:gridCol w:w="211"/>
        <w:gridCol w:w="406"/>
        <w:gridCol w:w="109"/>
        <w:gridCol w:w="109"/>
        <w:gridCol w:w="109"/>
        <w:gridCol w:w="109"/>
        <w:gridCol w:w="211"/>
        <w:gridCol w:w="616"/>
        <w:gridCol w:w="109"/>
        <w:gridCol w:w="109"/>
        <w:gridCol w:w="109"/>
        <w:gridCol w:w="109"/>
        <w:gridCol w:w="269"/>
        <w:gridCol w:w="806"/>
        <w:gridCol w:w="141"/>
        <w:gridCol w:w="109"/>
        <w:gridCol w:w="109"/>
        <w:gridCol w:w="109"/>
        <w:gridCol w:w="211"/>
        <w:gridCol w:w="616"/>
        <w:gridCol w:w="109"/>
        <w:gridCol w:w="109"/>
        <w:gridCol w:w="109"/>
        <w:gridCol w:w="109"/>
        <w:gridCol w:w="322"/>
        <w:gridCol w:w="712"/>
        <w:gridCol w:w="167"/>
        <w:gridCol w:w="109"/>
        <w:gridCol w:w="109"/>
        <w:gridCol w:w="109"/>
        <w:gridCol w:w="245"/>
        <w:gridCol w:w="716"/>
        <w:gridCol w:w="180"/>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Crown Holdings, Inc.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Crown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awarded</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bookmarkStart w:id="7" w:name="ifb9fcb02883f440b920c76c6b7839a4e"/>
      <w:bookmarkEnd w:id="7"/>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and statistical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720"/>
        <w:jc w:val="left"/>
        <w:rPr/>
      </w:pPr>
      <w:bookmarkStart w:id="8" w:name="i94605ac221fd435d92521e35d56728f4"/>
      <w:bookmarkEnd w:id="8"/>
      <w:r>
        <w:rPr>
          <w:rFonts w:ascii="Times New Roman;serif" w:hAnsi="Times New Roman;serif"/>
          <w:b/>
          <w:color w:val="000000"/>
          <w:sz w:val="20"/>
          <w:shd w:fill="FFFFFF" w:val="clear"/>
        </w:rPr>
        <w:t>A.</w:t>
      </w:r>
      <w:r>
        <w:rPr>
          <w:rFonts w:ascii="Times New Roman;serif" w:hAnsi="Times New Roman;serif"/>
          <w:b/>
          <w:color w:val="000000"/>
          <w:sz w:val="20"/>
          <w:u w:val="single"/>
          <w:shd w:fill="FFFFFF" w:val="clear"/>
        </w:rPr>
        <w:t>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June 30, 2026 and the results of its operations for the three and six months ended June 30, 2026 and 2025 and of its cash flows for the six months ended June 30, 2026 and 2025.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pPr>
      <w:bookmarkStart w:id="9" w:name="i864beed1e09c41a193e440cd2511793e"/>
      <w:bookmarkEnd w:id="9"/>
      <w:r>
        <w:rPr>
          <w:rFonts w:ascii="Times New Roman;serif" w:hAnsi="Times New Roman;serif"/>
          <w:b/>
          <w:color w:val="000000"/>
          <w:sz w:val="20"/>
          <w:shd w:fill="FFFFFF" w:val="clear"/>
        </w:rPr>
        <w:t>B.</w:t>
      </w:r>
      <w:r>
        <w:rPr>
          <w:rFonts w:ascii="Times New Roman;serif" w:hAnsi="Times New Roman;serif"/>
          <w:b/>
          <w:color w:val="000000"/>
          <w:sz w:val="20"/>
          <w:u w:val="single"/>
          <w:shd w:fill="FFFFFF" w:val="clear"/>
        </w:rPr>
        <w:t>Recent Accounting and Reporting Pronouncements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2024, the Financial Accounting Standards Board ("FASB") issued a final standard on disaggregation of income statement expenses. The standard requires disclosure of more detailed information about certain costs and expenses in the notes to the financial statements. The standard is effective for fiscal years beginning after December 15, 2026 and for interim periods beginning after December 15, 2027. Early adoption is permitted. The standard is applied prospectively with an option for retrospective adoption. The Company is currently evaluating the impact that the new guidance will have on its disclosures.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2025, the FASB issued guidance to clarify and modernize the accounting for costs related to internal-use software. The guidance eliminates references to various stages of a software development project and clarifies the threshold to apply to begin capitalizing costs. The guidance is effective for fiscal years beginning after December 15, 2027, and interim periods within those fiscal years. The guidance is applied on a prospective basis with the option to apply the standard retrospectively or using a modified transition approach. Early adoption is permitted. The Company is currently evaluating the impact that the new guidance will have on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2025, the FASB issued a final standard on improvements to hedge accounting, which introduces five targeted improvements to better align hedge accounting with entities' risk management activities. The standard will be effective for annual reporting periods beginning after December 15, 2026, and interim periods within those annual reporting periods. Early adoption is permitted. The Company is currently evaluating the impact that the new guidance will have on its consolidated financial statements.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0" w:name="ifcd70933c9084a5d86819d1163834797"/>
      <w:bookmarkEnd w:id="10"/>
      <w:r>
        <w:rPr>
          <w:rFonts w:ascii="Times New Roman;serif" w:hAnsi="Times New Roman;serif"/>
          <w:b/>
          <w:color w:val="000000"/>
          <w:sz w:val="20"/>
        </w:rPr>
        <w:t>C.    </w:t>
      </w:r>
      <w:r>
        <w:rPr>
          <w:rFonts w:ascii="Times New Roman;serif" w:hAnsi="Times New Roman;serif"/>
          <w:b/>
          <w:color w:val="000000"/>
          <w:sz w:val="20"/>
          <w:u w:val="single"/>
        </w:rPr>
        <w:t>Cash, Cash Equivalents, and Restricted Cash</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included in the Company's Consolidated Balance Sheets and Statement of Cash Flows were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996" w:type="dxa"/>
        <w:jc w:val="left"/>
        <w:tblInd w:w="0" w:type="dxa"/>
        <w:tblLayout w:type="fixed"/>
        <w:tblCellMar>
          <w:top w:w="28" w:type="dxa"/>
          <w:left w:w="28" w:type="dxa"/>
          <w:bottom w:w="28" w:type="dxa"/>
          <w:right w:w="28" w:type="dxa"/>
        </w:tblCellMar>
      </w:tblPr>
      <w:tblGrid>
        <w:gridCol w:w="2064"/>
        <w:gridCol w:w="1813"/>
        <w:gridCol w:w="1823"/>
        <w:gridCol w:w="334"/>
        <w:gridCol w:w="738"/>
        <w:gridCol w:w="172"/>
        <w:gridCol w:w="109"/>
        <w:gridCol w:w="109"/>
        <w:gridCol w:w="109"/>
        <w:gridCol w:w="438"/>
        <w:gridCol w:w="966"/>
        <w:gridCol w:w="321"/>
      </w:tblGrid>
      <w:tr>
        <w:trPr/>
        <w:tc>
          <w:tcPr>
            <w:tcW w:w="206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included in restricted cash primarily represent amounts required to be segregated by certain of the Company's receivables securitization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1" w:name="i6b7281909e3a4245afd1b423b7772937"/>
      <w:bookmarkEnd w:id="11"/>
      <w:r>
        <w:rPr>
          <w:rFonts w:ascii="Times New Roman;serif" w:hAnsi="Times New Roman;serif"/>
          <w:b/>
          <w:color w:val="000000"/>
          <w:sz w:val="20"/>
        </w:rPr>
        <w:t>D.    </w:t>
      </w:r>
      <w:r>
        <w:rPr>
          <w:rFonts w:ascii="Times New Roman;serif" w:hAnsi="Times New Roman;serif"/>
          <w:b/>
          <w:color w:val="000000"/>
          <w:sz w:val="20"/>
          <w:u w:val="single"/>
        </w:rPr>
        <w:t>Receivables</w:t>
      </w:r>
    </w:p>
    <w:tbl>
      <w:tblPr>
        <w:tblW w:w="6011" w:type="dxa"/>
        <w:jc w:val="left"/>
        <w:tblInd w:w="0" w:type="dxa"/>
        <w:tblLayout w:type="fixed"/>
        <w:tblCellMar>
          <w:top w:w="28" w:type="dxa"/>
          <w:left w:w="28" w:type="dxa"/>
          <w:bottom w:w="28" w:type="dxa"/>
          <w:right w:w="28" w:type="dxa"/>
        </w:tblCellMar>
      </w:tblPr>
      <w:tblGrid>
        <w:gridCol w:w="984"/>
        <w:gridCol w:w="864"/>
        <w:gridCol w:w="867"/>
        <w:gridCol w:w="280"/>
        <w:gridCol w:w="820"/>
        <w:gridCol w:w="145"/>
        <w:gridCol w:w="109"/>
        <w:gridCol w:w="109"/>
        <w:gridCol w:w="109"/>
        <w:gridCol w:w="371"/>
        <w:gridCol w:w="1083"/>
        <w:gridCol w:w="270"/>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trade receivables</w:t>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receivables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2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2" w:name="i1daddaa996b14ef7a8805267c212b916"/>
      <w:bookmarkEnd w:id="12"/>
      <w:r>
        <w:rPr>
          <w:rFonts w:ascii="Times New Roman;serif" w:hAnsi="Times New Roman;serif"/>
          <w:b/>
          <w:color w:val="000000"/>
          <w:sz w:val="20"/>
        </w:rPr>
        <w:t>E.    </w:t>
      </w:r>
      <w:r>
        <w:rPr>
          <w:rFonts w:ascii="Times New Roman;serif" w:hAnsi="Times New Roman;serif"/>
          <w:b/>
          <w:color w:val="000000"/>
          <w:sz w:val="20"/>
          <w:u w:val="single"/>
        </w:rPr>
        <w:t>Inventories</w:t>
      </w:r>
    </w:p>
    <w:tbl>
      <w:tblPr>
        <w:tblW w:w="5621" w:type="dxa"/>
        <w:jc w:val="left"/>
        <w:tblInd w:w="0" w:type="dxa"/>
        <w:tblLayout w:type="fixed"/>
        <w:tblCellMar>
          <w:top w:w="28" w:type="dxa"/>
          <w:left w:w="28" w:type="dxa"/>
          <w:bottom w:w="28" w:type="dxa"/>
          <w:right w:w="28" w:type="dxa"/>
        </w:tblCellMar>
      </w:tblPr>
      <w:tblGrid>
        <w:gridCol w:w="842"/>
        <w:gridCol w:w="739"/>
        <w:gridCol w:w="744"/>
        <w:gridCol w:w="280"/>
        <w:gridCol w:w="820"/>
        <w:gridCol w:w="145"/>
        <w:gridCol w:w="109"/>
        <w:gridCol w:w="109"/>
        <w:gridCol w:w="109"/>
        <w:gridCol w:w="371"/>
        <w:gridCol w:w="1083"/>
        <w:gridCol w:w="270"/>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2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3" w:name="i60f352a2347b481e800172ffca05a660"/>
      <w:bookmarkEnd w:id="13"/>
      <w:r>
        <w:rPr>
          <w:rFonts w:ascii="Times New Roman;serif" w:hAnsi="Times New Roman;serif"/>
          <w:b/>
          <w:color w:val="000000"/>
          <w:sz w:val="20"/>
        </w:rPr>
        <w:t>F.    </w:t>
      </w:r>
      <w:r>
        <w:rPr>
          <w:rFonts w:ascii="Times New Roman;serif" w:hAnsi="Times New Roman;serif"/>
          <w:b/>
          <w:color w:val="000000"/>
          <w:sz w:val="20"/>
          <w:u w:val="single"/>
        </w:rPr>
        <w:t>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carrying amounts and accumulated amortization of finite-lived intangible assets by major class were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9"/>
        <w:gridCol w:w="545"/>
        <w:gridCol w:w="546"/>
        <w:gridCol w:w="211"/>
        <w:gridCol w:w="616"/>
        <w:gridCol w:w="109"/>
        <w:gridCol w:w="109"/>
        <w:gridCol w:w="109"/>
        <w:gridCol w:w="109"/>
        <w:gridCol w:w="373"/>
        <w:gridCol w:w="1116"/>
        <w:gridCol w:w="194"/>
        <w:gridCol w:w="109"/>
        <w:gridCol w:w="109"/>
        <w:gridCol w:w="109"/>
        <w:gridCol w:w="211"/>
        <w:gridCol w:w="466"/>
        <w:gridCol w:w="109"/>
        <w:gridCol w:w="109"/>
        <w:gridCol w:w="109"/>
        <w:gridCol w:w="109"/>
        <w:gridCol w:w="211"/>
        <w:gridCol w:w="616"/>
        <w:gridCol w:w="109"/>
        <w:gridCol w:w="109"/>
        <w:gridCol w:w="109"/>
        <w:gridCol w:w="109"/>
        <w:gridCol w:w="373"/>
        <w:gridCol w:w="1116"/>
        <w:gridCol w:w="194"/>
        <w:gridCol w:w="109"/>
        <w:gridCol w:w="109"/>
        <w:gridCol w:w="109"/>
        <w:gridCol w:w="211"/>
        <w:gridCol w:w="466"/>
        <w:gridCol w:w="159"/>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supply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and six months ended June 30, 2026 and 2025 included amortization expense of $35 and $73 and $38 and $73,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4" w:name="i9cb4f172e2154e4ab615d47c5e1c59a0"/>
      <w:bookmarkEnd w:id="14"/>
      <w:r>
        <w:rPr>
          <w:rFonts w:ascii="Times New Roman;serif" w:hAnsi="Times New Roman;serif"/>
          <w:b/>
          <w:color w:val="000000"/>
          <w:sz w:val="20"/>
        </w:rPr>
        <w:t>G.    </w:t>
      </w:r>
      <w:r>
        <w:rPr>
          <w:rFonts w:ascii="Times New Roman;serif" w:hAnsi="Times New Roman;serif"/>
          <w:b/>
          <w:color w:val="000000"/>
          <w:sz w:val="20"/>
          <w:u w:val="single"/>
        </w:rPr>
        <w:t>Supplier Finance Program Obligations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$1,076 and $927 confirmed obligations outstanding under these supplier finance programs as of June 30, 2026 and December 31, 2025 included in Accounts payable.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pPr>
      <w:bookmarkStart w:id="15" w:name="ib871a057a16748f2b5d487f979202eb6"/>
      <w:bookmarkEnd w:id="15"/>
      <w:r>
        <w:rPr>
          <w:rFonts w:ascii="Times New Roman;serif" w:hAnsi="Times New Roman;serif"/>
          <w:b/>
          <w:color w:val="000000"/>
          <w:sz w:val="20"/>
          <w:shd w:fill="FFFFFF" w:val="clear"/>
        </w:rPr>
        <w:t>H.    </w:t>
      </w:r>
      <w:r>
        <w:rPr>
          <w:rFonts w:ascii="Times New Roman;serif" w:hAnsi="Times New Roman;serif"/>
          <w:b/>
          <w:color w:val="000000"/>
          <w:sz w:val="20"/>
          <w:u w:val="single"/>
          <w:shd w:fill="FFFFFF" w:val="clear"/>
        </w:rPr>
        <w:t>Restructuring and Other</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restructuring and other items as follows: </w:t>
      </w:r>
    </w:p>
    <w:tbl>
      <w:tblPr>
        <w:tblW w:w="6572" w:type="dxa"/>
        <w:jc w:val="left"/>
        <w:tblInd w:w="0" w:type="dxa"/>
        <w:tblLayout w:type="fixed"/>
        <w:tblCellMar>
          <w:top w:w="28" w:type="dxa"/>
          <w:left w:w="28" w:type="dxa"/>
          <w:bottom w:w="28" w:type="dxa"/>
          <w:right w:w="28" w:type="dxa"/>
        </w:tblCellMar>
      </w:tblPr>
      <w:tblGrid>
        <w:gridCol w:w="988"/>
        <w:gridCol w:w="869"/>
        <w:gridCol w:w="872"/>
        <w:gridCol w:w="230"/>
        <w:gridCol w:w="362"/>
        <w:gridCol w:w="119"/>
        <w:gridCol w:w="119"/>
        <w:gridCol w:w="119"/>
        <w:gridCol w:w="119"/>
        <w:gridCol w:w="230"/>
        <w:gridCol w:w="395"/>
        <w:gridCol w:w="119"/>
        <w:gridCol w:w="109"/>
        <w:gridCol w:w="109"/>
        <w:gridCol w:w="109"/>
        <w:gridCol w:w="211"/>
        <w:gridCol w:w="331"/>
        <w:gridCol w:w="109"/>
        <w:gridCol w:w="109"/>
        <w:gridCol w:w="109"/>
        <w:gridCol w:w="109"/>
        <w:gridCol w:w="211"/>
        <w:gridCol w:w="36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sales and impairments, net</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Asbestos</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and six months ended June 30, 2025, asset sales and impairments primarily included asset impairment charges related to a plant in China and end line rationalization in the Asia Pacific segment. In addition, in the first quarter of 2025 the Company recognized a gain for a sale of a building in the Transit Packaging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 xml:space="preserve">, restructuring primarily included headcount reductions and other exit costs in the Transit Packaging segment.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the second quarter of 2025, the Company recorded an $11 asbestos reserve related to an unfavorable jury verdict in the state of California. See </w:t>
      </w:r>
      <w:hyperlink w:anchor="ie8614afb34884945a273560dbb0c079e_67">
        <w:r>
          <w:rPr>
            <w:rStyle w:val="InternetLink"/>
            <w:rFonts w:ascii="Times New Roman;serif" w:hAnsi="Times New Roman;serif"/>
            <w:b w:val="false"/>
            <w:color w:val="0000FF"/>
            <w:sz w:val="20"/>
            <w:u w:val="single"/>
            <w:shd w:fill="FFFFFF" w:val="clear"/>
          </w:rPr>
          <w:t>Note I</w:t>
        </w:r>
      </w:hyperlink>
      <w:r>
        <w:rPr>
          <w:color w:val="000000"/>
          <w:shd w:fill="FFFFFF" w:val="clear"/>
        </w:rPr>
        <w:t xml:space="preserve"> </w:t>
      </w:r>
      <w:r>
        <w:rPr>
          <w:rFonts w:ascii="Times New Roman;serif" w:hAnsi="Times New Roman;serif"/>
          <w:b w:val="false"/>
          <w:color w:val="000000"/>
          <w:sz w:val="20"/>
          <w:shd w:fill="FFFFFF" w:val="clear"/>
        </w:rPr>
        <w:t xml:space="preserve">for details.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the Company made payments of $7 and had a restructuring accrual of $17, primarily related to previously announced restructuring actions. The Company expects to pay these amounts over the next twelve months. The Company continues to review its cost structure and may record additional restructuring charges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6" w:name="i1f1d552c81f54641bee705563de82365"/>
      <w:bookmarkEnd w:id="16"/>
      <w:r>
        <w:rPr>
          <w:rFonts w:ascii="Times New Roman;serif" w:hAnsi="Times New Roman;serif"/>
          <w:b/>
          <w:color w:val="000000"/>
          <w:sz w:val="20"/>
        </w:rPr>
        <w:t>I.    </w:t>
      </w:r>
      <w:r>
        <w:rPr>
          <w:rFonts w:ascii="Times New Roman;serif" w:hAnsi="Times New Roman;serif"/>
          <w:b/>
          <w:color w:val="000000"/>
          <w:sz w:val="20"/>
          <w:u w:val="single"/>
        </w:rPr>
        <w:t>Asbestos-Related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2010, the Texas Supreme Court held that the Texas legislation was unconstitutional under the Texas Constitution when applied to asbestos-related claims pending against Crown Cork when the legislation was enacted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w:t>
      </w:r>
      <w:r>
        <w:rPr>
          <w:rFonts w:ascii="Times New Roman;serif" w:hAnsi="Times New Roman;serif"/>
          <w:b w:val="false"/>
          <w:color w:val="000000"/>
          <w:sz w:val="20"/>
          <w:shd w:fill="FFFFFF" w:val="clear"/>
        </w:rPr>
        <w:t xml:space="preserve">ultimate effect of the legislation on Crown Cork.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paid $5 to settle asbestos claims and pay related legal and defense costs and had approximate claims activity as follows:</w:t>
      </w:r>
    </w:p>
    <w:p>
      <w:pPr>
        <w:pStyle w:val="TextBody"/>
        <w:bidi w:val="0"/>
        <w:spacing w:before="0" w:after="0"/>
        <w:jc w:val="both"/>
        <w:rPr/>
      </w:pPr>
      <w:r>
        <w:rPr/>
      </w:r>
    </w:p>
    <w:tbl>
      <w:tblPr>
        <w:tblW w:w="3020" w:type="dxa"/>
        <w:jc w:val="left"/>
        <w:tblInd w:w="0" w:type="dxa"/>
        <w:tblLayout w:type="fixed"/>
        <w:tblCellMar>
          <w:top w:w="28" w:type="dxa"/>
          <w:left w:w="28" w:type="dxa"/>
          <w:bottom w:w="28" w:type="dxa"/>
          <w:right w:w="28" w:type="dxa"/>
        </w:tblCellMar>
      </w:tblPr>
      <w:tblGrid>
        <w:gridCol w:w="777"/>
        <w:gridCol w:w="682"/>
        <w:gridCol w:w="686"/>
        <w:gridCol w:w="360"/>
        <w:gridCol w:w="36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claims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claims</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or dismissals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claims</w:t>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fourth quarter of each year, the Company performs an analysis of outstanding claims and categorizes these claims by year of exposure and state filed. As of December 31, 2025, the Company's outstanding claims were:</w:t>
      </w:r>
    </w:p>
    <w:p>
      <w:pPr>
        <w:pStyle w:val="TextBody"/>
        <w:bidi w:val="0"/>
        <w:spacing w:before="0" w:after="0"/>
        <w:jc w:val="both"/>
        <w:rPr/>
      </w:pPr>
      <w:r>
        <w:rPr/>
      </w:r>
    </w:p>
    <w:tbl>
      <w:tblPr>
        <w:tblW w:w="6184" w:type="dxa"/>
        <w:jc w:val="left"/>
        <w:tblInd w:w="0" w:type="dxa"/>
        <w:tblLayout w:type="fixed"/>
        <w:tblCellMar>
          <w:top w:w="28" w:type="dxa"/>
          <w:left w:w="28" w:type="dxa"/>
          <w:bottom w:w="28" w:type="dxa"/>
          <w:right w:w="28" w:type="dxa"/>
        </w:tblCellMar>
      </w:tblPr>
      <w:tblGrid>
        <w:gridCol w:w="1919"/>
        <w:gridCol w:w="1689"/>
        <w:gridCol w:w="1701"/>
        <w:gridCol w:w="360"/>
        <w:gridCol w:w="361"/>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Claimants alleging first exposure after 1964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Claimants alleging first exposure before or during 1964 filed in:</w:t>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 that have enacted asbestos legislation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outstanding</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percentage of outstanding claims related to claimants alleging serious diseases (primarily mesothelioma and other malignancies) were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336" w:type="dxa"/>
        <w:jc w:val="left"/>
        <w:tblInd w:w="0" w:type="dxa"/>
        <w:tblLayout w:type="fixed"/>
        <w:tblCellMar>
          <w:top w:w="28" w:type="dxa"/>
          <w:left w:w="28" w:type="dxa"/>
          <w:bottom w:w="28" w:type="dxa"/>
          <w:right w:w="28" w:type="dxa"/>
        </w:tblCellMar>
      </w:tblPr>
      <w:tblGrid>
        <w:gridCol w:w="1608"/>
        <w:gridCol w:w="1410"/>
        <w:gridCol w:w="1422"/>
        <w:gridCol w:w="180"/>
        <w:gridCol w:w="181"/>
        <w:gridCol w:w="292"/>
        <w:gridCol w:w="109"/>
        <w:gridCol w:w="109"/>
        <w:gridCol w:w="109"/>
        <w:gridCol w:w="180"/>
        <w:gridCol w:w="181"/>
        <w:gridCol w:w="292"/>
        <w:gridCol w:w="109"/>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Pre-1965 claims in states without asbestos legislation</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June 30, 2026. </w:t>
      </w:r>
      <w:r>
        <w:rPr>
          <w:rFonts w:ascii="Times New Roman;serif" w:hAnsi="Times New Roman;serif"/>
          <w:b w:val="false"/>
          <w:color w:val="000000"/>
          <w:sz w:val="20"/>
          <w:shd w:fill="FFFFFF" w:val="clear"/>
        </w:rPr>
        <w:t>In 2025, Crown Cork was party to a verdict in a mesothelioma wrongful death case tried in the Superior Court of the State of California in Los Angeles. Crown Cork's share of the compensatory damages was $4 and</w:t>
      </w:r>
      <w:r>
        <w:rPr>
          <w:color w:val="000000"/>
        </w:rPr>
        <w:t xml:space="preserve"> </w:t>
      </w:r>
      <w:r>
        <w:rPr>
          <w:rFonts w:ascii="Times New Roman;serif" w:hAnsi="Times New Roman;serif"/>
          <w:b w:val="false"/>
          <w:color w:val="000000"/>
          <w:sz w:val="20"/>
        </w:rPr>
        <w:t>punitive damages of $7. These amounts have been fully accrued. The Company has appealed the judgment, however, t</w:t>
      </w:r>
      <w:r>
        <w:rPr>
          <w:rFonts w:ascii="Times New Roman;serif" w:hAnsi="Times New Roman;serif"/>
          <w:b w:val="false"/>
          <w:color w:val="000000"/>
          <w:sz w:val="20"/>
          <w:shd w:fill="FFFFFF" w:val="clear"/>
        </w:rPr>
        <w:t>here can be no assurances regarding the outcome of such appeal.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accrual for pending and future asbestos-related claims and related legal costs was $172, including $100 for unasserted claims. The Company determines its accrual without limitation to a specific time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83% of the claims outstanding at the end of 2025),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7" w:name="ie4de5c00b55b46839133bbecb22b7217"/>
      <w:bookmarkEnd w:id="17"/>
      <w:r>
        <w:rPr>
          <w:rFonts w:ascii="Times New Roman;serif" w:hAnsi="Times New Roman;serif"/>
          <w:b/>
          <w:color w:val="000000"/>
          <w:sz w:val="20"/>
        </w:rPr>
        <w:t>J.    </w:t>
      </w:r>
      <w:r>
        <w:rPr>
          <w:rFonts w:ascii="Times New Roman;serif" w:hAnsi="Times New Roman;serif"/>
          <w:b/>
          <w:color w:val="000000"/>
          <w:sz w:val="20"/>
          <w:u w:val="single"/>
          <w:shd w:fill="FFFFFF" w:val="clear"/>
        </w:rPr>
        <w:t>Commitments and Contingent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has also recorded aggregate accruals </w:t>
      </w:r>
      <w:r>
        <w:rPr>
          <w:rFonts w:ascii="Times New Roman;serif" w:hAnsi="Times New Roman;serif"/>
          <w:b w:val="false"/>
          <w:color w:val="000000"/>
          <w:sz w:val="20"/>
          <w:shd w:fill="FFFFFF" w:val="clear"/>
        </w:rPr>
        <w:t xml:space="preserve">of $7 for remediation activities at various worldwide locations that are owned by the Company and for which the Company is not a member of a PRP group. Although the Company believes its accruals are adequate to cover its portion of </w:t>
      </w:r>
      <w:r>
        <w:rPr>
          <w:rFonts w:ascii="Times New Roman;serif" w:hAnsi="Times New Roman;serif"/>
          <w:b w:val="false"/>
          <w:color w:val="000000"/>
          <w:sz w:val="20"/>
        </w:rPr>
        <w:t>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reached a settlement with the Comm</w:t>
      </w:r>
      <w:r>
        <w:rPr>
          <w:rFonts w:ascii="Times New Roman;serif" w:hAnsi="Times New Roman;serif"/>
          <w:b w:val="false"/>
          <w:color w:val="000000"/>
          <w:sz w:val="20"/>
          <w:shd w:fill="FFFFFF" w:val="clear"/>
        </w:rPr>
        <w:t>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w:t>
      </w:r>
      <w:r>
        <w:rPr>
          <w:rFonts w:ascii="Times New Roman;serif" w:hAnsi="Times New Roman;serif"/>
          <w:b w:val="false"/>
          <w:color w:val="000000"/>
          <w:sz w:val="20"/>
        </w:rPr>
        <w:t>n was unjustified. In October 2024, the General Court of the EU issued a judgment dismissing the Company’s appeal. In December 2024, the Company appealed the General Court’s judgment to the European Court of Justice. There can be no assurance regarding the outcome of such appeal.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has appealed the decision of the FCA, however, there can be no assurance regarding the outcome of such appeal.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June 2024, the Brazilian Federal Tax Authorities issued an assessment against the Company's Brazilian subsidiary in relation to the use of PIS and COFINS indirect tax credits arising from a favorable judicial decision received by the Company in 2019. The assessment disallowed credits of $42 taken by the Co</w:t>
      </w:r>
      <w:r>
        <w:rPr>
          <w:rFonts w:ascii="Times New Roman;serif" w:hAnsi="Times New Roman;serif"/>
          <w:b w:val="false"/>
          <w:color w:val="000000"/>
          <w:sz w:val="20"/>
          <w:shd w:fill="FFFFFF" w:val="clear"/>
        </w:rPr>
        <w:t xml:space="preserve">mpany for the years 2004 through 2015 </w:t>
      </w:r>
      <w:r>
        <w:rPr>
          <w:rFonts w:ascii="Times New Roman;serif" w:hAnsi="Times New Roman;serif"/>
          <w:b w:val="false"/>
          <w:color w:val="000000"/>
          <w:sz w:val="20"/>
        </w:rPr>
        <w:t xml:space="preserve">when the PIS and COFINS indirect taxes were calculated by fixed rates and assessed interest and penalties which could exceed the disallowed credits. During the fourth quarter of 2024, the Company received an unfavorable ruling to a challenge at the administrative level. The Company does not believe that a loss for this assessment is probable and has challenged the assessment at the judicial level. There can be no assurances that the Company will be successful in contesting the assessment.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2026, the Brazilian Federal Tax Authorities issued an assessment against the Company's Brazilian subsidiary in relation to the subsidiary's income tax calculation for the year 2022. The assessment included disallowing the treatment of the indirect tax credits within the calculation of income tax. Assessments for various years from 2016 through 2022 would increase the Company's tax expense by $32 excluding the assessed interest and penalties which could exceed the assessed income tax. The Company believes it is more likely than not that its income tax position will be sustained and plans to challenge the assessments at the administrative level and judicial level, if necessary. There can be no assurances that the Company will be successful in contesting the assessments.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also subject to various other lawsuits and claims with respect to labor and benefits,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bookmarkStart w:id="18" w:name="i206e5ec2bce5479684b8334f8a6c3929"/>
      <w:bookmarkEnd w:id="18"/>
      <w:r>
        <w:rPr>
          <w:rFonts w:ascii="Times New Roman;serif" w:hAnsi="Times New Roman;serif"/>
          <w:b/>
          <w:color w:val="000000"/>
          <w:sz w:val="20"/>
        </w:rPr>
        <w:t>K.    </w:t>
      </w:r>
      <w:r>
        <w:rPr>
          <w:rFonts w:ascii="Times New Roman;serif" w:hAnsi="Times New Roman;serif"/>
          <w:b/>
          <w:color w:val="000000"/>
          <w:sz w:val="20"/>
          <w:u w:val="single"/>
        </w:rPr>
        <w:t>Derivative and Other 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Fair value disclosures for financial assets and liabilities that were accounted for at fair value on a recurring basis are provided later in this note. In addition, see </w:t>
      </w:r>
      <w:hyperlink w:anchor="ie8614afb34884945a273560dbb0c079e_76">
        <w:r>
          <w:rPr>
            <w:rStyle w:val="InternetLink"/>
            <w:rFonts w:ascii="Times New Roman;serif" w:hAnsi="Times New Roman;serif"/>
            <w:b w:val="false"/>
            <w:color w:val="0000FF"/>
            <w:sz w:val="20"/>
            <w:u w:val="single"/>
          </w:rPr>
          <w:t>Note L</w:t>
        </w:r>
      </w:hyperlink>
      <w:r>
        <w:rPr>
          <w:color w:val="000000"/>
        </w:rPr>
        <w:t xml:space="preserve"> </w:t>
      </w:r>
      <w:r>
        <w:rPr>
          <w:rFonts w:ascii="Times New Roman;serif" w:hAnsi="Times New Roman;serif"/>
          <w:b w:val="false"/>
          <w:color w:val="000000"/>
          <w:sz w:val="20"/>
        </w:rPr>
        <w:t>for fair value disclosures related to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June 30, 2026 mature between one and thirty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commodity forward contracts to hedge anticipated purchases of various commodities, primarily aluminum as well as natural gas and electricity, and these exposures are hedged by a central treasury unit.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also use interest rate swaps to convert interest on floating rate debt to a fixed-rate.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financial information about the impact on other comprehensive income ("OCI"), accumulated other comprehensive income ("AOCI") and earnings from changes in the fair value of derivative instruments.</w:t>
      </w:r>
    </w:p>
    <w:tbl>
      <w:tblPr>
        <w:tblW w:w="10205" w:type="dxa"/>
        <w:jc w:val="left"/>
        <w:tblInd w:w="0" w:type="dxa"/>
        <w:tblLayout w:type="fixed"/>
        <w:tblCellMar>
          <w:top w:w="28" w:type="dxa"/>
          <w:left w:w="28" w:type="dxa"/>
          <w:bottom w:w="28" w:type="dxa"/>
          <w:right w:w="28" w:type="dxa"/>
        </w:tblCellMar>
      </w:tblPr>
      <w:tblGrid>
        <w:gridCol w:w="671"/>
        <w:gridCol w:w="487"/>
        <w:gridCol w:w="489"/>
        <w:gridCol w:w="109"/>
        <w:gridCol w:w="109"/>
        <w:gridCol w:w="109"/>
        <w:gridCol w:w="328"/>
        <w:gridCol w:w="636"/>
        <w:gridCol w:w="169"/>
        <w:gridCol w:w="169"/>
        <w:gridCol w:w="169"/>
        <w:gridCol w:w="169"/>
        <w:gridCol w:w="328"/>
        <w:gridCol w:w="398"/>
        <w:gridCol w:w="169"/>
        <w:gridCol w:w="109"/>
        <w:gridCol w:w="109"/>
        <w:gridCol w:w="109"/>
        <w:gridCol w:w="313"/>
        <w:gridCol w:w="605"/>
        <w:gridCol w:w="161"/>
        <w:gridCol w:w="161"/>
        <w:gridCol w:w="161"/>
        <w:gridCol w:w="161"/>
        <w:gridCol w:w="313"/>
        <w:gridCol w:w="603"/>
        <w:gridCol w:w="161"/>
        <w:gridCol w:w="109"/>
        <w:gridCol w:w="109"/>
        <w:gridCol w:w="109"/>
        <w:gridCol w:w="774"/>
        <w:gridCol w:w="669"/>
        <w:gridCol w:w="960"/>
      </w:tblGrid>
      <w:tr>
        <w:trPr/>
        <w:tc>
          <w:tcPr>
            <w:tcW w:w="6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gain/(loss) recognized 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gain/(loss) recognized 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gain/(loss) reclassified from 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gain/(loss) reclassified from 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Affected line items in the Statement of Operations</w:t>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 and equity in net earnings of affiliates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290" w:type="dxa"/>
            <w:gridSpan w:val="12"/>
            <w:tcBorders/>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290" w:type="dxa"/>
            <w:gridSpan w:val="12"/>
            <w:tcBorders/>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290" w:type="dxa"/>
            <w:gridSpan w:val="12"/>
            <w:tcBorders/>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290" w:type="dxa"/>
            <w:gridSpan w:val="12"/>
            <w:tcBorders/>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290" w:type="dxa"/>
            <w:gridSpan w:val="12"/>
            <w:tcBorders/>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290" w:type="dxa"/>
            <w:gridSpan w:val="12"/>
            <w:tcBorders/>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290" w:type="dxa"/>
            <w:gridSpan w:val="12"/>
            <w:tcBorders/>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r>
        <w:trPr/>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twelve-month period ending June 30, 2027, a net gain of $19 ($14, net of tax) is expected to be reclassified to earnings for commodity and foreign exchange contracts. No material amounts were reclassified during the six months ended June 30, 2026 and 2025 in connection with anticipated transactions that were considered probable of not occurring.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Contracts Not Designated as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derivative financial instruments, including foreign exchange contracts related to intercompany debt, trade accounts receivable and payable and unrecognized firm commitments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impact on earnings from derivatives not designated as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3"/>
        <w:gridCol w:w="538"/>
        <w:gridCol w:w="541"/>
        <w:gridCol w:w="109"/>
        <w:gridCol w:w="109"/>
        <w:gridCol w:w="109"/>
        <w:gridCol w:w="301"/>
        <w:gridCol w:w="580"/>
        <w:gridCol w:w="155"/>
        <w:gridCol w:w="155"/>
        <w:gridCol w:w="155"/>
        <w:gridCol w:w="155"/>
        <w:gridCol w:w="301"/>
        <w:gridCol w:w="582"/>
        <w:gridCol w:w="155"/>
        <w:gridCol w:w="109"/>
        <w:gridCol w:w="109"/>
        <w:gridCol w:w="109"/>
        <w:gridCol w:w="299"/>
        <w:gridCol w:w="577"/>
        <w:gridCol w:w="154"/>
        <w:gridCol w:w="154"/>
        <w:gridCol w:w="154"/>
        <w:gridCol w:w="154"/>
        <w:gridCol w:w="299"/>
        <w:gridCol w:w="577"/>
        <w:gridCol w:w="154"/>
        <w:gridCol w:w="109"/>
        <w:gridCol w:w="109"/>
        <w:gridCol w:w="109"/>
        <w:gridCol w:w="791"/>
        <w:gridCol w:w="688"/>
        <w:gridCol w:w="992"/>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 amounts of gain/(loss) recognized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 amounts of gain/(loss) recognized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Ended </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Affected line item in the Statement of Operations</w:t>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depreciation and amortization</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Investment Hedges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designates certain debt and derivative instruments as net investment hedges to manage foreign currency risk relating to net investments in subsidiaries denominated in foreign currencies and reduce the variability in the functional currency equivalent cash flows.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recorded gains of $14 ($11, net of tax) and $33 ($26, net of tax) in other comprehensive income for certain debt instruments that are designated as hedges of its net investment in a euro-based subsidiary. During the three and six months ended June 30, 2025, the Company recorded losses of $98 ($74, net of tax) and $141 ($107, net of tax). As of June 30, 2026 and December 31, 2025, cumulative gains of $28 ($52, net of tax) and losses of $5 ($27, net of tax) were recognized in accumulated other comprehensive income related to these net investment hedges. The carrying amount of the hedging instrument was approximately €1,010 ($1,153) at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cross-currency swaps with an aggregate notional value of $600 designated as hedges of the Company's net investment in a euro-based subsidiary. These swaps mature in 2030 and reduced interest expense by $2 and $4 for the three and six months ended June 30, 2026 and $1 for both the three and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had cross-currency swaps with an aggregate notional value of $875 that matured in February 2026, resulting in a loss of $45 ($34, net of tax), included in accumulated other comprehensive income. These swaps reduced interest expense by $2 for the six months ended June 30, 2026 and $6 and $13 for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financial information about the impact on accumulated other comprehensive income from changes in the fair value of derivative instruments designated as net investment hedges.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1"/>
        <w:gridCol w:w="1009"/>
        <w:gridCol w:w="1015"/>
        <w:gridCol w:w="109"/>
        <w:gridCol w:w="109"/>
        <w:gridCol w:w="109"/>
        <w:gridCol w:w="373"/>
        <w:gridCol w:w="570"/>
        <w:gridCol w:w="193"/>
        <w:gridCol w:w="193"/>
        <w:gridCol w:w="193"/>
        <w:gridCol w:w="193"/>
        <w:gridCol w:w="373"/>
        <w:gridCol w:w="755"/>
        <w:gridCol w:w="193"/>
        <w:gridCol w:w="109"/>
        <w:gridCol w:w="109"/>
        <w:gridCol w:w="109"/>
        <w:gridCol w:w="356"/>
        <w:gridCol w:w="541"/>
        <w:gridCol w:w="184"/>
        <w:gridCol w:w="184"/>
        <w:gridCol w:w="184"/>
        <w:gridCol w:w="184"/>
        <w:gridCol w:w="356"/>
        <w:gridCol w:w="896"/>
        <w:gridCol w:w="184"/>
        <w:gridCol w:w="109"/>
        <w:gridCol w:w="162"/>
      </w:tblGrid>
      <w:tr>
        <w:trPr/>
        <w:tc>
          <w:tcPr>
            <w:tcW w:w="115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 (loss) recognized in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 (loss) recognized in AOCI</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259" w:type="dxa"/>
            <w:gridSpan w:val="8"/>
            <w:tcBorders/>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Gains and losses representing components excluded from the assessment of effectiveness on derivatives designated as net investment hedges are recognized in 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Gains or losses on net investment hedges remain in accumulated other comprehensive income until disposal of the underlying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Values of Derivative Financial Instruments and Valuation Hierarchy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and liabilities that were accounted for at fair value on a recurring basis as of June 30, 2026 and December 31, 2025, respectively. The fair values of these financial instruments were reported under Level 2 of the fair value hierarchy.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39"/>
        <w:gridCol w:w="428"/>
        <w:gridCol w:w="429"/>
        <w:gridCol w:w="114"/>
        <w:gridCol w:w="114"/>
        <w:gridCol w:w="114"/>
        <w:gridCol w:w="542"/>
        <w:gridCol w:w="542"/>
        <w:gridCol w:w="543"/>
        <w:gridCol w:w="109"/>
        <w:gridCol w:w="109"/>
        <w:gridCol w:w="109"/>
        <w:gridCol w:w="216"/>
        <w:gridCol w:w="371"/>
        <w:gridCol w:w="112"/>
        <w:gridCol w:w="109"/>
        <w:gridCol w:w="109"/>
        <w:gridCol w:w="109"/>
        <w:gridCol w:w="329"/>
        <w:gridCol w:w="564"/>
        <w:gridCol w:w="172"/>
        <w:gridCol w:w="109"/>
        <w:gridCol w:w="109"/>
        <w:gridCol w:w="109"/>
        <w:gridCol w:w="473"/>
        <w:gridCol w:w="473"/>
        <w:gridCol w:w="474"/>
        <w:gridCol w:w="109"/>
        <w:gridCol w:w="109"/>
        <w:gridCol w:w="109"/>
        <w:gridCol w:w="216"/>
        <w:gridCol w:w="371"/>
        <w:gridCol w:w="112"/>
        <w:gridCol w:w="109"/>
        <w:gridCol w:w="109"/>
        <w:gridCol w:w="109"/>
        <w:gridCol w:w="322"/>
        <w:gridCol w:w="551"/>
        <w:gridCol w:w="249"/>
      </w:tblGrid>
      <w:tr>
        <w:trPr/>
        <w:tc>
          <w:tcPr>
            <w:tcW w:w="73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5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cash flow</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contracts cash flow</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59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356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Offsetting of Derivative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8"/>
        <w:gridCol w:w="733"/>
        <w:gridCol w:w="739"/>
        <w:gridCol w:w="1160"/>
        <w:gridCol w:w="1160"/>
        <w:gridCol w:w="1163"/>
        <w:gridCol w:w="1110"/>
        <w:gridCol w:w="1110"/>
        <w:gridCol w:w="1115"/>
        <w:gridCol w:w="304"/>
        <w:gridCol w:w="304"/>
        <w:gridCol w:w="439"/>
      </w:tblGrid>
      <w:tr>
        <w:trPr/>
        <w:tc>
          <w:tcPr>
            <w:tcW w:w="86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recognized in the Balance Sheet</w:t>
            </w:r>
          </w:p>
        </w:tc>
        <w:tc>
          <w:tcPr>
            <w:tcW w:w="3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not offset in the Balance Sheet</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amount</w:t>
            </w:r>
          </w:p>
        </w:tc>
      </w:tr>
      <w:tr>
        <w:trPr/>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Balance at June 30, 2026</w:t>
            </w:r>
          </w:p>
        </w:tc>
        <w:tc>
          <w:tcPr>
            <w:tcW w:w="3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Balance at December 31, 2025</w:t>
            </w:r>
          </w:p>
        </w:tc>
        <w:tc>
          <w:tcPr>
            <w:tcW w:w="3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Notional Values of Outstanding Derivative Instruments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U.S. dollar-equivalent notional values of outstanding derivative instruments in the Consolidated Balance Sheets at June 30, 2026 and December 31, 2025 were: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406" w:type="dxa"/>
        <w:jc w:val="left"/>
        <w:tblInd w:w="0" w:type="dxa"/>
        <w:tblLayout w:type="fixed"/>
        <w:tblCellMar>
          <w:top w:w="28" w:type="dxa"/>
          <w:left w:w="28" w:type="dxa"/>
          <w:bottom w:w="28" w:type="dxa"/>
          <w:right w:w="28" w:type="dxa"/>
        </w:tblCellMar>
      </w:tblPr>
      <w:tblGrid>
        <w:gridCol w:w="1490"/>
        <w:gridCol w:w="1306"/>
        <w:gridCol w:w="1314"/>
        <w:gridCol w:w="334"/>
        <w:gridCol w:w="738"/>
        <w:gridCol w:w="172"/>
        <w:gridCol w:w="109"/>
        <w:gridCol w:w="109"/>
        <w:gridCol w:w="109"/>
        <w:gridCol w:w="438"/>
        <w:gridCol w:w="966"/>
        <w:gridCol w:w="321"/>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cash flow hedges: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net investment hedges: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19" w:name="i812178161d9c4db5804120f5fa93edc5"/>
      <w:bookmarkEnd w:id="19"/>
      <w:r>
        <w:rPr>
          <w:rFonts w:ascii="Times New Roman;serif" w:hAnsi="Times New Roman;serif"/>
          <w:b/>
          <w:color w:val="000000"/>
          <w:sz w:val="20"/>
        </w:rPr>
        <w:t>L.    </w:t>
      </w:r>
      <w:r>
        <w:rPr>
          <w:rFonts w:ascii="Times New Roman;serif" w:hAnsi="Times New Roman;serif"/>
          <w:b/>
          <w:color w:val="000000"/>
          <w:sz w:val="20"/>
          <w:u w:val="single"/>
        </w:rPr>
        <w:t>Debt</w:t>
      </w:r>
    </w:p>
    <w:p>
      <w:pPr>
        <w:pStyle w:val="TextBody"/>
        <w:bidi w:val="0"/>
        <w:spacing w:before="0" w:after="0"/>
        <w:jc w:val="left"/>
        <w:rPr/>
      </w:pPr>
      <w:r>
        <w:rPr/>
      </w:r>
    </w:p>
    <w:tbl>
      <w:tblPr>
        <w:tblW w:w="8719" w:type="dxa"/>
        <w:jc w:val="left"/>
        <w:tblInd w:w="0" w:type="dxa"/>
        <w:tblLayout w:type="fixed"/>
        <w:tblCellMar>
          <w:top w:w="28" w:type="dxa"/>
          <w:left w:w="28" w:type="dxa"/>
          <w:bottom w:w="28" w:type="dxa"/>
          <w:right w:w="28" w:type="dxa"/>
        </w:tblCellMar>
      </w:tblPr>
      <w:tblGrid>
        <w:gridCol w:w="1324"/>
        <w:gridCol w:w="1166"/>
        <w:gridCol w:w="1169"/>
        <w:gridCol w:w="243"/>
        <w:gridCol w:w="711"/>
        <w:gridCol w:w="127"/>
        <w:gridCol w:w="109"/>
        <w:gridCol w:w="109"/>
        <w:gridCol w:w="109"/>
        <w:gridCol w:w="211"/>
        <w:gridCol w:w="616"/>
        <w:gridCol w:w="109"/>
        <w:gridCol w:w="109"/>
        <w:gridCol w:w="109"/>
        <w:gridCol w:w="109"/>
        <w:gridCol w:w="243"/>
        <w:gridCol w:w="711"/>
        <w:gridCol w:w="127"/>
        <w:gridCol w:w="109"/>
        <w:gridCol w:w="109"/>
        <w:gridCol w:w="109"/>
        <w:gridCol w:w="211"/>
        <w:gridCol w:w="61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Short-term debt</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Long-term debt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borrowings: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facilities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 due 2031</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 due 2031</w:t>
            </w:r>
            <w:r>
              <w:rPr>
                <w:rFonts w:ascii="Times New Roman;serif" w:hAnsi="Times New Roman;serif"/>
                <w:b w:val="false"/>
                <w:color w:val="000000"/>
                <w:sz w:val="13"/>
              </w:rPr>
              <w:t>1</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4.25% due 2026</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5.00% due 2028</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4.75% due 2029</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600 at 4.50% due 2030</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5.25% due 2030</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500 at 3.750% due 2031</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5.875% due 2033</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 at 7.50% due 2096</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indebtedness in various currencies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less current maturities</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€500 at June 30,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debt, using a market approach incorporating Level 2 inputs such as quoted market prices for the same or similar issues, was $6,121 at June 30, 2026 and $6,077 at December 31,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2026, the Company amended and restated the credit agreement governing its senior secured credit facilities (the "Second A&amp;R Credit Agreement"). The Second A&amp;R Credit Agreement extended the existing facilities' maturity to March 2031. All other material terms of the credit agreement remained unchanged. The facilities under the Second A&amp;R Credit Agreement include a $800 U.S. dollar denominated revolving facility, a $800 multicurrency revolving facility, a $50 Canadian dollar-denominated revolving facility, a $1,175 Term A Loan, and a €499.5 Euro Term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dollar term loan interest rate was SOFR plus 1.00% and the Euro term loan interest rate was EURIBOR plus 1.00% at June 30, 2026. The U.S. dollar term loan interest rate was SOFR plus 1.10% and the Euro term loan interest rate was EURIBOR plus 1.00% at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pPr>
      <w:bookmarkStart w:id="20" w:name="i36b4b51404394011b9a5a87d02b79544"/>
      <w:bookmarkEnd w:id="20"/>
      <w:r>
        <w:rPr>
          <w:rFonts w:ascii="Times New Roman;serif" w:hAnsi="Times New Roman;serif"/>
          <w:b/>
          <w:color w:val="000000"/>
          <w:sz w:val="20"/>
        </w:rPr>
        <w:t>M.    </w:t>
      </w:r>
      <w:r>
        <w:rPr>
          <w:rFonts w:ascii="Times New Roman;serif" w:hAnsi="Times New Roman;serif"/>
          <w:b/>
          <w:color w:val="000000"/>
          <w:sz w:val="20"/>
          <w:u w:val="single"/>
        </w:rPr>
        <w:t>Pension and Other Postretirement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pension and other postretirement benefits costs for the three and six months ended June 30, 2026 and 2025 were as follows:</w:t>
      </w:r>
    </w:p>
    <w:tbl>
      <w:tblPr>
        <w:tblW w:w="6452" w:type="dxa"/>
        <w:jc w:val="left"/>
        <w:tblInd w:w="0" w:type="dxa"/>
        <w:tblLayout w:type="fixed"/>
        <w:tblCellMar>
          <w:top w:w="28" w:type="dxa"/>
          <w:left w:w="28" w:type="dxa"/>
          <w:bottom w:w="28" w:type="dxa"/>
          <w:right w:w="28" w:type="dxa"/>
        </w:tblCellMar>
      </w:tblPr>
      <w:tblGrid>
        <w:gridCol w:w="933"/>
        <w:gridCol w:w="821"/>
        <w:gridCol w:w="826"/>
        <w:gridCol w:w="259"/>
        <w:gridCol w:w="314"/>
        <w:gridCol w:w="133"/>
        <w:gridCol w:w="133"/>
        <w:gridCol w:w="133"/>
        <w:gridCol w:w="133"/>
        <w:gridCol w:w="259"/>
        <w:gridCol w:w="314"/>
        <w:gridCol w:w="133"/>
        <w:gridCol w:w="109"/>
        <w:gridCol w:w="109"/>
        <w:gridCol w:w="109"/>
        <w:gridCol w:w="211"/>
        <w:gridCol w:w="361"/>
        <w:gridCol w:w="109"/>
        <w:gridCol w:w="109"/>
        <w:gridCol w:w="109"/>
        <w:gridCol w:w="109"/>
        <w:gridCol w:w="211"/>
        <w:gridCol w:w="36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Pension benefits – U.S. plans</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loss</w:t>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cost</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1037"/>
        <w:gridCol w:w="911"/>
        <w:gridCol w:w="917"/>
        <w:gridCol w:w="246"/>
        <w:gridCol w:w="299"/>
        <w:gridCol w:w="127"/>
        <w:gridCol w:w="127"/>
        <w:gridCol w:w="127"/>
        <w:gridCol w:w="127"/>
        <w:gridCol w:w="246"/>
        <w:gridCol w:w="386"/>
        <w:gridCol w:w="127"/>
        <w:gridCol w:w="109"/>
        <w:gridCol w:w="109"/>
        <w:gridCol w:w="109"/>
        <w:gridCol w:w="219"/>
        <w:gridCol w:w="266"/>
        <w:gridCol w:w="113"/>
        <w:gridCol w:w="113"/>
        <w:gridCol w:w="113"/>
        <w:gridCol w:w="113"/>
        <w:gridCol w:w="219"/>
        <w:gridCol w:w="344"/>
        <w:gridCol w:w="160"/>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Pension benefits – Non-U.S. plans</w:t>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and curtailments</w:t>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cost</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275" w:type="dxa"/>
        <w:jc w:val="left"/>
        <w:tblInd w:w="0" w:type="dxa"/>
        <w:tblLayout w:type="fixed"/>
        <w:tblCellMar>
          <w:top w:w="28" w:type="dxa"/>
          <w:left w:w="28" w:type="dxa"/>
          <w:bottom w:w="28" w:type="dxa"/>
          <w:right w:w="28" w:type="dxa"/>
        </w:tblCellMar>
      </w:tblPr>
      <w:tblGrid>
        <w:gridCol w:w="897"/>
        <w:gridCol w:w="788"/>
        <w:gridCol w:w="790"/>
        <w:gridCol w:w="259"/>
        <w:gridCol w:w="314"/>
        <w:gridCol w:w="133"/>
        <w:gridCol w:w="133"/>
        <w:gridCol w:w="133"/>
        <w:gridCol w:w="133"/>
        <w:gridCol w:w="259"/>
        <w:gridCol w:w="314"/>
        <w:gridCol w:w="133"/>
        <w:gridCol w:w="109"/>
        <w:gridCol w:w="109"/>
        <w:gridCol w:w="109"/>
        <w:gridCol w:w="230"/>
        <w:gridCol w:w="279"/>
        <w:gridCol w:w="119"/>
        <w:gridCol w:w="119"/>
        <w:gridCol w:w="119"/>
        <w:gridCol w:w="119"/>
        <w:gridCol w:w="230"/>
        <w:gridCol w:w="279"/>
        <w:gridCol w:w="168"/>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postretirement benefits</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cost</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cost other than the service cost component are included in Other pension and postretirement in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amounts reclassified from accumulated other comprehensive income.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63"/>
        <w:gridCol w:w="1023"/>
        <w:gridCol w:w="1027"/>
        <w:gridCol w:w="109"/>
        <w:gridCol w:w="109"/>
        <w:gridCol w:w="109"/>
        <w:gridCol w:w="231"/>
        <w:gridCol w:w="280"/>
        <w:gridCol w:w="119"/>
        <w:gridCol w:w="119"/>
        <w:gridCol w:w="119"/>
        <w:gridCol w:w="119"/>
        <w:gridCol w:w="231"/>
        <w:gridCol w:w="280"/>
        <w:gridCol w:w="119"/>
        <w:gridCol w:w="109"/>
        <w:gridCol w:w="109"/>
        <w:gridCol w:w="109"/>
        <w:gridCol w:w="219"/>
        <w:gridCol w:w="266"/>
        <w:gridCol w:w="113"/>
        <w:gridCol w:w="113"/>
        <w:gridCol w:w="113"/>
        <w:gridCol w:w="113"/>
        <w:gridCol w:w="219"/>
        <w:gridCol w:w="266"/>
        <w:gridCol w:w="113"/>
        <w:gridCol w:w="109"/>
        <w:gridCol w:w="109"/>
        <w:gridCol w:w="109"/>
        <w:gridCol w:w="960"/>
        <w:gridCol w:w="780"/>
        <w:gridCol w:w="1119"/>
      </w:tblGrid>
      <w:tr>
        <w:trPr/>
        <w:tc>
          <w:tcPr>
            <w:tcW w:w="11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Details about accumulated other comprehensive income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Affected line items in the statement of operations</w:t>
            </w:r>
          </w:p>
        </w:tc>
      </w:tr>
      <w:tr>
        <w:trPr/>
        <w:tc>
          <w:tcPr>
            <w:tcW w:w="32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9"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9"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 and equity in net earnings of affiliates</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9"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9"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1" w:name="ie1751d552040427c9ea71ff214bb0390"/>
      <w:bookmarkEnd w:id="21"/>
      <w:r>
        <w:rPr>
          <w:rFonts w:ascii="Times New Roman;serif" w:hAnsi="Times New Roman;serif"/>
          <w:b/>
          <w:color w:val="000000"/>
          <w:sz w:val="20"/>
        </w:rPr>
        <w:t>N.    </w:t>
      </w:r>
      <w:r>
        <w:rPr>
          <w:rFonts w:ascii="Times New Roman;serif" w:hAnsi="Times New Roman;serif"/>
          <w:b/>
          <w:color w:val="000000"/>
          <w:sz w:val="20"/>
          <w:u w:val="single"/>
        </w:rPr>
        <w:t>Capital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25,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$517 of its shares during the six months ended June 30,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and six months ended June 30, 2026 and 2025, the Company declared and paid cash dividends of $0.35 per share and $0.70 per share and $0.26 and $0.52 per share, respectively. Additionally, on July 23, 2026, the Company's Board of Directors declared a dividend of $0.35 per share payable on August 20, 2026 to shareholders of record as of August 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2" w:name="i15136cbb2cbf43cd8c30ee922f8b70da"/>
      <w:bookmarkEnd w:id="22"/>
      <w:r>
        <w:rPr>
          <w:rFonts w:ascii="Times New Roman;serif" w:hAnsi="Times New Roman;serif"/>
          <w:b/>
          <w:color w:val="000000"/>
          <w:sz w:val="20"/>
        </w:rPr>
        <w:t>O.    </w:t>
      </w:r>
      <w:r>
        <w:rPr>
          <w:rFonts w:ascii="Times New Roman;serif" w:hAnsi="Times New Roman;serif"/>
          <w:b/>
          <w:color w:val="000000"/>
          <w:sz w:val="20"/>
          <w:u w:val="single"/>
        </w:rPr>
        <w:t>Accumulated Other Comprehensive Loss Attributable to Crown Holdings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changes in each component of accumulated other comprehensive income/(loss).</w:t>
      </w:r>
    </w:p>
    <w:tbl>
      <w:tblPr>
        <w:tblW w:w="10205" w:type="dxa"/>
        <w:jc w:val="left"/>
        <w:tblInd w:w="0" w:type="dxa"/>
        <w:tblLayout w:type="fixed"/>
        <w:tblCellMar>
          <w:top w:w="28" w:type="dxa"/>
          <w:left w:w="28" w:type="dxa"/>
          <w:bottom w:w="28" w:type="dxa"/>
          <w:right w:w="28" w:type="dxa"/>
        </w:tblCellMar>
      </w:tblPr>
      <w:tblGrid>
        <w:gridCol w:w="1289"/>
        <w:gridCol w:w="857"/>
        <w:gridCol w:w="864"/>
        <w:gridCol w:w="165"/>
        <w:gridCol w:w="165"/>
        <w:gridCol w:w="165"/>
        <w:gridCol w:w="320"/>
        <w:gridCol w:w="789"/>
        <w:gridCol w:w="165"/>
        <w:gridCol w:w="109"/>
        <w:gridCol w:w="109"/>
        <w:gridCol w:w="109"/>
        <w:gridCol w:w="343"/>
        <w:gridCol w:w="1104"/>
        <w:gridCol w:w="176"/>
        <w:gridCol w:w="109"/>
        <w:gridCol w:w="109"/>
        <w:gridCol w:w="109"/>
        <w:gridCol w:w="555"/>
        <w:gridCol w:w="949"/>
        <w:gridCol w:w="286"/>
        <w:gridCol w:w="109"/>
        <w:gridCol w:w="109"/>
        <w:gridCol w:w="109"/>
        <w:gridCol w:w="211"/>
        <w:gridCol w:w="658"/>
        <w:gridCol w:w="163"/>
      </w:tblGrid>
      <w:tr>
        <w:trPr/>
        <w:tc>
          <w:tcPr>
            <w:tcW w:w="128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Gains and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35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 before reclassifications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35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 (loss) before reclassifications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 (loss) </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 xml:space="preserve">See </w:t>
      </w:r>
      <w:hyperlink w:anchor="ie8614afb34884945a273560dbb0c079e_73">
        <w:r>
          <w:rPr>
            <w:rStyle w:val="InternetLink"/>
            <w:rFonts w:ascii="Times New Roman;serif" w:hAnsi="Times New Roman;serif"/>
            <w:b w:val="false"/>
            <w:color w:val="0000FF"/>
            <w:sz w:val="20"/>
            <w:u w:val="single"/>
          </w:rPr>
          <w:t>Note K</w:t>
        </w:r>
      </w:hyperlink>
      <w:r>
        <w:rPr>
          <w:color w:val="000000"/>
        </w:rPr>
        <w:t xml:space="preserve"> </w:t>
      </w:r>
      <w:r>
        <w:rPr>
          <w:rFonts w:ascii="Times New Roman;serif" w:hAnsi="Times New Roman;serif"/>
          <w:b w:val="false"/>
          <w:color w:val="000000"/>
          <w:sz w:val="20"/>
        </w:rPr>
        <w:t xml:space="preserve">and </w:t>
      </w:r>
      <w:hyperlink w:anchor="ie8614afb34884945a273560dbb0c079e_82">
        <w:r>
          <w:rPr>
            <w:rStyle w:val="InternetLink"/>
            <w:rFonts w:ascii="Times New Roman;serif" w:hAnsi="Times New Roman;serif"/>
            <w:b w:val="false"/>
            <w:color w:val="0000FF"/>
            <w:sz w:val="20"/>
            <w:u w:val="single"/>
          </w:rPr>
          <w:t>Note M</w:t>
        </w:r>
      </w:hyperlink>
      <w:r>
        <w:rPr>
          <w:color w:val="000000"/>
        </w:rPr>
        <w:t xml:space="preserve"> </w:t>
      </w:r>
      <w:r>
        <w:rPr>
          <w:rFonts w:ascii="Times New Roman;serif" w:hAnsi="Times New Roman;serif"/>
          <w:b w:val="false"/>
          <w:color w:val="000000"/>
          <w:sz w:val="20"/>
        </w:rPr>
        <w:t xml:space="preserve">for further details of amounts related to cash flow hedges and defined benefit plans.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3" w:name="idb899952bcdd4e9a98975835a6ac4cb6"/>
      <w:bookmarkEnd w:id="23"/>
      <w:r>
        <w:rPr>
          <w:rFonts w:ascii="Times New Roman;serif" w:hAnsi="Times New Roman;serif"/>
          <w:b/>
          <w:color w:val="000000"/>
          <w:sz w:val="20"/>
        </w:rPr>
        <w:t>P.     </w:t>
      </w:r>
      <w:r>
        <w:rPr>
          <w:rFonts w:ascii="Times New Roman;serif" w:hAnsi="Times New Roman;serif"/>
          <w:b/>
          <w:color w:val="000000"/>
          <w:sz w:val="20"/>
          <w:u w:val="single"/>
        </w:rPr>
        <w:t>Revenue</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recognized revenue as follows:</w:t>
      </w:r>
    </w:p>
    <w:tbl>
      <w:tblPr>
        <w:tblW w:w="7979" w:type="dxa"/>
        <w:jc w:val="left"/>
        <w:tblInd w:w="0" w:type="dxa"/>
        <w:tblLayout w:type="fixed"/>
        <w:tblCellMar>
          <w:top w:w="28" w:type="dxa"/>
          <w:left w:w="28" w:type="dxa"/>
          <w:bottom w:w="28" w:type="dxa"/>
          <w:right w:w="28" w:type="dxa"/>
        </w:tblCellMar>
      </w:tblPr>
      <w:tblGrid>
        <w:gridCol w:w="1163"/>
        <w:gridCol w:w="1022"/>
        <w:gridCol w:w="102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200"/>
        <w:jc w:val="both"/>
        <w:rPr/>
      </w:pPr>
      <w:r>
        <w:rPr>
          <w:rFonts w:ascii="Times New Roman;serif" w:hAnsi="Times New Roman;serif"/>
          <w:b w:val="false"/>
          <w:color w:val="000000"/>
          <w:sz w:val="20"/>
        </w:rPr>
        <w:t xml:space="preserve">See </w:t>
      </w:r>
      <w:hyperlink w:anchor="ie8614afb34884945a273560dbb0c079e_106">
        <w:r>
          <w:rPr>
            <w:rStyle w:val="InternetLink"/>
            <w:rFonts w:ascii="Times New Roman;serif" w:hAnsi="Times New Roman;serif"/>
            <w:b w:val="false"/>
            <w:color w:val="0000FF"/>
            <w:sz w:val="20"/>
            <w:u w:val="single"/>
          </w:rPr>
          <w:t>Note R</w:t>
        </w:r>
      </w:hyperlink>
      <w:r>
        <w:rPr>
          <w:color w:val="000000"/>
        </w:rPr>
        <w:t xml:space="preserve"> </w:t>
      </w:r>
      <w:r>
        <w:rPr>
          <w:rFonts w:ascii="Times New Roman;serif" w:hAnsi="Times New Roman;serif"/>
          <w:b w:val="false"/>
          <w:color w:val="000000"/>
          <w:sz w:val="20"/>
        </w:rPr>
        <w:t xml:space="preserve">for further disaggregation of the Company's revenue.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applied the practical expedient to exclude disclosure of remaining performance obligations as its binding orders typically have a term of one year or less.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Contract assets are typically recognized for work in process related to the Company's three-piece printed products and equipment businesses. Contract assets and liabilities are reported in a net position on a contract-by-contract basis. The Company had net contract assets of $36 and $30 as of June 30, 2026 and December 31, 2025, respectively, included in prepaid and other current assets. During the six months ended June 30, 2026, the Company satisfied performance obligations related to contract assets at December 31, 2025 and also recorded new contract assets primarily related to work in process for the equipment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4" w:name="i1b7cb7e1588a4972b79d66833d01f0be"/>
      <w:bookmarkEnd w:id="24"/>
      <w:r>
        <w:rPr>
          <w:rFonts w:ascii="Times New Roman;serif" w:hAnsi="Times New Roman;serif"/>
          <w:b/>
          <w:color w:val="000000"/>
          <w:sz w:val="20"/>
        </w:rPr>
        <w:t>Q.    </w:t>
      </w:r>
      <w:r>
        <w:rPr>
          <w:rFonts w:ascii="Times New Roman;serif" w:hAnsi="Times New Roman;serif"/>
          <w:b/>
          <w:color w:val="000000"/>
          <w:sz w:val="20"/>
          <w:u w:val="single"/>
        </w:rPr>
        <w:t>Earnings Per Share</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computations of basic and diluted earnings per share attributable to the Company.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979" w:type="dxa"/>
        <w:jc w:val="left"/>
        <w:tblInd w:w="0" w:type="dxa"/>
        <w:tblLayout w:type="fixed"/>
        <w:tblCellMar>
          <w:top w:w="28" w:type="dxa"/>
          <w:left w:w="28" w:type="dxa"/>
          <w:bottom w:w="28" w:type="dxa"/>
          <w:right w:w="28" w:type="dxa"/>
        </w:tblCellMar>
      </w:tblPr>
      <w:tblGrid>
        <w:gridCol w:w="1314"/>
        <w:gridCol w:w="1154"/>
        <w:gridCol w:w="116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Crown Holdings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restricted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0.30 million and 0.58 million and 0.12 million and 0.24 million contingently issuable common shares were excluded from the computation of diluted earnings per share because the effect would be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bookmarkStart w:id="25" w:name="id1919f21f97c4e0d8959975d40775008"/>
      <w:bookmarkEnd w:id="25"/>
      <w:r>
        <w:rPr>
          <w:rFonts w:ascii="Times New Roman;serif" w:hAnsi="Times New Roman;serif"/>
          <w:b/>
          <w:color w:val="000000"/>
          <w:sz w:val="20"/>
        </w:rPr>
        <w:t>R.    </w:t>
      </w:r>
      <w:r>
        <w:rPr>
          <w:rFonts w:ascii="Times New Roman;serif" w:hAnsi="Times New Roman;serif"/>
          <w:b/>
          <w:color w:val="000000"/>
          <w:sz w:val="20"/>
          <w:u w:val="single"/>
        </w:rPr>
        <w:t>Segment Information</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evaluates performance and allocates resources based on segment income, which is not a defined term under GAAP. The Company defines segment income as income from operations adjusted to exclude intangibles amortization charges, provisions for restructuring and other and the impact of fair value adjustments related to inventory acquired in an acquisition. Segment income includes cost of products sold, depreciation and general selling and administrative expenses. Segment income should not be considered in isolation or as a substitute for net income prepared in accordance with GAAP and may not be comparable to calculations of similarly titled measures by other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information about the Company's operating segments.</w:t>
      </w:r>
    </w:p>
    <w:p>
      <w:pPr>
        <w:pStyle w:val="TextBody"/>
        <w:bidi w:val="0"/>
        <w:spacing w:before="0" w:after="0"/>
        <w:jc w:val="both"/>
        <w:rPr/>
      </w:pPr>
      <w:r>
        <w:rPr/>
      </w:r>
    </w:p>
    <w:tbl>
      <w:tblPr>
        <w:tblW w:w="9327" w:type="dxa"/>
        <w:jc w:val="left"/>
        <w:tblInd w:w="0" w:type="dxa"/>
        <w:tblLayout w:type="fixed"/>
        <w:tblCellMar>
          <w:top w:w="28" w:type="dxa"/>
          <w:left w:w="28" w:type="dxa"/>
          <w:bottom w:w="28" w:type="dxa"/>
          <w:right w:w="28" w:type="dxa"/>
        </w:tblCellMar>
      </w:tblPr>
      <w:tblGrid>
        <w:gridCol w:w="1001"/>
        <w:gridCol w:w="878"/>
        <w:gridCol w:w="880"/>
        <w:gridCol w:w="211"/>
        <w:gridCol w:w="616"/>
        <w:gridCol w:w="109"/>
        <w:gridCol w:w="109"/>
        <w:gridCol w:w="109"/>
        <w:gridCol w:w="109"/>
        <w:gridCol w:w="335"/>
        <w:gridCol w:w="646"/>
        <w:gridCol w:w="175"/>
        <w:gridCol w:w="109"/>
        <w:gridCol w:w="109"/>
        <w:gridCol w:w="109"/>
        <w:gridCol w:w="358"/>
        <w:gridCol w:w="612"/>
        <w:gridCol w:w="186"/>
        <w:gridCol w:w="109"/>
        <w:gridCol w:w="109"/>
        <w:gridCol w:w="109"/>
        <w:gridCol w:w="310"/>
        <w:gridCol w:w="685"/>
        <w:gridCol w:w="161"/>
        <w:gridCol w:w="109"/>
        <w:gridCol w:w="109"/>
        <w:gridCol w:w="109"/>
        <w:gridCol w:w="217"/>
        <w:gridCol w:w="480"/>
        <w:gridCol w:w="159"/>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32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27" w:type="dxa"/>
        <w:jc w:val="left"/>
        <w:tblInd w:w="0" w:type="dxa"/>
        <w:tblLayout w:type="fixed"/>
        <w:tblCellMar>
          <w:top w:w="28" w:type="dxa"/>
          <w:left w:w="28" w:type="dxa"/>
          <w:bottom w:w="28" w:type="dxa"/>
          <w:right w:w="28" w:type="dxa"/>
        </w:tblCellMar>
      </w:tblPr>
      <w:tblGrid>
        <w:gridCol w:w="1001"/>
        <w:gridCol w:w="878"/>
        <w:gridCol w:w="880"/>
        <w:gridCol w:w="211"/>
        <w:gridCol w:w="616"/>
        <w:gridCol w:w="109"/>
        <w:gridCol w:w="109"/>
        <w:gridCol w:w="109"/>
        <w:gridCol w:w="109"/>
        <w:gridCol w:w="335"/>
        <w:gridCol w:w="646"/>
        <w:gridCol w:w="175"/>
        <w:gridCol w:w="109"/>
        <w:gridCol w:w="109"/>
        <w:gridCol w:w="109"/>
        <w:gridCol w:w="358"/>
        <w:gridCol w:w="612"/>
        <w:gridCol w:w="186"/>
        <w:gridCol w:w="109"/>
        <w:gridCol w:w="109"/>
        <w:gridCol w:w="109"/>
        <w:gridCol w:w="356"/>
        <w:gridCol w:w="612"/>
        <w:gridCol w:w="188"/>
        <w:gridCol w:w="109"/>
        <w:gridCol w:w="109"/>
        <w:gridCol w:w="109"/>
        <w:gridCol w:w="217"/>
        <w:gridCol w:w="480"/>
        <w:gridCol w:w="159"/>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9327" w:type="dxa"/>
        <w:jc w:val="left"/>
        <w:tblInd w:w="0" w:type="dxa"/>
        <w:tblLayout w:type="fixed"/>
        <w:tblCellMar>
          <w:top w:w="28" w:type="dxa"/>
          <w:left w:w="28" w:type="dxa"/>
          <w:bottom w:w="28" w:type="dxa"/>
          <w:right w:w="28" w:type="dxa"/>
        </w:tblCellMar>
      </w:tblPr>
      <w:tblGrid>
        <w:gridCol w:w="1001"/>
        <w:gridCol w:w="878"/>
        <w:gridCol w:w="880"/>
        <w:gridCol w:w="211"/>
        <w:gridCol w:w="616"/>
        <w:gridCol w:w="109"/>
        <w:gridCol w:w="109"/>
        <w:gridCol w:w="109"/>
        <w:gridCol w:w="109"/>
        <w:gridCol w:w="335"/>
        <w:gridCol w:w="646"/>
        <w:gridCol w:w="175"/>
        <w:gridCol w:w="109"/>
        <w:gridCol w:w="109"/>
        <w:gridCol w:w="109"/>
        <w:gridCol w:w="310"/>
        <w:gridCol w:w="685"/>
        <w:gridCol w:w="161"/>
        <w:gridCol w:w="109"/>
        <w:gridCol w:w="109"/>
        <w:gridCol w:w="109"/>
        <w:gridCol w:w="310"/>
        <w:gridCol w:w="685"/>
        <w:gridCol w:w="161"/>
        <w:gridCol w:w="109"/>
        <w:gridCol w:w="109"/>
        <w:gridCol w:w="109"/>
        <w:gridCol w:w="217"/>
        <w:gridCol w:w="480"/>
        <w:gridCol w:w="159"/>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32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327" w:type="dxa"/>
        <w:jc w:val="left"/>
        <w:tblInd w:w="0" w:type="dxa"/>
        <w:tblLayout w:type="fixed"/>
        <w:tblCellMar>
          <w:top w:w="28" w:type="dxa"/>
          <w:left w:w="28" w:type="dxa"/>
          <w:bottom w:w="28" w:type="dxa"/>
          <w:right w:w="28" w:type="dxa"/>
        </w:tblCellMar>
      </w:tblPr>
      <w:tblGrid>
        <w:gridCol w:w="1001"/>
        <w:gridCol w:w="878"/>
        <w:gridCol w:w="880"/>
        <w:gridCol w:w="211"/>
        <w:gridCol w:w="616"/>
        <w:gridCol w:w="109"/>
        <w:gridCol w:w="109"/>
        <w:gridCol w:w="109"/>
        <w:gridCol w:w="109"/>
        <w:gridCol w:w="335"/>
        <w:gridCol w:w="646"/>
        <w:gridCol w:w="175"/>
        <w:gridCol w:w="109"/>
        <w:gridCol w:w="109"/>
        <w:gridCol w:w="109"/>
        <w:gridCol w:w="310"/>
        <w:gridCol w:w="685"/>
        <w:gridCol w:w="161"/>
        <w:gridCol w:w="109"/>
        <w:gridCol w:w="109"/>
        <w:gridCol w:w="109"/>
        <w:gridCol w:w="356"/>
        <w:gridCol w:w="612"/>
        <w:gridCol w:w="188"/>
        <w:gridCol w:w="109"/>
        <w:gridCol w:w="109"/>
        <w:gridCol w:w="109"/>
        <w:gridCol w:w="217"/>
        <w:gridCol w:w="480"/>
        <w:gridCol w:w="159"/>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32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External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does not disclose total assets by segment as it is not provided to the chief operating decision maker.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sources of revenue included in Other are the Company's North America tinplate businesses: food can, aerosol can, and closures, and beverage tooling and equipment operations in the U.S. and U.K.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unallocated items include corporate and administrative costs, research and development, and unallocated items such as stock-based compensation and insurance costs.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sales primarily include equipment and parts used in the manufacturing process.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segment income of reportable segments to income before income taxes is as follows: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92"/>
        <w:gridCol w:w="1915"/>
        <w:gridCol w:w="192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rPr/>
        <w:tc>
          <w:tcPr>
            <w:tcW w:w="219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6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6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of reportable segments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of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early extinguishments of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taxes and equity in net earnings of affiliates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color w:val="000000"/>
          <w:sz w:val="20"/>
          <w:shd w:fill="FFFFFF" w:val="clear"/>
        </w:rPr>
      </w:pPr>
      <w:bookmarkStart w:id="26" w:name="ic2653225c8754f019739f4a5c8a02f5a"/>
      <w:bookmarkEnd w:id="26"/>
      <w:r>
        <w:rPr>
          <w:rFonts w:ascii="Times New Roman;serif" w:hAnsi="Times New Roman;serif"/>
          <w:b/>
          <w:color w:val="000000"/>
          <w:sz w:val="20"/>
          <w:shd w:fill="FFFFFF" w:val="clear"/>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(dollars in millions)</w: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u w:val="single"/>
        </w:rPr>
        <w:t>Introduction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presents management's analysis of the results of operations for the three and six months ended June 30, 2026 compared to 2025 and changes in financial condition and liquidity from December 31, 2025. This discussion should be read in conjunction with the consolidated financial statements and notes thereto included in the Company's Annual Report on Form 10-K for the year ended December 31, 2025, along with the consolidated financial statements and related notes included in and referred to within this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Business Strategy and Trends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strategy is to maximize long-term shareholder value by pursuing profitable growth opportunities while returning cash to shareholders through dividends and share repurchases.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Global industry demand for beverage cans has been growing in recent years in North America, Brazil and Europe. Growth has been driven by new product introductions, customer and consumer focus on the sustainability benefits of aluminum and population and GDP growth in many markets. To meet such demand, the Company has made long-term investments of at least $2,000 for new manufacturing facilities and additional production lines in existing facilities </w:t>
      </w:r>
      <w:r>
        <w:rPr>
          <w:rFonts w:ascii="Times New Roman;serif" w:hAnsi="Times New Roman;serif"/>
          <w:b w:val="false"/>
          <w:color w:val="000000"/>
          <w:sz w:val="20"/>
          <w:shd w:fill="FFFFFF" w:val="clear"/>
        </w:rPr>
        <w:t>since 2019. Capital spending is estimated</w:t>
      </w:r>
      <w:r>
        <w:rPr>
          <w:color w:val="000000"/>
        </w:rPr>
        <w:t xml:space="preserve"> </w:t>
      </w:r>
      <w:r>
        <w:rPr>
          <w:rFonts w:ascii="Times New Roman;serif" w:hAnsi="Times New Roman;serif"/>
          <w:b w:val="false"/>
          <w:color w:val="000000"/>
          <w:sz w:val="20"/>
        </w:rPr>
        <w:t>at $550 in 2026 which</w:t>
      </w:r>
      <w:r>
        <w:rPr>
          <w:color w:val="000000"/>
          <w:shd w:fill="FFFFFF" w:val="clear"/>
        </w:rPr>
        <w:t xml:space="preserve"> </w:t>
      </w:r>
      <w:r>
        <w:rPr>
          <w:rFonts w:ascii="Times New Roman;serif" w:hAnsi="Times New Roman;serif"/>
          <w:b w:val="false"/>
          <w:color w:val="000000"/>
          <w:sz w:val="20"/>
          <w:shd w:fill="FFFFFF" w:val="clear"/>
        </w:rPr>
        <w:t>supports the Company's growth objectives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strategy is anchored by strong cash flow generation and a healthy balance sheet with a long-term net leverage target of 2.5x adjusted EBITDA (a non-GAAP measure). The Company believes it has the flexibility and resources to fund growth, repay debt and return excess cash flow to shareholders. On July 25, 2024, the Company's Board of Directors authorized the repurchase of an aggregate amount of $2,000 of the Company's common stock through the end of 2027. As of June 30, 2026, the Company had approximately $800 remaining that may yet be purchased under the program.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continues to actively elevate its commitment to sustainability, which is a core focus of the Company. In 2020, the Company introduced </w:t>
      </w:r>
      <w:r>
        <w:rPr>
          <w:rFonts w:ascii="Times New Roman;serif" w:hAnsi="Times New Roman;serif"/>
          <w:b/>
          <w:color w:val="000000"/>
          <w:sz w:val="20"/>
        </w:rPr>
        <w:t>Twenty</w:t>
      </w:r>
      <w:r>
        <w:rPr>
          <w:rFonts w:ascii="Times New Roman;serif" w:hAnsi="Times New Roman;serif"/>
          <w:b w:val="false"/>
          <w:color w:val="000000"/>
          <w:sz w:val="20"/>
        </w:rPr>
        <w:t>by</w:t>
      </w:r>
      <w:r>
        <w:rPr>
          <w:rFonts w:ascii="Times New Roman;serif" w:hAnsi="Times New Roman;serif"/>
          <w:b/>
          <w:color w:val="000000"/>
          <w:sz w:val="20"/>
        </w:rPr>
        <w:t>30</w:t>
      </w:r>
      <w:r>
        <w:rPr>
          <w:rFonts w:ascii="Times New Roman;serif" w:hAnsi="Times New Roman;serif"/>
          <w:b w:val="false"/>
          <w:color w:val="000000"/>
          <w:sz w:val="20"/>
        </w:rPr>
        <w:t>, a robust program that outlines twenty measurable, science based, environmental, social and governance goals to be completed by 2030. The Company was honored as one of Forbes' Net Zero Leaders for 2025, a recognition that reflects the commitment and hard work of the global organization, driving meaningful and consistent progress toward the Company's sustainability goals.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actively manage the challenges of supply chain disruptions, foreign exchange, interest rate fluctuations, and inflationary pressures, including increasing costs for raw materials, energy and transportation. Additionally, tariffs, retaliatory trade measures and further trade restrictions could result in higher raw material costs and a wide range of possible outcomes including impacts on consumers and industrial activity.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under the heading "Results of Operations"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date, the war between Russia and Ukraine and the conflicts in the Middle East, including the war in Iran, have not had a direct material impact on the Company's business, financial condition, or results of operations.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foreign currency translation impacts referred to in the discussion below were primarily due to changes in the Mexican peso in the Company's Americas Beverage segment, the euro and the British pound in the Company's European Beverage segment, and the Thai baht in the Company's Asia Pacific segment. The Company's Transit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Packaging segment is a global business and the foreign currency translation impacts referred to in the discussion below are primarily related to the euro, the Indian rupee, the Mexican peso, the Swedish krona, and the Brazilian real.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calculates the impact of foreign currency translation by dividing current year U.S. dollar results by the current year average foreign exchange rates and then multiplying those amounts by the applicable prior year average exchange 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Net Sales and Segment Income</w:t>
      </w:r>
      <w:r>
        <w:rPr>
          <w:color w:val="000000"/>
        </w:rPr>
        <w:t>    </w:t>
      </w:r>
    </w:p>
    <w:tbl>
      <w:tblPr>
        <w:tblW w:w="5609" w:type="dxa"/>
        <w:jc w:val="left"/>
        <w:tblInd w:w="0" w:type="dxa"/>
        <w:tblLayout w:type="fixed"/>
        <w:tblCellMar>
          <w:top w:w="28" w:type="dxa"/>
          <w:left w:w="28" w:type="dxa"/>
          <w:bottom w:w="28" w:type="dxa"/>
          <w:right w:w="28" w:type="dxa"/>
        </w:tblCellMar>
      </w:tblPr>
      <w:tblGrid>
        <w:gridCol w:w="304"/>
        <w:gridCol w:w="266"/>
        <w:gridCol w:w="26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2026 compared to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increased primarily due to the pass-through of higher material costs of $395 and $629, 5% higher beverage can volumes in both periods, and favorable foreign currency translation of $32 and $106,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Americas Beverage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Americas Beverage segment manufactures aluminum beverage cans and ends, steel crowns, glass bottles, and aluminum closures and supplies a variety of customers from its operations in the U.S., Brazil, Canada, Colombia and Mexico.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packaging. In May 2025, the Company announced it will add a new high-speed production line to its beverage can plant in Ponta Grossa, Brazil. The line is expected to commence commercial production in late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the Americas Beverage segment were as follows: </w:t>
      </w:r>
    </w:p>
    <w:p>
      <w:pPr>
        <w:pStyle w:val="TextBody"/>
        <w:bidi w:val="0"/>
        <w:spacing w:before="0" w:after="0"/>
        <w:jc w:val="both"/>
        <w:rPr/>
      </w:pPr>
      <w:r>
        <w:rPr/>
      </w:r>
    </w:p>
    <w:tbl>
      <w:tblPr>
        <w:tblW w:w="6239" w:type="dxa"/>
        <w:jc w:val="left"/>
        <w:tblInd w:w="0" w:type="dxa"/>
        <w:tblLayout w:type="fixed"/>
        <w:tblCellMar>
          <w:top w:w="28" w:type="dxa"/>
          <w:left w:w="28" w:type="dxa"/>
          <w:bottom w:w="28" w:type="dxa"/>
          <w:right w:w="28" w:type="dxa"/>
        </w:tblCellMar>
      </w:tblPr>
      <w:tblGrid>
        <w:gridCol w:w="532"/>
        <w:gridCol w:w="466"/>
        <w:gridCol w:w="47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2026 compared to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compared to 2025, Net sales increased primarily due to $298 and $482 from the pass-through of higher aluminum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income decreased primarily due to 14% and 10% lower beverage can volumes in Brazil, partially offset by 5% and 3% higher beverage can volumes in North America and continued commercial and operational improvements. Additionally, the six months ended June 30, 2026 included higher costs not recovered.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European Beverage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European Beverage segment manufactures aluminum beverage cans and ends and supplies a variety of customers from its operations throughout Europe, the Middle East and North Africa. In recent years, the European beverage can market has been growing due to consumer focus on sustainability benefits of aluminum and a market shift to cans versus other packaging formats. To meet volume requirements, the Company plans to add additional line capacity in Korinthos, Greece in the second half of 2026 and Agoncillo, Spain in early 2027. In April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 announced plans to construct a new two-line, high-speed beverage can plant in Northern India. This plant is expected to commence operations in the second half of 2027.</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the European Beverage segment were as follows: </w:t>
      </w:r>
    </w:p>
    <w:p>
      <w:pPr>
        <w:pStyle w:val="TextBody"/>
        <w:bidi w:val="0"/>
        <w:spacing w:before="0" w:after="0"/>
        <w:jc w:val="both"/>
        <w:rPr/>
      </w:pPr>
      <w:r>
        <w:rPr/>
      </w:r>
    </w:p>
    <w:tbl>
      <w:tblPr>
        <w:tblW w:w="5939" w:type="dxa"/>
        <w:jc w:val="left"/>
        <w:tblInd w:w="0" w:type="dxa"/>
        <w:tblLayout w:type="fixed"/>
        <w:tblCellMar>
          <w:top w:w="28" w:type="dxa"/>
          <w:left w:w="28" w:type="dxa"/>
          <w:bottom w:w="28" w:type="dxa"/>
          <w:right w:w="28" w:type="dxa"/>
        </w:tblCellMar>
      </w:tblPr>
      <w:tblGrid>
        <w:gridCol w:w="532"/>
        <w:gridCol w:w="466"/>
        <w:gridCol w:w="471"/>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2026 compared to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compared to 2025, Net sales increased primarily due to higher volumes of 6% and 7%, the pass-through of higher aluminum costs of $36 and $47, and favorable foreign currency translation of $16 and $52.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Segment income improved primarily due to higher volumes and favorable foreign currency translation of $3 and $8 </w:t>
      </w:r>
      <w:r>
        <w:rPr>
          <w:rFonts w:ascii="Times New Roman;serif" w:hAnsi="Times New Roman;serif"/>
          <w:b w:val="false"/>
          <w:color w:val="000000"/>
          <w:sz w:val="20"/>
        </w:rPr>
        <w:t>and continued commercial and operational improvements</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Asia Pacific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Asia Pacific segment consists of beverage can operations in Cambodia, China, Indonesia, Malaysia,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 After several years of softness in the Asia Pacific beverage can market from the effects of higher inflation and interest rates, the market has started to show renewed growth in Vietnam and China while the rest of the market remains soft.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the Asia Pacific segment were as follows: </w:t>
      </w:r>
    </w:p>
    <w:p>
      <w:pPr>
        <w:pStyle w:val="TextBody"/>
        <w:bidi w:val="0"/>
        <w:spacing w:before="0" w:after="0"/>
        <w:jc w:val="both"/>
        <w:rPr/>
      </w:pPr>
      <w:r>
        <w:rPr/>
      </w:r>
    </w:p>
    <w:tbl>
      <w:tblPr>
        <w:tblW w:w="6075" w:type="dxa"/>
        <w:jc w:val="left"/>
        <w:tblInd w:w="0" w:type="dxa"/>
        <w:tblLayout w:type="fixed"/>
        <w:tblCellMar>
          <w:top w:w="28" w:type="dxa"/>
          <w:left w:w="28" w:type="dxa"/>
          <w:bottom w:w="28" w:type="dxa"/>
          <w:right w:w="28" w:type="dxa"/>
        </w:tblCellMar>
      </w:tblPr>
      <w:tblGrid>
        <w:gridCol w:w="532"/>
        <w:gridCol w:w="466"/>
        <w:gridCol w:w="47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2026 compared to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compared to 2025, Net sales increased primarily due to 29% and 23% higher beverage can volumes and favorable foreign currency translation of $4 and $11.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income increased primarily due to higher volumes, partially offset by higher costs not recovered, primarily utility and transportation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Transit Packaging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segment may be subject to direct and indirect effects from tariffs which may slow consumer and industrial activity, the impact of which cannot be reasonably predicted. The Company will continue to monitor these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including potential actions to mitigate their impact. This economic uncertainty could affect projected future financial performance and may require a quantitative goodwill impairment test in the future to determine if an impairment charge is necessary.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the Transit Packaging segment were as follows: </w:t>
      </w:r>
    </w:p>
    <w:p>
      <w:pPr>
        <w:pStyle w:val="TextBody"/>
        <w:bidi w:val="0"/>
        <w:spacing w:before="0" w:after="0"/>
        <w:jc w:val="both"/>
        <w:rPr/>
      </w:pPr>
      <w:r>
        <w:rPr/>
      </w:r>
    </w:p>
    <w:tbl>
      <w:tblPr>
        <w:tblW w:w="6375" w:type="dxa"/>
        <w:jc w:val="left"/>
        <w:tblInd w:w="0" w:type="dxa"/>
        <w:tblLayout w:type="fixed"/>
        <w:tblCellMar>
          <w:top w:w="28" w:type="dxa"/>
          <w:left w:w="28" w:type="dxa"/>
          <w:bottom w:w="28" w:type="dxa"/>
          <w:right w:w="28" w:type="dxa"/>
        </w:tblCellMar>
      </w:tblPr>
      <w:tblGrid>
        <w:gridCol w:w="532"/>
        <w:gridCol w:w="466"/>
        <w:gridCol w:w="471"/>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2026 compared to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compared to 2025, Net sales increased primarily due to favorable foreign currency translation of $4 and $25. The three months ended June 30, 2026 also included $12 from the pass-through of higher material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income decreased primarily due to lower volume and inflationary cost pressures of $2 and $11.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includes the Company's North America tinplate businesses: food can, aerosol can, and closures, and beverage tooling and equipment operations in the U.S. and U.K.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and Segment income in Other were as follows: </w:t>
      </w:r>
    </w:p>
    <w:p>
      <w:pPr>
        <w:pStyle w:val="TextBody"/>
        <w:bidi w:val="0"/>
        <w:spacing w:before="0" w:after="0"/>
        <w:jc w:val="left"/>
        <w:rPr/>
      </w:pPr>
      <w:r>
        <w:rPr/>
      </w:r>
    </w:p>
    <w:tbl>
      <w:tblPr>
        <w:tblW w:w="6075" w:type="dxa"/>
        <w:jc w:val="left"/>
        <w:tblInd w:w="0" w:type="dxa"/>
        <w:tblLayout w:type="fixed"/>
        <w:tblCellMar>
          <w:top w:w="28" w:type="dxa"/>
          <w:left w:w="28" w:type="dxa"/>
          <w:bottom w:w="28" w:type="dxa"/>
          <w:right w:w="28" w:type="dxa"/>
        </w:tblCellMar>
      </w:tblPr>
      <w:tblGrid>
        <w:gridCol w:w="532"/>
        <w:gridCol w:w="466"/>
        <w:gridCol w:w="47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Three and six months ended June 30, 2026 compared to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compared to 2025, Net sales increased primarily due to $31 and $68 from the pass-through of higher tinplate costs and $12 and $29 higher sales in the Company's beverage can equipment operations.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Segm</w:t>
      </w:r>
      <w:r>
        <w:rPr>
          <w:rFonts w:ascii="Times New Roman;serif" w:hAnsi="Times New Roman;serif"/>
          <w:b w:val="false"/>
          <w:color w:val="000000"/>
          <w:sz w:val="20"/>
        </w:rPr>
        <w:t xml:space="preserve">ent income increased primarily due to increased profitability in the Company's North America tinplate businesses due to commercial and operational improvements and higher sales in the Company's beverage can equipment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Corporate and unallocated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and unallocated items include corporate and administrative costs, research and development, and unallocated items such as stock-based compensation and insurance costs.</w:t>
      </w:r>
    </w:p>
    <w:p>
      <w:pPr>
        <w:pStyle w:val="TextBody"/>
        <w:bidi w:val="0"/>
        <w:spacing w:before="0" w:after="0"/>
        <w:jc w:val="both"/>
        <w:rPr/>
      </w:pPr>
      <w:r>
        <w:rPr/>
      </w:r>
    </w:p>
    <w:p>
      <w:pPr>
        <w:pStyle w:val="TextBody"/>
        <w:bidi w:val="0"/>
        <w:spacing w:before="0" w:after="0"/>
        <w:jc w:val="both"/>
        <w:rPr/>
      </w:pPr>
      <w:r>
        <w:rPr/>
      </w:r>
    </w:p>
    <w:tbl>
      <w:tblPr>
        <w:tblW w:w="7471" w:type="dxa"/>
        <w:jc w:val="left"/>
        <w:tblInd w:w="0" w:type="dxa"/>
        <w:tblLayout w:type="fixed"/>
        <w:tblCellMar>
          <w:top w:w="28" w:type="dxa"/>
          <w:left w:w="28" w:type="dxa"/>
          <w:bottom w:w="28" w:type="dxa"/>
          <w:right w:w="28" w:type="dxa"/>
        </w:tblCellMar>
      </w:tblPr>
      <w:tblGrid>
        <w:gridCol w:w="1080"/>
        <w:gridCol w:w="950"/>
        <w:gridCol w:w="955"/>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Corporate and unallocated expenses were relatively flat for the three and six months ended June 30, 2026 compared to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Restructuring and other,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and six months ended June 30, 2026, restructuring and other net charges were $2 and $4.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three and six months ended June 30, 2025, restructuring and other net charges were $47 and $45, primarily related to an asset impairment charge in China and end line rationalization in the Asia Pacific segment. The Company also recorded severance and other exit costs in the Transit Packaging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continues to review its cost structure and may record additional restructuring charges in the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Taxes on income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rates were as follows: </w:t>
      </w:r>
    </w:p>
    <w:p>
      <w:pPr>
        <w:pStyle w:val="TextBody"/>
        <w:bidi w:val="0"/>
        <w:spacing w:before="0" w:after="0"/>
        <w:jc w:val="both"/>
        <w:rPr/>
      </w:pPr>
      <w:r>
        <w:rPr/>
      </w:r>
    </w:p>
    <w:tbl>
      <w:tblPr>
        <w:tblW w:w="9271" w:type="dxa"/>
        <w:jc w:val="left"/>
        <w:tblInd w:w="0" w:type="dxa"/>
        <w:tblLayout w:type="fixed"/>
        <w:tblCellMar>
          <w:top w:w="28" w:type="dxa"/>
          <w:left w:w="28" w:type="dxa"/>
          <w:bottom w:w="28" w:type="dxa"/>
          <w:right w:w="28" w:type="dxa"/>
        </w:tblCellMar>
      </w:tblPr>
      <w:tblGrid>
        <w:gridCol w:w="1759"/>
        <w:gridCol w:w="1547"/>
        <w:gridCol w:w="1553"/>
        <w:gridCol w:w="315"/>
        <w:gridCol w:w="196"/>
        <w:gridCol w:w="326"/>
        <w:gridCol w:w="131"/>
        <w:gridCol w:w="131"/>
        <w:gridCol w:w="131"/>
        <w:gridCol w:w="315"/>
        <w:gridCol w:w="196"/>
        <w:gridCol w:w="326"/>
        <w:gridCol w:w="109"/>
        <w:gridCol w:w="109"/>
        <w:gridCol w:w="109"/>
        <w:gridCol w:w="325"/>
        <w:gridCol w:w="186"/>
        <w:gridCol w:w="301"/>
        <w:gridCol w:w="116"/>
        <w:gridCol w:w="116"/>
        <w:gridCol w:w="116"/>
        <w:gridCol w:w="326"/>
        <w:gridCol w:w="185"/>
        <w:gridCol w:w="347"/>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 and equity in net earnings of affiliates</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decrease in the effective tax rate for the three months ended June 30, 2026 compared to 2025, was primarily due to the geographic distribution of the Company's worldwide earnings. The increase in the effective tax rate for the six months ended June 30, 2026 was primarily due to an income tax benefit of $22, recognized in the first quarter of 2025 after an internal reorganization, which resulted in the release of deferred tax liabilities related to the foreign currency impact of certain intercompany debt instruments that were designated as hedges of the Company's net investment in a euro-based subsidiary.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tax reform, commonly referred to as the One Big Beautiful Bill Act ("OBBBA"). OBBBA is not expected to have a material impact on the Company's financial results for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January 1, 2024, various jurisdictions in which the Company operates have enacted the Pillar II directive which establishes a global minimum corporate tax rate of 15% initiated by the Organisation for Economic Co-operation and Development ("OECD"). The Company does not currently expect Pillar II to have a material impact on its financial results, including its annual estimated effective tax rate or liquidity for 2026 based on currently enacted tax laws. However, the Company continues to monitor developments across its jurisdictions, including any additional guidance issued by the OECD.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Net income attributable to noncontrolling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compared to 2025, net income attributable to noncontrolling interests decreased from $35 to $31 and $69 and $62 primarily due to lower earnings in the Company's beverage can operations in Brazil.</w:t>
      </w:r>
    </w:p>
    <w:p>
      <w:pPr>
        <w:pStyle w:val="TextBody"/>
        <w:bidi w:val="0"/>
        <w:spacing w:before="0" w:after="0"/>
        <w:jc w:val="both"/>
        <w:rPr/>
      </w:pPr>
      <w:r>
        <w:rPr/>
      </w:r>
    </w:p>
    <w:p>
      <w:pPr>
        <w:pStyle w:val="TextBody"/>
        <w:bidi w:val="0"/>
        <w:spacing w:lineRule="auto" w:line="288" w:before="0" w:after="0"/>
        <w:ind w:left="0" w:right="0" w:hanging="720"/>
        <w:jc w:val="center"/>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before="0" w:after="0"/>
        <w:ind w:left="0" w:right="0" w:hanging="72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Operating Activities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Cash from operating activities</w:t>
      </w:r>
      <w:r>
        <w:rPr>
          <w:color w:val="000000"/>
        </w:rPr>
        <w:t xml:space="preserve"> </w:t>
      </w:r>
      <w:r>
        <w:rPr>
          <w:rFonts w:ascii="Times New Roman;serif" w:hAnsi="Times New Roman;serif"/>
          <w:b w:val="false"/>
          <w:color w:val="000000"/>
          <w:sz w:val="20"/>
        </w:rPr>
        <w:t xml:space="preserve">increased </w:t>
      </w:r>
      <w:r>
        <w:rPr>
          <w:rFonts w:ascii="Times New Roman;serif" w:hAnsi="Times New Roman;serif"/>
          <w:b w:val="false"/>
          <w:color w:val="000000"/>
          <w:sz w:val="20"/>
          <w:shd w:fill="FFFFFF" w:val="clear"/>
        </w:rPr>
        <w:t xml:space="preserve">from $463 for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to $</w:t>
      </w:r>
      <w:r>
        <w:rPr>
          <w:rFonts w:ascii="Times New Roman;serif" w:hAnsi="Times New Roman;serif"/>
          <w:b w:val="false"/>
          <w:color w:val="000000"/>
          <w:sz w:val="20"/>
        </w:rPr>
        <w:t>659</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primarily due to higher income from operations and changes in working capital.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Days sales outstanding for trade receivables, excluding the impact of unbilled receivables, decreased from 33 days as of June 30, 2025 to 28 days as of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Inventory turnover days decreased from 57 days at June 30, 2025 to 54 days at June 30, 2026</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rPr>
        <w:t>Days outstanding for trade payables increased from 92 days at June 30, 2025 to 96 days at June 30, 2026</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Investing Activities</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for investing activities increased from $44 for the six months ended June 30, 2025 to $194 for the six months ended June 30, 2026, primarily due to higher capital expenditures and $45 settlement of cross-currency swaps that matured in February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currently expects capital expenditures in 2026 to be approximately $550.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Cash used for financing activities</w:t>
      </w:r>
      <w:r>
        <w:rPr>
          <w:color w:val="000000"/>
        </w:rPr>
        <w:t xml:space="preserve"> </w:t>
      </w:r>
      <w:r>
        <w:rPr>
          <w:rFonts w:ascii="Times New Roman;serif" w:hAnsi="Times New Roman;serif"/>
          <w:b w:val="false"/>
          <w:color w:val="000000"/>
          <w:sz w:val="20"/>
        </w:rPr>
        <w:t xml:space="preserve">increased </w:t>
      </w:r>
      <w:r>
        <w:rPr>
          <w:rFonts w:ascii="Times New Roman;serif" w:hAnsi="Times New Roman;serif"/>
          <w:b w:val="false"/>
          <w:color w:val="000000"/>
          <w:sz w:val="20"/>
          <w:shd w:fill="FFFFFF" w:val="clear"/>
        </w:rPr>
        <w:t xml:space="preserve">from $427 for the </w:t>
      </w:r>
      <w:r>
        <w:rPr>
          <w:rFonts w:ascii="Times New Roman;serif" w:hAnsi="Times New Roman;serif"/>
          <w:b w:val="false"/>
          <w:color w:val="000000"/>
          <w:sz w:val="20"/>
        </w:rPr>
        <w:t>six months ended June 30, 2025</w:t>
      </w:r>
      <w:r>
        <w:rPr>
          <w:color w:val="000000"/>
          <w:shd w:fill="FFFFFF" w:val="clear"/>
        </w:rPr>
        <w:t xml:space="preserve"> </w:t>
      </w:r>
      <w:r>
        <w:rPr>
          <w:rFonts w:ascii="Times New Roman;serif" w:hAnsi="Times New Roman;serif"/>
          <w:b w:val="false"/>
          <w:color w:val="000000"/>
          <w:sz w:val="20"/>
          <w:shd w:fill="FFFFFF" w:val="clear"/>
        </w:rPr>
        <w:t>to $</w:t>
      </w:r>
      <w:r>
        <w:rPr>
          <w:rFonts w:ascii="Times New Roman;serif" w:hAnsi="Times New Roman;serif"/>
          <w:b w:val="false"/>
          <w:color w:val="000000"/>
          <w:sz w:val="20"/>
        </w:rPr>
        <w:t>562</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six months ended June 30, 2026, primarily due to $517 of common stock repurchased in 2026 and $90 of payments for assets financed in 2025, partially offset by reductions of payments and proceeds on the Company's long and short-term debt. </w:t>
      </w:r>
    </w:p>
    <w:p>
      <w:pPr>
        <w:pStyle w:val="TextBody"/>
        <w:bidi w:val="0"/>
        <w:spacing w:lineRule="auto" w:line="268" w:before="0" w:after="0"/>
        <w:ind w:left="0" w:right="0" w:firstLine="72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$564 of the Company's $656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$238 was held by subsidiaries for which earnings are considered indefinitely reinvested.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revolving credit agreements provide capacit</w:t>
      </w:r>
      <w:r>
        <w:rPr>
          <w:rFonts w:ascii="Times New Roman;serif" w:hAnsi="Times New Roman;serif"/>
          <w:b w:val="false"/>
          <w:color w:val="000000"/>
          <w:sz w:val="20"/>
          <w:shd w:fill="FFFFFF" w:val="clear"/>
        </w:rPr>
        <w:t xml:space="preserve">y of $1,650 and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had available capacity of $1,525. The Company could have borrowed this amount a</w:t>
      </w:r>
      <w:r>
        <w:rPr>
          <w:rFonts w:ascii="Times New Roman;serif" w:hAnsi="Times New Roman;serif"/>
          <w:b w:val="false"/>
          <w:color w:val="000000"/>
          <w:sz w:val="20"/>
        </w:rPr>
        <w:t>t June 30, 2026 and still have been in compliance with its leverage ratio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w:t>
      </w:r>
      <w:r>
        <w:rPr>
          <w:rFonts w:ascii="Times New Roman;serif" w:hAnsi="Times New Roman;serif"/>
          <w:b w:val="false"/>
          <w:color w:val="000000"/>
          <w:sz w:val="20"/>
          <w:shd w:fill="FFFFFF" w:val="clear"/>
        </w:rPr>
        <w:t xml:space="preserve">atio of </w:t>
      </w:r>
      <w:r>
        <w:rPr>
          <w:rFonts w:ascii="Times New Roman;serif" w:hAnsi="Times New Roman;serif"/>
          <w:b w:val="false"/>
          <w:color w:val="000000"/>
          <w:sz w:val="20"/>
        </w:rPr>
        <w:t xml:space="preserve">2.42 </w:t>
      </w:r>
      <w:r>
        <w:rPr>
          <w:rFonts w:ascii="Times New Roman;serif" w:hAnsi="Times New Roman;serif"/>
          <w:b w:val="false"/>
          <w:color w:val="000000"/>
          <w:sz w:val="20"/>
          <w:shd w:fill="FFFFFF" w:val="clear"/>
        </w:rPr>
        <w:t xml:space="preserve">to 1.0 at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was in compl</w:t>
      </w:r>
      <w:r>
        <w:rPr>
          <w:rFonts w:ascii="Times New Roman;serif" w:hAnsi="Times New Roman;serif"/>
          <w:b w:val="false"/>
          <w:color w:val="000000"/>
          <w:sz w:val="20"/>
        </w:rPr>
        <w:t xml:space="preserve">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current sources of liquidity also include a securitization facility with a program limit up to a maximum of $800 that expires in July 2027 and securitization facilities with program limits of $230 and $180 that expire in November 2027.</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its cash flows from operations, borrowings under its revolving credit facilities and the acceleration of cash receipts under its receivables securitization and factoring programs to primarily fund its operations, capital expenditures and financing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Long-term debt payments due in the next twelve months include the Company's $400 4.25% senior notes due in September 2026. The Company expects to have sufficient liquidity to repay the senior notes at maturity.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approximately $190 of capital commitments primarily related to Americas Beverage and European Beverage. The Company expects to fund these commitments primarily through cash flows from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Company's contractual obligations provided within Part II, Item 7, "Management's Discussion and Analysis of Financial Condition and Results of Operations" of the Company's Annual Report on Form 10-K for the year ended December 31, 2025, which information is incorporated herein by reference.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Supplemental Guarantor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7.50% senior notes due 2096 issued by Crown Cork &amp; Seal Company, Inc., which are fully and unconditionally guaranteed by Crown Holdings, Inc. (the "Parent"). No other subsidiary guarantees the debt and the guarantees are made on a joint and several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United States.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Crown Cork Obligor Group</w:t>
      </w:r>
    </w:p>
    <w:tbl>
      <w:tblPr>
        <w:tblW w:w="5953" w:type="dxa"/>
        <w:jc w:val="left"/>
        <w:tblInd w:w="0" w:type="dxa"/>
        <w:tblLayout w:type="fixed"/>
        <w:tblCellMar>
          <w:top w:w="28" w:type="dxa"/>
          <w:left w:w="28" w:type="dxa"/>
          <w:bottom w:w="28" w:type="dxa"/>
          <w:right w:w="28" w:type="dxa"/>
        </w:tblCellMar>
      </w:tblPr>
      <w:tblGrid>
        <w:gridCol w:w="1240"/>
        <w:gridCol w:w="1083"/>
        <w:gridCol w:w="1096"/>
        <w:gridCol w:w="109"/>
        <w:gridCol w:w="109"/>
        <w:gridCol w:w="270"/>
        <w:gridCol w:w="270"/>
        <w:gridCol w:w="528"/>
        <w:gridCol w:w="270"/>
        <w:gridCol w:w="279"/>
        <w:gridCol w:w="109"/>
        <w:gridCol w:w="109"/>
        <w:gridCol w:w="109"/>
        <w:gridCol w:w="109"/>
        <w:gridCol w:w="109"/>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699"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699"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7"/>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attributable to Crown Holdings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$43 of expense related to intercompany interest with non-guarantor subsidiaries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5282" w:type="dxa"/>
        <w:jc w:val="left"/>
        <w:tblInd w:w="0" w:type="dxa"/>
        <w:tblLayout w:type="fixed"/>
        <w:tblCellMar>
          <w:top w:w="28" w:type="dxa"/>
          <w:left w:w="28" w:type="dxa"/>
          <w:bottom w:w="28" w:type="dxa"/>
          <w:right w:w="28" w:type="dxa"/>
        </w:tblCellMar>
      </w:tblPr>
      <w:tblGrid>
        <w:gridCol w:w="721"/>
        <w:gridCol w:w="634"/>
        <w:gridCol w:w="639"/>
        <w:gridCol w:w="242"/>
        <w:gridCol w:w="125"/>
        <w:gridCol w:w="125"/>
        <w:gridCol w:w="125"/>
        <w:gridCol w:w="125"/>
        <w:gridCol w:w="125"/>
        <w:gridCol w:w="125"/>
        <w:gridCol w:w="125"/>
        <w:gridCol w:w="125"/>
        <w:gridCol w:w="109"/>
        <w:gridCol w:w="109"/>
        <w:gridCol w:w="109"/>
        <w:gridCol w:w="322"/>
        <w:gridCol w:w="166"/>
        <w:gridCol w:w="166"/>
        <w:gridCol w:w="166"/>
        <w:gridCol w:w="166"/>
        <w:gridCol w:w="166"/>
        <w:gridCol w:w="166"/>
        <w:gridCol w:w="166"/>
        <w:gridCol w:w="235"/>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7"/>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gridSpan w:val="7"/>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1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1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liabilities</w:t>
            </w:r>
            <w:r>
              <w:rPr>
                <w:rFonts w:ascii="Times New Roman;serif" w:hAnsi="Times New Roman;serif"/>
                <w:b w:val="false"/>
                <w:color w:val="000000"/>
                <w:sz w:val="13"/>
              </w:rPr>
              <w:t>1</w:t>
            </w:r>
          </w:p>
        </w:tc>
        <w:tc>
          <w:tcPr>
            <w:tcW w:w="111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Includes payables of $7,574 and $6,954 due to non-guarantor subsidiaries as of June 30, 2026 and December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Crown Americas Obligor Group</w:t>
      </w:r>
    </w:p>
    <w:p>
      <w:pPr>
        <w:pStyle w:val="TextBody"/>
        <w:bidi w:val="0"/>
        <w:spacing w:before="0" w:after="0"/>
        <w:jc w:val="both"/>
        <w:rPr/>
      </w:pPr>
      <w:r>
        <w:rPr/>
      </w:r>
    </w:p>
    <w:tbl>
      <w:tblPr>
        <w:tblW w:w="6456" w:type="dxa"/>
        <w:jc w:val="left"/>
        <w:tblInd w:w="0" w:type="dxa"/>
        <w:tblLayout w:type="fixed"/>
        <w:tblCellMar>
          <w:top w:w="28" w:type="dxa"/>
          <w:left w:w="28" w:type="dxa"/>
          <w:bottom w:w="28" w:type="dxa"/>
          <w:right w:w="28" w:type="dxa"/>
        </w:tblCellMar>
      </w:tblPr>
      <w:tblGrid>
        <w:gridCol w:w="1342"/>
        <w:gridCol w:w="1176"/>
        <w:gridCol w:w="1186"/>
        <w:gridCol w:w="109"/>
        <w:gridCol w:w="109"/>
        <w:gridCol w:w="270"/>
        <w:gridCol w:w="270"/>
        <w:gridCol w:w="528"/>
        <w:gridCol w:w="270"/>
        <w:gridCol w:w="279"/>
        <w:gridCol w:w="109"/>
        <w:gridCol w:w="109"/>
        <w:gridCol w:w="109"/>
        <w:gridCol w:w="109"/>
        <w:gridCol w:w="109"/>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7"/>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operations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attributable to Crown Holdings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22"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$255 of sales to non-guarantor subsidiaries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Includes $25 of gross profit related to sales to non-guarantor subsidiaries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Includes $1 of expense related to intercompany interest and technology royalties with non-guarantor subsidiaries</w:t>
      </w:r>
    </w:p>
    <w:p>
      <w:pPr>
        <w:pStyle w:val="TextBody"/>
        <w:bidi w:val="0"/>
        <w:spacing w:before="0" w:after="0"/>
        <w:jc w:val="left"/>
        <w:rPr/>
      </w:pPr>
      <w:r>
        <w:rPr/>
      </w:r>
    </w:p>
    <w:p>
      <w:pPr>
        <w:pStyle w:val="TextBody"/>
        <w:bidi w:val="0"/>
        <w:spacing w:before="0" w:after="0"/>
        <w:jc w:val="both"/>
        <w:rPr/>
      </w:pPr>
      <w:r>
        <w:rPr/>
      </w:r>
    </w:p>
    <w:tbl>
      <w:tblPr>
        <w:tblW w:w="5282" w:type="dxa"/>
        <w:jc w:val="left"/>
        <w:tblInd w:w="0" w:type="dxa"/>
        <w:tblLayout w:type="fixed"/>
        <w:tblCellMar>
          <w:top w:w="28" w:type="dxa"/>
          <w:left w:w="28" w:type="dxa"/>
          <w:bottom w:w="28" w:type="dxa"/>
          <w:right w:w="28" w:type="dxa"/>
        </w:tblCellMar>
      </w:tblPr>
      <w:tblGrid>
        <w:gridCol w:w="721"/>
        <w:gridCol w:w="633"/>
        <w:gridCol w:w="640"/>
        <w:gridCol w:w="242"/>
        <w:gridCol w:w="125"/>
        <w:gridCol w:w="125"/>
        <w:gridCol w:w="125"/>
        <w:gridCol w:w="125"/>
        <w:gridCol w:w="125"/>
        <w:gridCol w:w="125"/>
        <w:gridCol w:w="125"/>
        <w:gridCol w:w="125"/>
        <w:gridCol w:w="109"/>
        <w:gridCol w:w="109"/>
        <w:gridCol w:w="109"/>
        <w:gridCol w:w="322"/>
        <w:gridCol w:w="166"/>
        <w:gridCol w:w="166"/>
        <w:gridCol w:w="166"/>
        <w:gridCol w:w="166"/>
        <w:gridCol w:w="166"/>
        <w:gridCol w:w="166"/>
        <w:gridCol w:w="166"/>
        <w:gridCol w:w="235"/>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assets</w:t>
            </w:r>
            <w:r>
              <w:rPr>
                <w:rFonts w:ascii="Times New Roman;serif" w:hAnsi="Times New Roman;serif"/>
                <w:b w:val="false"/>
                <w:color w:val="000000"/>
                <w:sz w:val="13"/>
              </w:rPr>
              <w:t>1</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7"/>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gridSpan w:val="7"/>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assets</w:t>
            </w:r>
            <w:r>
              <w:rPr>
                <w:rFonts w:ascii="Times New Roman;serif" w:hAnsi="Times New Roman;serif"/>
                <w:b w:val="false"/>
                <w:color w:val="000000"/>
                <w:sz w:val="13"/>
              </w:rPr>
              <w:t>2</w:t>
            </w:r>
          </w:p>
        </w:tc>
        <w:tc>
          <w:tcPr>
            <w:tcW w:w="111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liabilities</w:t>
            </w:r>
            <w:r>
              <w:rPr>
                <w:rFonts w:ascii="Times New Roman;serif" w:hAnsi="Times New Roman;serif"/>
                <w:b w:val="false"/>
                <w:color w:val="000000"/>
                <w:sz w:val="13"/>
              </w:rPr>
              <w:t>3</w:t>
            </w:r>
          </w:p>
        </w:tc>
        <w:tc>
          <w:tcPr>
            <w:tcW w:w="111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Non-current liabilities</w:t>
            </w:r>
            <w:r>
              <w:rPr>
                <w:rFonts w:ascii="Times New Roman;serif" w:hAnsi="Times New Roman;serif"/>
                <w:b w:val="false"/>
                <w:color w:val="000000"/>
                <w:sz w:val="13"/>
              </w:rPr>
              <w:t>4</w:t>
            </w:r>
          </w:p>
        </w:tc>
        <w:tc>
          <w:tcPr>
            <w:tcW w:w="111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Includes receivables of $66 and $39 due from non-guarantor subsidiaries as of June 30, 2026 and December 31, 2025</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Includes receivables of $252 and $111 due from non-guarantor subsidiaries as of June 30, 2026 and December 31, 2025</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(3) Includes payables of $25 and $25 due to non-guarantor subsidiaries as of June 30, 2026 and December 31, 2025</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(4) Includes payables of $1,084 and $951 due to non-guarantor subsidiaries as of June 30, 2026 and December 31,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Commitments and Contingent Liabilities</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Information regarding the Company's commitments and contingent liabilities appears in Part I within Item 1 of this report under </w:t>
      </w:r>
      <w:hyperlink w:anchor="ie8614afb34884945a273560dbb0c079e_70">
        <w:r>
          <w:rPr>
            <w:rStyle w:val="InternetLink"/>
            <w:rFonts w:ascii="Times New Roman;serif" w:hAnsi="Times New Roman;serif"/>
            <w:b w:val="false"/>
            <w:color w:val="0000FF"/>
            <w:sz w:val="20"/>
            <w:u w:val="single"/>
          </w:rPr>
          <w:t>Note J</w:t>
        </w:r>
      </w:hyperlink>
      <w:r>
        <w:rPr>
          <w:rFonts w:ascii="Times New Roman;serif" w:hAnsi="Times New Roman;serif"/>
          <w:b w:val="false"/>
          <w:color w:val="000000"/>
          <w:sz w:val="20"/>
        </w:rPr>
        <w:t>, entitled "Commitments and Contingent Liabilities," to the consolidated financial statements, and in Part II within Item 1A of this report which information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Critical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accounting principles generally accepted in the U.S. which require that management make numerous estimates and assumptions.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2025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Forward 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Statements included herein, including, but not limited to, those in "Management's Discussion and Analysis of Financial Condition and Results of Operations" and in the discussions of asbestos in </w:t>
      </w:r>
      <w:hyperlink w:anchor="ie8614afb34884945a273560dbb0c079e_67">
        <w:r>
          <w:rPr>
            <w:rStyle w:val="InternetLink"/>
            <w:rFonts w:ascii="Times New Roman;serif" w:hAnsi="Times New Roman;serif"/>
            <w:b w:val="false"/>
            <w:color w:val="0000FF"/>
            <w:sz w:val="20"/>
            <w:u w:val="single"/>
            <w:shd w:fill="FFFFFF" w:val="clear"/>
          </w:rPr>
          <w:t>Note I</w:t>
        </w:r>
      </w:hyperlink>
      <w:r>
        <w:rPr>
          <w:color w:val="000000"/>
          <w:shd w:fill="FFFFFF" w:val="clear"/>
        </w:rPr>
        <w:t xml:space="preserve"> </w:t>
      </w:r>
      <w:r>
        <w:rPr>
          <w:rFonts w:ascii="Times New Roman;serif" w:hAnsi="Times New Roman;serif"/>
          <w:b w:val="false"/>
          <w:color w:val="000000"/>
          <w:sz w:val="20"/>
          <w:shd w:fill="FFFFFF" w:val="clear"/>
        </w:rPr>
        <w:t xml:space="preserve">and commitments and contingencies in </w:t>
      </w:r>
      <w:hyperlink w:anchor="ie8614afb34884945a273560dbb0c079e_70">
        <w:r>
          <w:rPr>
            <w:rStyle w:val="InternetLink"/>
            <w:rFonts w:ascii="Times New Roman;serif" w:hAnsi="Times New Roman;serif"/>
            <w:b w:val="false"/>
            <w:color w:val="0000FF"/>
            <w:sz w:val="20"/>
            <w:u w:val="single"/>
            <w:shd w:fill="FFFFFF" w:val="clear"/>
          </w:rPr>
          <w:t>Note J</w:t>
        </w:r>
      </w:hyperlink>
      <w:r>
        <w:rPr>
          <w:color w:val="000000"/>
          <w:shd w:fill="FFFFFF" w:val="clear"/>
        </w:rPr>
        <w:t xml:space="preserve"> </w:t>
      </w:r>
      <w:r>
        <w:rPr>
          <w:rFonts w:ascii="Times New Roman;serif" w:hAnsi="Times New Roman;serif"/>
          <w:b w:val="false"/>
          <w:color w:val="000000"/>
          <w:sz w:val="20"/>
          <w:shd w:fill="FFFFFF" w:val="clear"/>
        </w:rPr>
        <w:t xml:space="preserve">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which are not historical facts (including any statements concerning the conflicts in the Middle East, including the war in Iran, southeast Asia and the Russia-Ukraine war, objectives of management for share repurchases, dividends, future operations or economic performance, or assumptions related thereto, including the potential for higher interest rates, energy and raw material prices, including tariffs, retaliatory trade measures and further trade restrictions), are "forward-looking statements" within the meaning of the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laws. In addition, the Company and its representatives may, from time to time, make oral or written statements which are also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 discussion of important factors that could cause the actual results of operations or financial condition of the Company to differ from expectations has been set forth in the Company's Annual Report on Form 10-K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80"/>
        <w:jc w:val="left"/>
        <w:rPr>
          <w:rFonts w:ascii="Times New Roman;serif" w:hAnsi="Times New Roman;serif"/>
          <w:b/>
          <w:color w:val="000000"/>
          <w:sz w:val="20"/>
        </w:rPr>
      </w:pPr>
      <w:bookmarkStart w:id="27" w:name="i1715e1f55d3645638444440f06b8acc6"/>
      <w:bookmarkEnd w:id="27"/>
      <w:r>
        <w:rPr>
          <w:rFonts w:ascii="Times New Roman;serif" w:hAnsi="Times New Roman;serif"/>
          <w:b/>
          <w:color w:val="000000"/>
          <w:sz w:val="20"/>
        </w:rPr>
        <w:t>Item 3.    Quantitative and Qualitative Disclosures About Market Risk</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June 30, 2026, see </w:t>
      </w:r>
      <w:hyperlink w:anchor="ie8614afb34884945a273560dbb0c079e_73">
        <w:r>
          <w:rPr>
            <w:rStyle w:val="InternetLink"/>
            <w:rFonts w:ascii="Times New Roman;serif" w:hAnsi="Times New Roman;serif"/>
            <w:b w:val="false"/>
            <w:color w:val="0000FF"/>
            <w:sz w:val="20"/>
            <w:u w:val="single"/>
          </w:rPr>
          <w:t>Note K</w:t>
        </w:r>
      </w:hyperlink>
      <w:r>
        <w:rPr>
          <w:color w:val="000000"/>
        </w:rPr>
        <w:t xml:space="preserve"> </w:t>
      </w:r>
      <w:r>
        <w:rPr>
          <w:rFonts w:ascii="Times New Roman;serif" w:hAnsi="Times New Roman;serif"/>
          <w:b w:val="false"/>
          <w:color w:val="000000"/>
          <w:sz w:val="20"/>
        </w:rPr>
        <w:t>to the consolidated financial statements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$1.9 billion principal floating interest rate debt and $1.6 billion of securitization and factoring. A change of 0.25% in these floating interest rates would change annual interest expense by approximately $9 million before tax.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80"/>
        <w:jc w:val="both"/>
        <w:rPr>
          <w:rFonts w:ascii="Times New Roman;serif" w:hAnsi="Times New Roman;serif"/>
          <w:b/>
          <w:color w:val="000000"/>
          <w:sz w:val="20"/>
        </w:rPr>
      </w:pPr>
      <w:bookmarkStart w:id="28" w:name="i31a5b702f68d4f4ba3ac12869a820115"/>
      <w:bookmarkEnd w:id="28"/>
      <w:r>
        <w:rPr>
          <w:rFonts w:ascii="Times New Roman;serif" w:hAnsi="Times New Roman;serif"/>
          <w:b/>
          <w:color w:val="000000"/>
          <w:sz w:val="20"/>
        </w:rPr>
        <w:t>Item 4.    Controls and Procedures</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ind w:left="0" w:right="0" w:hanging="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29" w:name="i725f58fa8a72472b899d78590a97f14a"/>
      <w:bookmarkEnd w:id="29"/>
      <w:r>
        <w:rPr>
          <w:rFonts w:ascii="Times New Roman;serif" w:hAnsi="Times New Roman;serif"/>
          <w:b/>
          <w:color w:val="000000"/>
          <w:sz w:val="20"/>
        </w:rPr>
        <w:t>PART II – OTHER INFORMATION</w:t>
      </w:r>
    </w:p>
    <w:p>
      <w:pPr>
        <w:pStyle w:val="TextBody"/>
        <w:bidi w:val="0"/>
        <w:spacing w:before="0" w:after="0"/>
        <w:jc w:val="center"/>
        <w:rPr/>
      </w:pPr>
      <w:r>
        <w:rPr/>
      </w:r>
    </w:p>
    <w:p>
      <w:pPr>
        <w:pStyle w:val="TextBody"/>
        <w:bidi w:val="0"/>
        <w:spacing w:lineRule="auto" w:line="288" w:before="0" w:after="0"/>
        <w:ind w:left="0" w:right="0" w:hanging="720"/>
        <w:jc w:val="left"/>
        <w:rPr/>
      </w:pPr>
      <w:r>
        <w:rPr>
          <w:rFonts w:ascii="Times New Roman;serif" w:hAnsi="Times New Roman;serif"/>
          <w:b/>
          <w:color w:val="000000"/>
          <w:sz w:val="20"/>
        </w:rPr>
        <w:t>Item 1.</w:t>
      </w:r>
      <w:r>
        <w:rPr>
          <w:color w:val="000000"/>
        </w:rPr>
        <w:t>    </w:t>
      </w:r>
      <w:r>
        <w:rPr>
          <w:rFonts w:ascii="Times New Roman;serif" w:hAnsi="Times New Roman;serif"/>
          <w:b/>
          <w:color w:val="000000"/>
          <w:sz w:val="20"/>
        </w:rPr>
        <w:t>Legal Proceedings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For information regarding the Company's potential asbestos-related liabilities and other litigation, see </w:t>
      </w:r>
      <w:hyperlink w:anchor="ie8614afb34884945a273560dbb0c079e_67">
        <w:r>
          <w:rPr>
            <w:rStyle w:val="InternetLink"/>
            <w:rFonts w:ascii="Times New Roman;serif" w:hAnsi="Times New Roman;serif"/>
            <w:b w:val="false"/>
            <w:color w:val="0000FF"/>
            <w:sz w:val="20"/>
            <w:u w:val="single"/>
          </w:rPr>
          <w:t>Note I</w:t>
        </w:r>
      </w:hyperlink>
      <w:r>
        <w:rPr>
          <w:color w:val="000000"/>
        </w:rPr>
        <w:t xml:space="preserve"> </w:t>
      </w:r>
      <w:r>
        <w:rPr>
          <w:rFonts w:ascii="Times New Roman;serif" w:hAnsi="Times New Roman;serif"/>
          <w:b w:val="false"/>
          <w:color w:val="000000"/>
          <w:sz w:val="20"/>
        </w:rPr>
        <w:t xml:space="preserve">entitled "Asbestos-Related Liabilities" and </w:t>
      </w:r>
      <w:hyperlink w:anchor="ie8614afb34884945a273560dbb0c079e_70">
        <w:r>
          <w:rPr>
            <w:rStyle w:val="InternetLink"/>
            <w:rFonts w:ascii="Times New Roman;serif" w:hAnsi="Times New Roman;serif"/>
            <w:b w:val="false"/>
            <w:color w:val="0000FF"/>
            <w:sz w:val="20"/>
            <w:u w:val="single"/>
          </w:rPr>
          <w:t>Note J</w:t>
        </w:r>
      </w:hyperlink>
      <w:r>
        <w:rPr>
          <w:color w:val="000000"/>
        </w:rPr>
        <w:t xml:space="preserve"> </w:t>
      </w:r>
      <w:r>
        <w:rPr>
          <w:rFonts w:ascii="Times New Roman;serif" w:hAnsi="Times New Roman;serif"/>
          <w:b w:val="false"/>
          <w:color w:val="000000"/>
          <w:sz w:val="20"/>
        </w:rPr>
        <w:t>entitled "Commitments and Contingent Liabilities" to the consolidated financial statements within Part I, Item 1 of this Quarterly Report on Form 10-Q, which information is incorporated herein by reference.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in this report should be read in conjunction with the risk factors discussed in Item 1A of the Company's Annual Report on Form 10-K for the year ended December 31, 2025. Such risks are not the only risks facing the Company. Additional risks and uncertainties not currently known to the Company or that the Company currently deems to be immaterial may also materially adversely affect the Company's business, financial condition and/or operating results. </w:t>
      </w:r>
    </w:p>
    <w:p>
      <w:pPr>
        <w:pStyle w:val="TextBody"/>
        <w:bidi w:val="0"/>
        <w:spacing w:before="0" w:after="0"/>
        <w:ind w:left="0" w:right="0" w:hanging="2250"/>
        <w:jc w:val="both"/>
        <w:rPr/>
      </w:pPr>
      <w:r>
        <w:rPr/>
      </w:r>
    </w:p>
    <w:p>
      <w:pPr>
        <w:pStyle w:val="TextBody"/>
        <w:bidi w:val="0"/>
        <w:spacing w:lineRule="auto" w:line="288" w:before="0" w:after="0"/>
        <w:ind w:left="0" w:right="0" w:hanging="2250"/>
        <w:jc w:val="both"/>
        <w:rPr>
          <w:rFonts w:ascii="Times New Roman;serif" w:hAnsi="Times New Roman;serif"/>
          <w:b/>
          <w:color w:val="000000"/>
          <w:sz w:val="20"/>
        </w:rPr>
      </w:pPr>
      <w:r>
        <w:rPr>
          <w:rFonts w:ascii="Times New Roman;serif" w:hAnsi="Times New Roman;serif"/>
          <w:b/>
          <w:color w:val="000000"/>
          <w:sz w:val="20"/>
        </w:rPr>
        <w:t>Item 2. Unregistered Sale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purchases of equity during the three months ended June 30, 2026. The table excludes 162,648 shares that were surrendered to cover taxes on the vesting of restricted stock.</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6"/>
        <w:gridCol w:w="172"/>
        <w:gridCol w:w="173"/>
        <w:gridCol w:w="729"/>
        <w:gridCol w:w="456"/>
        <w:gridCol w:w="457"/>
        <w:gridCol w:w="109"/>
        <w:gridCol w:w="109"/>
        <w:gridCol w:w="109"/>
        <w:gridCol w:w="266"/>
        <w:gridCol w:w="777"/>
        <w:gridCol w:w="137"/>
        <w:gridCol w:w="109"/>
        <w:gridCol w:w="109"/>
        <w:gridCol w:w="109"/>
        <w:gridCol w:w="986"/>
        <w:gridCol w:w="751"/>
        <w:gridCol w:w="753"/>
        <w:gridCol w:w="109"/>
        <w:gridCol w:w="109"/>
        <w:gridCol w:w="109"/>
        <w:gridCol w:w="722"/>
        <w:gridCol w:w="2112"/>
        <w:gridCol w:w="53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Total number of shares purchased as part of publicly announced programs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 purchased under the program as of the end of the period (millions of dollars)</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w:t>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2,819,429 </w:t>
            </w:r>
          </w:p>
        </w:tc>
        <w:tc>
          <w:tcPr>
            <w:tcW w:w="4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2,819,429 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210,232 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210,232 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3,029,661 </w:t>
            </w:r>
          </w:p>
        </w:tc>
        <w:tc>
          <w:tcPr>
            <w:tcW w:w="4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3,029,661 </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 </w:t>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There were no events required to be reported under Item 3 for the six months ended June 30, 2026.</w:t>
      </w:r>
    </w:p>
    <w:p>
      <w:pPr>
        <w:pStyle w:val="TextBody"/>
        <w:bidi w:val="0"/>
        <w:spacing w:before="0" w:after="0"/>
        <w:ind w:left="0" w:right="0" w:hanging="1530"/>
        <w:jc w:val="left"/>
        <w:rPr/>
      </w:pPr>
      <w:r>
        <w:rPr/>
      </w:r>
    </w:p>
    <w:p>
      <w:pPr>
        <w:pStyle w:val="TextBody"/>
        <w:bidi w:val="0"/>
        <w:spacing w:lineRule="auto" w:line="288" w:before="0" w:after="0"/>
        <w:ind w:left="0" w:right="0" w:hanging="153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720"/>
        <w:jc w:val="both"/>
        <w:rPr/>
      </w:pPr>
      <w:r>
        <w:rPr/>
      </w:r>
    </w:p>
    <w:p>
      <w:pPr>
        <w:pStyle w:val="TextBody"/>
        <w:bidi w:val="0"/>
        <w:spacing w:lineRule="auto" w:line="268" w:before="0" w:after="0"/>
        <w:ind w:left="0" w:right="0" w:hanging="36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Rule 10b5-1 Trading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30, 2026, none of our directors or executive officers adopted or terminated any contract, instruction or written plan for the purchase or sale of our securities to satisfy the affirmative defense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Crown Holdings,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conditions of Rule 10b5-1(c) or any "non-Rule 10b5-1 trading arrangement" (as defined in Item 408 of Regulation S-K of the Exchange Act).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6.    Exhibits    </w:t>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204"/>
        <w:gridCol w:w="144"/>
        <w:gridCol w:w="146"/>
        <w:gridCol w:w="3241"/>
        <w:gridCol w:w="3098"/>
        <w:gridCol w:w="3106"/>
        <w:gridCol w:w="109"/>
        <w:gridCol w:w="157"/>
      </w:tblGrid>
      <w:tr>
        <w:trPr/>
        <w:tc>
          <w:tcPr>
            <w:tcW w:w="20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3.1(a)</w:t>
            </w:r>
          </w:p>
        </w:tc>
        <w:tc>
          <w:tcPr>
            <w:tcW w:w="94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Articles of Incorporation of Crown Holdings, Inc., as amended (incorporated by reference to Exhibit 3.a of the Registrant’s Annual Report on Form 10-K for the year ended December 31, 2004 (File No. 000-50189))</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k-06302026xq2ex101.htm">
              <w:r>
                <w:rPr>
                  <w:rStyle w:val="InternetLink"/>
                  <w:rFonts w:ascii="Times New Roman;serif" w:hAnsi="Times New Roman;serif"/>
                  <w:b w:val="false"/>
                  <w:color w:val="0000FF"/>
                  <w:sz w:val="20"/>
                  <w:u w:val="single"/>
                </w:rPr>
                <w:t>Amendment No. 1 to the Crown Restoration Plan (As Amended and Restated Effective October 27, 2021), dated April 9,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944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cck-06302026xq2ex22.htm">
              <w:r>
                <w:rPr>
                  <w:rStyle w:val="InternetLink"/>
                  <w:rFonts w:ascii="Times New Roman;serif" w:hAnsi="Times New Roman;serif"/>
                  <w:b w:val="false"/>
                  <w:color w:val="0000FF"/>
                  <w:sz w:val="20"/>
                  <w:u w:val="single"/>
                </w:rPr>
                <w:t>List of Guarantor Subsidiaries</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k-06302026xq2ex311.htm">
              <w:r>
                <w:rPr>
                  <w:rStyle w:val="InternetLink"/>
                  <w:rFonts w:ascii="Times New Roman;serif" w:hAnsi="Times New Roman;serif"/>
                  <w:b w:val="false"/>
                  <w:color w:val="0000FF"/>
                  <w:sz w:val="20"/>
                  <w:u w:val="single"/>
                </w:rPr>
                <w:t>Certification of Chief Executive Officer pursuant to Rule 13a-14(a) or 15d-14(a) of the Securities Exchange Act of 1934,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k-06302026xq2ex312.htm">
              <w:r>
                <w:rPr>
                  <w:rStyle w:val="InternetLink"/>
                  <w:rFonts w:ascii="Times New Roman;serif" w:hAnsi="Times New Roman;serif"/>
                  <w:b w:val="false"/>
                  <w:color w:val="0000FF"/>
                  <w:sz w:val="20"/>
                  <w:u w:val="single"/>
                </w:rPr>
                <w:t>Certification of Chief Financial Officer pursuant to Rule 13a-14(a) or 15d-14(a) of the Securities Exchange Act of 1934,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4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ck-06302026xq2ex32.htm">
              <w:r>
                <w:rPr>
                  <w:rStyle w:val="InternetLink"/>
                  <w:rFonts w:ascii="Times New Roman;serif" w:hAnsi="Times New Roman;serif"/>
                  <w:b w:val="false"/>
                  <w:color w:val="0000FF"/>
                  <w:sz w:val="20"/>
                  <w:u w:val="single"/>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Registrant's Quarterly Report on Form 10-Q for the quarter ended June 30, 2026 formatted in inline XBRL (eXtensible Business Reporting Language): (i) Consolidated Statements of Operations for the three and six months ended June 30, 2026 and 2025, (ii) Consolidated Statements of Comprehensive Income for the three and six months ended June 30, 2026 and 2025, (iii) Consolidated Balance Sheets as of June 30, 2026 and December 31, 2025, (iv) Consolidated Statements of Cash Flows for the six months ended June 30, 2026 and 2025, (v) Consolidated Statements of Changes in Equity for the three and six months ended June 30, 2026 and 2025 and (vi) Notes to 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100" w:after="283"/>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151"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995"/>
        <w:gridCol w:w="995"/>
        <w:gridCol w:w="141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Crown Holdings, Inc.</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B. Garry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B. Garry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Corporate Controller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AMENDMENT NO. 1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CROWN RESTORATION PLAN</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Amended and Restated Effective October 27, 2021)</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Crown Cork &amp; Seal Company, Inc. (the “Company”) adopted the Crown Restoration Plan (the “Plan”) to provide supplemental retirement benefits to certain of its senior management personnel as further described therein, and</w:t>
      </w:r>
    </w:p>
    <w:p>
      <w:pPr>
        <w:pStyle w:val="TextBody"/>
        <w:bidi w:val="0"/>
        <w:spacing w:before="0" w:after="0"/>
        <w:ind w:left="0" w:right="0" w:firstLine="720"/>
        <w:jc w:val="left"/>
        <w:rPr/>
      </w:pPr>
      <w:r>
        <w:rPr/>
      </w:r>
    </w:p>
    <w:p>
      <w:pPr>
        <w:pStyle w:val="TextBody"/>
        <w:bidi w:val="0"/>
        <w:spacing w:lineRule="auto" w:line="549"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WHEREAS, the Company has previously amended and restated the Plan, and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desires to further amend the Plan as set forth below (the “Amendment”).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the Plan is hereby amended, effective April 1, 2026, as follows: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1.Section 1.2 is hereby amended and restated in its entirety to read as follows:</w:t>
      </w:r>
    </w:p>
    <w:p>
      <w:pPr>
        <w:pStyle w:val="TextBody"/>
        <w:bidi w:val="0"/>
        <w:spacing w:before="0" w:after="0"/>
        <w:jc w:val="left"/>
        <w:rPr/>
      </w:pPr>
      <w:r>
        <w:rPr/>
      </w:r>
    </w:p>
    <w:p>
      <w:pPr>
        <w:pStyle w:val="TextBody"/>
        <w:bidi w:val="0"/>
        <w:spacing w:lineRule="auto" w:line="268" w:before="0" w:after="0"/>
        <w:ind w:left="0" w:right="0" w:firstLine="811"/>
        <w:jc w:val="left"/>
        <w:rPr/>
      </w:pPr>
      <w:r>
        <w:rPr>
          <w:color w:val="000000"/>
        </w:rPr>
        <w:t>“</w:t>
      </w:r>
      <w:r>
        <w:rPr>
          <w:rFonts w:ascii="Times New Roman;serif" w:hAnsi="Times New Roman;serif"/>
          <w:b w:val="false"/>
          <w:color w:val="000000"/>
          <w:sz w:val="24"/>
        </w:rPr>
        <w:t>1.2. ‘</w:t>
      </w:r>
      <w:r>
        <w:rPr>
          <w:rFonts w:ascii="Times New Roman;serif" w:hAnsi="Times New Roman;serif"/>
          <w:b w:val="false"/>
          <w:color w:val="000000"/>
          <w:sz w:val="24"/>
          <w:u w:val="single"/>
        </w:rPr>
        <w:t>Actuarial Equivalent</w:t>
      </w:r>
      <w:r>
        <w:rPr>
          <w:color w:val="000000"/>
        </w:rPr>
        <w:t xml:space="preserve">’ </w:t>
      </w:r>
      <w:r>
        <w:rPr>
          <w:rFonts w:ascii="Times New Roman;serif" w:hAnsi="Times New Roman;serif"/>
          <w:b w:val="false"/>
          <w:color w:val="000000"/>
          <w:sz w:val="24"/>
        </w:rPr>
        <w:t>means the equivalent value of a Participant’s Supplemental Retirement Benefit provided in Section 3.2.1, determined based upon (i) the annual rate of interest on 30-year Treasury securities as of any determination date, and (ii) the ‘applicable mortality table’ within the meaning of Section 417(e)(3)(B) of the Code.”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2.Section 1.10 is hereby amended and restated in its entirety to read as follows:</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4"/>
        </w:rPr>
        <w:t>1.10. ‘</w:t>
      </w:r>
      <w:r>
        <w:rPr>
          <w:rFonts w:ascii="Times New Roman;serif" w:hAnsi="Times New Roman;serif"/>
          <w:b w:val="false"/>
          <w:color w:val="000000"/>
          <w:sz w:val="24"/>
          <w:u w:val="single"/>
        </w:rPr>
        <w:t>Foreign Plan Benefit’</w:t>
      </w:r>
      <w:r>
        <w:rPr>
          <w:color w:val="000000"/>
        </w:rPr>
        <w:t xml:space="preserve"> </w:t>
      </w:r>
      <w:r>
        <w:rPr>
          <w:rFonts w:ascii="Times New Roman;serif" w:hAnsi="Times New Roman;serif"/>
          <w:b w:val="false"/>
          <w:color w:val="000000"/>
          <w:sz w:val="24"/>
        </w:rPr>
        <w:t>means the amount payable to the Participant under any pension plan maintained or contributed to by the Company or its affiliates in a jurisdiction other than the United States of America to the extent such amount is attributable to employer contributions made to such pension plan by the Company or its affiliates. Such amount would be converted to a single life annuity based on the Actuarial Equivalent assumptions in Section 1.2 as in effect on Separation from Service.”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3.Section 3.5 is hereby amended and restated in its entirety to read as follows:</w:t>
      </w:r>
    </w:p>
    <w:p>
      <w:pPr>
        <w:pStyle w:val="TextBody"/>
        <w:bidi w:val="0"/>
        <w:spacing w:before="0" w:after="0"/>
        <w:jc w:val="left"/>
        <w:rPr/>
      </w:pPr>
      <w:r>
        <w:rPr/>
      </w:r>
    </w:p>
    <w:p>
      <w:pPr>
        <w:pStyle w:val="TextBody"/>
        <w:bidi w:val="0"/>
        <w:spacing w:lineRule="auto" w:line="268" w:before="0" w:after="0"/>
        <w:ind w:left="0" w:right="0" w:firstLine="811"/>
        <w:jc w:val="left"/>
        <w:rPr/>
      </w:pPr>
      <w:r>
        <w:rPr>
          <w:color w:val="000000"/>
        </w:rPr>
        <w:t>“</w:t>
      </w:r>
      <w:r>
        <w:rPr>
          <w:rFonts w:ascii="Times New Roman;serif" w:hAnsi="Times New Roman;serif"/>
          <w:b w:val="false"/>
          <w:color w:val="000000"/>
          <w:sz w:val="24"/>
        </w:rPr>
        <w:t xml:space="preserve">3.5 </w:t>
      </w:r>
      <w:r>
        <w:rPr>
          <w:rFonts w:ascii="Times New Roman;serif" w:hAnsi="Times New Roman;serif"/>
          <w:b w:val="false"/>
          <w:color w:val="000000"/>
          <w:sz w:val="24"/>
          <w:u w:val="single"/>
        </w:rPr>
        <w:t>Certain Required Payment Delays.</w:t>
      </w:r>
      <w:r>
        <w:rPr>
          <w:color w:val="000000"/>
        </w:rPr>
        <w:t xml:space="preserve"> </w:t>
      </w:r>
      <w:r>
        <w:rPr>
          <w:rFonts w:ascii="Times New Roman;serif" w:hAnsi="Times New Roman;serif"/>
          <w:b w:val="false"/>
          <w:color w:val="000000"/>
          <w:sz w:val="24"/>
        </w:rPr>
        <w:t>Notwithstanding any other provision of this Plan to the contrary, if a Participant is a “specified employee” within the meaning of Section 409A of the Code and a payment provided for in this Plan would be subject to additional tax under Section 409A of the Code if such payment is paid within six months after the Participant’s Separation from Service, then such payment required under this Plan shall not be paid (or commence) during the six-month period immediately following the Participant’s Separation from Service. In such an event, any payments that would otherwise have been made during such six-month period and which would have incurred such additional tax under Section 409A of the Code shall instead be paid to the</w:t>
      </w:r>
    </w:p>
    <w:p>
      <w:pPr>
        <w:pStyle w:val="TextBody"/>
        <w:bidi w:val="0"/>
        <w:spacing w:before="0" w:after="0"/>
        <w:jc w:val="left"/>
        <w:rPr/>
      </w:pPr>
      <w:r>
        <w:rPr/>
      </w:r>
    </w:p>
    <w:p>
      <w:pPr>
        <w:pStyle w:val="TextBody"/>
        <w:bidi w:val="0"/>
        <w:spacing w:lineRule="auto" w:line="268" w:before="0" w:after="0"/>
        <w:ind w:left="0" w:right="0" w:firstLine="811"/>
        <w:jc w:val="left"/>
        <w:rPr>
          <w:rFonts w:ascii="Times New Roman;serif" w:hAnsi="Times New Roman;serif"/>
          <w:b w:val="false"/>
          <w:color w:val="000000"/>
          <w:sz w:val="24"/>
        </w:rPr>
      </w:pPr>
      <w:r>
        <w:rPr>
          <w:rFonts w:ascii="Times New Roman;serif" w:hAnsi="Times New Roman;serif"/>
          <w:b w:val="false"/>
          <w:color w:val="000000"/>
          <w:sz w:val="24"/>
        </w:rPr>
        <w:t>Participant in a lump-sum cash payment, with interest calculated at the six-month Term Secured Overnight Financing Rate (SOFR) plus 50 basis points (as in effect at the time of the Participant’s Separation from Service), on the first day of the seventh month following the Participant’s Separation from Service. Six-Month Term SOFR means the forward-looking term rate for a tenor of six (6) months based on the Secured Overnight Financing Rate, as published by CME Group Benchmark Administration Limited (or any successor administrator) for such tenor, or, if such rate is not available, any substitute or successor rate selected by the Plan Administrator in good faith.”</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4.Except as specifically provided in and modified by this Amendment, the Plan is in all other respects hereby ratified and confirmed and references to the Plan shall be deemed to refer to the Plan as modified by this Amendment.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To record the adoption of this Amendment No. 1 to the Plan, the Company has caused its authorized officer to affix its corporate name this 9th day of April,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680"/>
        <w:jc w:val="left"/>
        <w:rPr>
          <w:rFonts w:ascii="Times New Roman;serif" w:hAnsi="Times New Roman;serif"/>
          <w:b w:val="false"/>
          <w:color w:val="000000"/>
          <w:sz w:val="24"/>
        </w:rPr>
      </w:pPr>
      <w:r>
        <w:rPr>
          <w:rFonts w:ascii="Times New Roman;serif" w:hAnsi="Times New Roman;serif"/>
          <w:b w:val="false"/>
          <w:color w:val="000000"/>
          <w:sz w:val="24"/>
        </w:rPr>
        <w:t>CROWN CORK &amp; SEAL COMPANY,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680"/>
        <w:jc w:val="left"/>
        <w:rPr/>
      </w:pPr>
      <w:r>
        <w:rPr>
          <w:rFonts w:ascii="Times New Roman;serif" w:hAnsi="Times New Roman;serif"/>
          <w:b w:val="false"/>
          <w:color w:val="000000"/>
          <w:sz w:val="24"/>
        </w:rPr>
        <w:t>By:</w:t>
      </w:r>
      <w:r>
        <w:rPr>
          <w:color w:val="000000"/>
          <w:u w:val="single"/>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Exhibit 22 - List of Guarantor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subsidiaries of Crown Holdings, Inc. (the "Company") were, as of June 30, 2026, guarantors of the Company's $40 principal 7.5% senior notes due 2096:</w:t>
      </w:r>
    </w:p>
    <w:tbl>
      <w:tblPr>
        <w:tblW w:w="10205" w:type="dxa"/>
        <w:jc w:val="center"/>
        <w:tblInd w:w="0" w:type="dxa"/>
        <w:tblLayout w:type="fixed"/>
        <w:tblCellMar>
          <w:top w:w="28" w:type="dxa"/>
          <w:left w:w="28" w:type="dxa"/>
          <w:bottom w:w="28" w:type="dxa"/>
          <w:right w:w="28" w:type="dxa"/>
        </w:tblCellMar>
      </w:tblPr>
      <w:tblGrid>
        <w:gridCol w:w="1186"/>
        <w:gridCol w:w="1040"/>
        <w:gridCol w:w="1048"/>
        <w:gridCol w:w="2027"/>
        <w:gridCol w:w="2027"/>
        <w:gridCol w:w="2877"/>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693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32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Inc.</w:t>
            </w:r>
          </w:p>
        </w:tc>
        <w:tc>
          <w:tcPr>
            <w:tcW w:w="693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subsidiaries of the Company were, as of June 30, 2026, guarantors of the Company's $400 principal 4.25% senior notes due 2026, $500 principal 5.250% senior notes due 2030, and $700 principal 5.875% senior notes due 2033:</w:t>
      </w:r>
    </w:p>
    <w:tbl>
      <w:tblPr>
        <w:tblW w:w="10205" w:type="dxa"/>
        <w:jc w:val="center"/>
        <w:tblInd w:w="0" w:type="dxa"/>
        <w:tblLayout w:type="fixed"/>
        <w:tblCellMar>
          <w:top w:w="28" w:type="dxa"/>
          <w:left w:w="28" w:type="dxa"/>
          <w:bottom w:w="28" w:type="dxa"/>
          <w:right w:w="28" w:type="dxa"/>
        </w:tblCellMar>
      </w:tblPr>
      <w:tblGrid>
        <w:gridCol w:w="1483"/>
        <w:gridCol w:w="1235"/>
        <w:gridCol w:w="1244"/>
        <w:gridCol w:w="1826"/>
        <w:gridCol w:w="1826"/>
        <w:gridCol w:w="2591"/>
      </w:tblGrid>
      <w:tr>
        <w:trPr/>
        <w:tc>
          <w:tcPr>
            <w:tcW w:w="148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NAME</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STATE OR COUNTRY OF INCORPORATION OR </w:t>
            </w:r>
            <w:r>
              <w:rPr>
                <w:rFonts w:ascii="Times New Roman;serif" w:hAnsi="Times New Roman;serif"/>
                <w:b/>
                <w:color w:val="000000"/>
                <w:sz w:val="22"/>
                <w:u w:val="single"/>
              </w:rPr>
              <w:t>ORGANIZATION</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LLC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Consultants,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Financial Corporation</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Pennsylvania</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 V</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Americas Capital Corp. VI</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Holdings,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Packaging, LLC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Beverage Packaging Puerto Rico,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Company (DE), LLC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Cork &amp; Seal USA,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International Holdings,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CROWN Packaging Technology,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 USA,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 Manufacturers Finance Corporation</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Holdings US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LLC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Industrial Group US Inc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International IP Holdings LLC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Pickling Holding LLC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Signode US IP Holdings LLC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Simplimatic Engineering Holdings, LLC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Simplimatic Automation LLC</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 International Holdings</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 International Holdings II</w:t>
            </w:r>
          </w:p>
        </w:tc>
        <w:tc>
          <w:tcPr>
            <w:tcW w:w="62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Ohio</w:t>
            </w:r>
          </w:p>
        </w:tc>
      </w:tr>
      <w:tr>
        <w:trPr/>
        <w:tc>
          <w:tcPr>
            <w:tcW w:w="396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SEH Real Estate Holdings LLC</w:t>
            </w:r>
          </w:p>
        </w:tc>
        <w:tc>
          <w:tcPr>
            <w:tcW w:w="6243"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Virginia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Timothy J. Donahue,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Crown Holdings, Inc.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6233"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637"/>
        <w:gridCol w:w="637"/>
        <w:gridCol w:w="637"/>
        <w:gridCol w:w="637"/>
        <w:gridCol w:w="637"/>
        <w:gridCol w:w="90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Donahue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Donahue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Kevin C. Clothier,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Crown Holdings, Inc.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tbl>
      <w:tblPr>
        <w:tblW w:w="6279"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641"/>
        <w:gridCol w:w="641"/>
        <w:gridCol w:w="641"/>
        <w:gridCol w:w="641"/>
        <w:gridCol w:w="641"/>
        <w:gridCol w:w="93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Clothier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Clothier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PURSUANT TO 18 U.S.C. SECTION 1350</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AS ADOPTED PURSUANT TO SECTION 906 OF</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4"/>
        </w:rPr>
        <w:t>In connection with the Quarterly Report of Crown Holdings, Inc. (the “Company”) on Form 10-Q for the period ending June 30, 2026 (the “Report”), each of the undersigned officers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(2)    The information contained in the Report fairly presents, in all material respects, the financial position and results of operations of the Company.</w:t>
      </w:r>
    </w:p>
    <w:p>
      <w:pPr>
        <w:pStyle w:val="TextBody"/>
        <w:bidi w:val="0"/>
        <w:spacing w:before="0" w:after="0"/>
        <w:jc w:val="both"/>
        <w:rPr/>
      </w:pPr>
      <w:r>
        <w:rPr/>
      </w:r>
    </w:p>
    <w:p>
      <w:pPr>
        <w:pStyle w:val="TextBody"/>
        <w:bidi w:val="0"/>
        <w:spacing w:before="0" w:after="0"/>
        <w:jc w:val="left"/>
        <w:rPr/>
      </w:pPr>
      <w:r>
        <w:rPr/>
      </w:r>
    </w:p>
    <w:tbl>
      <w:tblPr>
        <w:tblW w:w="7212" w:type="dxa"/>
        <w:jc w:val="left"/>
        <w:tblInd w:w="0" w:type="dxa"/>
        <w:tblLayout w:type="fixed"/>
        <w:tblCellMar>
          <w:top w:w="28" w:type="dxa"/>
          <w:left w:w="28" w:type="dxa"/>
          <w:bottom w:w="28" w:type="dxa"/>
          <w:right w:w="28" w:type="dxa"/>
        </w:tblCellMar>
      </w:tblPr>
      <w:tblGrid>
        <w:gridCol w:w="228"/>
        <w:gridCol w:w="200"/>
        <w:gridCol w:w="202"/>
        <w:gridCol w:w="464"/>
        <w:gridCol w:w="464"/>
        <w:gridCol w:w="467"/>
        <w:gridCol w:w="109"/>
        <w:gridCol w:w="109"/>
        <w:gridCol w:w="109"/>
        <w:gridCol w:w="757"/>
        <w:gridCol w:w="757"/>
        <w:gridCol w:w="757"/>
        <w:gridCol w:w="757"/>
        <w:gridCol w:w="757"/>
        <w:gridCol w:w="1075"/>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Timothy J. Donahue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Timothy J. Donahue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Chairman, President and Chief Executive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Kevin C. Clothier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Kevin C. Clothier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 and Chief Financial Officer</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9601/000121960105000069/ex3a200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17388</Words>
  <Characters>93137</Characters>
  <CharactersWithSpaces>109070</CharactersWithSpaces>
  <Paragraphs>2734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