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86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866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Dickstein Adam J.</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200"/>
        <w:spacing w:after="0" w:line="365" w:lineRule="auto"/>
        <w:rPr>
          <w:sz w:val="20"/>
          <w:szCs w:val="20"/>
          <w:color w:val="auto"/>
        </w:rPr>
      </w:pPr>
      <w:r>
        <w:rPr>
          <w:rFonts w:ascii="Times New Roman" w:cs="Times New Roman" w:eastAsia="Times New Roman" w:hAnsi="Times New Roman"/>
          <w:sz w:val="17"/>
          <w:szCs w:val="17"/>
          <w:color w:val="0000FF"/>
        </w:rPr>
        <w:t>HIDDEN RIVER CORPORATE CENTER TWO 14025 RIVEREDGE DRIVE, SUITE 300</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TAMPA</w:t>
            </w:r>
          </w:p>
        </w:tc>
        <w:tc>
          <w:tcPr>
            <w:tcW w:w="11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33637</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CROWN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CCK</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340" w:type="dxa"/>
            <w:vAlign w:val="bottom"/>
            <w:tcBorders>
              <w:bottom w:val="single" w:sz="8" w:color="0000EE"/>
            </w:tcBorders>
          </w:tcPr>
          <w:p>
            <w:pPr>
              <w:spacing w:after="0"/>
              <w:rPr>
                <w:sz w:val="3"/>
                <w:szCs w:val="3"/>
                <w:color w:val="auto"/>
              </w:rPr>
            </w:pPr>
          </w:p>
        </w:tc>
        <w:tc>
          <w:tcPr>
            <w:tcW w:w="1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340" w:type="dxa"/>
            <w:vAlign w:val="bottom"/>
            <w:tcBorders>
              <w:bottom w:val="single" w:sz="8" w:color="2C2C2C"/>
            </w:tcBorders>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2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1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7"/>
                <w:szCs w:val="17"/>
                <w:color w:val="0000FF"/>
              </w:rPr>
              <w:t>SVP, Gen Counsel &amp; Secretary</w:t>
            </w:r>
          </w:p>
        </w:tc>
        <w:tc>
          <w:tcPr>
            <w:tcW w:w="0" w:type="dxa"/>
            <w:vAlign w:val="bottom"/>
          </w:tcPr>
          <w:p>
            <w:pPr>
              <w:spacing w:after="0"/>
              <w:rPr>
                <w:sz w:val="1"/>
                <w:szCs w:val="1"/>
                <w:color w:val="auto"/>
              </w:rPr>
            </w:pPr>
          </w:p>
        </w:tc>
      </w:tr>
      <w:tr>
        <w:trPr>
          <w:trHeight w:val="226"/>
        </w:trPr>
        <w:tc>
          <w:tcPr>
            <w:tcW w:w="25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01/05/2026</w:t>
            </w: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34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7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01/05/2026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4,056</w:t>
            </w:r>
            <w:r>
              <w:rPr>
                <w:rFonts w:ascii="Times New Roman" w:cs="Times New Roman" w:eastAsia="Times New Roman" w:hAnsi="Times New Roman"/>
                <w:sz w:val="22"/>
                <w:szCs w:val="22"/>
                <w:color w:val="008000"/>
                <w:w w:val="93"/>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gridSpan w:val="2"/>
          </w:tcPr>
          <w:p>
            <w:pPr>
              <w:jc w:val="center"/>
              <w:ind w:left="251"/>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60,266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7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01/05/2026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4,313</w:t>
            </w:r>
            <w:r>
              <w:rPr>
                <w:rFonts w:ascii="Times New Roman" w:cs="Times New Roman" w:eastAsia="Times New Roman" w:hAnsi="Times New Roman"/>
                <w:sz w:val="22"/>
                <w:szCs w:val="22"/>
                <w:color w:val="008000"/>
                <w:w w:val="93"/>
                <w:vertAlign w:val="superscript"/>
              </w:rPr>
              <w:t>(2)</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left="31"/>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105.74</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55,953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01/05/2026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12,300</w:t>
            </w:r>
            <w:r>
              <w:rPr>
                <w:rFonts w:ascii="Times New Roman" w:cs="Times New Roman" w:eastAsia="Times New Roman" w:hAnsi="Times New Roman"/>
                <w:sz w:val="22"/>
                <w:szCs w:val="22"/>
                <w:color w:val="008000"/>
                <w:w w:val="93"/>
                <w:vertAlign w:val="superscript"/>
              </w:rPr>
              <w:t>(3)</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gridSpan w:val="2"/>
          </w:tcPr>
          <w:p>
            <w:pPr>
              <w:jc w:val="center"/>
              <w:ind w:left="251"/>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68,253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additional performance-based shares of Restricted Common Stock that vested on January 5, 2026. Performance-based shares were originally granted on January 5, 2023 to the Reporting Person based on the Company's Total Shareholder Return versus a defined group of companies with the final number of performance-based shares varying from 0 to 200% of 4,097. The Total Shareholder Return achieved by the Company versus a defined peer group of companies yielded 199% payout. As a result, 4,056 additional TSR Performance-Based Shares were issued.</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transferred to the Company for tax withholding in connection with vesting of restricted stock.</w:t>
      </w:r>
    </w:p>
    <w:p>
      <w:pPr>
        <w:spacing w:after="0" w:line="50" w:lineRule="exact"/>
        <w:rPr>
          <w:rFonts w:ascii="Times New Roman" w:cs="Times New Roman" w:eastAsia="Times New Roman" w:hAnsi="Times New Roman"/>
          <w:sz w:val="13"/>
          <w:szCs w:val="13"/>
          <w:color w:val="008000"/>
        </w:rPr>
      </w:pPr>
    </w:p>
    <w:p>
      <w:pPr>
        <w:ind w:left="40" w:right="180" w:firstLine="7"/>
        <w:spacing w:after="0" w:line="244"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was granted 12,300 shares of Restricted Common Stock under the 2022 Stock-Based Compensation Plan. 4,235 time-vested restricted shares vest over a three year period as follows: 1,412 time-vested restricted shares on January 5, 2027 and January 3, 2028, respectively and 1,411 time-vested restricted shares on January 3, 2029. 3,783 performance-based restricted shares are targeted to vest on January 3, 2029 based on the Company's Total Shareholder Return versus a defined peer group of companies, with the final number of performance-based vested shares varying from 0 to 200% of 3,783. 4,282 performance-based restricted shares are targeted to vest on January 3, 2029 based on the Return on Invested Capital achieved by the Company compared to the ROIC target, with the final number of performance-based vested shares varying from 0 to 200% of 4,282.</w:t>
      </w:r>
    </w:p>
    <w:p>
      <w:pPr>
        <w:spacing w:after="0" w:line="4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Rosemary Haselroth, by</w:t>
            </w:r>
          </w:p>
        </w:tc>
        <w:tc>
          <w:tcPr>
            <w:tcW w:w="18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01/07/2026</w:t>
            </w:r>
          </w:p>
        </w:tc>
        <w:tc>
          <w:tcPr>
            <w:tcW w:w="0" w:type="dxa"/>
            <w:vAlign w:val="bottom"/>
          </w:tcPr>
          <w:p>
            <w:pPr>
              <w:spacing w:after="0"/>
              <w:rPr>
                <w:sz w:val="1"/>
                <w:szCs w:val="1"/>
                <w:color w:val="auto"/>
              </w:rPr>
            </w:pPr>
          </w:p>
        </w:tc>
      </w:tr>
      <w:tr>
        <w:trPr>
          <w:trHeight w:val="87"/>
        </w:trPr>
        <w:tc>
          <w:tcPr>
            <w:tcW w:w="130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78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bottom w:val="single" w:sz="8" w:color="auto"/>
            </w:tcBorders>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22931" TargetMode="External"/><Relationship Id="rId14" Type="http://schemas.openxmlformats.org/officeDocument/2006/relationships/hyperlink" Target="http://www.sec.gov/cgi-bin/browse-edgar?action=getcompany&amp;CIK=00012196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2026-01-07T14:42:44Z</dcterms:created>
  <dcterms:modified xsi:type="dcterms:W3CDTF">2026-01-07T14:42:44Z</dcterms:modified>
</cp:coreProperties>
</file>