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92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92015"/>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Wilson Dwayne Andree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80"/>
        <w:spacing w:after="0" w:line="348"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33637</w:t>
            </w:r>
          </w:p>
        </w:tc>
      </w:tr>
      <w:tr>
        <w:trPr>
          <w:trHeight w:val="152"/>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CROWN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280" w:type="dxa"/>
            <w:vAlign w:val="bottom"/>
            <w:tcBorders>
              <w:top w:val="single" w:sz="8" w:color="0000EE"/>
            </w:tcBorders>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02/13/2026</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02/13/2026</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371</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371</w:t>
            </w:r>
          </w:p>
        </w:tc>
        <w:tc>
          <w:tcPr>
            <w:tcW w:w="7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111.322</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3,436</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2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deferred stock is the economic equivalent of one share of common stock. The shares of deferred stock become payable in cash as soon as administratively feasible following the time the reporting person ceases to be a Director of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02/17/2026</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58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58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91996"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2026-02-17T12:44:09Z</dcterms:created>
  <dcterms:modified xsi:type="dcterms:W3CDTF">2026-02-17T12:44:09Z</dcterms:modified>
</cp:coreProperties>
</file>