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NOVAES DJALMA JR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00"/>
        <w:spacing w:after="0" w:line="365" w:lineRule="auto"/>
        <w:rPr>
          <w:sz w:val="20"/>
          <w:szCs w:val="20"/>
          <w:color w:val="auto"/>
        </w:rPr>
      </w:pPr>
      <w:r>
        <w:rPr>
          <w:rFonts w:ascii="Times New Roman" w:cs="Times New Roman" w:eastAsia="Times New Roman" w:hAnsi="Times New Roman"/>
          <w:sz w:val="17"/>
          <w:szCs w:val="17"/>
          <w:color w:val="0000FF"/>
        </w:rPr>
        <w:t>HIDDEN RIVER CORPORATE CENTER TWO 14025 RIVEREDGE DRIVE, SUITE 300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TAMPA</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33637</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CROWN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CCK</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40" w:type="dxa"/>
            <w:vAlign w:val="bottom"/>
            <w:tcBorders>
              <w:bottom w:val="single" w:sz="8" w:color="0000EE"/>
            </w:tcBorders>
          </w:tcPr>
          <w:p>
            <w:pPr>
              <w:spacing w:after="0"/>
              <w:rPr>
                <w:sz w:val="3"/>
                <w:szCs w:val="3"/>
                <w:color w:val="auto"/>
              </w:rPr>
            </w:pPr>
          </w:p>
        </w:tc>
        <w:tc>
          <w:tcPr>
            <w:tcW w:w="1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34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1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7"/>
                <w:szCs w:val="17"/>
                <w:color w:val="0000FF"/>
              </w:rPr>
              <w:t>President - Americas Division</w:t>
            </w:r>
          </w:p>
        </w:tc>
        <w:tc>
          <w:tcPr>
            <w:tcW w:w="0" w:type="dxa"/>
            <w:vAlign w:val="bottom"/>
          </w:tcPr>
          <w:p>
            <w:pPr>
              <w:spacing w:after="0"/>
              <w:rPr>
                <w:sz w:val="1"/>
                <w:szCs w:val="1"/>
                <w:color w:val="auto"/>
              </w:rPr>
            </w:pPr>
          </w:p>
        </w:tc>
      </w:tr>
      <w:tr>
        <w:trPr>
          <w:trHeight w:val="226"/>
        </w:trPr>
        <w:tc>
          <w:tcPr>
            <w:tcW w:w="25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01/03/2025</w:t>
            </w: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01/03/2025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18,527</w:t>
            </w:r>
            <w:r>
              <w:rPr>
                <w:rFonts w:ascii="Times New Roman" w:cs="Times New Roman" w:eastAsia="Times New Roman" w:hAnsi="Times New Roman"/>
                <w:sz w:val="22"/>
                <w:szCs w:val="22"/>
                <w:color w:val="008000"/>
                <w:w w:val="97"/>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left="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121,737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01/06/2025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1,942</w:t>
            </w:r>
            <w:r>
              <w:rPr>
                <w:rFonts w:ascii="Times New Roman" w:cs="Times New Roman" w:eastAsia="Times New Roman" w:hAnsi="Times New Roman"/>
                <w:sz w:val="22"/>
                <w:szCs w:val="22"/>
                <w:color w:val="008000"/>
                <w:w w:val="93"/>
                <w:vertAlign w:val="superscript"/>
              </w:rPr>
              <w:t>(2)</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80.11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119,795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6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0000FF"/>
              </w:rPr>
              <w:t>01/06/2025</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3,263</w:t>
            </w:r>
          </w:p>
        </w:tc>
        <w:tc>
          <w:tcPr>
            <w:tcW w:w="400" w:type="dxa"/>
            <w:vAlign w:val="bottom"/>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3"/>
                <w:szCs w:val="23"/>
                <w:color w:val="auto"/>
              </w:rPr>
            </w:pPr>
          </w:p>
        </w:tc>
        <w:tc>
          <w:tcPr>
            <w:tcW w:w="400" w:type="dxa"/>
            <w:vAlign w:val="bottom"/>
            <w:gridSpan w:val="2"/>
          </w:tcPr>
          <w:p>
            <w:pPr>
              <w:jc w:val="center"/>
              <w:ind w:left="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Pr>
          <w:p>
            <w:pPr>
              <w:spacing w:after="0"/>
              <w:rPr>
                <w:sz w:val="23"/>
                <w:szCs w:val="23"/>
                <w:color w:val="auto"/>
              </w:rPr>
            </w:pP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116,532</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18,527 shares of Restricted Common Stock under the 2022 Stock-Based Compensation Plan. 6,388 time-vested restricted shares vest over a three year period as follows: 2,130 time-vested restricted shares on January 5, 2026, 2,129 time-vested restricted shares on January 4, 2027 and January 3, 2028, respectively. 5,676 performance-based restricted shares are targeted to vest on January 3, 2028 based on the Company's Total Shareholder Return versus a defined peer group of companies, with the final number of performance-based vested shares varying from 0 to 200% of 5,676. 6,463 performance-based restricted shares are targeted to vest on January 3, 2028 based on the Return on Invested Capital achieved by the Company compared to the ROIC target, with the final number of performance-based vested shares varying from 0 to 6,463.</w:t>
      </w:r>
    </w:p>
    <w:p>
      <w:pPr>
        <w:spacing w:after="0" w:line="26"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transferred to the Company for tax withholding in connection with vesting of restricted stock.</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Rosemary Haselroth, by</w:t>
            </w:r>
          </w:p>
        </w:tc>
        <w:tc>
          <w:tcPr>
            <w:tcW w:w="18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01/07/2025</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27599" TargetMode="External"/><Relationship Id="rId14"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2025-01-07T08:45:43Z</dcterms:created>
  <dcterms:modified xsi:type="dcterms:W3CDTF">2025-01-07T08:45:43Z</dcterms:modified>
</cp:coreProperties>
</file>