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Rost John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President - Asia Pacific Div</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01/05/2026</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01/05/2026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8,661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17,871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360"/>
              <w:spacing w:after="0" w:line="213" w:lineRule="exact"/>
              <w:rPr>
                <w:sz w:val="20"/>
                <w:szCs w:val="20"/>
                <w:color w:val="auto"/>
              </w:rPr>
            </w:pPr>
            <w:r>
              <w:rPr>
                <w:rFonts w:ascii="Times New Roman" w:cs="Times New Roman" w:eastAsia="Times New Roman" w:hAnsi="Times New Roman"/>
                <w:sz w:val="17"/>
                <w:szCs w:val="17"/>
                <w:color w:val="0000FF"/>
              </w:rPr>
              <w:t>296</w:t>
            </w:r>
            <w:r>
              <w:rPr>
                <w:rFonts w:ascii="Times New Roman" w:cs="Times New Roman" w:eastAsia="Times New Roman" w:hAnsi="Times New Roman"/>
                <w:sz w:val="22"/>
                <w:szCs w:val="22"/>
                <w:color w:val="008000"/>
                <w:vertAlign w:val="superscript"/>
              </w:rPr>
              <w:t>(2)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8,661 shares of Restricted Common Stock under the 2022 Stock-Based Compensation Plan. 2,982 time-vested restricted shares vest over a three year period as follows: 994 time-vested restricted shares on January 5, 2027, January 3, 2028 and January 3, 2029, respectively. 2,664 performance-based restricted shares are targeted to vest on January 3, 2029 based on the Company's Total Shareholder Return versus a defined peer group of companies, with the final number of performance-based vested shares varying from 0 to 200% of 2,664. 3,015 performance-based restricted shares are targeted to vest on January 3, 2029 based on the Return on Invested Capital achieved by the Company compared to the ROIC target, with the final number of performance-based vested shares varying from 0 to 200% of 3,015.</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December 31, 2025, the Reporting Person owned 296 shares of CCK Common Stock under the CCK 401(k)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01/07/2026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5181"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2026-01-07T14:56:16Z</dcterms:created>
  <dcterms:modified xsi:type="dcterms:W3CDTF">2026-01-07T14:56:16Z</dcterms:modified>
</cp:coreProperties>
</file>