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25, 2024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0"/>
        </w:trPr>
        <w:tc>
          <w:tcPr>
            <w:tcW w:w="3160" w:type="dxa"/>
            <w:vAlign w:val="bottom"/>
          </w:tcPr>
          <w:p>
            <w:pPr>
              <w:jc w:val="center"/>
              <w:ind w:right="87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14025 Riveredge Dr,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2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5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1360" w:type="dxa"/>
            <w:vAlign w:val="bottom"/>
          </w:tcPr>
          <w:p>
            <w:pPr>
              <w:spacing w:after="0"/>
              <w:rPr>
                <w:sz w:val="18"/>
                <w:szCs w:val="18"/>
                <w:color w:val="auto"/>
              </w:rPr>
            </w:pPr>
          </w:p>
        </w:tc>
      </w:tr>
      <w:tr>
        <w:trPr>
          <w:trHeight w:val="207"/>
        </w:trPr>
        <w:tc>
          <w:tcPr>
            <w:tcW w:w="40" w:type="dxa"/>
            <w:vAlign w:val="bottom"/>
          </w:tcPr>
          <w:p>
            <w:pPr>
              <w:spacing w:after="0"/>
              <w:rPr>
                <w:sz w:val="17"/>
                <w:szCs w:val="17"/>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36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3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360" w:type="dxa"/>
            <w:vAlign w:val="bottom"/>
          </w:tcPr>
          <w:p>
            <w:pPr>
              <w:spacing w:after="0"/>
              <w:rPr>
                <w:sz w:val="18"/>
                <w:szCs w:val="18"/>
                <w:color w:val="auto"/>
              </w:rPr>
            </w:pPr>
          </w:p>
        </w:tc>
      </w:tr>
      <w:tr>
        <w:trPr>
          <w:trHeight w:val="553"/>
        </w:trPr>
        <w:tc>
          <w:tcPr>
            <w:tcW w:w="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979"/>
        </w:trPr>
        <w:tc>
          <w:tcPr>
            <w:tcW w:w="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42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8.01 Other Events</w:t>
      </w:r>
    </w:p>
    <w:p>
      <w:pPr>
        <w:spacing w:after="0" w:line="2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Crown European Holdings S.A. (the “</w:t>
      </w:r>
      <w:r>
        <w:rPr>
          <w:rFonts w:ascii="Times New Roman" w:cs="Times New Roman" w:eastAsia="Times New Roman" w:hAnsi="Times New Roman"/>
          <w:sz w:val="22"/>
          <w:szCs w:val="22"/>
          <w:u w:val="single" w:color="auto"/>
          <w:color w:val="auto"/>
        </w:rPr>
        <w:t>2025 Note Issuer</w:t>
      </w:r>
      <w:r>
        <w:rPr>
          <w:rFonts w:ascii="Times New Roman" w:cs="Times New Roman" w:eastAsia="Times New Roman" w:hAnsi="Times New Roman"/>
          <w:sz w:val="22"/>
          <w:szCs w:val="22"/>
          <w:color w:val="auto"/>
        </w:rPr>
        <w:t>”), a wholly-owned subsidiary of Crown Holdings, Inc., a Pennsylvania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issued an unconditional notice of redemption to redeem all of the 2025 Note Issuer’s outstanding 3.3750% Senior Notes due 2025 (the “</w:t>
      </w:r>
      <w:r>
        <w:rPr>
          <w:rFonts w:ascii="Times New Roman" w:cs="Times New Roman" w:eastAsia="Times New Roman" w:hAnsi="Times New Roman"/>
          <w:sz w:val="22"/>
          <w:szCs w:val="22"/>
          <w:u w:val="single" w:color="auto"/>
          <w:color w:val="auto"/>
        </w:rPr>
        <w:t>2025 Notes</w:t>
      </w:r>
      <w:r>
        <w:rPr>
          <w:rFonts w:ascii="Times New Roman" w:cs="Times New Roman" w:eastAsia="Times New Roman" w:hAnsi="Times New Roman"/>
          <w:sz w:val="22"/>
          <w:szCs w:val="22"/>
          <w:color w:val="auto"/>
        </w:rPr>
        <w:t xml:space="preserve"> ”) with an initial aggregate principal amount outstanding of €600 million. The 2025 Notes will be redeemed on December 31, 2024 (the “</w:t>
      </w:r>
      <w:r>
        <w:rPr>
          <w:rFonts w:ascii="Times New Roman" w:cs="Times New Roman" w:eastAsia="Times New Roman" w:hAnsi="Times New Roman"/>
          <w:sz w:val="22"/>
          <w:szCs w:val="22"/>
          <w:u w:val="single" w:color="auto"/>
          <w:color w:val="auto"/>
        </w:rPr>
        <w:t>Redemption Date</w:t>
      </w:r>
      <w:r>
        <w:rPr>
          <w:rFonts w:ascii="Times New Roman" w:cs="Times New Roman" w:eastAsia="Times New Roman" w:hAnsi="Times New Roman"/>
          <w:sz w:val="22"/>
          <w:szCs w:val="22"/>
          <w:color w:val="auto"/>
        </w:rPr>
        <w:t>”) at the redemption price equal to 100% of the principal amount thereof, plus accrued and unpaid interest, if any, from and including the most recent Interest Payment Date, November 15, 2024, to, but not including, the Redemption Date.</w:t>
      </w:r>
    </w:p>
    <w:p>
      <w:pPr>
        <w:sectPr>
          <w:pgSz w:w="11900" w:h="16838" w:orient="portrait"/>
          <w:cols w:equalWidth="0" w:num="1">
            <w:col w:w="11240"/>
          </w:cols>
          <w:pgMar w:left="320" w:top="1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Christy L. Kalaus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257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November 26, 2024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2024-11-26T12:21:55Z</dcterms:created>
  <dcterms:modified xsi:type="dcterms:W3CDTF">2024-11-26T12:21:55Z</dcterms:modified>
</cp:coreProperties>
</file>