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DOSS MICHAEL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HIDDEN RIVER CORPORATE CENTER TWO</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14025 RIVEREDGE DRIVE,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TAMPA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33637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CROWN HOLDINGS, INC.</w:t>
              </w:r>
            </w:hyperlink>
            <w:r>
              <w:rPr/>
              <w:t xml:space="preserve"> [ </w:t>
            </w:r>
            <w:r>
              <w:rPr>
                <w:rFonts w:ascii="Times;serif" w:hAnsi="Times;serif"/>
                <w:color w:val="0000FF"/>
                <w:sz w:val="24"/>
                <w:shd w:fill="FFFFFF" w:val="clear"/>
              </w:rPr>
              <w:t>CCK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708"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70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351</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117.69</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deferred stock is the economic equivalent of one share of common stock. The shares of deferred stock become payable in cash as soon as administratively feasible following the time the reporting person ceases to be a Director of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Noelle N. Critz,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3483" TargetMode="External"/><Relationship Id="rId5" Type="http://schemas.openxmlformats.org/officeDocument/2006/relationships/hyperlink" Target="http://www.sec.gov/cgi-bin/browse-edgar?action=getcompany&amp;CIK=00012196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3318</Characters>
  <CharactersWithSpaces>3866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