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shd w:fill="FFFFFF" w:val="clear"/>
        </w:rPr>
        <w:t>April 27, 2026</w:t>
      </w:r>
      <w:r>
        <w:rPr>
          <w:color w:val="000000"/>
        </w:rPr>
        <w:t xml:space="preserve">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CROWN HOLDINGS, INC.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(Exact name of Registrant as specified in its charter)</w:t>
      </w:r>
    </w:p>
    <w:tbl>
      <w:tblPr>
        <w:tblW w:w="6099" w:type="dxa"/>
        <w:jc w:val="center"/>
        <w:tblInd w:w="0" w:type="dxa"/>
        <w:tblLayout w:type="fixed"/>
        <w:tblCellMar>
          <w:top w:w="28" w:type="dxa"/>
          <w:left w:w="28" w:type="dxa"/>
          <w:bottom w:w="28" w:type="dxa"/>
          <w:right w:w="28" w:type="dxa"/>
        </w:tblCellMar>
      </w:tblPr>
      <w:tblGrid>
        <w:gridCol w:w="946"/>
        <w:gridCol w:w="830"/>
        <w:gridCol w:w="834"/>
        <w:gridCol w:w="109"/>
        <w:gridCol w:w="109"/>
        <w:gridCol w:w="109"/>
        <w:gridCol w:w="394"/>
        <w:gridCol w:w="394"/>
        <w:gridCol w:w="398"/>
        <w:gridCol w:w="109"/>
        <w:gridCol w:w="109"/>
        <w:gridCol w:w="109"/>
        <w:gridCol w:w="481"/>
        <w:gridCol w:w="481"/>
        <w:gridCol w:w="687"/>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001-41550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75-3099507</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14025 Riveredge Drive, Suite 300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Tampa, Florida 33637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(215) 698-5100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Including Zip Code, and Telephone Number, Including Area Code, of Registrant's Principal Executive Offices)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(Former name or former address, if changed since last report)</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 </w:t>
      </w:r>
    </w:p>
    <w:p>
      <w:pPr>
        <w:pStyle w:val="TextBody"/>
        <w:bidi w:val="0"/>
        <w:spacing w:lineRule="auto" w:line="288" w:before="0" w:after="0"/>
        <w:ind w:left="0" w:right="0" w:hanging="720"/>
        <w:jc w:val="left"/>
        <w:rPr/>
      </w:pPr>
      <w:r>
        <w:rPr>
          <w:color w:val="000000"/>
        </w:rPr>
        <w:t xml:space="preserve">☐ </w:t>
      </w:r>
      <w:r>
        <w:rPr>
          <w:rFonts w:ascii="Times New Roman;serif" w:hAnsi="Times New Roman;serif"/>
          <w:b w:val="false"/>
          <w:color w:val="000000"/>
          <w:sz w:val="20"/>
        </w:rPr>
        <w:t>Soliciting material pursuant to Rule 14a-12 under the Exchange Act (17CFR 240.14a-12) </w:t>
      </w:r>
    </w:p>
    <w:p>
      <w:pPr>
        <w:pStyle w:val="TextBody"/>
        <w:bidi w:val="0"/>
        <w:spacing w:lineRule="auto" w:line="288" w:before="0" w:after="0"/>
        <w:ind w:left="0" w:right="0" w:hanging="7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 </w:t>
      </w:r>
    </w:p>
    <w:p>
      <w:pPr>
        <w:pStyle w:val="TextBody"/>
        <w:bidi w:val="0"/>
        <w:spacing w:lineRule="auto" w:line="288" w:before="0" w:after="0"/>
        <w:ind w:left="0" w:right="0" w:hanging="7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w:t>
      </w:r>
    </w:p>
    <w:p>
      <w:pPr>
        <w:pStyle w:val="TextBody"/>
        <w:bidi w:val="0"/>
        <w:spacing w:lineRule="auto" w:line="288" w:before="2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7033" w:type="dxa"/>
        <w:jc w:val="left"/>
        <w:tblInd w:w="0" w:type="dxa"/>
        <w:tblLayout w:type="fixed"/>
        <w:tblCellMar>
          <w:top w:w="28" w:type="dxa"/>
          <w:left w:w="28" w:type="dxa"/>
          <w:bottom w:w="28" w:type="dxa"/>
          <w:right w:w="28" w:type="dxa"/>
        </w:tblCellMar>
      </w:tblPr>
      <w:tblGrid>
        <w:gridCol w:w="876"/>
        <w:gridCol w:w="772"/>
        <w:gridCol w:w="782"/>
        <w:gridCol w:w="444"/>
        <w:gridCol w:w="444"/>
        <w:gridCol w:w="446"/>
        <w:gridCol w:w="956"/>
        <w:gridCol w:w="956"/>
        <w:gridCol w:w="1357"/>
      </w:tblGrid>
      <w:tr>
        <w:trPr/>
        <w:tc>
          <w:tcPr>
            <w:tcW w:w="87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$5.00 Par Value</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CCK</w:t>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 1/2% Debentures Due 2096</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CCK96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 xml:space="preserve">TABLE OF CONTENTS </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Item 2.02. RESULTS OF OPERATIONS AND FINANCIAL CONDITION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Item 9.01. FINANCIAL STATEMENTS AND EXHIBITS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SIGNATURE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INDEX TO EXHIBITS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EX-99 PRESS RELEASE </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 xml:space="preserve">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4"/>
        </w:rPr>
      </w:pPr>
      <w:r>
        <w:rPr>
          <w:rFonts w:ascii="Times New Roman;serif" w:hAnsi="Times New Roman;serif"/>
          <w:b/>
          <w:color w:val="000000"/>
          <w:sz w:val="24"/>
        </w:rPr>
        <w:t xml:space="preserve">Item 2.02. Results of Operations and Financial Condition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On April 27, 2026 Crown Holdings, Inc. issued a press release announcing its earnings for the first quarter ended March 31, 2026. A copy of the press release is attached hereto as Exhibit 99 and incorporated herein by reference.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color w:val="000000"/>
          <w:sz w:val="24"/>
        </w:rPr>
      </w:pPr>
      <w:r>
        <w:rPr>
          <w:rFonts w:ascii="Times New Roman;serif" w:hAnsi="Times New Roman;serif"/>
          <w:b/>
          <w:color w:val="000000"/>
          <w:sz w:val="24"/>
        </w:rPr>
        <w:t xml:space="preserve">Item 9.01. Financial Statements and Exhibits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(c) Exhibits.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The following is furnished as an exhibit to this report. </w:t>
      </w:r>
    </w:p>
    <w:p>
      <w:pPr>
        <w:pStyle w:val="TextBody"/>
        <w:bidi w:val="0"/>
        <w:spacing w:lineRule="auto" w:line="288" w:before="0" w:after="0"/>
        <w:jc w:val="left"/>
        <w:rPr/>
      </w:pPr>
      <w:r>
        <w:rPr>
          <w:rFonts w:ascii="Times New Roman;serif" w:hAnsi="Times New Roman;serif"/>
          <w:b w:val="false"/>
          <w:color w:val="000000"/>
          <w:sz w:val="24"/>
        </w:rPr>
        <w:t>99     </w:t>
      </w:r>
      <w:hyperlink w:anchor="ex99mar2026.htm">
        <w:r>
          <w:rPr>
            <w:rStyle w:val="InternetLink"/>
            <w:rFonts w:ascii="Times New Roman;serif" w:hAnsi="Times New Roman;serif"/>
            <w:b w:val="false"/>
            <w:color w:val="0000FF"/>
            <w:sz w:val="24"/>
            <w:u w:val="single"/>
          </w:rPr>
          <w:t>Press release, dated April 27, 2026, issued by Crown Holdings, Inc.</w:t>
        </w:r>
      </w:hyperlink>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104    Cover Page Interactive Data File (embedded within the Inline XBRL document).</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 xml:space="preserve">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 xml:space="preserve">Pursuant to the requirements of the Securities Exchange Act of 1934, the Registrant has duly caused this report to be signed on its behalf by the undersigned hereunto duly authorized. </w:t>
      </w:r>
    </w:p>
    <w:tbl>
      <w:tblPr>
        <w:tblW w:w="3326" w:type="dxa"/>
        <w:jc w:val="center"/>
        <w:tblInd w:w="0" w:type="dxa"/>
        <w:tblLayout w:type="fixed"/>
        <w:tblCellMar>
          <w:top w:w="28" w:type="dxa"/>
          <w:left w:w="28" w:type="dxa"/>
          <w:bottom w:w="28" w:type="dxa"/>
          <w:right w:w="28" w:type="dxa"/>
        </w:tblCellMar>
      </w:tblPr>
      <w:tblGrid>
        <w:gridCol w:w="124"/>
        <w:gridCol w:w="109"/>
        <w:gridCol w:w="109"/>
        <w:gridCol w:w="874"/>
        <w:gridCol w:w="874"/>
        <w:gridCol w:w="1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CROWN HOLDINGS, INC.</w:t>
            </w:r>
          </w:p>
        </w:tc>
      </w:tr>
    </w:tbl>
    <w:tbl>
      <w:tblPr>
        <w:tblW w:w="4196" w:type="dxa"/>
        <w:jc w:val="center"/>
        <w:tblInd w:w="0" w:type="dxa"/>
        <w:tblLayout w:type="fixed"/>
        <w:tblCellMar>
          <w:top w:w="28" w:type="dxa"/>
          <w:left w:w="28" w:type="dxa"/>
          <w:bottom w:w="28" w:type="dxa"/>
          <w:right w:w="28" w:type="dxa"/>
        </w:tblCellMar>
      </w:tblPr>
      <w:tblGrid>
        <w:gridCol w:w="124"/>
        <w:gridCol w:w="109"/>
        <w:gridCol w:w="109"/>
        <w:gridCol w:w="149"/>
        <w:gridCol w:w="149"/>
        <w:gridCol w:w="151"/>
        <w:gridCol w:w="997"/>
        <w:gridCol w:w="997"/>
        <w:gridCol w:w="14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Kevin B. Garry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B. Garry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Corporate Controller</w:t>
            </w:r>
          </w:p>
        </w:tc>
      </w:tr>
    </w:tbl>
    <w:p>
      <w:pPr>
        <w:pStyle w:val="TextBody"/>
        <w:bidi w:val="0"/>
        <w:spacing w:before="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Dated: April 27, 2026</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4"/>
        </w:rPr>
      </w:pPr>
      <w:r>
        <w:rPr>
          <w:rFonts w:ascii="Times New Roman;serif" w:hAnsi="Times New Roman;serif"/>
          <w:b w:val="false"/>
          <w:color w:val="000000"/>
          <w:sz w:val="24"/>
        </w:rPr>
        <w:t xml:space="preserve">4 </w:t>
      </w:r>
    </w:p>
    <w:p>
      <w:pPr>
        <w:pStyle w:val="TextBody"/>
        <w:bidi w:val="0"/>
        <w:spacing w:before="100" w:after="10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724025" cy="609600"/>
                          </a:xfrm>
                          <a:prstGeom prst="rect">
                            <a:avLst/>
                          </a:prstGeom>
                        </pic:spPr>
                      </pic:pic>
                    </a:graphicData>
                  </a:graphic>
                </wp:inline>
              </w:drawing>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CROWN HOLDINGS, INC. REPORTS FIRST QUARTER 2026 RESULTS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Tampa, FL — April 27, 2026.</w:t>
      </w:r>
      <w:r>
        <w:rPr>
          <w:color w:val="000000"/>
        </w:rPr>
        <w:t xml:space="preserve"> </w:t>
      </w:r>
      <w:r>
        <w:rPr>
          <w:rFonts w:ascii="Times New Roman;serif" w:hAnsi="Times New Roman;serif"/>
          <w:b w:val="false"/>
          <w:color w:val="000000"/>
          <w:sz w:val="20"/>
        </w:rPr>
        <w:t>Crown Holdings, Inc. (NYSE: CCK) today announced its financial results for the first</w:t>
      </w:r>
      <w:r>
        <w:rPr>
          <w:color w:val="EE2724"/>
        </w:rPr>
        <w:t xml:space="preserve"> </w:t>
      </w:r>
      <w:r>
        <w:rPr>
          <w:rFonts w:ascii="Times New Roman;serif" w:hAnsi="Times New Roman;serif"/>
          <w:b w:val="false"/>
          <w:color w:val="000000"/>
          <w:sz w:val="20"/>
        </w:rPr>
        <w:t>quarter ended March 31,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Highlights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First Quarter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Global beverage shipments increased 5%</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Diluted earnings per share of $1.56 versus $1.65 in 2025</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Adjusted diluted earnings per share increased 11% to $1.86</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Returned $251 million to shareholders, including $39 million of dividends, reflecting a 35% dividend increase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Announced plans to construct a new greenfield two-line, high-speed beverage can plant in Northern India</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The Company got off to a solid start for the year, driven by strong results in our European and Asian beverage can businesses, beverage can equipment and our North American food can and closures businesses,” said Timothy J. Donahue, Chairman, President &amp; Chief Executive Officer. “Global beverage can volumes advanced 5%, led by robust shipments throughout Europe and Asia-Pacific. North American shipments advanced 1% in the quarter as a strong March, up 8% over the prior year, helped overcome a slow start to the year, the result of widespread winter storms in January.</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The Company grew both segment income and adjusted diluted earnings per share during the quarter, despite the challenging operating environment. All Crown facilities remain operational, and, through our global sourcing initiatives and manufacturing flexibility, we have been able to procure necessary materials and meet customer requirements in all global regions. While we expect that continued headwinds from the effects of the Middle East conflict will persist through the second quarter, the Company anticipates another strong year in 2026. As such, we reiterate our previous full year earnings, cash flow and capital expenditure guidance.</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 xml:space="preserve">Earlier this month, the Company announced plans to establish a state-of-the-art beverage can manufacturing facility in Northern India, marking Crown’s entry into one of the world’s fastest growing beverage markets. The two-line facility is expected to commence operations in the second half of 2027 and will serve accelerating demand in both the alcoholic and non-alcoholic segments. </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As we look ahead, the Company will continue to use its robust free cash flow to make strategic investments in growth and return value to shareholders through dividends and disciplined repurchases of its common stock.”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in the first quarter were $3,259 million compared to $2,887 million in the first quarter of 2025 reflecting higher global beverage can shipments, the pass-through of $234 million in higher material costs and favorable foreign currency of $74 million.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Income from operations was $365 million in the first quarter of 2026, in line with the prior year period. Segment income in the first quarter of 2026 was $405 million compared to $398 million in the prior year first quarter driven by higher beverage can shipments in Europe and Asia-Pacific offset by lower beverage can shipments in Brazil and lower input cost recovery in North America.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Crown Holdings in the first quarter was $175 million compared to $193 million in the first quarter of 2025. Reported diluted earnings per share were $1.56 in the first quarter of 2026 compared to $1.65 in 2025. Adjusted net income was $209 million compared to $195 million in 2025 and adjusted diluted earnings per share were $1.86 compared to $1.67 in 2025.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With demand remaining firm across our global beverage businesses and considering our first quarter performance, the Company reaffirms its full year 2026 guidance of adjusted diluted earnings per share between $7.90 and $8.30, while recognizing the impact that volatility across aluminum, energy and transportation markets may have on input costs and consumer spending. Second quarter adjusted diluted earnings per share are expected to be in the range of $2.10 to $2.20. The Company expects to generate approximately $900 million in adjusted free cash flow in 2026 after capital spending of approximately $550 million, which includes initial spending related to the recently announced beverage can plant in India,” commented Kevin C. Clothier, Senior Vice President and Chief Financial Officer.</w:t>
      </w:r>
    </w:p>
    <w:p>
      <w:pPr>
        <w:pStyle w:val="TextBody"/>
        <w:bidi w:val="0"/>
        <w:spacing w:before="0" w:after="0"/>
        <w:jc w:val="both"/>
        <w:rPr/>
      </w:pPr>
      <w:r>
        <w:rPr/>
      </w:r>
    </w:p>
    <w:p>
      <w:pPr>
        <w:pStyle w:val="TextBody"/>
        <w:bidi w:val="0"/>
        <w:jc w:val="both"/>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1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Segment income, adjusted free cash flow, net debt, adjusted net leverage ratio, adjusted net income, the adjusted effective tax rate, adjusted diluted earnings per share, net interest expense, EBITDA and adjusted EBITDA are not defined terms under U.S. generally accepted accounting principles (non-GAAP measures). Non-GAAP measures should not be considered in isolation or as a substitute for income from operations, cash flow, leverage ratio, net income, effective tax rates, diluted earnings per share or interest expense and interest income prepared in accordance with U.S. GAAP and may not be comparable to calculations of similarly titled measures by other companies.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views segment income as the principal measure of the performance of its operations and adjusted free cash flow and adjusted net leverage ratio as the principal measures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free cash flow and adjusted net leverage ratio provide meaningful measures of liquidity and a useful basis for assessing the Company’s ability to fund its activities, including the financing of acquisitions, debt repayments, share repurchases or dividends. The Company believes that adjusted net income, segment income, the adjusted effective tax rate and adjusted diluted earnings per share are useful in evaluating the Company’s operations as these measures are adjusted for items that affect comparability between periods. Segment income, adjusted free cash flow, net debt, adjusted net leverage ratio, adjusted net income, the adjusted effective tax rate, adjusted diluted earnings per share, net interest expense, EBITDA and adjusted EBITDA are derived from the Company’s Consolidated Statements of Operations, Cash Flows and Consolidated Balance Sheets, as applicable, and reconciliations to segment income, adjusted free cash flow, net debt, adjusted net leverage ratio, adjusted net income, the adjusted effective tax rate, adjusted diluted earnings per share and adjusted EBITDA can be found within this release. Reconciliations of estimated adjusted diluted earnings per share, adjusted free cash flow, the adjusted effective tax rates and adjusted net leverage ratio for the second quarter and full year of 2026 to estimated diluted earnings per share, operating cash flow, the effective tax rate and income from operations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the adjusted effective tax rates and adjusted net leverage ratio, and could have a significant impact on earnings per share, the effective tax rate and income from operations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68" w:before="0" w:after="0"/>
        <w:jc w:val="both"/>
        <w:rPr/>
      </w:pPr>
      <w:r>
        <w:rPr>
          <w:rFonts w:ascii="Times New Roman;serif" w:hAnsi="Times New Roman;serif"/>
          <w:b w:val="false"/>
          <w:color w:val="000000"/>
          <w:sz w:val="20"/>
        </w:rPr>
        <w:t xml:space="preserve">The Company will hold a conference call tomorrow, April 28, 2026,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Times New Roman;serif" w:hAnsi="Times New Roman;serif"/>
          <w:b w:val="false"/>
          <w:color w:val="0000FF"/>
          <w:sz w:val="20"/>
          <w:u w:val="single"/>
        </w:rPr>
        <w:t>http://www.crowncork.com</w:t>
      </w:r>
      <w:r>
        <w:rPr>
          <w:rFonts w:ascii="Times New Roman;serif" w:hAnsi="Times New Roman;serif"/>
          <w:b w:val="false"/>
          <w:color w:val="000000"/>
          <w:sz w:val="20"/>
        </w:rPr>
        <w:t>. A replay of the conference call will be available for a one-week period ending at midnight on May 5, 2026. The telephone numbers for the replay are 203-369-0896 or toll free 866-427-6407.</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Except for historical information, all other information in this press release consists of forward-looking statements. These forward-looking statements involve a number of risks, uncertainties and other factors, including expected levels of capital expenditures, free cash flow and earnings; the Company’s ability to continue to operate its plants, distribute its products, and maintain its supply chain, including any impact of the ongoing Middle East conflict; the Company’s ability to complete the project in Northern India; the future impact of currency translation; the continuation of performance and market trends in 2026, including consumer preference for beverage cans and global beverage can demand; the future impact of inflation, including the potential for higher interest rates and energy and transportation prices and the Company’s ability to recover raw material and other inflationary costs, including tariffs and retaliatory trade measures; future demand for food cans; the Company’s ability to deliver continuous operational improvement and future demand in the Transit Packaging segment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2025 and in subsequent filings made prior to or after the date hereof. The Company does not intend to review or revise any particular forward-looking statement in light of future events.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2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2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Crown Holdings, Inc., through its subsidiaries, is a worldwide leader in the design, manufacture and sale of packaging products for consumer goods and industrial products. World headquarters are located in Tampa, Florida.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contact: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Kevin C. Clothier, Senior Vice President and Chief Financial Officer, (215) 698-5281</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Thomas T. Fischer, Vice President, Investor Relations and Corporate Affairs, (215) 552-3720</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Unaudited Consolidated Statements of Operations, Balance Sheets, Statements of Cash Flows, Segment Information and Supplemental Data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3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3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Consolidated Statements of Operations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share and per share data)</w:t>
      </w:r>
    </w:p>
    <w:p>
      <w:pPr>
        <w:pStyle w:val="TextBody"/>
        <w:bidi w:val="0"/>
        <w:spacing w:before="0" w:after="0"/>
        <w:jc w:val="center"/>
        <w:rPr/>
      </w:pPr>
      <w:r>
        <w:rPr/>
      </w:r>
    </w:p>
    <w:tbl>
      <w:tblPr>
        <w:tblW w:w="9803" w:type="dxa"/>
        <w:jc w:val="center"/>
        <w:tblInd w:w="0" w:type="dxa"/>
        <w:tblLayout w:type="fixed"/>
        <w:tblCellMar>
          <w:top w:w="28" w:type="dxa"/>
          <w:left w:w="28" w:type="dxa"/>
          <w:bottom w:w="28" w:type="dxa"/>
          <w:right w:w="28" w:type="dxa"/>
        </w:tblCellMar>
      </w:tblPr>
      <w:tblGrid>
        <w:gridCol w:w="2315"/>
        <w:gridCol w:w="2033"/>
        <w:gridCol w:w="2057"/>
        <w:gridCol w:w="297"/>
        <w:gridCol w:w="889"/>
        <w:gridCol w:w="109"/>
        <w:gridCol w:w="109"/>
        <w:gridCol w:w="109"/>
        <w:gridCol w:w="109"/>
        <w:gridCol w:w="297"/>
        <w:gridCol w:w="889"/>
        <w:gridCol w:w="109"/>
        <w:gridCol w:w="109"/>
        <w:gridCol w:w="109"/>
        <w:gridCol w:w="109"/>
        <w:gridCol w:w="154"/>
      </w:tblGrid>
      <w:tr>
        <w:trPr/>
        <w:tc>
          <w:tcPr>
            <w:tcW w:w="2315"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Income from operations</w:t>
            </w:r>
            <w:r>
              <w:rPr>
                <w:color w:val="000000"/>
              </w:rPr>
              <w:t xml:space="preserve"> </w:t>
            </w:r>
            <w:r>
              <w:rPr>
                <w:rFonts w:ascii="Times New Roman;serif" w:hAnsi="Times New Roman;serif"/>
                <w:b/>
                <w:color w:val="000000"/>
                <w:sz w:val="13"/>
              </w:rPr>
              <w:t>(1)</w:t>
            </w:r>
            <w:r>
              <w:rPr>
                <w:color w:val="000000"/>
              </w:rPr>
              <w:t xml:space="preserve"> </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pension and postretirement</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interest and taxes</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 before income taxes</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earnings </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Crown Holdings</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attributable to Crown Holdings common shareholders:</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29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111,982,661 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116,672,836 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112,533,102 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117,039,580 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Actual common shares outstanding at quarter end</w:t>
            </w:r>
          </w:p>
        </w:tc>
        <w:tc>
          <w:tcPr>
            <w:tcW w:w="118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111,756,236 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116,393,894 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16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Reconciliation from income from operations to segment income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4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4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u w:val="single"/>
        </w:rPr>
      </w:pPr>
      <w:r>
        <w:rPr>
          <w:rFonts w:ascii="Times New Roman;serif" w:hAnsi="Times New Roman;serif"/>
          <w:b/>
          <w:color w:val="000000"/>
          <w:sz w:val="20"/>
          <w:u w:val="single"/>
        </w:rPr>
        <w:t>Consolidated Supplemental Financial Data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Reconciliation from Income from Operations to Segment Income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pStyle w:val="TextBody"/>
        <w:bidi w:val="0"/>
        <w:spacing w:before="0" w:after="0"/>
        <w:jc w:val="both"/>
        <w:rPr/>
      </w:pPr>
      <w:r>
        <w:rPr/>
      </w:r>
    </w:p>
    <w:tbl>
      <w:tblPr>
        <w:tblW w:w="4525" w:type="dxa"/>
        <w:jc w:val="center"/>
        <w:tblInd w:w="0" w:type="dxa"/>
        <w:tblLayout w:type="fixed"/>
        <w:tblCellMar>
          <w:top w:w="28" w:type="dxa"/>
          <w:left w:w="28" w:type="dxa"/>
          <w:bottom w:w="28" w:type="dxa"/>
          <w:right w:w="28" w:type="dxa"/>
        </w:tblCellMar>
      </w:tblPr>
      <w:tblGrid>
        <w:gridCol w:w="765"/>
        <w:gridCol w:w="674"/>
        <w:gridCol w:w="676"/>
        <w:gridCol w:w="211"/>
        <w:gridCol w:w="481"/>
        <w:gridCol w:w="109"/>
        <w:gridCol w:w="109"/>
        <w:gridCol w:w="109"/>
        <w:gridCol w:w="109"/>
        <w:gridCol w:w="211"/>
        <w:gridCol w:w="481"/>
        <w:gridCol w:w="109"/>
        <w:gridCol w:w="109"/>
        <w:gridCol w:w="109"/>
        <w:gridCol w:w="109"/>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Segment Information</w:t>
      </w:r>
    </w:p>
    <w:tbl>
      <w:tblPr>
        <w:tblW w:w="4419" w:type="dxa"/>
        <w:jc w:val="center"/>
        <w:tblInd w:w="0" w:type="dxa"/>
        <w:tblLayout w:type="fixed"/>
        <w:tblCellMar>
          <w:top w:w="28" w:type="dxa"/>
          <w:left w:w="28" w:type="dxa"/>
          <w:bottom w:w="28" w:type="dxa"/>
          <w:right w:w="28" w:type="dxa"/>
        </w:tblCellMar>
      </w:tblPr>
      <w:tblGrid>
        <w:gridCol w:w="618"/>
        <w:gridCol w:w="544"/>
        <w:gridCol w:w="547"/>
        <w:gridCol w:w="211"/>
        <w:gridCol w:w="631"/>
        <w:gridCol w:w="109"/>
        <w:gridCol w:w="109"/>
        <w:gridCol w:w="109"/>
        <w:gridCol w:w="109"/>
        <w:gridCol w:w="211"/>
        <w:gridCol w:w="631"/>
        <w:gridCol w:w="109"/>
        <w:gridCol w:w="109"/>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Net Sales</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net sales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5679" w:type="dxa"/>
        <w:jc w:val="center"/>
        <w:tblInd w:w="0" w:type="dxa"/>
        <w:tblLayout w:type="fixed"/>
        <w:tblCellMar>
          <w:top w:w="28" w:type="dxa"/>
          <w:left w:w="28" w:type="dxa"/>
          <w:bottom w:w="28" w:type="dxa"/>
          <w:right w:w="28" w:type="dxa"/>
        </w:tblCellMar>
      </w:tblPr>
      <w:tblGrid>
        <w:gridCol w:w="1181"/>
        <w:gridCol w:w="1043"/>
        <w:gridCol w:w="1045"/>
        <w:gridCol w:w="211"/>
        <w:gridCol w:w="481"/>
        <w:gridCol w:w="109"/>
        <w:gridCol w:w="109"/>
        <w:gridCol w:w="109"/>
        <w:gridCol w:w="109"/>
        <w:gridCol w:w="211"/>
        <w:gridCol w:w="481"/>
        <w:gridCol w:w="109"/>
        <w:gridCol w:w="109"/>
        <w:gridCol w:w="109"/>
        <w:gridCol w:w="109"/>
        <w:gridCol w:w="154"/>
      </w:tblGrid>
      <w:tr>
        <w:trPr/>
        <w:tc>
          <w:tcPr>
            <w:tcW w:w="118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Segment Income</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European Beverage </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items </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segment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68" w:before="0" w:after="0"/>
        <w:ind w:left="0" w:right="0" w:hanging="27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the Company’s North America tinplate businesses: food can, aerosol can, and closures, and beverage tooling and equipment operations in the U.S. and United Kingdom.</w:t>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both"/>
        <w:rPr/>
      </w:pPr>
      <w:r>
        <w:rPr/>
      </w:r>
    </w:p>
    <w:p>
      <w:pPr>
        <w:pStyle w:val="TextBody"/>
        <w:bidi w:val="0"/>
        <w:spacing w:before="0" w:after="0"/>
        <w:ind w:left="0" w:right="0" w:hanging="270"/>
        <w:jc w:val="center"/>
        <w:rPr/>
      </w:pPr>
      <w:r>
        <w:rPr/>
      </w:r>
    </w:p>
    <w:p>
      <w:pPr>
        <w:pStyle w:val="TextBody"/>
        <w:bidi w:val="0"/>
        <w:ind w:left="0" w:right="0" w:hanging="270"/>
        <w:jc w:val="center"/>
        <w:rPr/>
      </w:pPr>
      <w:r>
        <w:rPr/>
      </w:r>
    </w:p>
    <w:p>
      <w:pPr>
        <w:pStyle w:val="TextBody"/>
        <w:bidi w:val="0"/>
        <w:spacing w:before="120" w:after="12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5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5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ind w:left="0" w:right="0" w:hanging="270"/>
        <w:jc w:val="center"/>
        <w:rPr/>
      </w:pPr>
      <w:r>
        <w:rPr/>
      </w:r>
    </w:p>
    <w:p>
      <w:pPr>
        <w:pStyle w:val="TextBody"/>
        <w:bidi w:val="0"/>
        <w:spacing w:lineRule="auto" w:line="288" w:before="0" w:after="0"/>
        <w:ind w:left="0" w:right="0" w:hanging="270"/>
        <w:jc w:val="center"/>
        <w:rPr>
          <w:rFonts w:ascii="Times New Roman;serif" w:hAnsi="Times New Roman;serif"/>
          <w:b/>
          <w:color w:val="000000"/>
          <w:sz w:val="20"/>
          <w:u w:val="single"/>
        </w:rPr>
      </w:pPr>
      <w:r>
        <w:rPr>
          <w:rFonts w:ascii="Times New Roman;serif" w:hAnsi="Times New Roman;serif"/>
          <w:b/>
          <w:color w:val="000000"/>
          <w:sz w:val="20"/>
          <w:u w:val="single"/>
        </w:rPr>
        <w:t>Consolidated Supplemental Data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Reconciliation from Net Income and Diluted Earnings Per Share to Adjusted Net Income and Adjusted Diluted Earnings Per Share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following table reconciles reported net income and diluted earnings per share attributable to the Company to adjusted net income and adjusted diluted earnings per share, as used elsewhere in this release.</w:t>
      </w:r>
      <w:r>
        <w:rPr>
          <w:color w:val="000000"/>
        </w:rPr>
        <w:t xml:space="preserve">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2226"/>
        <w:gridCol w:w="1847"/>
        <w:gridCol w:w="1857"/>
        <w:gridCol w:w="201"/>
        <w:gridCol w:w="201"/>
        <w:gridCol w:w="203"/>
        <w:gridCol w:w="109"/>
        <w:gridCol w:w="109"/>
        <w:gridCol w:w="109"/>
        <w:gridCol w:w="193"/>
        <w:gridCol w:w="193"/>
        <w:gridCol w:w="194"/>
        <w:gridCol w:w="109"/>
        <w:gridCol w:w="109"/>
        <w:gridCol w:w="109"/>
        <w:gridCol w:w="201"/>
        <w:gridCol w:w="201"/>
        <w:gridCol w:w="203"/>
        <w:gridCol w:w="109"/>
        <w:gridCol w:w="109"/>
        <w:gridCol w:w="109"/>
        <w:gridCol w:w="193"/>
        <w:gridCol w:w="193"/>
        <w:gridCol w:w="194"/>
        <w:gridCol w:w="109"/>
        <w:gridCol w:w="109"/>
        <w:gridCol w:w="109"/>
        <w:gridCol w:w="109"/>
        <w:gridCol w:w="109"/>
        <w:gridCol w:w="109"/>
        <w:gridCol w:w="109"/>
        <w:gridCol w:w="161"/>
      </w:tblGrid>
      <w:tr>
        <w:trPr/>
        <w:tc>
          <w:tcPr>
            <w:tcW w:w="222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6"/>
            <w:tcBorders/>
          </w:tcPr>
          <w:p>
            <w:pPr>
              <w:pStyle w:val="TableContents"/>
              <w:bidi w:val="0"/>
              <w:spacing w:before="0" w:after="283"/>
              <w:jc w:val="left"/>
              <w:rPr>
                <w:sz w:val="4"/>
                <w:szCs w:val="4"/>
              </w:rPr>
            </w:pPr>
            <w:r>
              <w:rPr>
                <w:sz w:val="4"/>
                <w:szCs w:val="4"/>
              </w:rPr>
            </w:r>
          </w:p>
        </w:tc>
      </w:tr>
      <w:tr>
        <w:trPr/>
        <w:tc>
          <w:tcPr>
            <w:tcW w:w="5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5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income/diluted earnings per share attributable to Crown Holdings, as reported </w:t>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Intangibles amortization </w:t>
            </w:r>
            <w:r>
              <w:rPr>
                <w:rFonts w:ascii="Times New Roman;serif" w:hAnsi="Times New Roman;serif"/>
                <w:b w:val="false"/>
                <w:color w:val="000000"/>
                <w:sz w:val="13"/>
              </w:rPr>
              <w:t>(1)</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Restructuring and other </w:t>
            </w:r>
            <w:r>
              <w:rPr>
                <w:rFonts w:ascii="Times New Roman;serif" w:hAnsi="Times New Roman;serif"/>
                <w:b w:val="false"/>
                <w:color w:val="000000"/>
                <w:sz w:val="13"/>
              </w:rPr>
              <w:t>(2)</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Loss on debt extinguishment </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Income taxes </w:t>
            </w:r>
            <w:r>
              <w:rPr>
                <w:rFonts w:ascii="Times New Roman;serif" w:hAnsi="Times New Roman;serif"/>
                <w:b w:val="false"/>
                <w:color w:val="000000"/>
                <w:sz w:val="13"/>
              </w:rPr>
              <w:t>(3)</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30"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Noncontrolling interests </w:t>
            </w:r>
            <w:r>
              <w:rPr>
                <w:rFonts w:ascii="Times New Roman;serif" w:hAnsi="Times New Roman;serif"/>
                <w:b w:val="false"/>
                <w:color w:val="000000"/>
                <w:sz w:val="13"/>
              </w:rPr>
              <w:t>(4)</w:t>
            </w:r>
            <w:r>
              <w:rPr>
                <w:color w:val="000000"/>
              </w:rPr>
              <w:t xml:space="preserve"> </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income/diluted earnings per share</w:t>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Effective tax rate as reported</w:t>
            </w:r>
            <w:r>
              <w:rPr>
                <w:color w:val="000000"/>
              </w:rPr>
              <w:t xml:space="preserve"> </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effective tax rate </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6"/>
        </w:rPr>
        <w:t>(1)</w:t>
      </w:r>
      <w:r>
        <w:rPr>
          <w:rFonts w:ascii="Times New Roman;serif" w:hAnsi="Times New Roman;serif"/>
          <w:b w:val="false"/>
          <w:color w:val="000000"/>
          <w:sz w:val="20"/>
        </w:rPr>
        <w:t>In the first quarters of 2026 and 2025, the Company recorded charges of $38 million ($29 million net of tax) and $35 million ($27 million net of tax) for intangibles amortization arising from prior acquisitions.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 the first quarter of 2026, the Company recorded net restructuring and other charges of $2 million ($4 million net of tax). In the first quarter of 2025, the Company recorded net restructuring and other gains of $2 million ($2 million net of tax).</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The Company recorded income tax benefits of $8 million and $31 million in the first quarters of 2026 and 2025, primarily related to the items described above and an income tax benefit of $22 million in the first quarter of 2025 from an internal reorganization.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In the first quarter of 2026, the Company recorded noncontrolling interest related to the items described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6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6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jc w:val="center"/>
        <w:rPr/>
      </w:pPr>
      <w:r>
        <w:rPr/>
      </w:r>
    </w:p>
    <w:tbl>
      <w:tblPr>
        <w:tblW w:w="7966" w:type="dxa"/>
        <w:jc w:val="center"/>
        <w:tblInd w:w="0" w:type="dxa"/>
        <w:tblLayout w:type="fixed"/>
        <w:tblCellMar>
          <w:top w:w="28" w:type="dxa"/>
          <w:left w:w="28" w:type="dxa"/>
          <w:bottom w:w="28" w:type="dxa"/>
          <w:right w:w="28" w:type="dxa"/>
        </w:tblCellMar>
      </w:tblPr>
      <w:tblGrid>
        <w:gridCol w:w="1363"/>
        <w:gridCol w:w="1198"/>
        <w:gridCol w:w="1203"/>
        <w:gridCol w:w="357"/>
        <w:gridCol w:w="1246"/>
        <w:gridCol w:w="184"/>
        <w:gridCol w:w="184"/>
        <w:gridCol w:w="184"/>
        <w:gridCol w:w="184"/>
        <w:gridCol w:w="357"/>
        <w:gridCol w:w="1246"/>
        <w:gridCol w:w="260"/>
      </w:tblGrid>
      <w:tr>
        <w:trPr/>
        <w:tc>
          <w:tcPr>
            <w:tcW w:w="1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79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Consolidated Balance Sheets (Condensed &amp; Unaudited)</w:t>
            </w:r>
          </w:p>
        </w:tc>
      </w:tr>
      <w:tr>
        <w:trPr/>
        <w:tc>
          <w:tcPr>
            <w:tcW w:w="79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w:t>
            </w:r>
          </w:p>
        </w:tc>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Receivables,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Inventories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Prepaid expenses and other current assets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current assets</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4,533</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4,220</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assets</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14,305</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13,841</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Short-term debt</w:t>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Current maturities of long-term debt</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payable and accrued liabilities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Total current liabilities</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4,057</w:t>
            </w:r>
            <w:r>
              <w:rPr>
                <w:color w:val="000000"/>
              </w:rPr>
              <w:t>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4,838</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maturities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63"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Crown Holdings shareholders’ equity</w:t>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Total liabilities and equity</w:t>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14,305</w:t>
            </w:r>
            <w:r>
              <w:rPr>
                <w:color w:val="000000"/>
              </w:rPr>
              <w:t>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13,841</w:t>
            </w:r>
            <w:r>
              <w:rPr>
                <w:color w:val="000000"/>
              </w:rPr>
              <w:t> </w:t>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36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7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7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Statements of Cash Flows (Condensed &amp;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7059" w:type="dxa"/>
        <w:jc w:val="center"/>
        <w:tblInd w:w="0" w:type="dxa"/>
        <w:tblLayout w:type="fixed"/>
        <w:tblCellMar>
          <w:top w:w="28" w:type="dxa"/>
          <w:left w:w="28" w:type="dxa"/>
          <w:bottom w:w="28" w:type="dxa"/>
          <w:right w:w="28" w:type="dxa"/>
        </w:tblCellMar>
      </w:tblPr>
      <w:tblGrid>
        <w:gridCol w:w="1843"/>
        <w:gridCol w:w="1618"/>
        <w:gridCol w:w="1624"/>
        <w:gridCol w:w="211"/>
        <w:gridCol w:w="481"/>
        <w:gridCol w:w="109"/>
        <w:gridCol w:w="109"/>
        <w:gridCol w:w="109"/>
        <w:gridCol w:w="109"/>
        <w:gridCol w:w="211"/>
        <w:gridCol w:w="481"/>
        <w:gridCol w:w="154"/>
      </w:tblGrid>
      <w:tr>
        <w:trPr/>
        <w:tc>
          <w:tcPr>
            <w:tcW w:w="184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Net income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 and amortization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Restructuring and 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Pension and postretirement expense</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Pension contributions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Stock-based compensation</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 on debt extinguishment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Working capital changes and 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Net cash (used for)/provided by operating activities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Capital expenditures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Net cash (used for)/provided investing activities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Net change in debt </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Dividends paid to shareholders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Common stock repurchased</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Dividends paid to noncontrolling interests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Other, net </w:t>
            </w:r>
            <w:r>
              <w:rPr>
                <w:rFonts w:ascii="Times New Roman;serif" w:hAnsi="Times New Roman;serif"/>
                <w:b w:val="false"/>
                <w:color w:val="000000"/>
                <w:sz w:val="13"/>
              </w:rPr>
              <w:t>(1)</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rPr>
              <w:t>Net cash used for financing activities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January 1</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Cash, cash equivalents and restricted cash at March 31 </w:t>
            </w:r>
            <w:r>
              <w:rPr>
                <w:rFonts w:ascii="Times New Roman;serif" w:hAnsi="Times New Roman;serif"/>
                <w:b/>
                <w:color w:val="000000"/>
                <w:sz w:val="13"/>
              </w:rPr>
              <w:t>(2)</w:t>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695</w:t>
            </w:r>
            <w:r>
              <w:rPr>
                <w:color w:val="000000"/>
              </w:rPr>
              <w:t>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879</w:t>
            </w:r>
            <w:r>
              <w:rPr>
                <w:color w:val="000000"/>
              </w:rPr>
              <w:t> </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pPr>
      <w:r>
        <w:rPr>
          <w:rFonts w:ascii="Times New Roman;serif" w:hAnsi="Times New Roman;serif"/>
          <w:b w:val="false"/>
          <w:color w:val="000000"/>
          <w:sz w:val="16"/>
        </w:rPr>
        <w:t>(1)</w:t>
      </w:r>
      <w:r>
        <w:rPr>
          <w:rFonts w:ascii="Times New Roman;serif" w:hAnsi="Times New Roman;serif"/>
          <w:b w:val="false"/>
          <w:color w:val="000000"/>
          <w:sz w:val="20"/>
        </w:rPr>
        <w:t>Primarily consists of payments for assets financed in 2025.</w:t>
      </w:r>
    </w:p>
    <w:p>
      <w:pPr>
        <w:pStyle w:val="TextBody"/>
        <w:bidi w:val="0"/>
        <w:spacing w:lineRule="auto" w:line="26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Cash and cash equivalents include $111 million and $100 million of restricted cash at March 31, 2026 and 2025.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free cash flow is defined by the Company as net cash from operating activities less capital expenditures and certain other items. A reconciliation of net cash used for operating activities to adjusted free cash flow for the three months ended March 31, 2026 and 2025 follows. </w:t>
      </w:r>
    </w:p>
    <w:tbl>
      <w:tblPr>
        <w:tblW w:w="6825" w:type="dxa"/>
        <w:jc w:val="left"/>
        <w:tblInd w:w="0" w:type="dxa"/>
        <w:tblLayout w:type="fixed"/>
        <w:tblCellMar>
          <w:top w:w="28" w:type="dxa"/>
          <w:left w:w="28" w:type="dxa"/>
          <w:bottom w:w="28" w:type="dxa"/>
          <w:right w:w="28" w:type="dxa"/>
        </w:tblCellMar>
      </w:tblPr>
      <w:tblGrid>
        <w:gridCol w:w="1600"/>
        <w:gridCol w:w="1408"/>
        <w:gridCol w:w="1417"/>
        <w:gridCol w:w="215"/>
        <w:gridCol w:w="551"/>
        <w:gridCol w:w="111"/>
        <w:gridCol w:w="111"/>
        <w:gridCol w:w="111"/>
        <w:gridCol w:w="111"/>
        <w:gridCol w:w="215"/>
        <w:gridCol w:w="383"/>
        <w:gridCol w:w="111"/>
        <w:gridCol w:w="109"/>
        <w:gridCol w:w="109"/>
        <w:gridCol w:w="109"/>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cash (used for)/provided by operating activities</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included in investing activities </w:t>
            </w:r>
            <w:r>
              <w:rPr>
                <w:rFonts w:ascii="Times New Roman;serif" w:hAnsi="Times New Roman;serif"/>
                <w:b w:val="false"/>
                <w:color w:val="000000"/>
                <w:sz w:val="13"/>
              </w:rPr>
              <w:t>(3)</w:t>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free cash flow</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Interest benefit of cross currency swaps included in investing activities.</w:t>
      </w:r>
    </w:p>
    <w:p>
      <w:pPr>
        <w:pStyle w:val="TextBody"/>
        <w:bidi w:val="0"/>
        <w:spacing w:before="120" w:after="12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8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8 of 9</w:t>
                      </w:r>
                    </w:p>
                  </w:txbxContent>
                </v:textbox>
                <w10:wrap type="none"/>
              </v:rect>
            </w:pict>
          </mc:Fallback>
        </mc:AlternateContent>
      </w:r>
    </w:p>
    <w:tbl>
      <w:tblPr>
        <w:tblW w:w="5738" w:type="dxa"/>
        <w:jc w:val="center"/>
        <w:tblInd w:w="0" w:type="dxa"/>
        <w:tblLayout w:type="fixed"/>
        <w:tblCellMar>
          <w:top w:w="28" w:type="dxa"/>
          <w:left w:w="28" w:type="dxa"/>
          <w:bottom w:w="28" w:type="dxa"/>
          <w:right w:w="28" w:type="dxa"/>
        </w:tblCellMar>
      </w:tblPr>
      <w:tblGrid>
        <w:gridCol w:w="929"/>
        <w:gridCol w:w="817"/>
        <w:gridCol w:w="819"/>
        <w:gridCol w:w="109"/>
        <w:gridCol w:w="109"/>
        <w:gridCol w:w="109"/>
        <w:gridCol w:w="833"/>
        <w:gridCol w:w="833"/>
        <w:gridCol w:w="1180"/>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u w:val="single"/>
              </w:rPr>
            </w:pPr>
            <w:r>
              <w:rPr>
                <w:rFonts w:ascii="Arial;sans-serif" w:hAnsi="Arial;sans-serif"/>
                <w:b/>
                <w:color w:val="000000"/>
                <w:sz w:val="28"/>
                <w:u w:val="single"/>
              </w:rPr>
              <w:t>News Release</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Headquarters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14025 Riveredge Drive, Suite 300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Tampa, FL 33637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724025" cy="6096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724025" cy="609600"/>
                          </a:xfrm>
                          <a:prstGeom prst="rect">
                            <a:avLst/>
                          </a:prstGeom>
                        </pic:spPr>
                      </pic:pic>
                    </a:graphicData>
                  </a:graphic>
                </wp:inline>
              </w:drawing>
            </w:r>
          </w:p>
        </w:tc>
      </w:tr>
    </w:tbl>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Consolidated Supplemental Data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u w:val="single"/>
        </w:rPr>
        <w:t>Impact of Foreign Currency Translation – Favorable/(Unfavorable)</w:t>
      </w:r>
      <w:r>
        <w:rPr>
          <w:color w:val="000000"/>
        </w:rPr>
        <w:t xml:space="preserve"> </w:t>
      </w:r>
      <w:r>
        <w:rPr>
          <w:rFonts w:ascii="Times New Roman;serif" w:hAnsi="Times New Roman;serif"/>
          <w:b/>
          <w:color w:val="000000"/>
          <w:sz w:val="13"/>
        </w:rPr>
        <w:t>(1)</w:t>
      </w:r>
    </w:p>
    <w:p>
      <w:pPr>
        <w:pStyle w:val="TextBody"/>
        <w:bidi w:val="0"/>
        <w:spacing w:before="0" w:after="0"/>
        <w:jc w:val="left"/>
        <w:rPr/>
      </w:pPr>
      <w:r>
        <w:rPr/>
      </w:r>
    </w:p>
    <w:tbl>
      <w:tblPr>
        <w:tblW w:w="5033" w:type="dxa"/>
        <w:jc w:val="left"/>
        <w:tblInd w:w="0" w:type="dxa"/>
        <w:tblLayout w:type="fixed"/>
        <w:tblCellMar>
          <w:top w:w="28" w:type="dxa"/>
          <w:left w:w="28" w:type="dxa"/>
          <w:bottom w:w="28" w:type="dxa"/>
          <w:right w:w="28" w:type="dxa"/>
        </w:tblCellMar>
      </w:tblPr>
      <w:tblGrid>
        <w:gridCol w:w="620"/>
        <w:gridCol w:w="544"/>
        <w:gridCol w:w="545"/>
        <w:gridCol w:w="263"/>
        <w:gridCol w:w="470"/>
        <w:gridCol w:w="136"/>
        <w:gridCol w:w="122"/>
        <w:gridCol w:w="122"/>
        <w:gridCol w:w="122"/>
        <w:gridCol w:w="534"/>
        <w:gridCol w:w="686"/>
        <w:gridCol w:w="279"/>
        <w:gridCol w:w="109"/>
        <w:gridCol w:w="109"/>
        <w:gridCol w:w="109"/>
        <w:gridCol w:w="109"/>
        <w:gridCol w:w="154"/>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Three Months Ended</w:t>
              <w:b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Net Sales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Segment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Americas Beverage</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European Beverage</w:t>
            </w:r>
          </w:p>
        </w:tc>
        <w:tc>
          <w:tcPr>
            <w:tcW w:w="73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73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Transit Packaging</w:t>
            </w:r>
          </w:p>
        </w:tc>
        <w:tc>
          <w:tcPr>
            <w:tcW w:w="73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3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74</w:t>
            </w:r>
            <w:r>
              <w:rPr>
                <w:color w:val="000000"/>
              </w:rPr>
              <w:t>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9</w:t>
            </w:r>
            <w:r>
              <w:rPr>
                <w:color w:val="000000"/>
              </w:rPr>
              <w:t>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dividing the current U.S. dollar results by current year average foreign exchange rates and then multiplying those amounts by the applicable prior year average foreign exchange rates.</w:t>
      </w:r>
    </w:p>
    <w:p>
      <w:pPr>
        <w:pStyle w:val="TextBody"/>
        <w:bidi w:val="0"/>
        <w:spacing w:before="0" w:after="0"/>
        <w:ind w:left="0" w:right="0" w:hanging="360"/>
        <w:jc w:val="both"/>
        <w:rPr/>
      </w:pPr>
      <w:r>
        <w:rPr/>
      </w:r>
    </w:p>
    <w:p>
      <w:pPr>
        <w:pStyle w:val="TextBody"/>
        <w:bidi w:val="0"/>
        <w:spacing w:before="0" w:after="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Reconciliation of Adjusted EBITDA and Adjusted Net Leverage Ratio</w:t>
      </w:r>
    </w:p>
    <w:tbl>
      <w:tblPr>
        <w:tblW w:w="9815" w:type="dxa"/>
        <w:jc w:val="left"/>
        <w:tblInd w:w="0" w:type="dxa"/>
        <w:tblLayout w:type="fixed"/>
        <w:tblCellMar>
          <w:top w:w="28" w:type="dxa"/>
          <w:left w:w="28" w:type="dxa"/>
          <w:bottom w:w="28" w:type="dxa"/>
          <w:right w:w="28" w:type="dxa"/>
        </w:tblCellMar>
      </w:tblPr>
      <w:tblGrid>
        <w:gridCol w:w="870"/>
        <w:gridCol w:w="764"/>
        <w:gridCol w:w="766"/>
        <w:gridCol w:w="217"/>
        <w:gridCol w:w="496"/>
        <w:gridCol w:w="112"/>
        <w:gridCol w:w="109"/>
        <w:gridCol w:w="109"/>
        <w:gridCol w:w="109"/>
        <w:gridCol w:w="217"/>
        <w:gridCol w:w="496"/>
        <w:gridCol w:w="112"/>
        <w:gridCol w:w="109"/>
        <w:gridCol w:w="109"/>
        <w:gridCol w:w="109"/>
        <w:gridCol w:w="306"/>
        <w:gridCol w:w="916"/>
        <w:gridCol w:w="158"/>
        <w:gridCol w:w="109"/>
        <w:gridCol w:w="109"/>
        <w:gridCol w:w="109"/>
        <w:gridCol w:w="721"/>
        <w:gridCol w:w="2157"/>
        <w:gridCol w:w="526"/>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Twelve Months Ended March 31, 2026</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1,553</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1,553</w:t>
            </w:r>
            <w:r>
              <w:rPr>
                <w:color w:val="000000"/>
              </w:rPr>
              <w:t> </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7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2,104</w:t>
            </w:r>
            <w:r>
              <w:rPr>
                <w:color w:val="000000"/>
              </w:rPr>
              <w:t> </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debt </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5,200</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5,673</w:t>
            </w:r>
            <w:r>
              <w:rPr>
                <w:color w:val="000000"/>
              </w:rPr>
              <w:t> </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leverage ratio</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2.7x</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9 of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9 of 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3689</Words>
  <Characters>20221</Characters>
  <CharactersWithSpaces>23731</CharactersWithSpaces>
  <Paragraphs>635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