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DONAHUE TIMOTHY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340" w:type="dxa"/>
            <w:vAlign w:val="bottom"/>
            <w:tcBorders>
              <w:bottom w:val="single" w:sz="8" w:color="2C2C2C"/>
            </w:tcBorders>
          </w:tcPr>
          <w:p>
            <w:pPr>
              <w:spacing w:after="0"/>
              <w:rPr>
                <w:sz w:val="16"/>
                <w:szCs w:val="16"/>
                <w:color w:val="auto"/>
              </w:rPr>
            </w:pPr>
          </w:p>
        </w:tc>
        <w:tc>
          <w:tcPr>
            <w:tcW w:w="128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02/26/2026</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0000FF"/>
              </w:rPr>
              <w:t>President &amp; CEO</w:t>
            </w: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02/26/2026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right="12"/>
              <w:spacing w:after="0"/>
              <w:rPr>
                <w:sz w:val="20"/>
                <w:szCs w:val="20"/>
                <w:color w:val="auto"/>
              </w:rPr>
            </w:pPr>
            <w:r>
              <w:rPr>
                <w:rFonts w:ascii="Times New Roman" w:cs="Times New Roman" w:eastAsia="Times New Roman" w:hAnsi="Times New Roman"/>
                <w:sz w:val="17"/>
                <w:szCs w:val="17"/>
                <w:color w:val="0000FF"/>
              </w:rPr>
              <w:t>6,367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481,103</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02/26/2026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15,033</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115.36</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466,070</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center"/>
              <w:ind w:right="397"/>
              <w:spacing w:after="0"/>
              <w:rPr>
                <w:sz w:val="20"/>
                <w:szCs w:val="20"/>
                <w:color w:val="auto"/>
              </w:rPr>
            </w:pPr>
            <w:r>
              <w:rPr>
                <w:rFonts w:ascii="Times New Roman" w:cs="Times New Roman" w:eastAsia="Times New Roman" w:hAnsi="Times New Roman"/>
                <w:sz w:val="17"/>
                <w:szCs w:val="17"/>
                <w:color w:val="0000FF"/>
              </w:rPr>
              <w:t>778</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additional performance-based shares of Restricted Common Stock that vested on February 26, 2026 whose grant was originally reported on a Form 4 filed with the Securities and Exchange Commission on January 6, 2023 (the "Original Form 4"). As reported on the Original Form 4, such performance-based shares were originally granted to the Reporting Person based on the Company's Return on Invested Capital achieved by the Company compared to the ROIC target with the final number of performance-based shares varying from 0 to 200% of 31,835. The Return on Invested Capital achieved by the Company compared to the ROIC target yielded a 120% payout. As a result, 6,367 additional performance-based restricted shares were issued.</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03/02/2026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1199"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2026-03-02T08:14:49Z</dcterms:created>
  <dcterms:modified xsi:type="dcterms:W3CDTF">2026-03-02T08:14:49Z</dcterms:modified>
</cp:coreProperties>
</file>