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Rost John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President - Asia Pacific Div</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2,910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77"/>
              <w:spacing w:after="0"/>
              <w:rPr>
                <w:sz w:val="20"/>
                <w:szCs w:val="20"/>
                <w:color w:val="auto"/>
              </w:rPr>
            </w:pPr>
            <w:r>
              <w:rPr>
                <w:rFonts w:ascii="Times New Roman" w:cs="Times New Roman" w:eastAsia="Times New Roman" w:hAnsi="Times New Roman"/>
                <w:sz w:val="17"/>
                <w:szCs w:val="17"/>
                <w:color w:val="0000FF"/>
              </w:rPr>
              <w:t>9,210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0000FF"/>
              </w:rPr>
              <w:t>264</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2,910 shares of Restricted Common Stock under the 2022 Stock-Based Compensation Plan. 1,107 time-vested restricted shares vest over a three year period as follows: 369 time-vested restricted shares on August 3, 2026, January 4, 2027 and January 3, 2028, respectively. 685 performance-based restricted shares are targeted to vest on January 3, 2028 based on the Company's Total Shareholder Return versus a defined peer group of companies, with the final number of performance-based vested shares varying from 0 to 200% of 685. 1,118 performance-based restricted shares are targeted to vest on January 3, 2028 based on the Return on Invested Capital achieved by the Company compared to the ROIC target, with the final number of performance-based vested shares varying from 0 to 1,118.</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18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2025-07-03T10:05:37Z</dcterms:created>
  <dcterms:modified xsi:type="dcterms:W3CDTF">2025-07-03T10:05:37Z</dcterms:modified>
</cp:coreProperties>
</file>