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1" w:lineRule="exact"/>
        <w:rPr>
          <w:sz w:val="24"/>
          <w:szCs w:val="24"/>
          <w:color w:val="auto"/>
        </w:rPr>
      </w:pPr>
    </w:p>
    <w:p>
      <w:pPr>
        <w:ind w:left="440" w:right="118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2025</w:t>
      </w:r>
    </w:p>
    <w:p>
      <w:pPr>
        <w:spacing w:after="0" w:line="233" w:lineRule="exact"/>
        <w:rPr>
          <w:sz w:val="24"/>
          <w:szCs w:val="24"/>
          <w:color w:val="auto"/>
        </w:rPr>
      </w:pPr>
    </w:p>
    <w:p>
      <w:pPr>
        <w:ind w:left="440" w:right="116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001-41550</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CROWN HOLDINGS,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640" w:type="dxa"/>
            <w:vAlign w:val="bottom"/>
          </w:tcPr>
          <w:p>
            <w:pPr>
              <w:jc w:val="center"/>
              <w:ind w:left="122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8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75-3099507</w:t>
            </w:r>
          </w:p>
        </w:tc>
      </w:tr>
      <w:tr>
        <w:trPr>
          <w:trHeight w:val="146"/>
        </w:trPr>
        <w:tc>
          <w:tcPr>
            <w:tcW w:w="39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80" w:type="dxa"/>
            <w:vAlign w:val="bottom"/>
          </w:tcPr>
          <w:p>
            <w:pPr>
              <w:jc w:val="center"/>
              <w:ind w:right="20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14025 Riveredge Drive, Suite 300</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Tampa</w:t>
            </w:r>
          </w:p>
        </w:tc>
        <w:tc>
          <w:tcPr>
            <w:tcW w:w="26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FL</w:t>
            </w:r>
          </w:p>
        </w:tc>
        <w:tc>
          <w:tcPr>
            <w:tcW w:w="168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33637</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7"/>
        </w:trPr>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0" w:type="dxa"/>
            <w:vAlign w:val="bottom"/>
          </w:tcPr>
          <w:p>
            <w:pPr>
              <w:jc w:val="right"/>
              <w:ind w:right="1156"/>
              <w:spacing w:after="0"/>
              <w:rPr>
                <w:sz w:val="20"/>
                <w:szCs w:val="20"/>
                <w:color w:val="auto"/>
              </w:rPr>
            </w:pPr>
            <w:r>
              <w:rPr>
                <w:rFonts w:ascii="Times New Roman" w:cs="Times New Roman" w:eastAsia="Times New Roman" w:hAnsi="Times New Roman"/>
                <w:sz w:val="18"/>
                <w:szCs w:val="18"/>
                <w:b w:val="1"/>
                <w:bCs w:val="1"/>
                <w:color w:val="auto"/>
              </w:rPr>
              <w:t>215-698-5100</w:t>
            </w:r>
          </w:p>
        </w:tc>
        <w:tc>
          <w:tcPr>
            <w:tcW w:w="1680" w:type="dxa"/>
            <w:vAlign w:val="bottom"/>
          </w:tcPr>
          <w:p>
            <w:pPr>
              <w:spacing w:after="0"/>
              <w:rPr>
                <w:sz w:val="24"/>
                <w:szCs w:val="24"/>
                <w:color w:val="auto"/>
              </w:rPr>
            </w:pPr>
          </w:p>
        </w:tc>
      </w:tr>
      <w:tr>
        <w:trPr>
          <w:trHeight w:val="164"/>
        </w:trPr>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4"/>
                <w:szCs w:val="14"/>
                <w:color w:val="auto"/>
              </w:rPr>
            </w:pPr>
          </w:p>
        </w:tc>
      </w:tr>
      <w:tr>
        <w:trPr>
          <w:trHeight w:val="188"/>
        </w:trPr>
        <w:tc>
          <w:tcPr>
            <w:tcW w:w="2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tcPr>
          <w:p>
            <w:pPr>
              <w:jc w:val="right"/>
              <w:ind w:right="956"/>
              <w:spacing w:after="0"/>
              <w:rPr>
                <w:sz w:val="20"/>
                <w:szCs w:val="20"/>
                <w:color w:val="auto"/>
              </w:rPr>
            </w:pPr>
            <w:r>
              <w:rPr>
                <w:rFonts w:ascii="Times New Roman" w:cs="Times New Roman" w:eastAsia="Times New Roman" w:hAnsi="Times New Roman"/>
                <w:sz w:val="14"/>
                <w:szCs w:val="14"/>
                <w:color w:val="auto"/>
              </w:rPr>
              <w:t>____________________</w:t>
            </w:r>
          </w:p>
        </w:tc>
        <w:tc>
          <w:tcPr>
            <w:tcW w:w="1680" w:type="dxa"/>
            <w:vAlign w:val="bottom"/>
          </w:tcPr>
          <w:p>
            <w:pPr>
              <w:spacing w:after="0"/>
              <w:rPr>
                <w:sz w:val="16"/>
                <w:szCs w:val="16"/>
                <w:color w:val="auto"/>
              </w:rPr>
            </w:pPr>
          </w:p>
        </w:tc>
      </w:tr>
      <w:tr>
        <w:trPr>
          <w:trHeight w:val="301"/>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680" w:type="dxa"/>
            <w:vAlign w:val="bottom"/>
          </w:tcPr>
          <w:p>
            <w:pPr>
              <w:spacing w:after="0"/>
              <w:rPr>
                <w:sz w:val="24"/>
                <w:szCs w:val="24"/>
                <w:color w:val="auto"/>
              </w:rPr>
            </w:pPr>
          </w:p>
        </w:tc>
      </w:tr>
      <w:tr>
        <w:trPr>
          <w:trHeight w:val="327"/>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Trading Symbols</w:t>
            </w:r>
          </w:p>
        </w:tc>
        <w:tc>
          <w:tcPr>
            <w:tcW w:w="34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680" w:type="dxa"/>
            <w:vAlign w:val="bottom"/>
            <w:tcBorders>
              <w:bottom w:val="single" w:sz="8" w:color="auto"/>
            </w:tcBorders>
          </w:tcPr>
          <w:p>
            <w:pPr>
              <w:spacing w:after="0"/>
              <w:rPr>
                <w:sz w:val="24"/>
                <w:szCs w:val="24"/>
                <w:color w:val="auto"/>
              </w:rPr>
            </w:pP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7"/>
                <w:szCs w:val="17"/>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CCK26</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8"/>
                <w:szCs w:val="18"/>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CCK96</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8"/>
                <w:szCs w:val="18"/>
                <w:color w:val="auto"/>
              </w:rPr>
            </w:pPr>
          </w:p>
        </w:tc>
      </w:tr>
    </w:tbl>
    <w:p>
      <w:pPr>
        <w:spacing w:after="0" w:line="10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116,392,214 shares of Common Stock outstanding as of May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20" w:type="dxa"/>
            <w:vAlign w:val="bottom"/>
            <w:gridSpan w:val="3"/>
          </w:tcPr>
          <w:p>
            <w:pPr>
              <w:ind w:left="3840"/>
              <w:spacing w:after="0"/>
              <w:rPr>
                <w:sz w:val="20"/>
                <w:szCs w:val="20"/>
                <w:color w:val="auto"/>
              </w:rPr>
            </w:pPr>
            <w:r>
              <w:rPr>
                <w:rFonts w:ascii="Times New Roman" w:cs="Times New Roman" w:eastAsia="Times New Roman" w:hAnsi="Times New Roman"/>
                <w:sz w:val="18"/>
                <w:szCs w:val="18"/>
                <w:color w:val="auto"/>
              </w:rPr>
              <w:t>TABLE OF CONTENTS</w:t>
            </w:r>
          </w:p>
        </w:tc>
        <w:tc>
          <w:tcPr>
            <w:tcW w:w="2140" w:type="dxa"/>
            <w:vAlign w:val="bottom"/>
          </w:tcPr>
          <w:p>
            <w:pPr>
              <w:spacing w:after="0"/>
              <w:rPr>
                <w:sz w:val="17"/>
                <w:szCs w:val="17"/>
                <w:color w:val="auto"/>
              </w:rPr>
            </w:pPr>
          </w:p>
        </w:tc>
      </w:tr>
      <w:tr>
        <w:trPr>
          <w:trHeight w:val="62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8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BALANCE SHEETS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Basis of Presentation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B.  Recent Accounting and Reporting Pronouncements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C.  Cash, Cash Equivalents, and Restricted Cash</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w:t>
            </w:r>
          </w:p>
        </w:tc>
        <w:tc>
          <w:tcPr>
            <w:tcW w:w="8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G.  Supplier Finance Program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8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Asbestos-Related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J.  Commitments and Contingent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K.  Derivative and Other Financial Instruments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M.  Pension and Other Postretirement Benefits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 Stock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O.  Accumulated Other Comprehensive Loss Attributable to Crown Holdings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Q.</w:t>
            </w:r>
          </w:p>
        </w:tc>
        <w:tc>
          <w:tcPr>
            <w:tcW w:w="8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Segment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992"/>
        </w:trPr>
        <w:tc>
          <w:tcPr>
            <w:tcW w:w="8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tbl>
      <w:tblPr>
        <w:tblLayout w:type="fixed"/>
        <w:tblInd w:w="1480" w:type="dxa"/>
        <w:tblCellMar>
          <w:top w:w="0" w:type="dxa"/>
          <w:left w:w="0" w:type="dxa"/>
          <w:bottom w:w="0" w:type="dxa"/>
          <w:right w:w="0" w:type="dxa"/>
        </w:tblCellMar>
      </w:tblPr>
      <w:tr>
        <w:trPr>
          <w:trHeight w:val="238"/>
        </w:trPr>
        <w:tc>
          <w:tcPr>
            <w:tcW w:w="60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8"/>
        </w:trPr>
        <w:tc>
          <w:tcPr>
            <w:tcW w:w="600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 and equity in net earnings of affiliates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Crown Holdings: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0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1.65</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tbl>
      <w:tblPr>
        <w:tblLayout w:type="fixed"/>
        <w:tblInd w:w="1480" w:type="dxa"/>
        <w:tblCellMar>
          <w:top w:w="0" w:type="dxa"/>
          <w:left w:w="0" w:type="dxa"/>
          <w:bottom w:w="0" w:type="dxa"/>
          <w:right w:w="0" w:type="dxa"/>
        </w:tblCellMar>
      </w:tblPr>
      <w:tr>
        <w:trPr>
          <w:trHeight w:val="238"/>
        </w:trPr>
        <w:tc>
          <w:tcPr>
            <w:tcW w:w="60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747"/>
        </w:trPr>
        <w:tc>
          <w:tcPr>
            <w:tcW w:w="7280" w:type="dxa"/>
            <w:vAlign w:val="bottom"/>
            <w:gridSpan w:val="4"/>
          </w:tcPr>
          <w:p>
            <w:pPr>
              <w:ind w:left="15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60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8"/>
        </w:trPr>
        <w:tc>
          <w:tcPr>
            <w:tcW w:w="60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8"/>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50"/>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comprehensive income / (loss)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 adjustments attributable to noncontrolling interests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747"/>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9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29"/>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13,848</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3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30"/>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10"/>
        </w:trPr>
        <w:tc>
          <w:tcPr>
            <w:tcW w:w="35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0000FF"/>
              </w:rPr>
              <w:t>Note J</w:t>
            </w:r>
            <w:r>
              <w:rPr>
                <w:rFonts w:ascii="Times New Roman" w:cs="Times New Roman" w:eastAsia="Times New Roman" w:hAnsi="Times New Roman"/>
                <w:sz w:val="18"/>
                <w:szCs w:val="18"/>
                <w:i w:val="1"/>
                <w:iCs w:val="1"/>
                <w:color w:val="auto"/>
              </w:rPr>
              <w:t>)</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29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5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3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5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13,848</w:t>
            </w:r>
          </w:p>
        </w:tc>
      </w:tr>
      <w:tr>
        <w:trPr>
          <w:trHeight w:val="20"/>
        </w:trPr>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45"/>
        </w:trPr>
        <w:tc>
          <w:tcPr>
            <w:tcW w:w="846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(Condensed)</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2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8"/>
        </w:trPr>
        <w:tc>
          <w:tcPr>
            <w:tcW w:w="8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Pension contributions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 (used for) operating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investment hedge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 (used for)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 (used for) financing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March 31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1"/>
        </w:trPr>
        <w:tc>
          <w:tcPr>
            <w:tcW w:w="37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887" w:right="11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March 31, 2025 and the results of its operations for the three months ended March 31, 2025 and 2024 and of its cash flows for the three months ended March 31, 2025 and 2024.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18"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2024.</w:t>
      </w:r>
    </w:p>
    <w:p>
      <w:pPr>
        <w:spacing w:after="0" w:line="202" w:lineRule="exact"/>
        <w:rPr>
          <w:rFonts w:ascii="Times New Roman" w:cs="Times New Roman" w:eastAsia="Times New Roman" w:hAnsi="Times New Roman"/>
          <w:sz w:val="18"/>
          <w:szCs w:val="18"/>
          <w:b w:val="1"/>
          <w:bCs w:val="1"/>
          <w:color w:val="auto"/>
        </w:rPr>
      </w:pPr>
    </w:p>
    <w:p>
      <w:pPr>
        <w:ind w:left="660" w:right="6640" w:hanging="652"/>
        <w:spacing w:after="0" w:line="534" w:lineRule="auto"/>
        <w:tabs>
          <w:tab w:leader="none" w:pos="64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Recent Accounting and Reporting Pronouncements </w:t>
      </w:r>
      <w:r>
        <w:rPr>
          <w:rFonts w:ascii="Times New Roman" w:cs="Times New Roman" w:eastAsia="Times New Roman" w:hAnsi="Times New Roman"/>
          <w:sz w:val="18"/>
          <w:szCs w:val="18"/>
          <w:u w:val="single" w:color="auto"/>
          <w:color w:val="auto"/>
        </w:rPr>
        <w:t>Recently Issued Accounting Standards</w:t>
      </w: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Financial Accounting Standards Board issued a final standard on improvements to income tax disclosures. The standard requires disclosure of specific categories within the effective tax rate reconciliation and details about significant reconciling items, subject to a quantitative threshold. The standard also requires information on income taxes paid disaggregated by federal, state and foreign based on a quantitative threshold. The standard is effective for fiscal years beginning after December 15, 2024. The standard is applied prospectively with an option for retrospective adoption. As the guidance impacts disclosure only, it will not have an impact on the Company's financial results. These changes in disclosure will initially be reflected in the annual financial statement footnotes for the year ended December 31, 2025.</w:t>
      </w:r>
    </w:p>
    <w:p>
      <w:pPr>
        <w:spacing w:after="0" w:line="214"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Financial Accounting Standards Board issued a final standard on disaggregation of income statement expenses. The standard requires disclosure of more detailed information about certain costs and expenses in the notes to the financial statements. The standard is effective for fiscal years beginning after December 15, 2026 and for interim periods beginning after December 15, 2027. Early adoption is permitted. The standard is applied prospectively with an option for retrospective adoption. The Company is currently evaluating the impact of adopting this standard on its disclosures.</w:t>
      </w:r>
    </w:p>
    <w:p>
      <w:pPr>
        <w:spacing w:after="0" w:line="206"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cash equivalents, and restricted cash included in the Company's Consolidated Balance Sheets and Statement of Cash Flows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7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880" w:type="dxa"/>
            <w:vAlign w:val="bottom"/>
            <w:gridSpan w:val="5"/>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24"/>
                <w:szCs w:val="24"/>
                <w:color w:val="auto"/>
              </w:rPr>
            </w:pP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264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1,020</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7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receivables</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receivables</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1,702</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36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60" w:type="dxa"/>
            <w:vAlign w:val="bottom"/>
            <w:vMerge w:val="continue"/>
          </w:tcPr>
          <w:p>
            <w:pPr>
              <w:spacing w:after="0"/>
              <w:rPr>
                <w:sz w:val="24"/>
                <w:szCs w:val="24"/>
                <w:color w:val="auto"/>
              </w:rPr>
            </w:pPr>
          </w:p>
        </w:tc>
        <w:tc>
          <w:tcPr>
            <w:tcW w:w="3640" w:type="dxa"/>
            <w:vAlign w:val="bottom"/>
            <w:gridSpan w:val="5"/>
            <w:vMerge w:val="continue"/>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4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Pr>
          <w:p>
            <w:pPr>
              <w:spacing w:after="0"/>
              <w:rPr>
                <w:sz w:val="24"/>
                <w:szCs w:val="24"/>
                <w:color w:val="auto"/>
              </w:rPr>
            </w:pPr>
          </w:p>
        </w:tc>
        <w:tc>
          <w:tcPr>
            <w:tcW w:w="23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7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4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7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carrying amounts and accumulated amortization of finite-lived intangible assets by major class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March 31, 2025</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2024</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78"/>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8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8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4"/>
        </w:trPr>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Gross</w:t>
            </w: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amortization</w:t>
            </w:r>
          </w:p>
        </w:tc>
        <w:tc>
          <w:tcPr>
            <w:tcW w:w="1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1"/>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for the three months ended March 31, 2025 and 2024 included amortization expense of $35 and $40.</w:t>
      </w:r>
    </w:p>
    <w:p>
      <w:pPr>
        <w:spacing w:after="0" w:line="24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Supplier Finance Program Obligations</w:t>
      </w:r>
    </w:p>
    <w:p>
      <w:pPr>
        <w:spacing w:after="0" w:line="25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$758 and $927 confirmed obligations outstanding under these supplier finance programs as of March 31, 2025 and December 31, 2024 included in Accounts Payable.</w:t>
      </w:r>
    </w:p>
    <w:p>
      <w:pPr>
        <w:spacing w:after="0" w:line="212"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21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9"/>
                <w:szCs w:val="19"/>
                <w:color w:val="auto"/>
              </w:rPr>
            </w:pPr>
          </w:p>
        </w:tc>
      </w:tr>
      <w:tr>
        <w:trPr>
          <w:trHeight w:val="234"/>
        </w:trPr>
        <w:tc>
          <w:tcPr>
            <w:tcW w:w="46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March 31,</w:t>
            </w:r>
          </w:p>
        </w:tc>
        <w:tc>
          <w:tcPr>
            <w:tcW w:w="320" w:type="dxa"/>
            <w:vAlign w:val="bottom"/>
            <w:tcBorders>
              <w:bottom w:val="single" w:sz="8" w:color="auto"/>
            </w:tcBorders>
          </w:tcPr>
          <w:p>
            <w:pPr>
              <w:spacing w:after="0"/>
              <w:rPr>
                <w:sz w:val="20"/>
                <w:szCs w:val="20"/>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sales and impairments, net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gain on asset sales and impairments primarily relates to the sale of a building in the Transit Packaging segment.</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restructuring primarily included headcount reductions in the Company's European Beverage segment and Other.</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made payments of $4 and had a restructuring accrual of $17, primarily related to previously announced restructuring actions. The Company expects to pay these amounts over the next twelve months. The Company continues to review its costs structure and may record additional restructuring charges in the future.</w:t>
      </w:r>
    </w:p>
    <w:p>
      <w:pPr>
        <w:spacing w:after="0" w:line="199"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0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14"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7"/>
          <w:szCs w:val="17"/>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9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0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paid $2 to settle asbestos claims and pay related legal and defense costs and had approximate claims activity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59,300</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or dismissals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59,500</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of each year, the Company performs an analysis of outstanding claims and categorizes these claims by year of exposure and state filed. As of December 31, 2024, the Company's outstanding claims were: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29"/>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Texas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29"/>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Pennsylvania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8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percentage of outstanding claims related to claimants alleging serious diseases (primarily mesothelioma and other malignancies)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Pre-1965 claims in states without asbestos legislation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March 31, 2025.</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accrual for pending and future asbestos-related claims and related legal costs was $183, including $129 for unasserted claims. The Company determines its accrual without limitation to a specific time period.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actual loss could be in excess of the Company’s accrual. However, the Company is unable to estimate the reasonably possible loss in excess of its accrual due to uncertainty in the following assumptions</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that underlie the Company’s accrual and the possibility of losses in excess of such accrual: the amount of damages sought by the claimant (which was not specified for approximately 82% of the claims outstanding at the end of 2024),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1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1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0"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and the Company sought annulment of the Commission’s fining decision on the basis that the referral of the case from the FCO to the Commission was unjustified. In October 2024, the General Court of the EU issued a judgment dismissing the Company’s appeal. In December 2024, the Company appealed the General Court’s judgment to the European Court of Justice. There can be no assurance regarding the outcome of such appeal.</w:t>
      </w:r>
    </w:p>
    <w:p>
      <w:pPr>
        <w:spacing w:after="0" w:line="22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1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October 7, 2021, the French Autorité de la concurrence (the French Competition Authority or “FCA”) issued a statement of objections to 14 trade associations, one public entity and 101 legal entities from 28 corporate groups,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has appealed the decision of the FCA, however there can be no assurance regarding the outcome of such appeal.</w:t>
      </w:r>
    </w:p>
    <w:p>
      <w:pPr>
        <w:spacing w:after="0" w:line="21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June 2024, the Brazilian Federal Tax Authorities issued an assessment against the Company's Brazilian subsidiary in relation to the use of PIS and COFINS indirect tax credits arising from a favorable judicial decision received by the Company in 2019. The assessment disallowed credits of $42 taken by the Company for the years 2004 through 2015 when the PIS and COFINS indirect taxes were calculated by fixed rates and assessed interest and penalties. During the fourth quarter of 2024, the Company received an unfavorable ruling to a challenge at the administrative level. The Company does not believe that a loss for this assessment is probable and plans to challenge the assessment at the judicial level. There can be no assurances that the Company will be successful in contesting the assessment.</w:t>
      </w:r>
    </w:p>
    <w:p>
      <w:pPr>
        <w:spacing w:after="0" w:line="21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21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March 31, 2025,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199"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and Other Financial Instruments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5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10"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0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Fair value disclosures for financial assets and liabilities that were accounted for at fair value on a recurring basis are provided later in this note. In addition, see </w:t>
      </w:r>
      <w:r>
        <w:rPr>
          <w:rFonts w:ascii="Times New Roman" w:cs="Times New Roman" w:eastAsia="Times New Roman" w:hAnsi="Times New Roman"/>
          <w:sz w:val="18"/>
          <w:szCs w:val="18"/>
          <w:u w:val="single" w:color="auto"/>
          <w:color w:val="0000FF"/>
        </w:rPr>
        <w:t>Note L</w:t>
      </w:r>
      <w:r>
        <w:rPr>
          <w:rFonts w:ascii="Times New Roman" w:cs="Times New Roman" w:eastAsia="Times New Roman" w:hAnsi="Times New Roman"/>
          <w:sz w:val="18"/>
          <w:szCs w:val="18"/>
          <w:color w:val="auto"/>
        </w:rPr>
        <w:t xml:space="preserve"> for fair value disclosures related to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March 31, 2025 mature between one and thirty-three months.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commodity forward contracts to hedge anticipated purchases of various commodities, primarily aluminum as well as natural gas and electricity, and these exposures are hedged by a central treasury unit.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also use interest rate swaps to convert interest on floating rate debt to a fixed-rate.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Crown Holdings, Inc.</w:t>
            </w:r>
          </w:p>
        </w:tc>
      </w:tr>
      <w:tr>
        <w:trPr>
          <w:trHeight w:val="756"/>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Amount of gain/(loss)</w:t>
            </w:r>
          </w:p>
        </w:tc>
        <w:tc>
          <w:tcPr>
            <w:tcW w:w="3200" w:type="dxa"/>
            <w:vAlign w:val="bottom"/>
          </w:tcPr>
          <w:p>
            <w:pPr>
              <w:spacing w:after="0"/>
              <w:rPr>
                <w:sz w:val="24"/>
                <w:szCs w:val="24"/>
                <w:color w:val="auto"/>
              </w:rPr>
            </w:pPr>
          </w:p>
        </w:tc>
      </w:tr>
      <w:tr>
        <w:trPr>
          <w:trHeight w:val="239"/>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recognized in OCI</w:t>
            </w:r>
          </w:p>
        </w:tc>
        <w:tc>
          <w:tcPr>
            <w:tcW w:w="3200" w:type="dxa"/>
            <w:vAlign w:val="bottom"/>
          </w:tcPr>
          <w:p>
            <w:pPr>
              <w:spacing w:after="0"/>
              <w:rPr>
                <w:sz w:val="20"/>
                <w:szCs w:val="20"/>
                <w:color w:val="auto"/>
              </w:rPr>
            </w:pPr>
          </w:p>
        </w:tc>
      </w:tr>
      <w:tr>
        <w:trPr>
          <w:trHeight w:val="173"/>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top w:val="single" w:sz="8" w:color="auto"/>
            </w:tcBorders>
            <w:gridSpan w:val="5"/>
          </w:tcPr>
          <w:p>
            <w:pPr>
              <w:jc w:val="center"/>
              <w:spacing w:after="0" w:line="173" w:lineRule="exact"/>
              <w:rPr>
                <w:sz w:val="20"/>
                <w:szCs w:val="20"/>
                <w:color w:val="auto"/>
              </w:rPr>
            </w:pPr>
            <w:r>
              <w:rPr>
                <w:rFonts w:ascii="Times New Roman" w:cs="Times New Roman" w:eastAsia="Times New Roman" w:hAnsi="Times New Roman"/>
                <w:sz w:val="18"/>
                <w:szCs w:val="18"/>
                <w:color w:val="auto"/>
              </w:rPr>
              <w:t>Three Months Ended March</w:t>
            </w:r>
          </w:p>
        </w:tc>
        <w:tc>
          <w:tcPr>
            <w:tcW w:w="1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237"/>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29"/>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200" w:type="dxa"/>
            <w:vAlign w:val="bottom"/>
          </w:tcPr>
          <w:p>
            <w:pPr>
              <w:spacing w:after="0"/>
              <w:rPr>
                <w:sz w:val="19"/>
                <w:szCs w:val="19"/>
                <w:color w:val="auto"/>
              </w:rPr>
            </w:pPr>
          </w:p>
        </w:tc>
      </w:tr>
      <w:tr>
        <w:trPr>
          <w:trHeight w:val="229"/>
        </w:trPr>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200" w:type="dxa"/>
            <w:vAlign w:val="bottom"/>
          </w:tcPr>
          <w:p>
            <w:pPr>
              <w:spacing w:after="0"/>
              <w:rPr>
                <w:sz w:val="19"/>
                <w:szCs w:val="19"/>
                <w:color w:val="auto"/>
              </w:rPr>
            </w:pPr>
          </w:p>
        </w:tc>
      </w:tr>
      <w:tr>
        <w:trPr>
          <w:trHeight w:val="248"/>
        </w:trPr>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0" w:type="dxa"/>
            <w:vAlign w:val="bottom"/>
          </w:tcPr>
          <w:p>
            <w:pPr>
              <w:spacing w:after="0"/>
              <w:rPr>
                <w:sz w:val="21"/>
                <w:szCs w:val="2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84"/>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Amount of gain/(loss)</w:t>
            </w:r>
          </w:p>
        </w:tc>
        <w:tc>
          <w:tcPr>
            <w:tcW w:w="3200" w:type="dxa"/>
            <w:vAlign w:val="bottom"/>
          </w:tcPr>
          <w:p>
            <w:pPr>
              <w:spacing w:after="0"/>
              <w:rPr>
                <w:sz w:val="24"/>
                <w:szCs w:val="24"/>
                <w:color w:val="auto"/>
              </w:rPr>
            </w:pPr>
          </w:p>
        </w:tc>
      </w:tr>
      <w:tr>
        <w:trPr>
          <w:trHeight w:val="184"/>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6"/>
          </w:tcPr>
          <w:p>
            <w:pPr>
              <w:jc w:val="center"/>
              <w:ind w:right="140"/>
              <w:spacing w:after="0" w:line="184" w:lineRule="exact"/>
              <w:rPr>
                <w:sz w:val="20"/>
                <w:szCs w:val="20"/>
                <w:color w:val="auto"/>
              </w:rPr>
            </w:pPr>
            <w:r>
              <w:rPr>
                <w:rFonts w:ascii="Times New Roman" w:cs="Times New Roman" w:eastAsia="Times New Roman" w:hAnsi="Times New Roman"/>
                <w:sz w:val="18"/>
                <w:szCs w:val="18"/>
                <w:color w:val="auto"/>
                <w:w w:val="99"/>
              </w:rPr>
              <w:t>reclassified from AOCI into</w:t>
            </w:r>
          </w:p>
        </w:tc>
        <w:tc>
          <w:tcPr>
            <w:tcW w:w="3200" w:type="dxa"/>
            <w:vAlign w:val="bottom"/>
          </w:tcPr>
          <w:p>
            <w:pPr>
              <w:spacing w:after="0"/>
              <w:rPr>
                <w:sz w:val="16"/>
                <w:szCs w:val="16"/>
                <w:color w:val="auto"/>
              </w:rPr>
            </w:pPr>
          </w:p>
        </w:tc>
      </w:tr>
      <w:tr>
        <w:trPr>
          <w:trHeight w:val="234"/>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income</w:t>
            </w:r>
          </w:p>
        </w:tc>
        <w:tc>
          <w:tcPr>
            <w:tcW w:w="3200" w:type="dxa"/>
            <w:vAlign w:val="bottom"/>
          </w:tcPr>
          <w:p>
            <w:pPr>
              <w:spacing w:after="0"/>
              <w:rPr>
                <w:sz w:val="20"/>
                <w:szCs w:val="20"/>
                <w:color w:val="auto"/>
              </w:rPr>
            </w:pPr>
          </w:p>
        </w:tc>
      </w:tr>
      <w:tr>
        <w:trPr>
          <w:trHeight w:val="169"/>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Borders>
              <w:top w:val="single" w:sz="8" w:color="auto"/>
            </w:tcBorders>
            <w:gridSpan w:val="5"/>
          </w:tcPr>
          <w:p>
            <w:pPr>
              <w:jc w:val="center"/>
              <w:spacing w:after="0" w:line="169" w:lineRule="exact"/>
              <w:rPr>
                <w:sz w:val="20"/>
                <w:szCs w:val="20"/>
                <w:color w:val="auto"/>
              </w:rPr>
            </w:pPr>
            <w:r>
              <w:rPr>
                <w:rFonts w:ascii="Times New Roman" w:cs="Times New Roman" w:eastAsia="Times New Roman" w:hAnsi="Times New Roman"/>
                <w:sz w:val="18"/>
                <w:szCs w:val="18"/>
                <w:color w:val="auto"/>
              </w:rPr>
              <w:t>Three Months Ended March</w:t>
            </w: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237"/>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Affected line items in the Statement of</w:t>
            </w:r>
          </w:p>
        </w:tc>
      </w:tr>
      <w:tr>
        <w:trPr>
          <w:trHeight w:val="24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2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32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Operations</w:t>
            </w: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176"/>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w:t>
            </w:r>
          </w:p>
        </w:tc>
      </w:tr>
      <w:tr>
        <w:trPr>
          <w:trHeight w:val="24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r>
      <w:tr>
        <w:trPr>
          <w:trHeight w:val="229"/>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r>
      <w:tr>
        <w:trPr>
          <w:trHeight w:val="156"/>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taxes and equity in net</w:t>
            </w:r>
          </w:p>
        </w:tc>
      </w:tr>
      <w:tr>
        <w:trPr>
          <w:trHeight w:val="243"/>
        </w:trPr>
        <w:tc>
          <w:tcPr>
            <w:tcW w:w="2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of affiliates</w:t>
            </w:r>
          </w:p>
        </w:tc>
      </w:tr>
      <w:tr>
        <w:trPr>
          <w:trHeight w:val="230"/>
        </w:trPr>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3"/>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r>
      <w:tr>
        <w:trPr>
          <w:trHeight w:val="21"/>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twelve-month period ending March 31, 2026, a net gain of $2 ($2, net of tax) is expected to be reclassified to earnings for commodity and foreign exchange contracts. No material amounts were reclassified during the three months ended March 31, 2025 and 2024 in connection with anticipated transactions that were considered probable of not occurring.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and Contracts Not Designated as Hedges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fair value hedges of recognized foreign-denominated assets and liabilities.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the Company recorded a gain of $4 from foreign exchange contracts designated as fair value hedges.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adjustments were reported within foreign exchange in the Consolidated Statements of Operations.</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derivative financial instruments, including foreign exchange contracts related to intercompany debt, trade accounts receivable and payable and unrecognized firm commitments were not designated or did not qualify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5" w:name="page16"/>
    <w:bookmarkEnd w:id="15"/>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impact on earnings from derivatives not designated as hedges.</w:t>
      </w:r>
    </w:p>
    <w:p>
      <w:pPr>
        <w:spacing w:after="0" w:line="3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Pre-tax amounts of gain/(loss)</w:t>
      </w:r>
    </w:p>
    <w:p>
      <w:pPr>
        <w:ind w:left="3560"/>
        <w:spacing w:after="0"/>
        <w:rPr>
          <w:sz w:val="20"/>
          <w:szCs w:val="20"/>
          <w:color w:val="auto"/>
        </w:rPr>
      </w:pPr>
      <w:r>
        <w:rPr>
          <w:rFonts w:ascii="Times New Roman" w:cs="Times New Roman" w:eastAsia="Times New Roman" w:hAnsi="Times New Roman"/>
          <w:sz w:val="18"/>
          <w:szCs w:val="18"/>
          <w:color w:val="auto"/>
        </w:rPr>
        <w:t>recognized 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13335</wp:posOffset>
            </wp:positionV>
            <wp:extent cx="1423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320"/>
        <w:spacing w:after="0"/>
        <w:rPr>
          <w:sz w:val="20"/>
          <w:szCs w:val="20"/>
          <w:color w:val="auto"/>
        </w:rPr>
      </w:pPr>
      <w:r>
        <w:rPr>
          <w:rFonts w:ascii="Times New Roman" w:cs="Times New Roman" w:eastAsia="Times New Roman" w:hAnsi="Times New Roman"/>
          <w:sz w:val="18"/>
          <w:szCs w:val="18"/>
          <w:color w:val="auto"/>
        </w:rPr>
        <w:t>Three Months Ended March</w:t>
      </w:r>
    </w:p>
    <w:p>
      <w:pPr>
        <w:ind w:left="4220"/>
        <w:spacing w:after="0"/>
        <w:rPr>
          <w:sz w:val="20"/>
          <w:szCs w:val="20"/>
          <w:color w:val="auto"/>
        </w:rPr>
      </w:pPr>
      <w:r>
        <w:rPr>
          <w:rFonts w:ascii="Times New Roman" w:cs="Times New Roman" w:eastAsia="Times New Roman" w:hAnsi="Times New Roman"/>
          <w:sz w:val="18"/>
          <w:szCs w:val="18"/>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Affected line item in the Statement of Operations</w:t>
            </w:r>
          </w:p>
        </w:tc>
      </w:tr>
      <w:tr>
        <w:trPr>
          <w:trHeight w:val="223"/>
        </w:trPr>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r>
      <w:tr>
        <w:trPr>
          <w:trHeight w:val="223"/>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a loss of $43 ($33, net of tax) and a gain of $41 ($34, net of tax) in other comprehensive income for certain debt instruments that are designated as hedges of its net investment in a euro-based subsidiary. As of March 31, 2025 and December 31, 2024, cumulative gains of $90 ($98, net of tax) and $133 ($131, net of tax) were recognized in accumulated other comprehensive income related to these net investment hedges and the carrying amount of the hedging instrument was approximately €1,007 ($1,090) at March 31, 2025.</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cross-currency swaps with an aggregate notional values of $875 designated as hedges of the Company's net investment in a euro-based subsidiary. These swaps mature in 2026 and reduced interest expense by $7 and $6 for the three months ended March 31, 2025 and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accumulated other comprehensive income from changes in the fair value of derivative instruments designated as net investment hedges.</w:t>
      </w:r>
    </w:p>
    <w:p>
      <w:pPr>
        <w:spacing w:after="0" w:line="218"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Amount of gain / (loss) recognized in</w:t>
      </w:r>
    </w:p>
    <w:p>
      <w:pPr>
        <w:jc w:val="center"/>
        <w:ind w:left="1980"/>
        <w:spacing w:after="0"/>
        <w:rPr>
          <w:sz w:val="20"/>
          <w:szCs w:val="20"/>
          <w:color w:val="auto"/>
        </w:rPr>
      </w:pPr>
      <w:r>
        <w:rPr>
          <w:rFonts w:ascii="Times New Roman" w:cs="Times New Roman" w:eastAsia="Times New Roman" w:hAnsi="Times New Roman"/>
          <w:sz w:val="18"/>
          <w:szCs w:val="18"/>
          <w:color w:val="auto"/>
        </w:rPr>
        <w:t>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13335</wp:posOffset>
            </wp:positionV>
            <wp:extent cx="18002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ind w:left="5180"/>
        <w:spacing w:after="0"/>
        <w:rPr>
          <w:sz w:val="20"/>
          <w:szCs w:val="20"/>
          <w:color w:val="auto"/>
        </w:rPr>
      </w:pPr>
      <w:r>
        <w:rPr>
          <w:rFonts w:ascii="Times New Roman" w:cs="Times New Roman" w:eastAsia="Times New Roman" w:hAnsi="Times New Roman"/>
          <w:sz w:val="18"/>
          <w:szCs w:val="18"/>
          <w:color w:val="auto"/>
        </w:rPr>
        <w:t>Three Months Ended</w:t>
      </w:r>
    </w:p>
    <w:p>
      <w:pPr>
        <w:ind w:left="560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on net investment hedges remain in accumulated other comprehensive income until disposal of the underlying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were accounted for at fair value on a recurring basis as of March 31, 2025 and December 31, 2024, respectively. The fair values of these financial instruments were reported under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6" w:name="page17"/>
    <w:bookmarkEnd w:id="16"/>
    <w:tbl>
      <w:tblPr>
        <w:tblLayout w:type="fixed"/>
        <w:tblInd w:w="66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756"/>
        </w:trPr>
        <w:tc>
          <w:tcPr>
            <w:tcW w:w="1740" w:type="dxa"/>
            <w:vAlign w:val="bottom"/>
          </w:tcPr>
          <w:p>
            <w:pPr>
              <w:spacing w:after="0"/>
              <w:rPr>
                <w:sz w:val="24"/>
                <w:szCs w:val="24"/>
                <w:color w:val="auto"/>
              </w:rPr>
            </w:pPr>
          </w:p>
        </w:tc>
        <w:tc>
          <w:tcPr>
            <w:tcW w:w="1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1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December</w:t>
            </w:r>
          </w:p>
        </w:tc>
        <w:tc>
          <w:tcPr>
            <w:tcW w:w="100" w:type="dxa"/>
            <w:vAlign w:val="bottom"/>
          </w:tcPr>
          <w:p>
            <w:pPr>
              <w:spacing w:after="0"/>
              <w:rPr>
                <w:sz w:val="24"/>
                <w:szCs w:val="24"/>
                <w:color w:val="auto"/>
              </w:rPr>
            </w:pPr>
          </w:p>
        </w:tc>
        <w:tc>
          <w:tcPr>
            <w:tcW w:w="1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9"/>
        </w:trPr>
        <w:tc>
          <w:tcPr>
            <w:tcW w:w="1740" w:type="dxa"/>
            <w:vAlign w:val="bottom"/>
          </w:tcPr>
          <w:p>
            <w:pPr>
              <w:spacing w:after="0"/>
              <w:rPr>
                <w:sz w:val="20"/>
                <w:szCs w:val="20"/>
                <w:color w:val="auto"/>
              </w:rPr>
            </w:pPr>
          </w:p>
        </w:tc>
        <w:tc>
          <w:tcPr>
            <w:tcW w:w="1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tcPr>
          <w:p>
            <w:pPr>
              <w:spacing w:after="0"/>
              <w:rPr>
                <w:sz w:val="20"/>
                <w:szCs w:val="20"/>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classification</w:t>
            </w:r>
          </w:p>
        </w:tc>
        <w:tc>
          <w:tcPr>
            <w:tcW w:w="14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31, 2024</w:t>
            </w:r>
          </w:p>
        </w:tc>
      </w:tr>
      <w:tr>
        <w:trPr>
          <w:trHeight w:val="214"/>
        </w:trPr>
        <w:tc>
          <w:tcPr>
            <w:tcW w:w="17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w:t>
            </w:r>
          </w:p>
        </w:tc>
        <w:tc>
          <w:tcPr>
            <w:tcW w:w="18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169"/>
        </w:trPr>
        <w:tc>
          <w:tcPr>
            <w:tcW w:w="17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exchange</w:t>
            </w:r>
          </w:p>
        </w:tc>
        <w:tc>
          <w:tcPr>
            <w:tcW w:w="1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cash flow</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1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Commodities</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cash flow</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6"/>
        </w:trPr>
        <w:tc>
          <w:tcPr>
            <w:tcW w:w="1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investment hedge</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174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74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56"/>
        </w:trPr>
        <w:tc>
          <w:tcPr>
            <w:tcW w:w="366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9"/>
        </w:trPr>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18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r>
      <w:tr>
        <w:trPr>
          <w:trHeight w:val="173"/>
        </w:trPr>
        <w:tc>
          <w:tcPr>
            <w:tcW w:w="17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Foreign exchange</w:t>
            </w:r>
          </w:p>
        </w:tc>
        <w:tc>
          <w:tcPr>
            <w:tcW w:w="18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Prepaid expenses and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174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17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r>
      <w:tr>
        <w:trPr>
          <w:trHeight w:val="22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Offsetting of Derivative Assets and Liabilities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Gross amounts recognized in the</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Gross amounts not offset in the</w:t>
            </w:r>
          </w:p>
        </w:tc>
        <w:tc>
          <w:tcPr>
            <w:tcW w:w="1480" w:type="dxa"/>
            <w:vAlign w:val="bottom"/>
          </w:tcPr>
          <w:p>
            <w:pPr>
              <w:spacing w:after="0"/>
              <w:rPr>
                <w:sz w:val="18"/>
                <w:szCs w:val="18"/>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Balance Sheet</w:t>
            </w:r>
          </w:p>
        </w:tc>
        <w:tc>
          <w:tcPr>
            <w:tcW w:w="25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Balance Sheet</w:t>
            </w:r>
          </w:p>
        </w:tc>
        <w:tc>
          <w:tcPr>
            <w:tcW w:w="1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amount</w:t>
            </w: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Balance at March 31, 2025</w:t>
            </w:r>
          </w:p>
        </w:tc>
        <w:tc>
          <w:tcPr>
            <w:tcW w:w="2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$65</w:t>
            </w:r>
          </w:p>
        </w:tc>
        <w:tc>
          <w:tcPr>
            <w:tcW w:w="25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$5</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25</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5</w:t>
            </w: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w:t>
            </w:r>
          </w:p>
        </w:tc>
      </w:tr>
      <w:tr>
        <w:trPr>
          <w:trHeight w:val="162"/>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2024</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9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$102</w:t>
            </w:r>
          </w:p>
        </w:tc>
        <w:tc>
          <w:tcPr>
            <w:tcW w:w="25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$3</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14</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3</w:t>
            </w: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11</w:t>
            </w: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Notional Values of Outstanding Derivative Instruments</w:t>
      </w:r>
    </w:p>
    <w:p>
      <w:pPr>
        <w:spacing w:after="0" w:line="252"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aggregate U.S. dollar-equivalent notional values of outstanding derivative instruments in the Consolidated Balance Sheets at March 31, 2025 and December 31, 2024 were: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Pr>
          <w:p>
            <w:pPr>
              <w:spacing w:after="0"/>
              <w:rPr>
                <w:sz w:val="20"/>
                <w:szCs w:val="20"/>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Commodities</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760" w:type="dxa"/>
            <w:vAlign w:val="bottom"/>
          </w:tcPr>
          <w:p>
            <w:pPr>
              <w:spacing w:after="0"/>
              <w:rPr>
                <w:sz w:val="19"/>
                <w:szCs w:val="19"/>
                <w:color w:val="auto"/>
              </w:rPr>
            </w:pPr>
          </w:p>
        </w:tc>
      </w:tr>
      <w:tr>
        <w:trPr>
          <w:trHeight w:val="864"/>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97"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Pr>
          <w:p>
            <w:pPr>
              <w:spacing w:after="0"/>
              <w:rPr>
                <w:sz w:val="20"/>
                <w:szCs w:val="20"/>
                <w:color w:val="auto"/>
              </w:rPr>
            </w:pPr>
          </w:p>
        </w:tc>
        <w:tc>
          <w:tcPr>
            <w:tcW w:w="22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Principal</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0"/>
                <w:szCs w:val="20"/>
                <w:color w:val="auto"/>
              </w:rPr>
            </w:pP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amount</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amount</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4580" w:type="dxa"/>
            <w:vAlign w:val="bottom"/>
            <w:tcBorders>
              <w:top w:val="single" w:sz="8" w:color="CCEEFF"/>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202</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202</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66</w:t>
            </w:r>
          </w:p>
        </w:tc>
      </w:tr>
      <w:tr>
        <w:trPr>
          <w:trHeight w:val="216"/>
        </w:trPr>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4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Term loan facilities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U.S. dollar due 2027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640"/>
              <w:spacing w:after="0" w:line="230" w:lineRule="exact"/>
              <w:rPr>
                <w:sz w:val="20"/>
                <w:szCs w:val="20"/>
                <w:color w:val="auto"/>
              </w:rPr>
            </w:pPr>
            <w:r>
              <w:rPr>
                <w:rFonts w:ascii="Times New Roman" w:cs="Times New Roman" w:eastAsia="Times New Roman" w:hAnsi="Times New Roman"/>
                <w:sz w:val="18"/>
                <w:szCs w:val="18"/>
                <w:color w:val="auto"/>
              </w:rPr>
              <w:t>Euro due 2027</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4.25%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dollar at 4.75%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7.375%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€500 at 2.875%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€500 at 5.00% due 2028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€500 at 4.75% due 2029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€600 at 4.50% due 2030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dollar at 5.25% due 2030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7.50% due 2096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indebtedness in various currencies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20" w:type="dxa"/>
            <w:vAlign w:val="bottom"/>
          </w:tcPr>
          <w:p>
            <w:pPr>
              <w:spacing w:after="0"/>
              <w:rPr>
                <w:sz w:val="19"/>
                <w:szCs w:val="19"/>
                <w:color w:val="auto"/>
              </w:rPr>
            </w:pPr>
          </w:p>
        </w:tc>
        <w:tc>
          <w:tcPr>
            <w:tcW w:w="45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20" w:type="dxa"/>
            <w:vAlign w:val="bottom"/>
          </w:tcPr>
          <w:p>
            <w:pPr>
              <w:spacing w:after="0"/>
              <w:rPr>
                <w:sz w:val="19"/>
                <w:szCs w:val="19"/>
                <w:color w:val="auto"/>
              </w:rPr>
            </w:pPr>
          </w:p>
        </w:tc>
        <w:tc>
          <w:tcPr>
            <w:tcW w:w="45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Total long-term debt, less current maturities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€516 and €520 at March 31, 2025 and December 31, 2024</w:t>
      </w:r>
    </w:p>
    <w:p>
      <w:pPr>
        <w:spacing w:after="0" w:line="27"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18"/>
          <w:szCs w:val="18"/>
          <w:color w:val="auto"/>
        </w:rPr>
        <w:t>The estimated fair value of the Company’s debt, using a market approach incorporating Level 2 inputs such as quoted market prices for the same or similar issues, was $6,410 at March 31, 2025 and $6,255 at December 31, 2024.</w:t>
      </w:r>
    </w:p>
    <w:p>
      <w:pPr>
        <w:spacing w:after="0" w:line="2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U.S. dollar term loan interest rate was SOFR plus 1.10% and the Euro term loan interest rate was EURIBOR plus 1.00% at March 31, 2025 and at December 31, 2024.</w:t>
      </w:r>
    </w:p>
    <w:p>
      <w:pPr>
        <w:spacing w:after="0" w:line="185"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Benefits</w:t>
      </w:r>
    </w:p>
    <w:p>
      <w:pPr>
        <w:spacing w:after="0" w:line="25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and other postretirement benefits costs for the three months ended March 31, 2025 and 2024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3560" w:type="dxa"/>
            <w:vAlign w:val="bottom"/>
          </w:tcPr>
          <w:p>
            <w:pPr>
              <w:spacing w:after="0"/>
              <w:rPr>
                <w:sz w:val="20"/>
                <w:szCs w:val="20"/>
                <w:color w:val="auto"/>
              </w:rPr>
            </w:pPr>
          </w:p>
        </w:tc>
      </w:tr>
      <w:tr>
        <w:trPr>
          <w:trHeight w:val="182"/>
        </w:trPr>
        <w:tc>
          <w:tcPr>
            <w:tcW w:w="680" w:type="dxa"/>
            <w:vAlign w:val="bottom"/>
          </w:tcPr>
          <w:p>
            <w:pPr>
              <w:spacing w:after="0"/>
              <w:rPr>
                <w:sz w:val="15"/>
                <w:szCs w:val="15"/>
                <w:color w:val="auto"/>
              </w:rPr>
            </w:pPr>
          </w:p>
        </w:tc>
        <w:tc>
          <w:tcPr>
            <w:tcW w:w="46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U.S. plans</w:t>
            </w:r>
          </w:p>
        </w:tc>
        <w:tc>
          <w:tcPr>
            <w:tcW w:w="180" w:type="dxa"/>
            <w:vAlign w:val="bottom"/>
          </w:tcPr>
          <w:p>
            <w:pPr>
              <w:spacing w:after="0"/>
              <w:rPr>
                <w:sz w:val="15"/>
                <w:szCs w:val="15"/>
                <w:color w:val="auto"/>
              </w:rPr>
            </w:pPr>
          </w:p>
        </w:tc>
        <w:tc>
          <w:tcPr>
            <w:tcW w:w="90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560" w:type="dxa"/>
            <w:vAlign w:val="bottom"/>
          </w:tcPr>
          <w:p>
            <w:pPr>
              <w:spacing w:after="0"/>
              <w:rPr>
                <w:sz w:val="15"/>
                <w:szCs w:val="15"/>
                <w:color w:val="auto"/>
              </w:rPr>
            </w:pPr>
          </w:p>
        </w:tc>
      </w:tr>
      <w:tr>
        <w:trPr>
          <w:trHeight w:val="21"/>
        </w:trPr>
        <w:tc>
          <w:tcPr>
            <w:tcW w:w="680" w:type="dxa"/>
            <w:vAlign w:val="bottom"/>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3"/>
        </w:trPr>
        <w:tc>
          <w:tcPr>
            <w:tcW w:w="680" w:type="dxa"/>
            <w:vAlign w:val="bottom"/>
            <w:tcBorders>
              <w:right w:val="single" w:sz="8" w:color="CCEEFF"/>
            </w:tcBorders>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56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9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560" w:type="dxa"/>
            <w:vAlign w:val="bottom"/>
          </w:tcPr>
          <w:p>
            <w:pPr>
              <w:spacing w:after="0"/>
              <w:rPr>
                <w:sz w:val="19"/>
                <w:szCs w:val="19"/>
                <w:color w:val="auto"/>
              </w:rPr>
            </w:pPr>
          </w:p>
        </w:tc>
      </w:tr>
      <w:tr>
        <w:trPr>
          <w:trHeight w:val="229"/>
        </w:trPr>
        <w:tc>
          <w:tcPr>
            <w:tcW w:w="680" w:type="dxa"/>
            <w:vAlign w:val="bottom"/>
            <w:tcBorders>
              <w:right w:val="single" w:sz="8" w:color="CCEEFF"/>
            </w:tcBorders>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56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560" w:type="dxa"/>
            <w:vAlign w:val="bottom"/>
          </w:tcPr>
          <w:p>
            <w:pPr>
              <w:spacing w:after="0"/>
              <w:rPr>
                <w:sz w:val="19"/>
                <w:szCs w:val="19"/>
                <w:color w:val="auto"/>
              </w:rPr>
            </w:pPr>
          </w:p>
        </w:tc>
      </w:tr>
      <w:tr>
        <w:trPr>
          <w:trHeight w:val="248"/>
        </w:trPr>
        <w:tc>
          <w:tcPr>
            <w:tcW w:w="680" w:type="dxa"/>
            <w:vAlign w:val="bottom"/>
            <w:tcBorders>
              <w:right w:val="single" w:sz="8" w:color="CCEEFF"/>
            </w:tcBorders>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56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851"/>
        </w:trPr>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tbl>
      <w:tblPr>
        <w:tblLayout w:type="fixed"/>
        <w:tblInd w:w="652"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4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0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March 31,</w:t>
            </w:r>
          </w:p>
        </w:tc>
        <w:tc>
          <w:tcPr>
            <w:tcW w:w="760" w:type="dxa"/>
            <w:vAlign w:val="bottom"/>
            <w:tcBorders>
              <w:bottom w:val="single" w:sz="8" w:color="auto"/>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3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Non-U.S. plans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5"/>
              </w:rPr>
              <w:t>(6)</w:t>
            </w:r>
          </w:p>
        </w:tc>
      </w:tr>
      <w:tr>
        <w:trPr>
          <w:trHeight w:val="230"/>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March 31,</w:t>
            </w:r>
          </w:p>
        </w:tc>
        <w:tc>
          <w:tcPr>
            <w:tcW w:w="7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Other postretirement benefits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13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2</w:t>
            </w: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52" w:right="20"/>
        <w:spacing w:after="0" w:line="282" w:lineRule="auto"/>
        <w:rPr>
          <w:sz w:val="20"/>
          <w:szCs w:val="20"/>
          <w:color w:val="auto"/>
        </w:rPr>
      </w:pPr>
      <w:r>
        <w:rPr>
          <w:rFonts w:ascii="Times New Roman" w:cs="Times New Roman" w:eastAsia="Times New Roman" w:hAnsi="Times New Roman"/>
          <w:sz w:val="18"/>
          <w:szCs w:val="18"/>
          <w:color w:val="auto"/>
        </w:rPr>
        <w:t>The components of net periodic cost other than the service cost component are included in Other pension and postretirement in the Consolidated Statement of Operations.</w:t>
      </w:r>
    </w:p>
    <w:p>
      <w:pPr>
        <w:spacing w:after="0" w:line="18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following table provides information about amounts reclassified from accumulated other comprehensive income.</w:t>
      </w:r>
    </w:p>
    <w:p>
      <w:pPr>
        <w:spacing w:after="0" w:line="293" w:lineRule="exact"/>
        <w:rPr>
          <w:sz w:val="20"/>
          <w:szCs w:val="20"/>
          <w:color w:val="auto"/>
        </w:rPr>
      </w:pPr>
    </w:p>
    <w:tbl>
      <w:tblPr>
        <w:tblLayout w:type="fixed"/>
        <w:tblInd w:w="652" w:type="dxa"/>
        <w:tblCellMar>
          <w:top w:w="0" w:type="dxa"/>
          <w:left w:w="0" w:type="dxa"/>
          <w:bottom w:w="0" w:type="dxa"/>
          <w:right w:w="0" w:type="dxa"/>
        </w:tblCellMar>
      </w:tblPr>
      <w:tr>
        <w:trPr>
          <w:trHeight w:val="229"/>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Details about accumulated other</w:t>
            </w: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March 31,</w:t>
            </w:r>
          </w:p>
        </w:tc>
        <w:tc>
          <w:tcPr>
            <w:tcW w:w="140" w:type="dxa"/>
            <w:vAlign w:val="bottom"/>
          </w:tcPr>
          <w:p>
            <w:pPr>
              <w:spacing w:after="0"/>
              <w:rPr>
                <w:sz w:val="20"/>
                <w:szCs w:val="20"/>
                <w:color w:val="auto"/>
              </w:rPr>
            </w:pPr>
          </w:p>
        </w:tc>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Affected line items in the statement of</w:t>
            </w:r>
          </w:p>
        </w:tc>
        <w:tc>
          <w:tcPr>
            <w:tcW w:w="0" w:type="dxa"/>
            <w:vAlign w:val="bottom"/>
          </w:tcPr>
          <w:p>
            <w:pPr>
              <w:spacing w:after="0"/>
              <w:rPr>
                <w:sz w:val="1"/>
                <w:szCs w:val="1"/>
                <w:color w:val="auto"/>
              </w:rPr>
            </w:pPr>
          </w:p>
        </w:tc>
      </w:tr>
      <w:tr>
        <w:trPr>
          <w:trHeight w:val="164"/>
        </w:trPr>
        <w:tc>
          <w:tcPr>
            <w:tcW w:w="2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comprehensive income</w:t>
            </w:r>
          </w:p>
        </w:tc>
        <w:tc>
          <w:tcPr>
            <w:tcW w:w="180" w:type="dxa"/>
            <w:vAlign w:val="bottom"/>
          </w:tcPr>
          <w:p>
            <w:pPr>
              <w:spacing w:after="0"/>
              <w:rPr>
                <w:sz w:val="15"/>
                <w:szCs w:val="15"/>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5"/>
                <w:szCs w:val="15"/>
                <w:color w:val="auto"/>
              </w:rPr>
            </w:pPr>
          </w:p>
        </w:tc>
        <w:tc>
          <w:tcPr>
            <w:tcW w:w="2880" w:type="dxa"/>
            <w:vAlign w:val="bottom"/>
          </w:tcPr>
          <w:p>
            <w:pPr>
              <w:ind w:left="1060"/>
              <w:spacing w:after="0" w:line="181" w:lineRule="exact"/>
              <w:rPr>
                <w:sz w:val="20"/>
                <w:szCs w:val="20"/>
                <w:color w:val="auto"/>
              </w:rPr>
            </w:pPr>
            <w:r>
              <w:rPr>
                <w:rFonts w:ascii="Times New Roman" w:cs="Times New Roman" w:eastAsia="Times New Roman" w:hAnsi="Times New Roman"/>
                <w:sz w:val="18"/>
                <w:szCs w:val="18"/>
                <w:color w:val="auto"/>
              </w:rPr>
              <w:t>operations</w:t>
            </w:r>
          </w:p>
        </w:tc>
        <w:tc>
          <w:tcPr>
            <w:tcW w:w="0" w:type="dxa"/>
            <w:vAlign w:val="bottom"/>
          </w:tcPr>
          <w:p>
            <w:pPr>
              <w:spacing w:after="0"/>
              <w:rPr>
                <w:sz w:val="1"/>
                <w:szCs w:val="1"/>
                <w:color w:val="auto"/>
              </w:rPr>
            </w:pPr>
          </w:p>
        </w:tc>
      </w:tr>
      <w:tr>
        <w:trPr>
          <w:trHeight w:val="230"/>
        </w:trPr>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components</w:t>
            </w: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0" w:type="dxa"/>
            <w:vAlign w:val="bottom"/>
          </w:tcPr>
          <w:p>
            <w:pPr>
              <w:spacing w:after="0"/>
              <w:rPr>
                <w:sz w:val="1"/>
                <w:szCs w:val="1"/>
                <w:color w:val="auto"/>
              </w:rPr>
            </w:pPr>
          </w:p>
        </w:tc>
      </w:tr>
      <w:tr>
        <w:trPr>
          <w:trHeight w:val="164"/>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Income before taxes and equity in net</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of affiliates</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reclassified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52" w:hanging="352"/>
        <w:spacing w:after="0"/>
        <w:tabs>
          <w:tab w:leader="none" w:pos="3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Capital Stock</w:t>
      </w:r>
    </w:p>
    <w:p>
      <w:pPr>
        <w:spacing w:after="0" w:line="256"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On July 25, 2024, the Company's Board of Directors authorized the repurchase of an aggregate amount of $2,000 of the Company's common stock through the end of 2027.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repurchased $203 of its shares during the three months ended March 31, 2025.</w:t>
      </w:r>
    </w:p>
    <w:p>
      <w:pPr>
        <w:spacing w:after="0" w:line="210"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For the three months months ended March 31, 2025 and 2024, the Company declared and paid cash dividends of $0.26 per share and $0.25 per share per share, respectively. Additionally, on May 1, 2025, the Company's Board of Directors declared a dividend of $0.26 per share payable on May 29, 2025 to shareholders of record as of May 15, 2025.</w:t>
      </w:r>
    </w:p>
    <w:p>
      <w:pPr>
        <w:sectPr>
          <w:pgSz w:w="11900" w:h="16838" w:orient="portrait"/>
          <w:cols w:equalWidth="0" w:num="1">
            <w:col w:w="11232"/>
          </w:cols>
          <w:pgMar w:left="328"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Accumulated Other Comprehensive Loss Attributable to Crown Holdings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the changes in each component of accumulated other comprehensive income/(loss).</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Defined</w:t>
            </w:r>
          </w:p>
        </w:tc>
        <w:tc>
          <w:tcPr>
            <w:tcW w:w="140" w:type="dxa"/>
            <w:vAlign w:val="bottom"/>
          </w:tcPr>
          <w:p>
            <w:pPr>
              <w:spacing w:after="0"/>
              <w:rPr>
                <w:sz w:val="17"/>
                <w:szCs w:val="17"/>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Foreign</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Gains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benefit</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currency</w:t>
            </w:r>
          </w:p>
        </w:tc>
        <w:tc>
          <w:tcPr>
            <w:tcW w:w="140" w:type="dxa"/>
            <w:vAlign w:val="bottom"/>
          </w:tcPr>
          <w:p>
            <w:pPr>
              <w:spacing w:after="0"/>
              <w:rPr>
                <w:sz w:val="16"/>
                <w:szCs w:val="16"/>
                <w:color w:val="auto"/>
              </w:rPr>
            </w:pPr>
          </w:p>
        </w:tc>
        <w:tc>
          <w:tcPr>
            <w:tcW w:w="112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cash flow</w:t>
            </w:r>
          </w:p>
        </w:tc>
        <w:tc>
          <w:tcPr>
            <w:tcW w:w="200" w:type="dxa"/>
            <w:vAlign w:val="bottom"/>
          </w:tcPr>
          <w:p>
            <w:pPr>
              <w:spacing w:after="0"/>
              <w:rPr>
                <w:sz w:val="16"/>
                <w:szCs w:val="16"/>
                <w:color w:val="auto"/>
              </w:rPr>
            </w:pPr>
          </w:p>
        </w:tc>
        <w:tc>
          <w:tcPr>
            <w:tcW w:w="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for further details of amounts related to cash flow hedges and defined benefit plans.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   Revenue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79"/>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recognized revenue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7"/>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for further disaggregation of the Company's revenue.</w:t>
      </w:r>
    </w:p>
    <w:p>
      <w:pPr>
        <w:spacing w:after="0" w:line="18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applied the practical expedient to exclude disclosure of remaining performance obligations as its binding orders typically have a term of one year or less.</w:t>
      </w:r>
    </w:p>
    <w:p>
      <w:pPr>
        <w:spacing w:after="0" w:line="12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$22 and $9 as of March 31, 2025 and December 31, 2024, respectively, included in prepaid and other current assets. During the three months ended March 31, 2025, the Company satisfied performance obligations related to contract assets at December 31, 2024 and also recorded new contract assets primarily related to work in process for the equipment business.</w:t>
      </w:r>
    </w:p>
    <w:p>
      <w:pPr>
        <w:spacing w:after="0" w:line="152"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43"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an income tax benefit of $22 after an internal reorganization which resulted in the release of deferred tax liabilities related to the foreign currency impact of certain intercompany debt instruments that were designated as hedges of the Company's net investment in a euro-based subsidiary.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computations of basic and diluted earnings per share attributable to the Company.</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Crown Holdings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Dilutive restricted stock</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0.12 million and 0.20 million contingently issuable common shares were excluded from the computation of diluted earnings per share because the effect would be anti-dilutive.</w:t>
      </w:r>
    </w:p>
    <w:p>
      <w:pPr>
        <w:spacing w:after="0" w:line="18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restructuring and other and the impact of fair value adjustments related to inventory acquired in an acquisition. Segment income includes cost of products sold, depreciation and general selling and administrative expenses. Segment income should not be considered in isolation or as a substitute for net income prepared in accordance with GAAP and may not be comparable to calculations of similarly titled measures by other companies.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operating segments.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External</w:t>
            </w:r>
          </w:p>
        </w:tc>
        <w:tc>
          <w:tcPr>
            <w:tcW w:w="1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Intersegment</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sales</w:t>
            </w:r>
          </w:p>
        </w:tc>
        <w:tc>
          <w:tcPr>
            <w:tcW w:w="1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8"/>
              </w:rPr>
              <w:t>income</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2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External</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Intersegment</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sales</w:t>
            </w:r>
          </w:p>
        </w:tc>
        <w:tc>
          <w:tcPr>
            <w:tcW w:w="16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disclose total assets by segment as it is not provided to the chief operating decision maker.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sources of revenue included in Other are the Company's food can, aerosol can, and closures businesses in North America, and beverage tooling and equipment operations in the U.S. and U.K.</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sales primarily include equipment and parts used in the manufacturing process.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income of reportable segments to income before income taxes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250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of reportable segments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 of other</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5"/>
        </w:trPr>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from operations before taxes and equity in net earnings of</w:t>
            </w:r>
          </w:p>
        </w:tc>
        <w:tc>
          <w:tcPr>
            <w:tcW w:w="7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7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2" w:name="page23"/>
    <w:bookmarkEnd w:id="22"/>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95" w:lineRule="exact"/>
        <w:rPr>
          <w:sz w:val="20"/>
          <w:szCs w:val="20"/>
          <w:color w:val="auto"/>
        </w:rPr>
      </w:pPr>
    </w:p>
    <w:p>
      <w:pPr>
        <w:ind w:right="3520" w:hanging="17"/>
        <w:spacing w:after="0" w:line="286" w:lineRule="auto"/>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 xml:space="preserve"> </w:t>
      </w: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(dollars in millions)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56" w:lineRule="exact"/>
        <w:rPr>
          <w:sz w:val="20"/>
          <w:szCs w:val="20"/>
          <w:color w:val="auto"/>
        </w:rPr>
      </w:pPr>
    </w:p>
    <w:p>
      <w:pPr>
        <w:jc w:val="both"/>
        <w:ind w:left="480"/>
        <w:spacing w:after="0" w:line="261" w:lineRule="auto"/>
        <w:rPr>
          <w:sz w:val="20"/>
          <w:szCs w:val="20"/>
          <w:color w:val="auto"/>
        </w:rPr>
      </w:pPr>
      <w:r>
        <w:rPr>
          <w:rFonts w:ascii="Times New Roman" w:cs="Times New Roman" w:eastAsia="Times New Roman" w:hAnsi="Times New Roman"/>
          <w:sz w:val="18"/>
          <w:szCs w:val="18"/>
          <w:color w:val="auto"/>
        </w:rPr>
        <w:t>The following discussion presents management's analysis of the results of operations for the three months ended March 31, 2025 compared to 2024 and changes in financial condition and liquidity from December 31, 2024. This discussion should be read in conjunction with the consolidated financial statements and notes thereto included in the Company's Annual Report on Form 10-K for the year ended December 31, 2024, along with the consolidated financial statements and related notes included in and referred to within this report.</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 and Trends</w:t>
      </w:r>
    </w:p>
    <w:p>
      <w:pPr>
        <w:spacing w:after="0" w:line="243"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Company's strategy is to maximize long-term shareholder value by pursuing profitable growth opportunities while returning cash to shareholders through dividends and share repurchases.</w:t>
      </w:r>
    </w:p>
    <w:p>
      <w:pPr>
        <w:spacing w:after="0" w:line="189" w:lineRule="exact"/>
        <w:rPr>
          <w:sz w:val="20"/>
          <w:szCs w:val="20"/>
          <w:color w:val="auto"/>
        </w:rPr>
      </w:pPr>
    </w:p>
    <w:p>
      <w:pPr>
        <w:jc w:val="both"/>
        <w:ind w:left="480"/>
        <w:spacing w:after="0" w:line="242" w:lineRule="auto"/>
        <w:rPr>
          <w:sz w:val="20"/>
          <w:szCs w:val="20"/>
          <w:color w:val="auto"/>
        </w:rPr>
      </w:pPr>
      <w:r>
        <w:rPr>
          <w:rFonts w:ascii="Times New Roman" w:cs="Times New Roman" w:eastAsia="Times New Roman" w:hAnsi="Times New Roman"/>
          <w:sz w:val="18"/>
          <w:szCs w:val="18"/>
          <w:color w:val="auto"/>
        </w:rPr>
        <w:t>Global industry demand for beverage cans has been growing in recent years in North America, Brazil, Europe, and Southeast Asia. Growth has been driven by new product introductions, customer and consumer focus on the sustainability benefits of aluminum and population and GDP growth in many markets. To meet such demand, the Company made long-term investments of approximately $2,000 for new manufacturing facilities and additional production lines in existing facilities since 2019. Based on current market conditions, the Company expects to have the ability to meet expected demand growth with its current installed capital base and expects capital spending to be approximately $450 in 2025.</w:t>
      </w:r>
    </w:p>
    <w:p>
      <w:pPr>
        <w:spacing w:after="0" w:line="198"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8"/>
          <w:szCs w:val="18"/>
          <w:color w:val="auto"/>
        </w:rPr>
        <w:t>The Company's strategy is anchored by strong cash flow generation and a healthy balance sheet with a long-term net leverage ratio target of 2.5x adjusted EBITDA (a non-GAAP measure). The Company believes it has the flexibility and resources to fund growth, repay debt and return excess cash flow to shareholders in the future. On July 25, 2024, the Company's Board of Directors authorized the repurchase of an aggregate amount of $2,000 of the Company's common stock through the end of 2027.</w:t>
      </w:r>
    </w:p>
    <w:p>
      <w:pPr>
        <w:spacing w:after="0" w:line="217"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color w:val="auto"/>
        </w:rPr>
        <w:t xml:space="preserve">The Company continues to actively elevate its commitment to sustainability. In 2020, the Company introduced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a robust program that outlines twenty measurable, science based, environmental, social and governance goals to be completed by 2030. In 2024, the Company garnered recognition for its commitment to integrate sustainability into all aspects of the organization, including the top spot within the Sustainalytics "Container and Packaging" industry category.</w:t>
      </w:r>
    </w:p>
    <w:p>
      <w:pPr>
        <w:spacing w:after="0" w:line="207" w:lineRule="exact"/>
        <w:rPr>
          <w:sz w:val="20"/>
          <w:szCs w:val="20"/>
          <w:color w:val="auto"/>
        </w:rPr>
      </w:pPr>
    </w:p>
    <w:p>
      <w:pPr>
        <w:jc w:val="both"/>
        <w:ind w:left="480"/>
        <w:spacing w:after="0" w:line="254" w:lineRule="auto"/>
        <w:rPr>
          <w:sz w:val="20"/>
          <w:szCs w:val="20"/>
          <w:color w:val="auto"/>
        </w:rPr>
      </w:pPr>
      <w:r>
        <w:rPr>
          <w:rFonts w:ascii="Times New Roman" w:cs="Times New Roman" w:eastAsia="Times New Roman" w:hAnsi="Times New Roman"/>
          <w:sz w:val="18"/>
          <w:szCs w:val="18"/>
          <w:color w:val="auto"/>
        </w:rPr>
        <w:t>The Company continues to actively manage the challenges of supply chain disruptions, foreign exchange, interest rate fluctuations, and inflationary pressures, including increasing costs for raw materials, energy and transportation. The Company generally attempts to mitigate aluminum and steel price risk by matching its purchase obligations with its sales agreements. Additionally, tariffs, retaliatory trade measures and further trade restrictions could result in higher raw material costs and a wide range of possible outcomes including impacts on consumers and industrial activity. The Company attempts to mitigate inflationary pressures on energy and raw material costs with contractual pass-through provisions that include annual selling price adjustments based on price indices. The Company also uses commodity forward contracts to manage its exposure to raw material costs. The ability to mitigate inflationary risks through these measures varies by region and the impact on the results of the Company’s segments is discussed, as applicable, under the heading "Results of Operations" below.</w:t>
      </w:r>
    </w:p>
    <w:p>
      <w:pPr>
        <w:spacing w:after="0" w:line="219" w:lineRule="exact"/>
        <w:rPr>
          <w:sz w:val="20"/>
          <w:szCs w:val="20"/>
          <w:color w:val="auto"/>
        </w:rPr>
      </w:pPr>
    </w:p>
    <w:p>
      <w:pPr>
        <w:jc w:val="both"/>
        <w:ind w:left="480"/>
        <w:spacing w:after="0" w:line="282" w:lineRule="auto"/>
        <w:rPr>
          <w:sz w:val="20"/>
          <w:szCs w:val="20"/>
          <w:color w:val="auto"/>
        </w:rPr>
      </w:pPr>
      <w:r>
        <w:rPr>
          <w:rFonts w:ascii="Times New Roman" w:cs="Times New Roman" w:eastAsia="Times New Roman" w:hAnsi="Times New Roman"/>
          <w:sz w:val="18"/>
          <w:szCs w:val="18"/>
          <w:color w:val="auto"/>
        </w:rPr>
        <w:t>To date the war between Russia and Ukraine and the conflicts in the Middle East have not had a direct material impact on the Company's business, financial condition, or results of operations.</w:t>
      </w:r>
    </w:p>
    <w:p>
      <w:pPr>
        <w:spacing w:after="0" w:line="1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7" w:right="339" w:bottom="1440" w:gutter="0" w:footer="0" w:header="0"/>
        </w:sectPr>
      </w:pPr>
    </w:p>
    <w:bookmarkStart w:id="23" w:name="page24"/>
    <w:bookmarkEnd w:id="23"/>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were primarily due to changes in the Mexican peso in the Company's Americas Beverage segment, the euro in the Company's European Beverage segment, and the Thai baht in the Company's Asia Pacific segment. The Company's Transit Packaging segment is a global business and the foreign currency translation impacts referred to in the discussion below are primarily related to the euro, the Indian rupee, the Mexican peso and the Brazilian real.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calculates the impact of foreign currency translation by dividing current year U.S. dollar results by the current year average foreign exchange rates and then multiplying those amounts by the applicable prior year average exchange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Sales and Segment Income</w:t>
      </w:r>
    </w:p>
    <w:p>
      <w:pPr>
        <w:spacing w:after="0" w:line="54"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increased primarily due to $94 from the pass-through of higher material costs, higher beverage can volumes in the Americas and European Beverage segments and higher North American food can volumes, partially offset by unfavorable foreign currency translation of $31 and lower volumes in the Transit Packaging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and Canadian beverage can markets have experienced growth in recent years due to the introduction of new beverage products in cans versus other packaging formats. In Brazil and Mexico, the Company's volumes have increased in recent years primarily due to market growth driven by increased per capita incomes and consumption, combined with an increased preference for cans over other forms of beverage packing.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bl>
    <w:p>
      <w:pPr>
        <w:spacing w:after="0" w:line="30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$71 from the pass-through of higher aluminum costs and 3% higher volumes, partially offset by unfavorable foreign currency translation of $13.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improved due to higher volumes and improved manufacturing performance.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consumer focus on sustainability benefits of aluminum and a market shift to cans versus other packaging formats.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European Beverage segment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312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805"/>
        </w:trPr>
        <w:tc>
          <w:tcPr>
            <w:tcW w:w="2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2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March 31,</w:t>
            </w:r>
          </w:p>
        </w:tc>
        <w:tc>
          <w:tcPr>
            <w:tcW w:w="760" w:type="dxa"/>
            <w:vAlign w:val="bottom"/>
            <w:tcBorders>
              <w:bottom w:val="single" w:sz="8" w:color="auto"/>
            </w:tcBorders>
          </w:tcPr>
          <w:p>
            <w:pPr>
              <w:spacing w:after="0"/>
              <w:rPr>
                <w:sz w:val="20"/>
                <w:szCs w:val="20"/>
                <w:color w:val="auto"/>
              </w:rPr>
            </w:pPr>
          </w:p>
        </w:tc>
      </w:tr>
      <w:tr>
        <w:trPr>
          <w:trHeight w:val="223"/>
        </w:trPr>
        <w:tc>
          <w:tcPr>
            <w:tcW w:w="268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3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$22 from the pass-through of higher aluminum costs and 5% higher volumes, partially offset by unfavorable foreign currency translation of $8.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improved due to higher volumes.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Asia Pacific segment consists of beverage can operations in Cambodia, China, Indonesia, Malaysia, Myanmar, Thailand and Vietnam and non-beverage can operations, primarily food cans and specialty packaging. Historically, growth in the beverage can market in Southeast Asia has been driven by increased per capita incomes and consumption, combined with an increased preference for cans over other forms of beverage packaging.</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volume softness continued across each country in the Asia Pacific segment as the region continues to struggle with the effects of higher inflation and interest rates and in the fourth quarter the Company announced the closure of its beverage can facility in Sihanoukville, Cambodia.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2022, the Company's Yangon, Myanmar beverage can plant was temporarily idled due to currency restrictions, which resulted in the inability to source U.S. dollars required to procure U.S. dollar raw materials. The Company began production on a limited basis in 2023 and had net sales of $1 for the three months ended March 31, 2025. Property, plant and equipment in Myanmar as of March 31, 2025 was $48, including $23 of land and buildings and $25 of machinery and equipment. The Company will continue to monitor the economic conditions and the impact to its business in Myanmar, including any alternative uses for its machinery and equipment.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Asia Pacific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279</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279</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was comparable to 2024 with 7% lower volumes offset by $11 from the pass-through of higher aluminum costs.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improved manufacturing performance, including savings realized as part of prior year restructuring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4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w:t>
      </w:r>
    </w:p>
    <w:p>
      <w:pPr>
        <w:spacing w:after="0" w:line="21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This segment may be subject to direct and indirect effects from tariffs which may slow consumer and industrial activity, the impact of which cannot be reasonably predicted. The Company will continue to monitor these conditions, including potential actions to mitigate their impact. This economic uncertainty could affect projected future financial</w:t>
      </w:r>
    </w:p>
    <w:p>
      <w:pPr>
        <w:spacing w:after="0" w:line="200" w:lineRule="exact"/>
        <w:rPr>
          <w:sz w:val="20"/>
          <w:szCs w:val="20"/>
          <w:color w:val="auto"/>
        </w:rPr>
      </w:pPr>
    </w:p>
    <w:p>
      <w:pPr>
        <w:spacing w:after="0" w:line="33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5" w:name="page26"/>
    <w:bookmarkEnd w:id="25"/>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and may require a quantitative goodwill impairment test in the future to determine if an impairment charge is necessary.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Transit Packaging segment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520</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the pass-through of $12 lower material costs, $13 lower equipment volumes and unfavorable foreign currency translation of $14, partially offset by improved steel and plastic consumable volumes.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unfavorable product mix, driven by lower equipment volumes which have higher margins, and unfavorable foreign currency translation of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includes the Company's food can, aerosol can and closures businesses in North America, and beverage tooling and equipment operations in the U.S. and U.K. The Company added a pet food can line to its Dubuque, Iowa plant in 2024. During the second quarter of 2024, the Company closed its food can plant in La Villa, Mexico.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Other were as follows: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95"/>
        </w:trPr>
        <w:tc>
          <w:tcPr>
            <w:tcW w:w="4620" w:type="dxa"/>
            <w:vAlign w:val="bottom"/>
          </w:tcPr>
          <w:p>
            <w:pPr>
              <w:spacing w:after="0"/>
              <w:rPr>
                <w:sz w:val="24"/>
                <w:szCs w:val="24"/>
                <w:color w:val="auto"/>
              </w:rPr>
            </w:pPr>
          </w:p>
        </w:tc>
        <w:tc>
          <w:tcPr>
            <w:tcW w:w="20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4"/>
                <w:szCs w:val="24"/>
                <w:color w:val="auto"/>
              </w:rPr>
            </w:pPr>
          </w:p>
        </w:tc>
      </w:tr>
      <w:tr>
        <w:trPr>
          <w:trHeight w:val="234"/>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primarily due to 16% higher food can volumes.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increased primarily due to higher food can volumes and improved manufacturing performance, including lower start-up costs.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three months ended Mach 31, 2024, included a steel repricing loss of $8.</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unallocated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200" w:lineRule="exact"/>
        <w:rPr>
          <w:sz w:val="20"/>
          <w:szCs w:val="20"/>
          <w:color w:val="auto"/>
        </w:rPr>
      </w:pPr>
    </w:p>
    <w:p>
      <w:pPr>
        <w:spacing w:after="0" w:line="272"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14605</wp:posOffset>
            </wp:positionV>
            <wp:extent cx="1491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 w:lineRule="exact"/>
        <w:rPr>
          <w:sz w:val="20"/>
          <w:szCs w:val="20"/>
          <w:color w:val="auto"/>
        </w:rPr>
      </w:pPr>
    </w:p>
    <w:p>
      <w:pPr>
        <w:ind w:left="4900"/>
        <w:spacing w:after="0"/>
        <w:tabs>
          <w:tab w:leader="none" w:pos="618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438023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8023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4540" w:val="left"/>
          <w:tab w:leader="none" w:pos="5280" w:val="left"/>
          <w:tab w:leader="none" w:pos="5860" w:val="left"/>
          <w:tab w:leader="none" w:pos="6540" w:val="left"/>
        </w:tabs>
        <w:rPr>
          <w:sz w:val="20"/>
          <w:szCs w:val="20"/>
          <w:color w:val="auto"/>
        </w:rPr>
      </w:pPr>
      <w:r>
        <w:rPr>
          <w:rFonts w:ascii="Times New Roman" w:cs="Times New Roman" w:eastAsia="Times New Roman" w:hAnsi="Times New Roman"/>
          <w:sz w:val="18"/>
          <w:szCs w:val="18"/>
          <w:color w:val="auto"/>
        </w:rPr>
        <w:t>Corporate and unallocated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expenses decreased for the three months ended March 31, 2025 compared to 2024, primarily due to lower property insurance costs. The three months ended March 31, 2024, included a charge of $8 related to a facility fire.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other, net</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the three months ended March 31, 2024, restructuring and other net charges of $23 primarily included business reorganization activities in the Company's European Beverage segment. The Company continues to review its costs structure and may record additional restructuring charges in the future.</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6" w:name="page27"/>
    <w:bookmarkEnd w:id="26"/>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pension and postretirement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compared to 2024, other pension and postretirement decreased from $11 to $5, primarily due to the transfer of portions of the Company's U.S. and Canadian defined benefit pension liabilities through the purchase of group annuity insurance contracts using pension plan assets in the third quarter of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Taxes on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188595</wp:posOffset>
            </wp:positionV>
            <wp:extent cx="1654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86"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 and equity in net earnings of affiliates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in the effective tax rate for the three months ended March 31, 2025 compared to 2024, was primarily due to an income tax benefit of $22 recorded in the first quarter of 2025 after an internal reorganization which resulted in the release of deferred tax liabilities related to the foreign currency impact of certain intercompany debt instruments that were designated as hedges of the Company's net investment in a euro-based subsidiary, as well as the geographic distribution of the Company's world-wide earnings.</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Effective January 1, 2024, various jurisdictions in which the Company operates have enacted the Pillar II directive which establishes a global minimum corporate tax rate of 15% initiated by the Organisation for Economic Co-operation and Development ("OECD"). The Company does not currently expect Pillar II to have a material impact on its financial results, including its annual estimated effective tax rate or liquidity for 2025 based on currently enacted tax laws, however the Company continues to monitor its jurisdictions for any changes, including additional guidance from the OECD.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attributable to noncontrolling interest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compared to 2024, net income from noncontrolling interests increased from $26 to $34 primarily due to higher earnings in the Company's beverage can operations in Brazil.</w:t>
      </w:r>
    </w:p>
    <w:p>
      <w:pPr>
        <w:spacing w:after="0" w:line="18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from operating activities increased from an outflow of $102 for the three months ended March 31, 2024 to an inflow of $14 for the three months ended March 31, 2025, primarily due to higher income from operations.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Days sales outstanding for trade receivables, excluding the impact of unbilled receivables, decreased from 32 days as of March 31, 2024 to 31 days as of March 31, 2025.</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Inventory turnover decreased from 63 days at March 31, 2024 to 57 days at March 31, 2025 primarily due to higher average inventory levels carried into the first quarter of 2024.</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Days outstanding for trade payables increased from 83 days at March 31, 2024 to 87 days at March 31, 2025 primarily due to higher raw material costs and efforts to rebuild inventory in certain businesses.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from investing activities increased from an outflow of $81 for the three months ended March 31, 2024 to an inflow of $1 for the three months ended March 31, 2025, primarily due to lower capital expenditures.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capital expenditures in 2025 to be approximately $450.</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7" w:name="page28"/>
    <w:bookmarkEnd w:id="27"/>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from financing activities decreased from an inflow of $9 for the three months ended March 31, 2024 to an outflow of $153 for the three months ended March 31, 2025 primarily due to $203 of common stock repurchases, partially offset by higher short term borrowings in the first quarter of 2025.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$650 of the Company's $779 of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$266 was held by subsidiaries for which earnings are considered indefinitely reinvested.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revolving credit agreements provide capacity of $1,650 and as of March 31, 2025, the Company had available capacity of $1,620.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could have borrowed this amount at March 31, 2025 and still have been in compliance with its leverage ratio covenants.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2.6 to 1.0 at March 31, 2025 was in compliance with the covenant requiring a ratio no greater than 4.5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current sources of liquidity also include a securitization facility with a program limit up to a maximum of $800 that expires in July 2025 and securitization facilities with program limits of $230 and $160 that expire in November 2025.</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Long-term debt payments due in the next twelve months include the Company's $875 million 4.75% senior notes and its €500 million ($541 million at March 31, 2025) 2.875% senior notes both due in February 2026. The Company expects to have sufficient liquidity to refinance the senior notes or repay them at maturity.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approximately $84 of capital commitments primarily related to Americas Beverage and European Beverage. The Company expects to fund these commitments primarily through cash flows from operations.</w:t>
      </w: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8" w:name="page29"/>
    <w:bookmarkEnd w:id="28"/>
    <w:p>
      <w:pPr>
        <w:ind w:left="4144"/>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25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2024, which information is incorporated herein by reference.</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Guarantor Financial Information</w:t>
      </w:r>
    </w:p>
    <w:p>
      <w:pPr>
        <w:spacing w:after="0" w:line="256"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0"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United States.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Crown Cork Obligor Group</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72"/>
        </w:trPr>
        <w:tc>
          <w:tcPr>
            <w:tcW w:w="200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4"/>
        </w:trPr>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41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41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 attributable to Crown Holdings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74"/>
        </w:trPr>
        <w:tc>
          <w:tcPr>
            <w:tcW w:w="6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 Includes $15 of expense related to intercompany interest with non-guarantor subsidiaries</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995"/>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1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88"/>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r>
      <w:tr>
        <w:trPr>
          <w:trHeight w:val="188"/>
        </w:trPr>
        <w:tc>
          <w:tcPr>
            <w:tcW w:w="87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(1) Includes payables of $6,171 and $5,905 due to non-guarantor subsidiaries as of March 31, 2025 and December 31, 2024</w:t>
            </w:r>
          </w:p>
        </w:tc>
      </w:tr>
      <w:tr>
        <w:trPr>
          <w:trHeight w:val="428"/>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Crown Americas Obligor Group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15"/>
        </w:trPr>
        <w:tc>
          <w:tcPr>
            <w:tcW w:w="2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40" w:type="dxa"/>
            <w:vAlign w:val="bottom"/>
          </w:tcPr>
          <w:p>
            <w:pPr>
              <w:spacing w:after="0"/>
              <w:rPr>
                <w:sz w:val="24"/>
                <w:szCs w:val="24"/>
                <w:color w:val="auto"/>
              </w:rPr>
            </w:pPr>
          </w:p>
        </w:tc>
      </w:tr>
      <w:tr>
        <w:trPr>
          <w:trHeight w:val="234"/>
        </w:trPr>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414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1,237</w:t>
            </w:r>
          </w:p>
        </w:tc>
        <w:tc>
          <w:tcPr>
            <w:tcW w:w="1840" w:type="dxa"/>
            <w:vAlign w:val="bottom"/>
          </w:tcPr>
          <w:p>
            <w:pPr>
              <w:spacing w:after="0"/>
              <w:rPr>
                <w:sz w:val="19"/>
                <w:szCs w:val="19"/>
                <w:color w:val="auto"/>
              </w:rPr>
            </w:pPr>
          </w:p>
        </w:tc>
      </w:tr>
      <w:tr>
        <w:trPr>
          <w:trHeight w:val="230"/>
        </w:trPr>
        <w:tc>
          <w:tcPr>
            <w:tcW w:w="41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208</w:t>
            </w:r>
          </w:p>
        </w:tc>
        <w:tc>
          <w:tcPr>
            <w:tcW w:w="1840" w:type="dxa"/>
            <w:vAlign w:val="bottom"/>
          </w:tcPr>
          <w:p>
            <w:pPr>
              <w:spacing w:after="0"/>
              <w:rPr>
                <w:sz w:val="19"/>
                <w:szCs w:val="19"/>
                <w:color w:val="auto"/>
              </w:rPr>
            </w:pPr>
          </w:p>
        </w:tc>
      </w:tr>
      <w:tr>
        <w:trPr>
          <w:trHeight w:val="230"/>
        </w:trPr>
        <w:tc>
          <w:tcPr>
            <w:tcW w:w="41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1840" w:type="dxa"/>
            <w:vAlign w:val="bottom"/>
          </w:tcPr>
          <w:p>
            <w:pPr>
              <w:spacing w:after="0"/>
              <w:rPr>
                <w:sz w:val="19"/>
                <w:szCs w:val="19"/>
                <w:color w:val="auto"/>
              </w:rPr>
            </w:pPr>
          </w:p>
        </w:tc>
      </w:tr>
      <w:tr>
        <w:trPr>
          <w:trHeight w:val="230"/>
        </w:trPr>
        <w:tc>
          <w:tcPr>
            <w:tcW w:w="41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840" w:type="dxa"/>
            <w:vAlign w:val="bottom"/>
          </w:tcPr>
          <w:p>
            <w:pPr>
              <w:spacing w:after="0"/>
              <w:rPr>
                <w:sz w:val="19"/>
                <w:szCs w:val="19"/>
                <w:color w:val="auto"/>
              </w:rPr>
            </w:pPr>
          </w:p>
        </w:tc>
      </w:tr>
      <w:tr>
        <w:trPr>
          <w:trHeight w:val="229"/>
        </w:trPr>
        <w:tc>
          <w:tcPr>
            <w:tcW w:w="41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840" w:type="dxa"/>
            <w:vAlign w:val="bottom"/>
          </w:tcPr>
          <w:p>
            <w:pPr>
              <w:spacing w:after="0"/>
              <w:rPr>
                <w:sz w:val="19"/>
                <w:szCs w:val="19"/>
                <w:color w:val="auto"/>
              </w:rPr>
            </w:pPr>
          </w:p>
        </w:tc>
      </w:tr>
    </w:tbl>
    <w:p>
      <w:pPr>
        <w:spacing w:after="0" w:line="72" w:lineRule="exact"/>
        <w:rPr>
          <w:sz w:val="20"/>
          <w:szCs w:val="20"/>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$113 of sales to non-guarantor subsidiaries</w:t>
      </w:r>
    </w:p>
    <w:p>
      <w:pPr>
        <w:spacing w:after="0" w:line="27"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 of gross profit related to sales to non-guarantor subsidiaries</w:t>
      </w:r>
    </w:p>
    <w:p>
      <w:pPr>
        <w:spacing w:after="0" w:line="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 of expense related to intercompany interest and technology royalties with non-guarantor subsidiaries</w:t>
      </w:r>
    </w:p>
    <w:p>
      <w:pPr>
        <w:sectPr>
          <w:pgSz w:w="11900" w:h="16838" w:orient="portrait"/>
          <w:cols w:equalWidth="0" w:num="1">
            <w:col w:w="10584"/>
          </w:cols>
          <w:pgMar w:left="976"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type w:val="continuous"/>
        </w:sectPr>
      </w:pPr>
    </w:p>
    <w:bookmarkStart w:id="29" w:name="page30"/>
    <w:bookmarkEnd w:id="29"/>
    <w:p>
      <w:pPr>
        <w:ind w:left="4144"/>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46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30"/>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23"/>
                <w:szCs w:val="23"/>
                <w:color w:val="auto"/>
                <w:vertAlign w:val="superscript"/>
              </w:rPr>
              <w:t>2</w:t>
            </w:r>
          </w:p>
        </w:tc>
        <w:tc>
          <w:tcPr>
            <w:tcW w:w="1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3</w:t>
            </w:r>
          </w:p>
        </w:tc>
        <w:tc>
          <w:tcPr>
            <w:tcW w:w="1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30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4</w:t>
            </w:r>
          </w:p>
        </w:tc>
        <w:tc>
          <w:tcPr>
            <w:tcW w:w="17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r>
    </w:tbl>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$34 and $32 due from non-guarantor subsidiaries as of March 31, 2025 and December 31, 2024</w:t>
      </w:r>
    </w:p>
    <w:p>
      <w:pPr>
        <w:spacing w:after="0" w:line="11"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$211 and $167 due from non-guarantor subsidiaries as of March 31, 2025 and December 31, 2024</w:t>
      </w:r>
    </w:p>
    <w:p>
      <w:pPr>
        <w:spacing w:after="0" w:line="11"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$20 due to non-guarantor subsidiaries as of both March 31, 2025 and December 31, 2024</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$939 and $2,242 due to non-guarantor subsidiaries as of March 31, 2025 and December 31, 2024</w:t>
      </w:r>
    </w:p>
    <w:p>
      <w:pPr>
        <w:spacing w:after="0" w:line="2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 xml:space="preserve">Information regarding the Company's commitments and contingent liabilities appears in Part I within Item 1 of this report under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entitled “Commitments and Contingent Liabilities,” to the consolidated financial statements, and in Part II within Item 1A of this report which information is incorporated herein by reference.</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require that management make numerous estimates and assumptions.</w:t>
      </w:r>
    </w:p>
    <w:p>
      <w:pPr>
        <w:spacing w:after="0" w:line="234"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2024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 xml:space="preserve">Statements included herein, including, but not limited to, those in “Management's Discussion and Analysis of Financial Condition and Results of Operations” and in the discussions of asbestos in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and commitments and contingencies in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2024, which are not historical facts (including any statements concerning the conflicts in the Middle East and the Russia-Ukraine war, objectives of management for share repurchases, dividends, future operations or economic performance, or assumptions related thereto, including the potential for higher interest rates, energy and raw material prices, including tariffs, retaliatory trade measures and further trade restrictions), are “forward-looking statements” within the meaning of the federal securities laws. In addition, the Company and its representatives may, from time to time, make oral or written statements which are also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-1102360</wp:posOffset>
            </wp:positionV>
            <wp:extent cx="408876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88765" cy="128905"/>
                    </a:xfrm>
                    <a:prstGeom prst="rect">
                      <a:avLst/>
                    </a:prstGeom>
                    <a:noFill/>
                  </pic:spPr>
                </pic:pic>
              </a:graphicData>
            </a:graphic>
          </wp:anchor>
        </w:drawing>
      </w:r>
    </w:p>
    <w:p>
      <w:pPr>
        <w:spacing w:after="0" w:line="19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03"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w:t>
      </w:r>
    </w:p>
    <w:p>
      <w:pPr>
        <w:spacing w:after="0" w:line="207"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2024 within Part II, Item 7: “Management's Discussion and Analysis of Financial Condition and</w:t>
      </w:r>
    </w:p>
    <w:p>
      <w:pPr>
        <w:spacing w:after="0" w:line="200" w:lineRule="exact"/>
        <w:rPr>
          <w:sz w:val="20"/>
          <w:szCs w:val="20"/>
          <w:color w:val="auto"/>
        </w:rPr>
      </w:pPr>
    </w:p>
    <w:p>
      <w:pPr>
        <w:spacing w:after="0" w:line="31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30" w:name="page31"/>
    <w:bookmarkEnd w:id="3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740"/>
        <w:spacing w:after="0" w:line="257" w:lineRule="auto"/>
        <w:rPr>
          <w:sz w:val="20"/>
          <w:szCs w:val="20"/>
          <w:color w:val="auto"/>
        </w:rPr>
      </w:pPr>
      <w:r>
        <w:rPr>
          <w:rFonts w:ascii="Times New Roman" w:cs="Times New Roman" w:eastAsia="Times New Roman" w:hAnsi="Times New Roman"/>
          <w:sz w:val="18"/>
          <w:szCs w:val="18"/>
          <w:color w:val="auto"/>
        </w:rPr>
        <w:t>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tem 3.</w:t>
        <w:tab/>
        <w:t>Quantitative and Qualitative Disclosures About Market Risk</w:t>
      </w:r>
    </w:p>
    <w:p>
      <w:pPr>
        <w:spacing w:after="0" w:line="234"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March 31, 2025, 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to the consolidated financial statements included in this Quarterly Report on Form 10-Q.</w:t>
      </w:r>
    </w:p>
    <w:p>
      <w:pPr>
        <w:spacing w:after="0" w:line="215"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$1.8 billion principal floating interest rate debt and $1.3 billion of securitization and factoring. A change of 0.25% in these floating interest rates would change annual interest expense by approximately $8 million before tax.</w:t>
      </w:r>
    </w:p>
    <w:p>
      <w:pPr>
        <w:spacing w:after="0" w:line="185"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19"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regarding the Company's potential asbestos-related liabilities and other litigation, see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entitled “Asbestos-Related Liabilities” and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entitled “Commitments and Contingent Liabilities” to the consolidated financial statements within Part I, Item 1 of this Quarterly Report on Form 10-Q, which information is incorporated herein by reference.</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51"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report should be read in conjunction with the risk factors discussed in Item 1A of the Company's Annual Report on Form 10-K for the year ended December 31, 2024.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256" w:lineRule="exact"/>
        <w:rPr>
          <w:sz w:val="20"/>
          <w:szCs w:val="20"/>
          <w:color w:val="auto"/>
        </w:rPr>
      </w:pPr>
    </w:p>
    <w:p>
      <w:pPr>
        <w:ind w:left="660"/>
        <w:spacing w:after="0" w:line="273"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three months ended March 31, 2025. The table excludes 34,136 shares surrendered to cover taxes on the vesting of restricted stock during the three months ended March 31, 2025.</w:t>
      </w:r>
    </w:p>
    <w:tbl>
      <w:tblPr>
        <w:tblLayout w:type="fixed"/>
        <w:tblInd w:w="660" w:type="dxa"/>
        <w:tblCellMar>
          <w:top w:w="0" w:type="dxa"/>
          <w:left w:w="0" w:type="dxa"/>
          <w:bottom w:w="0" w:type="dxa"/>
          <w:right w:w="0" w:type="dxa"/>
        </w:tblCellMar>
      </w:tblPr>
      <w:tr>
        <w:trPr>
          <w:trHeight w:val="182"/>
        </w:trPr>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8"/>
              </w:rPr>
              <w:t>Average</w:t>
            </w:r>
          </w:p>
        </w:tc>
        <w:tc>
          <w:tcPr>
            <w:tcW w:w="20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99"/>
              </w:rPr>
              <w:t>Approximate dollar value of shares that</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w:t>
            </w:r>
          </w:p>
        </w:tc>
        <w:tc>
          <w:tcPr>
            <w:tcW w:w="220" w:type="dxa"/>
            <w:vAlign w:val="bottom"/>
          </w:tcPr>
          <w:p>
            <w:pPr>
              <w:spacing w:after="0"/>
              <w:rPr>
                <w:sz w:val="15"/>
                <w:szCs w:val="15"/>
                <w:color w:val="auto"/>
              </w:rPr>
            </w:pPr>
          </w:p>
        </w:tc>
        <w:tc>
          <w:tcPr>
            <w:tcW w:w="31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may yet be purchased under the programs</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Total number of</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color w:val="auto"/>
              </w:rPr>
              <w:t>price per</w:t>
            </w:r>
          </w:p>
        </w:tc>
        <w:tc>
          <w:tcPr>
            <w:tcW w:w="2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publicly announced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as of the end of the period</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purchased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share</w:t>
            </w:r>
          </w:p>
        </w:tc>
        <w:tc>
          <w:tcPr>
            <w:tcW w:w="20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5"/>
              </w:rPr>
              <w:t>programs</w:t>
            </w:r>
            <w:r>
              <w:rPr>
                <w:rFonts w:ascii="Times New Roman" w:cs="Times New Roman" w:eastAsia="Times New Roman" w:hAnsi="Times New Roman"/>
                <w:sz w:val="23"/>
                <w:szCs w:val="23"/>
                <w:color w:val="auto"/>
                <w:w w:val="95"/>
                <w:vertAlign w:val="superscript"/>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(millions of dollars)</w:t>
            </w:r>
          </w:p>
        </w:tc>
        <w:tc>
          <w:tcPr>
            <w:tcW w:w="0" w:type="dxa"/>
            <w:vAlign w:val="bottom"/>
          </w:tcPr>
          <w:p>
            <w:pPr>
              <w:spacing w:after="0"/>
              <w:rPr>
                <w:sz w:val="1"/>
                <w:szCs w:val="1"/>
                <w:color w:val="auto"/>
              </w:rPr>
            </w:pPr>
          </w:p>
        </w:tc>
      </w:tr>
      <w:tr>
        <w:trPr>
          <w:trHeight w:val="223"/>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2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1,125,845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1,125,845</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1,125,143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22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1,125,143</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2,250,988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2,250,988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660" w:hanging="4"/>
        <w:spacing w:after="0" w:line="266" w:lineRule="auto"/>
        <w:tabs>
          <w:tab w:leader="none" w:pos="9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Company's Board of Directors authorized the repurchase of an aggregate amount of $2,000 of the Company's common stock through the end of 2027. Share repurchases under the Company's program may be made in the open market or through privately negotiated transactions, and at times and in such amounts as management deems appropriate.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events required to be reported under Item 3 for the three months ended March 31, 2025.</w:t>
      </w:r>
    </w:p>
    <w:p>
      <w:pPr>
        <w:spacing w:after="0" w:line="248"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Submission of Matters to a Vote of Security Holders</w:t>
      </w:r>
    </w:p>
    <w:p>
      <w:pPr>
        <w:spacing w:after="0" w:line="229" w:lineRule="exact"/>
        <w:rPr>
          <w:sz w:val="20"/>
          <w:szCs w:val="20"/>
          <w:color w:val="auto"/>
        </w:rPr>
      </w:pPr>
    </w:p>
    <w:p>
      <w:pPr>
        <w:ind w:left="980" w:right="160" w:hanging="324"/>
        <w:spacing w:after="0" w:line="25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Annual Meeting of Shareholders on May 1, 2025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As of March 11, 2025, the record date for the meeting, 116,964,033 shares of Common Stock, par value $5.00 per share, of the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were issued and outstanding. A quorum of 107,294,828 shares of Common Stock were present or represented at the meeting.</w:t>
      </w:r>
    </w:p>
    <w:p>
      <w:pPr>
        <w:spacing w:after="0" w:line="20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were nominated and elected to serve as directors:</w:t>
      </w:r>
    </w:p>
    <w:p>
      <w:pPr>
        <w:spacing w:after="0" w:line="239"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Timothy J. Donahue, Richard H. Fearon, Andrea J. Funk, Stephen J. Hagge, B. Craig Owens, Angela M. Snyder, Caesar F. Sweitzer, Marsha C. Williams and Dwayne A. Wilson.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the Company’s Shareholders voted on the four matters below as follows:</w:t>
      </w:r>
    </w:p>
    <w:p>
      <w:pPr>
        <w:spacing w:after="0" w:line="347" w:lineRule="exact"/>
        <w:rPr>
          <w:sz w:val="20"/>
          <w:szCs w:val="20"/>
          <w:color w:val="auto"/>
        </w:rPr>
      </w:pPr>
    </w:p>
    <w:p>
      <w:pPr>
        <w:ind w:left="5540" w:right="2680" w:hanging="4236"/>
        <w:spacing w:after="0" w:line="923" w:lineRule="auto"/>
        <w:tabs>
          <w:tab w:leader="none" w:pos="19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elected the following directors pursuant to the following vote: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tbl>
      <w:tblPr>
        <w:tblLayout w:type="fixed"/>
        <w:tblInd w:w="18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1"/>
        </w:trPr>
        <w:tc>
          <w:tcPr>
            <w:tcW w:w="21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80" w:type="dxa"/>
            <w:vAlign w:val="bottom"/>
            <w:vMerge w:val="restart"/>
          </w:tcPr>
          <w:p>
            <w:pPr>
              <w:spacing w:after="0"/>
              <w:rPr>
                <w:sz w:val="24"/>
                <w:szCs w:val="24"/>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0" w:type="dxa"/>
            <w:vAlign w:val="bottom"/>
          </w:tcPr>
          <w:p>
            <w:pPr>
              <w:spacing w:after="0"/>
              <w:rPr>
                <w:sz w:val="1"/>
                <w:szCs w:val="1"/>
                <w:color w:val="auto"/>
              </w:rPr>
            </w:pPr>
          </w:p>
        </w:tc>
      </w:tr>
      <w:tr>
        <w:trPr>
          <w:trHeight w:val="250"/>
        </w:trPr>
        <w:tc>
          <w:tcPr>
            <w:tcW w:w="2120" w:type="dxa"/>
            <w:vAlign w:val="bottom"/>
            <w:tcBorders>
              <w:bottom w:val="single" w:sz="8" w:color="auto"/>
            </w:tcBorders>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8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Non-Vote</w:t>
            </w:r>
          </w:p>
        </w:tc>
        <w:tc>
          <w:tcPr>
            <w:tcW w:w="0" w:type="dxa"/>
            <w:vAlign w:val="bottom"/>
          </w:tcPr>
          <w:p>
            <w:pPr>
              <w:spacing w:after="0"/>
              <w:rPr>
                <w:sz w:val="1"/>
                <w:szCs w:val="1"/>
                <w:color w:val="auto"/>
              </w:rPr>
            </w:pPr>
          </w:p>
        </w:tc>
      </w:tr>
      <w:tr>
        <w:trPr>
          <w:trHeight w:val="486"/>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J. Donahue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97,319,220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6,245,686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3,729,922</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H. Fearon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98,946,793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4,618,113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3,729,922</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Andrea J. Funk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102,695,899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869,007</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3,729,922</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J. Hagge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101,170,015</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2,394,891</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3,729,922</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 Craig Owens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102,313,696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1,251,210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3,729,922</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Angela M. Snyder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102,690,796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874,110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3,729,922</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Caesar F. Sweitzer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100,985,533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2,579,373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3,729,922</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Marsha C. Williams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101,312,011</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2,252,895</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3,729,922</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Dwayne A. Wilson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102,627,476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937,430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3,729,922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840" w:hanging="656"/>
        <w:spacing w:after="0" w:line="282" w:lineRule="auto"/>
        <w:tabs>
          <w:tab w:leader="none" w:pos="8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ratified the appointment of PricewaterhouseCoopers LLP as the Company's independent auditor for the fiscal year ending December 31, 2025 pursuant to the following vote:</w:t>
      </w:r>
    </w:p>
    <w:p>
      <w:pPr>
        <w:spacing w:after="0" w:line="54"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20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50"/>
        </w:trPr>
        <w:tc>
          <w:tcPr>
            <w:tcW w:w="20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234"/>
        </w:trPr>
        <w:tc>
          <w:tcPr>
            <w:tcW w:w="17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97,632,463</w:t>
            </w:r>
          </w:p>
        </w:tc>
        <w:tc>
          <w:tcPr>
            <w:tcW w:w="300" w:type="dxa"/>
            <w:vAlign w:val="bottom"/>
          </w:tcPr>
          <w:p>
            <w:pPr>
              <w:spacing w:after="0"/>
              <w:rPr>
                <w:sz w:val="20"/>
                <w:szCs w:val="20"/>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9,199,567</w:t>
            </w:r>
          </w:p>
        </w:tc>
        <w:tc>
          <w:tcPr>
            <w:tcW w:w="300" w:type="dxa"/>
            <w:vAlign w:val="bottom"/>
          </w:tcPr>
          <w:p>
            <w:pPr>
              <w:spacing w:after="0"/>
              <w:rPr>
                <w:sz w:val="20"/>
                <w:szCs w:val="20"/>
                <w:color w:val="auto"/>
              </w:rPr>
            </w:pPr>
          </w:p>
        </w:tc>
        <w:tc>
          <w:tcPr>
            <w:tcW w:w="19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462,797</w:t>
            </w:r>
          </w:p>
        </w:tc>
        <w:tc>
          <w:tcPr>
            <w:tcW w:w="186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357" w:lineRule="exact"/>
        <w:rPr>
          <w:sz w:val="20"/>
          <w:szCs w:val="20"/>
          <w:color w:val="auto"/>
        </w:rPr>
      </w:pPr>
    </w:p>
    <w:p>
      <w:pPr>
        <w:ind w:left="840" w:hanging="656"/>
        <w:spacing w:after="0" w:line="282"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approved, by non-binding advisory vote, the resolution on executive compensation (as further described in the Company's 2025 Proxy Statement) pursuant to the following vote:</w:t>
      </w:r>
    </w:p>
    <w:p>
      <w:pPr>
        <w:spacing w:after="0" w:line="13"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50"/>
        </w:trPr>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310"/>
        </w:trPr>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95,117,815</w:t>
            </w:r>
          </w:p>
        </w:tc>
        <w:tc>
          <w:tcPr>
            <w:tcW w:w="30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8,271,561</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175,529</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3,729,922</w:t>
            </w:r>
          </w:p>
        </w:tc>
      </w:tr>
    </w:tbl>
    <w:p>
      <w:pPr>
        <w:spacing w:after="0" w:line="319" w:lineRule="exact"/>
        <w:rPr>
          <w:sz w:val="20"/>
          <w:szCs w:val="20"/>
          <w:color w:val="auto"/>
        </w:rPr>
      </w:pPr>
    </w:p>
    <w:p>
      <w:pPr>
        <w:ind w:left="840" w:right="260" w:hanging="656"/>
        <w:spacing w:after="0" w:line="282" w:lineRule="auto"/>
        <w:tabs>
          <w:tab w:leader="none" w:pos="8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approved the Shareholder proposal regarding transparency in political spending to the following vote:</w:t>
      </w:r>
    </w:p>
    <w:p>
      <w:pPr>
        <w:spacing w:after="0" w:line="1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45"/>
        </w:trPr>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310"/>
        </w:trPr>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54,193,891</w:t>
            </w:r>
          </w:p>
        </w:tc>
        <w:tc>
          <w:tcPr>
            <w:tcW w:w="30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48,704,745</w:t>
            </w:r>
          </w:p>
        </w:tc>
        <w:tc>
          <w:tcPr>
            <w:tcW w:w="30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666,269</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3,729,922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Trading Plans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2025,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97" w:lineRule="exact"/>
        <w:rPr>
          <w:sz w:val="20"/>
          <w:szCs w:val="20"/>
          <w:color w:val="auto"/>
        </w:rPr>
      </w:pPr>
    </w:p>
    <w:p>
      <w:pPr>
        <w:ind w:left="760" w:right="3320" w:hanging="741"/>
        <w:spacing w:after="0" w:line="266" w:lineRule="auto"/>
        <w:tabs>
          <w:tab w:leader="none" w:pos="7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3.1(a)</w:t>
      </w:r>
      <w:r>
        <w:rPr>
          <w:sz w:val="20"/>
          <w:szCs w:val="20"/>
          <w:color w:val="auto"/>
        </w:rPr>
        <w:tab/>
      </w:r>
      <w:hyperlink r:id="rId51">
        <w:r>
          <w:rPr>
            <w:rFonts w:ascii="Times New Roman" w:cs="Times New Roman" w:eastAsia="Times New Roman" w:hAnsi="Times New Roman"/>
            <w:sz w:val="18"/>
            <w:szCs w:val="18"/>
            <w:u w:val="single" w:color="auto"/>
            <w:color w:val="0000FF"/>
          </w:rPr>
          <w:t>Articles of Incorporation of Crown Holdings, Inc., as amended (incorporated by reference to</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Exhibit 3.a of the Registrant’s Annual Report on Form 10-K for the year ended December 31, 2004</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(File No. 000-50189))</w:t>
        </w:r>
      </w:hyperlink>
    </w:p>
    <w:p>
      <w:pPr>
        <w:spacing w:after="0" w:line="176" w:lineRule="exact"/>
        <w:rPr>
          <w:rFonts w:ascii="Times New Roman" w:cs="Times New Roman" w:eastAsia="Times New Roman" w:hAnsi="Times New Roman"/>
          <w:sz w:val="18"/>
          <w:szCs w:val="18"/>
          <w:u w:val="single" w:color="auto"/>
          <w:color w:val="0000FF"/>
        </w:rPr>
      </w:pPr>
    </w:p>
    <w:p>
      <w:pPr>
        <w:ind w:left="760" w:hanging="73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Guarantor Subsidiaries</w:t>
      </w:r>
    </w:p>
    <w:p>
      <w:pPr>
        <w:spacing w:after="0" w:line="198" w:lineRule="exact"/>
        <w:rPr>
          <w:rFonts w:ascii="Times New Roman" w:cs="Times New Roman" w:eastAsia="Times New Roman" w:hAnsi="Times New Roman"/>
          <w:sz w:val="18"/>
          <w:szCs w:val="18"/>
          <w:u w:val="single" w:color="auto"/>
          <w:color w:val="0000FF"/>
        </w:rPr>
      </w:pPr>
    </w:p>
    <w:p>
      <w:pPr>
        <w:ind w:left="760" w:right="3340" w:hanging="74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or 15d-14(a) of the Securities Exchange Act of 1934, as adopted pursuant to Section 302 of the Sarbanes-Oxley Act of 2002.</w:t>
      </w:r>
    </w:p>
    <w:p>
      <w:pPr>
        <w:spacing w:after="0" w:line="148" w:lineRule="exact"/>
        <w:rPr>
          <w:rFonts w:ascii="Times New Roman" w:cs="Times New Roman" w:eastAsia="Times New Roman" w:hAnsi="Times New Roman"/>
          <w:sz w:val="18"/>
          <w:szCs w:val="18"/>
          <w:u w:val="single" w:color="auto"/>
          <w:color w:val="0000FF"/>
        </w:rPr>
      </w:pPr>
    </w:p>
    <w:p>
      <w:pPr>
        <w:ind w:left="760" w:right="3320" w:hanging="74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Exchange Act of 1934, as adopted pursuant to Section 302 of the Sarbanes-Oxley Act of 2002.</w:t>
      </w:r>
    </w:p>
    <w:p>
      <w:pPr>
        <w:spacing w:after="0" w:line="162" w:lineRule="exact"/>
        <w:rPr>
          <w:rFonts w:ascii="Times New Roman" w:cs="Times New Roman" w:eastAsia="Times New Roman" w:hAnsi="Times New Roman"/>
          <w:sz w:val="18"/>
          <w:szCs w:val="18"/>
          <w:u w:val="single" w:color="auto"/>
          <w:color w:val="0000FF"/>
        </w:rPr>
      </w:pPr>
    </w:p>
    <w:p>
      <w:pPr>
        <w:jc w:val="both"/>
        <w:ind w:left="760" w:right="3320" w:hanging="734"/>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166" w:lineRule="exact"/>
        <w:rPr>
          <w:rFonts w:ascii="Times New Roman" w:cs="Times New Roman" w:eastAsia="Times New Roman" w:hAnsi="Times New Roman"/>
          <w:sz w:val="18"/>
          <w:szCs w:val="18"/>
          <w:u w:val="single" w:color="auto"/>
          <w:color w:val="0000FF"/>
        </w:rPr>
      </w:pPr>
    </w:p>
    <w:p>
      <w:pPr>
        <w:jc w:val="both"/>
        <w:ind w:left="760" w:right="3340" w:hanging="734"/>
        <w:spacing w:after="0" w:line="254"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Quarterly Report on Form 10-Q for the quarter ended March 31, 2025 formatted in inline XBRL (eXtensible Business Reporting Language): (i) Consolidated Statements of Operations for the three months ended March 31, 2025 and 2024, (ii) Consolidated Statements of Comprehensive Income for the three months ended March 31, 2025 and 2024, (iii) Consolidated Balance Sheets as of March 31, 2025 and December 31, 2024, (iv) Consolidated Statements of Cash Flows for the three months ended March 31, 2025 and 2024, (v) Consolidated Statements of Changes in Equity for the three months ended March 31, 2025 and 2024 and (vi) Notes to Consolidated Financial Statements.</w:t>
      </w:r>
    </w:p>
    <w:p>
      <w:pPr>
        <w:spacing w:after="0" w:line="165" w:lineRule="exact"/>
        <w:rPr>
          <w:rFonts w:ascii="Times New Roman" w:cs="Times New Roman" w:eastAsia="Times New Roman" w:hAnsi="Times New Roman"/>
          <w:sz w:val="18"/>
          <w:szCs w:val="18"/>
          <w:u w:val="single" w:color="auto"/>
          <w:color w:val="0000FF"/>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3"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rFonts w:ascii="Times New Roman" w:cs="Times New Roman" w:eastAsia="Times New Roman" w:hAnsi="Times New Roman"/>
          <w:sz w:val="18"/>
          <w:szCs w:val="18"/>
          <w:u w:val="single" w:color="auto"/>
          <w:color w:val="0000FF"/>
        </w:rPr>
      </w:pPr>
    </w:p>
    <w:p>
      <w:pPr>
        <w:spacing w:after="0" w:line="232" w:lineRule="exact"/>
        <w:rPr>
          <w:rFonts w:ascii="Times New Roman" w:cs="Times New Roman" w:eastAsia="Times New Roman" w:hAnsi="Times New Roman"/>
          <w:sz w:val="18"/>
          <w:szCs w:val="18"/>
          <w:u w:val="single" w:color="auto"/>
          <w:color w:val="0000FF"/>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rFonts w:ascii="Times New Roman" w:cs="Times New Roman" w:eastAsia="Times New Roman" w:hAnsi="Times New Roman"/>
          <w:sz w:val="18"/>
          <w:szCs w:val="18"/>
          <w:u w:val="single" w:color="auto"/>
          <w:color w:val="0000FF"/>
        </w:rPr>
      </w:pPr>
    </w:p>
    <w:p>
      <w:pPr>
        <w:spacing w:after="0" w:line="232" w:lineRule="exact"/>
        <w:rPr>
          <w:rFonts w:ascii="Times New Roman" w:cs="Times New Roman" w:eastAsia="Times New Roman" w:hAnsi="Times New Roman"/>
          <w:sz w:val="18"/>
          <w:szCs w:val="18"/>
          <w:u w:val="single" w:color="auto"/>
          <w:color w:val="0000FF"/>
        </w:rPr>
      </w:pPr>
    </w:p>
    <w:tbl>
      <w:tblPr>
        <w:tblLayout w:type="fixed"/>
        <w:tblInd w:w="650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Holdings, Inc.</w:t>
            </w:r>
          </w:p>
        </w:tc>
      </w:tr>
      <w:tr>
        <w:trPr>
          <w:trHeight w:val="228"/>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2440" w:type="dxa"/>
            <w:vAlign w:val="bottom"/>
          </w:tcPr>
          <w:p>
            <w:pPr>
              <w:spacing w:after="0"/>
              <w:rPr>
                <w:sz w:val="19"/>
                <w:szCs w:val="19"/>
                <w:color w:val="auto"/>
              </w:rPr>
            </w:pPr>
          </w:p>
        </w:tc>
      </w:tr>
      <w:tr>
        <w:trPr>
          <w:trHeight w:val="48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Christy L. Kalaus</w:t>
            </w:r>
          </w:p>
        </w:tc>
      </w:tr>
      <w:tr>
        <w:trPr>
          <w:trHeight w:val="218"/>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L. Kalaus</w:t>
            </w:r>
          </w:p>
        </w:tc>
      </w:tr>
      <w:tr>
        <w:trPr>
          <w:trHeight w:val="234"/>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bl>
    <w:p>
      <w:pPr>
        <w:spacing w:after="0" w:line="346" w:lineRule="exact"/>
        <w:rPr>
          <w:rFonts w:ascii="Times New Roman" w:cs="Times New Roman" w:eastAsia="Times New Roman" w:hAnsi="Times New Roman"/>
          <w:sz w:val="18"/>
          <w:szCs w:val="18"/>
          <w:u w:val="single" w:color="auto"/>
          <w:color w:val="0000FF"/>
        </w:rPr>
      </w:pPr>
    </w:p>
    <w:p>
      <w:pPr>
        <w:ind w:left="660"/>
        <w:spacing w:after="0"/>
        <w:rPr>
          <w:sz w:val="20"/>
          <w:szCs w:val="20"/>
          <w:color w:val="auto"/>
        </w:rPr>
      </w:pPr>
      <w:r>
        <w:rPr>
          <w:rFonts w:ascii="Times New Roman" w:cs="Times New Roman" w:eastAsia="Times New Roman" w:hAnsi="Times New Roman"/>
          <w:sz w:val="18"/>
          <w:szCs w:val="18"/>
          <w:color w:val="auto"/>
        </w:rPr>
        <w:t>Date: May 2, 2025</w:t>
      </w:r>
    </w:p>
    <w:p>
      <w:pPr>
        <w:sectPr>
          <w:pgSz w:w="11900" w:h="16838" w:orient="portrait"/>
          <w:cols w:equalWidth="0" w:num="1">
            <w:col w:w="11240"/>
          </w:cols>
          <w:pgMar w:left="320" w:top="117" w:right="339"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6"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7" w:right="339" w:bottom="1440" w:gutter="0" w:footer="0" w:header="0"/>
          <w:type w:val="continuous"/>
        </w:sectPr>
      </w:pPr>
    </w:p>
    <w:bookmarkStart w:id="34" w:name="page35"/>
    <w:bookmarkEnd w:id="34"/>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Exhibit 22 - List of Guarantor Subsidiaries</w:t>
      </w:r>
    </w:p>
    <w:p>
      <w:pPr>
        <w:spacing w:after="0" w:line="259"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20"/>
          <w:szCs w:val="20"/>
          <w:color w:val="auto"/>
        </w:rPr>
        <w:t>The following subsidiaries of Crown Holdings, Inc. (the "Company") were, as of March 31, 2025,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4"/>
        </w:trPr>
        <w:tc>
          <w:tcPr>
            <w:tcW w:w="3640" w:type="dxa"/>
            <w:vAlign w:val="bottom"/>
            <w:tcBorders>
              <w:top w:val="single" w:sz="8" w:color="auto"/>
              <w:lef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60" w:type="dxa"/>
            <w:vAlign w:val="bottom"/>
            <w:tcBorders>
              <w:top w:val="single" w:sz="8" w:color="auto"/>
              <w:right w:val="single" w:sz="8" w:color="auto"/>
            </w:tcBorders>
          </w:tcPr>
          <w:p>
            <w:pPr>
              <w:spacing w:after="0"/>
              <w:rPr>
                <w:sz w:val="15"/>
                <w:szCs w:val="15"/>
                <w:color w:val="auto"/>
              </w:rPr>
            </w:pPr>
          </w:p>
        </w:tc>
        <w:tc>
          <w:tcPr>
            <w:tcW w:w="3160" w:type="dxa"/>
            <w:vAlign w:val="bottom"/>
            <w:tcBorders>
              <w:top w:val="single" w:sz="8" w:color="auto"/>
              <w:right w:val="single" w:sz="8" w:color="auto"/>
            </w:tcBorders>
            <w:gridSpan w:val="3"/>
          </w:tcPr>
          <w:p>
            <w:pPr>
              <w:jc w:val="center"/>
              <w:ind w:right="20"/>
              <w:spacing w:after="0" w:line="184"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following subsidiaries of the Company were, as of March 31, 2025,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9"/>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Financial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Package Design and Manufacturing,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Michigan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0" w:right="419" w:bottom="1440" w:gutter="0" w:footer="0" w:header="0"/>
        </w:sectPr>
      </w:pPr>
    </w:p>
    <w:bookmarkStart w:id="35" w:name="page36"/>
    <w:bookmarkEnd w:id="35"/>
    <w:p>
      <w:pPr>
        <w:ind w:left="9720"/>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100" w:hanging="332"/>
        <w:spacing w:after="0" w:line="268"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right="80" w:hanging="324"/>
        <w:spacing w:after="0" w:line="268"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right="80" w:hanging="324"/>
        <w:spacing w:after="0" w:line="268" w:lineRule="auto"/>
        <w:tabs>
          <w:tab w:leader="none" w:pos="8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4" w:lineRule="auto"/>
        <w:tabs>
          <w:tab w:leader="none" w:pos="115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tbl>
      <w:tblPr>
        <w:tblLayout w:type="fixed"/>
        <w:tblInd w:w="4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2, 2025</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Donahue</w:t>
            </w:r>
          </w:p>
        </w:tc>
      </w:tr>
      <w:tr>
        <w:trPr>
          <w:trHeight w:val="218"/>
        </w:trPr>
        <w:tc>
          <w:tcPr>
            <w:tcW w:w="5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Timothy J. Donahue</w:t>
            </w:r>
          </w:p>
        </w:tc>
      </w:tr>
      <w:tr>
        <w:trPr>
          <w:trHeight w:val="234"/>
        </w:trPr>
        <w:tc>
          <w:tcPr>
            <w:tcW w:w="5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ectPr>
          <w:pgSz w:w="11900" w:h="16838" w:orient="portrait"/>
          <w:cols w:equalWidth="0" w:num="1">
            <w:col w:w="10920"/>
          </w:cols>
          <w:pgMar w:left="320" w:top="1133" w:right="6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42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right="400" w:hanging="324"/>
        <w:spacing w:after="0" w:line="268"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right="400" w:hanging="324"/>
        <w:spacing w:after="0" w:line="268" w:lineRule="auto"/>
        <w:tabs>
          <w:tab w:leader="none" w:pos="89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400" w:hanging="324"/>
        <w:spacing w:after="0" w:line="287" w:lineRule="auto"/>
        <w:tabs>
          <w:tab w:leader="none" w:pos="113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2, 2025</w:t>
            </w:r>
          </w:p>
        </w:tc>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18"/>
        </w:trPr>
        <w:tc>
          <w:tcPr>
            <w:tcW w:w="6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6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0" w:lineRule="exact"/>
        <w:rPr>
          <w:sz w:val="20"/>
          <w:szCs w:val="20"/>
          <w:color w:val="auto"/>
        </w:rPr>
      </w:pPr>
    </w:p>
    <w:p>
      <w:pPr>
        <w:spacing w:after="0" w:line="270"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March 31, 2025 (the “Report”), each of the undersigned officers certify, pursuant to 18 U.S.C. § 1350, as adopted pursuant to § 906 of the Sarbanes-Oxley Act of 2002, that:</w:t>
      </w:r>
    </w:p>
    <w:p>
      <w:pPr>
        <w:spacing w:after="0" w:line="200" w:lineRule="exact"/>
        <w:rPr>
          <w:sz w:val="20"/>
          <w:szCs w:val="20"/>
          <w:color w:val="auto"/>
        </w:rPr>
      </w:pPr>
    </w:p>
    <w:p>
      <w:pPr>
        <w:ind w:firstLine="8"/>
        <w:spacing w:after="0" w:line="285" w:lineRule="auto"/>
        <w:tabs>
          <w:tab w:leader="none" w:pos="6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68" w:lineRule="exact"/>
        <w:rPr>
          <w:rFonts w:ascii="Arial" w:cs="Arial" w:eastAsia="Arial" w:hAnsi="Arial"/>
          <w:sz w:val="22"/>
          <w:szCs w:val="22"/>
          <w:color w:val="auto"/>
        </w:rPr>
      </w:pPr>
    </w:p>
    <w:p>
      <w:pPr>
        <w:ind w:firstLine="8"/>
        <w:spacing w:after="0" w:line="272" w:lineRule="auto"/>
        <w:tabs>
          <w:tab w:leader="none" w:pos="514"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May 2, 2025</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Timothy J. Donahue</w:t>
            </w:r>
          </w:p>
        </w:tc>
      </w:tr>
      <w:tr>
        <w:trPr>
          <w:trHeight w:val="250"/>
        </w:trPr>
        <w:tc>
          <w:tcPr>
            <w:tcW w:w="6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4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Timothy J. Donahue</w:t>
            </w:r>
          </w:p>
        </w:tc>
      </w:tr>
      <w:tr>
        <w:trPr>
          <w:trHeight w:val="282"/>
        </w:trPr>
        <w:tc>
          <w:tcPr>
            <w:tcW w:w="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Chairman, President and Chief Executive Officer</w:t>
            </w:r>
          </w:p>
        </w:tc>
      </w:tr>
      <w:tr>
        <w:trPr>
          <w:trHeight w:val="541"/>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May 2, 2025</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Kevin C. Clothier</w:t>
            </w:r>
          </w:p>
        </w:tc>
      </w:tr>
      <w:tr>
        <w:trPr>
          <w:trHeight w:val="250"/>
        </w:trPr>
        <w:tc>
          <w:tcPr>
            <w:tcW w:w="6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4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Kevin C. Clothier</w:t>
            </w:r>
          </w:p>
        </w:tc>
      </w:tr>
      <w:tr>
        <w:trPr>
          <w:trHeight w:val="282"/>
        </w:trPr>
        <w:tc>
          <w:tcPr>
            <w:tcW w:w="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Senior Vice President and Chief Financial Officer</w:t>
            </w:r>
          </w:p>
        </w:tc>
      </w:tr>
    </w:tbl>
    <w:p>
      <w:pPr>
        <w:spacing w:after="0" w:line="32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upperLetter"/>
      <w:start w:val="1"/>
    </w:lvl>
  </w:abstractNum>
  <w:abstractNum w:abstractNumId="3">
    <w:nsid w:val="25E45D32"/>
    <w:multiLevelType w:val="hybridMultilevel"/>
    <w:lvl w:ilvl="0">
      <w:lvlJc w:val="left"/>
      <w:lvlText w:val="%1."/>
      <w:numFmt w:val="upperLetter"/>
      <w:start w:val="6"/>
    </w:lvl>
  </w:abstractNum>
  <w:abstractNum w:abstractNumId="4">
    <w:nsid w:val="519B500D"/>
    <w:multiLevelType w:val="hybridMultilevel"/>
    <w:lvl w:ilvl="0">
      <w:lvlJc w:val="left"/>
      <w:lvlText w:val="%1."/>
      <w:numFmt w:val="upperLetter"/>
      <w:start w:val="7"/>
    </w:lvl>
  </w:abstractNum>
  <w:abstractNum w:abstractNumId="5">
    <w:nsid w:val="431BD7B7"/>
    <w:multiLevelType w:val="hybridMultilevel"/>
    <w:lvl w:ilvl="0">
      <w:lvlJc w:val="left"/>
      <w:lvlText w:val="%1."/>
      <w:numFmt w:val="upperLetter"/>
      <w:start w:val="8"/>
    </w:lvl>
  </w:abstractNum>
  <w:abstractNum w:abstractNumId="6">
    <w:nsid w:val="3F2DBA31"/>
    <w:multiLevelType w:val="hybridMultilevel"/>
    <w:lvl w:ilvl="0">
      <w:lvlJc w:val="left"/>
      <w:lvlText w:val="%1."/>
      <w:numFmt w:val="upperLetter"/>
      <w:start w:val="9"/>
    </w:lvl>
  </w:abstractNum>
  <w:abstractNum w:abstractNumId="7">
    <w:nsid w:val="7C83E458"/>
    <w:multiLevelType w:val="hybridMultilevel"/>
    <w:lvl w:ilvl="0">
      <w:lvlJc w:val="left"/>
      <w:lvlText w:val="%1."/>
      <w:numFmt w:val="upperLetter"/>
      <w:start w:val="10"/>
    </w:lvl>
  </w:abstractNum>
  <w:abstractNum w:abstractNumId="8">
    <w:nsid w:val="257130A3"/>
    <w:multiLevelType w:val="hybridMultilevel"/>
    <w:lvl w:ilvl="0">
      <w:lvlJc w:val="left"/>
      <w:lvlText w:val="%1."/>
      <w:numFmt w:val="upperLetter"/>
      <w:start w:val="11"/>
    </w:lvl>
  </w:abstractNum>
  <w:abstractNum w:abstractNumId="9">
    <w:nsid w:val="62BBD95A"/>
    <w:multiLevelType w:val="hybridMultilevel"/>
    <w:lvl w:ilvl="0">
      <w:lvlJc w:val="left"/>
      <w:lvlText w:val="%1."/>
      <w:numFmt w:val="upperLetter"/>
      <w:start w:val="12"/>
    </w:lvl>
  </w:abstractNum>
  <w:abstractNum w:abstractNumId="10">
    <w:nsid w:val="436C6125"/>
    <w:multiLevelType w:val="hybridMultilevel"/>
    <w:lvl w:ilvl="0">
      <w:lvlJc w:val="left"/>
      <w:lvlText w:val="%1."/>
      <w:numFmt w:val="upperLetter"/>
      <w:start w:val="13"/>
    </w:lvl>
  </w:abstractNum>
  <w:abstractNum w:abstractNumId="11">
    <w:nsid w:val="628C895D"/>
    <w:multiLevelType w:val="hybridMultilevel"/>
    <w:lvl w:ilvl="0">
      <w:lvlJc w:val="left"/>
      <w:lvlText w:val="%1."/>
      <w:numFmt w:val="upperLetter"/>
      <w:start w:val="14"/>
    </w:lvl>
  </w:abstractNum>
  <w:abstractNum w:abstractNumId="12">
    <w:nsid w:val="333AB105"/>
    <w:multiLevelType w:val="hybridMultilevel"/>
    <w:lvl w:ilvl="0">
      <w:lvlJc w:val="left"/>
      <w:lvlText w:val="%1."/>
      <w:numFmt w:val="upperLetter"/>
      <w:start w:val="15"/>
    </w:lvl>
  </w:abstractNum>
  <w:abstractNum w:abstractNumId="13">
    <w:nsid w:val="721DA317"/>
    <w:multiLevelType w:val="hybridMultilevel"/>
    <w:lvl w:ilvl="0">
      <w:lvlJc w:val="left"/>
      <w:lvlText w:val="%1."/>
      <w:numFmt w:val="upperLetter"/>
      <w:start w:val="17"/>
    </w:lvl>
  </w:abstractNum>
  <w:abstractNum w:abstractNumId="14">
    <w:nsid w:val="2443A858"/>
    <w:multiLevelType w:val="hybridMultilevel"/>
    <w:lvl w:ilvl="0">
      <w:lvlJc w:val="left"/>
      <w:lvlText w:val="%1."/>
      <w:numFmt w:val="upperLetter"/>
      <w:start w:val="18"/>
    </w:lvl>
  </w:abstractNum>
  <w:abstractNum w:abstractNumId="15">
    <w:nsid w:val="2D1D5AE9"/>
    <w:multiLevelType w:val="hybridMultilevel"/>
    <w:lvl w:ilvl="0">
      <w:lvlJc w:val="left"/>
      <w:lvlText w:val="%1."/>
      <w:numFmt w:val="upperLetter"/>
      <w:start w:val="19"/>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1)"/>
      <w:numFmt w:val="decimal"/>
      <w:start w:val="3"/>
    </w:lvl>
  </w:abstractNum>
  <w:abstractNum w:abstractNumId="23">
    <w:nsid w:val="54E49EB4"/>
    <w:multiLevelType w:val="hybridMultilevel"/>
    <w:lvl w:ilvl="0">
      <w:lvlJc w:val="left"/>
      <w:lvlText w:val="%1)"/>
      <w:numFmt w:val="decimal"/>
      <w:start w:val="4"/>
    </w:lvl>
  </w:abstractNum>
  <w:abstractNum w:abstractNumId="24">
    <w:nsid w:val="71F32454"/>
    <w:multiLevelType w:val="hybridMultilevel"/>
    <w:lvl w:ilvl="0">
      <w:lvlJc w:val="left"/>
      <w:lvlText w:val="%1"/>
      <w:numFmt w:val="decimal"/>
      <w:start w:val="22"/>
    </w:lvl>
  </w:abstractNum>
  <w:abstractNum w:abstractNumId="25">
    <w:nsid w:val="2CA88611"/>
    <w:multiLevelType w:val="hybridMultilevel"/>
    <w:lvl w:ilvl="0">
      <w:lvlJc w:val="left"/>
      <w:lvlText w:val="%1"/>
      <w:numFmt w:val="decimal"/>
      <w:start w:val="32"/>
    </w:lvl>
  </w:abstractNum>
  <w:abstractNum w:abstractNumId="26">
    <w:nsid w:val="836C40E"/>
    <w:multiLevelType w:val="hybridMultilevel"/>
    <w:lvl w:ilvl="0">
      <w:lvlJc w:val="left"/>
      <w:lvlText w:val="%1"/>
      <w:numFmt w:val="decimal"/>
      <w:start w:val="10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hyperlink" Target="https://www.sec.gov/Archives/edgar/data/1219601/000121960105000069/ex3a20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2025-05-02T14:33:23Z</dcterms:created>
  <dcterms:modified xsi:type="dcterms:W3CDTF">2025-05-02T14:33:23Z</dcterms:modified>
</cp:coreProperties>
</file>