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97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978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DONAHUE TIMOTHY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340" w:type="dxa"/>
            <w:vAlign w:val="bottom"/>
            <w:tcBorders>
              <w:bottom w:val="single" w:sz="8" w:color="2C2C2C"/>
            </w:tcBorders>
          </w:tcPr>
          <w:p>
            <w:pPr>
              <w:spacing w:after="0"/>
              <w:rPr>
                <w:sz w:val="16"/>
                <w:szCs w:val="16"/>
                <w:color w:val="auto"/>
              </w:rPr>
            </w:pPr>
          </w:p>
        </w:tc>
        <w:tc>
          <w:tcPr>
            <w:tcW w:w="12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01/05/2026</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w w:val="97"/>
              </w:rPr>
              <w:t>01/05/2026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29,024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1"/>
              <w:spacing w:after="0"/>
              <w:rPr>
                <w:sz w:val="20"/>
                <w:szCs w:val="20"/>
                <w:color w:val="auto"/>
              </w:rPr>
            </w:pPr>
            <w:r>
              <w:rPr>
                <w:rFonts w:ascii="Times New Roman" w:cs="Times New Roman" w:eastAsia="Times New Roman" w:hAnsi="Times New Roman"/>
                <w:sz w:val="17"/>
                <w:szCs w:val="17"/>
                <w:color w:val="0000FF"/>
              </w:rPr>
              <w:t>411,556</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01/05/2026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27,130</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4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1"/>
              <w:spacing w:after="0"/>
              <w:rPr>
                <w:sz w:val="20"/>
                <w:szCs w:val="20"/>
                <w:color w:val="auto"/>
              </w:rPr>
            </w:pPr>
            <w:r>
              <w:rPr>
                <w:rFonts w:ascii="Times New Roman" w:cs="Times New Roman" w:eastAsia="Times New Roman" w:hAnsi="Times New Roman"/>
                <w:sz w:val="17"/>
                <w:szCs w:val="17"/>
                <w:color w:val="0000FF"/>
              </w:rPr>
              <w:t>438,686</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01/05/2026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34,336</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105.74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1"/>
              <w:spacing w:after="0"/>
              <w:rPr>
                <w:sz w:val="20"/>
                <w:szCs w:val="20"/>
                <w:color w:val="auto"/>
              </w:rPr>
            </w:pPr>
            <w:r>
              <w:rPr>
                <w:rFonts w:ascii="Times New Roman" w:cs="Times New Roman" w:eastAsia="Times New Roman" w:hAnsi="Times New Roman"/>
                <w:sz w:val="17"/>
                <w:szCs w:val="17"/>
                <w:color w:val="0000FF"/>
              </w:rPr>
              <w:t>404,350</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01/05/2026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85,386</w:t>
            </w:r>
            <w:r>
              <w:rPr>
                <w:rFonts w:ascii="Times New Roman" w:cs="Times New Roman" w:eastAsia="Times New Roman" w:hAnsi="Times New Roman"/>
                <w:sz w:val="22"/>
                <w:szCs w:val="22"/>
                <w:color w:val="008000"/>
                <w:w w:val="93"/>
                <w:vertAlign w:val="superscript"/>
              </w:rPr>
              <w:t>(4)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4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1"/>
              <w:spacing w:after="0"/>
              <w:rPr>
                <w:sz w:val="20"/>
                <w:szCs w:val="20"/>
                <w:color w:val="auto"/>
              </w:rPr>
            </w:pPr>
            <w:r>
              <w:rPr>
                <w:rFonts w:ascii="Times New Roman" w:cs="Times New Roman" w:eastAsia="Times New Roman" w:hAnsi="Times New Roman"/>
                <w:sz w:val="17"/>
                <w:szCs w:val="17"/>
                <w:color w:val="0000FF"/>
              </w:rPr>
              <w:t>489,736</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81"/>
              <w:spacing w:after="0" w:line="213" w:lineRule="exact"/>
              <w:rPr>
                <w:sz w:val="20"/>
                <w:szCs w:val="20"/>
                <w:color w:val="auto"/>
              </w:rPr>
            </w:pPr>
            <w:r>
              <w:rPr>
                <w:rFonts w:ascii="Times New Roman" w:cs="Times New Roman" w:eastAsia="Times New Roman" w:hAnsi="Times New Roman"/>
                <w:sz w:val="24"/>
                <w:szCs w:val="24"/>
                <w:color w:val="0000FF"/>
                <w:vertAlign w:val="subscript"/>
              </w:rPr>
              <w:t>778</w:t>
            </w:r>
            <w:r>
              <w:rPr>
                <w:rFonts w:ascii="Times New Roman" w:cs="Times New Roman" w:eastAsia="Times New Roman" w:hAnsi="Times New Roman"/>
                <w:sz w:val="10"/>
                <w:szCs w:val="10"/>
                <w:color w:val="008000"/>
              </w:rPr>
              <w:t>(5)</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Adoption date of referenced 10b5-1(c) plan is: 05/20/2025</w:t>
      </w:r>
    </w:p>
    <w:p>
      <w:pPr>
        <w:spacing w:after="0" w:line="50" w:lineRule="exact"/>
        <w:rPr>
          <w:rFonts w:ascii="Times New Roman" w:cs="Times New Roman" w:eastAsia="Times New Roman" w:hAnsi="Times New Roman"/>
          <w:sz w:val="13"/>
          <w:szCs w:val="13"/>
          <w:color w:val="008000"/>
        </w:rPr>
      </w:pPr>
    </w:p>
    <w:p>
      <w:pPr>
        <w:ind w:left="40" w:right="3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additional performance-based shares of Restricted Common Stock that vested on January 5, 2026 whose grant was originally reported on a Form 4 filed with the Securities and Exchange Commission on January 6, 2023 (the "Original Form 4"). As reported on the Original Form 4, such performance-based shares were originally granted to the Reporting Person based on the Company's Total Shareholder Return versus a defined group of companies with the final number of performance-based shares varying from 0 to 200% of 27,404. The Total Shareholder Return achieved by the Company versus a defined peer group of companies yielded 199% payout. As a result, 27,130 additional TSR Performance-Based Shares were issued.</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50" w:lineRule="exact"/>
        <w:rPr>
          <w:rFonts w:ascii="Times New Roman" w:cs="Times New Roman" w:eastAsia="Times New Roman" w:hAnsi="Times New Roman"/>
          <w:sz w:val="13"/>
          <w:szCs w:val="13"/>
          <w:color w:val="008000"/>
        </w:rPr>
      </w:pPr>
    </w:p>
    <w:p>
      <w:pPr>
        <w:ind w:left="40" w:right="2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85,386 shares of Restricted Common Stock under the 2022 Stock-Based Compensation Plan. 29,399 time-vested restricted shares vest over a three year period as follows: 9,800 time-vested restricted shares on January 5, 2027 and January 3, 2028, respectively, and 9,799 time-vested restricted shares on January 3, 2029. 26,264 performance-based restricted shares are targeted to vest on January 3, 2029 based on the Company's Total Shareholder Return versus a defined peer group of companies, with the final number of performance-based vested shares varying from 0 to 200% of 26,264. 29,723 performance-based restricted shares are targeted to vest on January 3, 2029 based on the Return on Invested Capital achieved by the Company compared to the ROIC target, with the final number of performance-based vested shares varying from 0 to 200% of 29,723.</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December 31, 2025, the Reporting Person owned 778 shares of CCK Common Stock under the CCK 401(k)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01/07/2026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1199"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2026-01-07T14:32:09Z</dcterms:created>
  <dcterms:modified xsi:type="dcterms:W3CDTF">2026-01-07T14:32:09Z</dcterms:modified>
</cp:coreProperties>
</file>